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Tabelacomgrade"/>
        <w:tblW w:w="10629" w:type="dxa"/>
        <w:tblInd w:w="-856" w:type="dxa"/>
        <w:tblLook w:val="04A0" w:firstRow="1" w:lastRow="0" w:firstColumn="1" w:lastColumn="0" w:noHBand="0" w:noVBand="1"/>
      </w:tblPr>
      <w:tblGrid>
        <w:gridCol w:w="3828"/>
        <w:gridCol w:w="3544"/>
        <w:gridCol w:w="3257"/>
      </w:tblGrid>
      <w:tr w:rsidR="005B2BDF" w:rsidRPr="00593DFB" w14:paraId="7D686675" w14:textId="77777777" w:rsidTr="005B2BDF">
        <w:tc>
          <w:tcPr>
            <w:tcW w:w="3828" w:type="dxa"/>
          </w:tcPr>
          <w:p w14:paraId="761C72C8" w14:textId="7FB74F42" w:rsidR="005B2BDF" w:rsidRPr="00593DFB" w:rsidRDefault="005B2BDF" w:rsidP="005B2BDF">
            <w:pPr>
              <w:tabs>
                <w:tab w:val="center" w:pos="4820"/>
              </w:tabs>
              <w:spacing w:after="120"/>
              <w:ind w:right="29"/>
              <w:jc w:val="center"/>
              <w:rPr>
                <w:rFonts w:cstheme="minorHAnsi"/>
                <w:sz w:val="24"/>
                <w:szCs w:val="24"/>
              </w:rPr>
            </w:pPr>
            <w:r w:rsidRPr="00593DFB">
              <w:rPr>
                <w:rFonts w:cstheme="minorHAnsi"/>
                <w:sz w:val="24"/>
                <w:szCs w:val="24"/>
              </w:rPr>
              <w:t>TEXTO ANTERIOR</w:t>
            </w:r>
          </w:p>
        </w:tc>
        <w:tc>
          <w:tcPr>
            <w:tcW w:w="3544" w:type="dxa"/>
          </w:tcPr>
          <w:p w14:paraId="3C6C6794" w14:textId="36689A8D" w:rsidR="005B2BDF" w:rsidRPr="00593DFB" w:rsidRDefault="005B2BDF" w:rsidP="005B2BDF">
            <w:pPr>
              <w:tabs>
                <w:tab w:val="center" w:pos="4820"/>
              </w:tabs>
              <w:spacing w:after="120"/>
              <w:ind w:left="-567" w:right="-852"/>
              <w:jc w:val="center"/>
              <w:rPr>
                <w:rFonts w:cstheme="minorHAnsi"/>
                <w:sz w:val="24"/>
                <w:szCs w:val="24"/>
              </w:rPr>
            </w:pPr>
            <w:r w:rsidRPr="00593DFB">
              <w:rPr>
                <w:rFonts w:cstheme="minorHAnsi"/>
                <w:sz w:val="24"/>
                <w:szCs w:val="24"/>
              </w:rPr>
              <w:t>TEXTO PROPOSTO</w:t>
            </w:r>
          </w:p>
        </w:tc>
        <w:tc>
          <w:tcPr>
            <w:tcW w:w="3257" w:type="dxa"/>
          </w:tcPr>
          <w:p w14:paraId="25CE7B99" w14:textId="65FDEB90" w:rsidR="005B2BDF" w:rsidRPr="00593DFB" w:rsidRDefault="005B2BDF" w:rsidP="005B2BDF">
            <w:pPr>
              <w:jc w:val="center"/>
              <w:rPr>
                <w:rFonts w:cstheme="minorHAnsi"/>
                <w:color w:val="000000"/>
                <w:sz w:val="24"/>
                <w:szCs w:val="24"/>
              </w:rPr>
            </w:pPr>
            <w:r w:rsidRPr="00593DFB">
              <w:rPr>
                <w:rFonts w:cstheme="minorHAnsi"/>
                <w:sz w:val="24"/>
                <w:szCs w:val="24"/>
              </w:rPr>
              <w:t>JUSTIFICATIVAS</w:t>
            </w:r>
          </w:p>
        </w:tc>
      </w:tr>
      <w:tr w:rsidR="005B2BDF" w:rsidRPr="00593DFB" w14:paraId="5D797989" w14:textId="77777777" w:rsidTr="005B2BDF">
        <w:tc>
          <w:tcPr>
            <w:tcW w:w="3828" w:type="dxa"/>
          </w:tcPr>
          <w:p w14:paraId="276406C7" w14:textId="3DED2BB8" w:rsidR="005B2BDF" w:rsidRPr="00593DFB" w:rsidRDefault="005B2BDF" w:rsidP="00AF65CC">
            <w:pPr>
              <w:tabs>
                <w:tab w:val="center" w:pos="4820"/>
              </w:tabs>
              <w:spacing w:after="120"/>
              <w:ind w:right="29"/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...</w:t>
            </w:r>
          </w:p>
        </w:tc>
        <w:tc>
          <w:tcPr>
            <w:tcW w:w="3544" w:type="dxa"/>
          </w:tcPr>
          <w:p w14:paraId="4364D8C9" w14:textId="7E609BFA" w:rsidR="005B2BDF" w:rsidRPr="00593DFB" w:rsidRDefault="005B2BDF" w:rsidP="00AF65CC">
            <w:pPr>
              <w:tabs>
                <w:tab w:val="center" w:pos="4820"/>
              </w:tabs>
              <w:spacing w:after="120"/>
              <w:ind w:left="-567" w:right="-852"/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...</w:t>
            </w:r>
          </w:p>
        </w:tc>
        <w:tc>
          <w:tcPr>
            <w:tcW w:w="3257" w:type="dxa"/>
          </w:tcPr>
          <w:p w14:paraId="0EDD5E5B" w14:textId="77777777" w:rsidR="005B2BDF" w:rsidRPr="00593DFB" w:rsidRDefault="005B2BDF" w:rsidP="00AF65CC">
            <w:pPr>
              <w:jc w:val="both"/>
              <w:rPr>
                <w:rFonts w:cstheme="minorHAnsi"/>
                <w:color w:val="000000"/>
                <w:sz w:val="24"/>
                <w:szCs w:val="24"/>
              </w:rPr>
            </w:pPr>
          </w:p>
        </w:tc>
      </w:tr>
      <w:tr w:rsidR="005B2BDF" w:rsidRPr="00593DFB" w14:paraId="7B3D7179" w14:textId="77777777" w:rsidTr="005B2BDF">
        <w:tc>
          <w:tcPr>
            <w:tcW w:w="3828" w:type="dxa"/>
          </w:tcPr>
          <w:p w14:paraId="1EDB2F70" w14:textId="77777777" w:rsidR="005B2BDF" w:rsidRPr="00593DFB" w:rsidRDefault="005B2BDF" w:rsidP="00AF65CC">
            <w:pPr>
              <w:tabs>
                <w:tab w:val="center" w:pos="4820"/>
              </w:tabs>
              <w:spacing w:after="120"/>
              <w:ind w:right="29"/>
              <w:jc w:val="center"/>
              <w:rPr>
                <w:rFonts w:cstheme="minorHAnsi"/>
                <w:sz w:val="24"/>
                <w:szCs w:val="24"/>
              </w:rPr>
            </w:pPr>
            <w:r w:rsidRPr="00593DFB">
              <w:rPr>
                <w:rFonts w:cstheme="minorHAnsi"/>
                <w:sz w:val="24"/>
                <w:szCs w:val="24"/>
              </w:rPr>
              <w:t>CAPÍTULO XIII</w:t>
            </w:r>
          </w:p>
          <w:p w14:paraId="59B7AFFB" w14:textId="77777777" w:rsidR="005B2BDF" w:rsidRPr="00593DFB" w:rsidRDefault="005B2BDF" w:rsidP="00AF65CC">
            <w:pPr>
              <w:tabs>
                <w:tab w:val="center" w:pos="4820"/>
              </w:tabs>
              <w:spacing w:after="120"/>
              <w:ind w:right="29"/>
              <w:jc w:val="both"/>
              <w:rPr>
                <w:rFonts w:cstheme="minorHAnsi"/>
                <w:sz w:val="24"/>
                <w:szCs w:val="24"/>
              </w:rPr>
            </w:pPr>
            <w:r w:rsidRPr="00593DFB">
              <w:rPr>
                <w:rFonts w:cstheme="minorHAnsi"/>
                <w:sz w:val="24"/>
                <w:szCs w:val="24"/>
              </w:rPr>
              <w:t>DOS PROCEDIMENTOS VISANDO À PREVENÇÃO DOS CRIMES DE LAVAGEM OU OCULTAÇÃO DE BENS, DIREITOS E VALORES, E DE COMBATE AO TERRORISMO</w:t>
            </w:r>
          </w:p>
        </w:tc>
        <w:tc>
          <w:tcPr>
            <w:tcW w:w="3544" w:type="dxa"/>
          </w:tcPr>
          <w:p w14:paraId="76E71748" w14:textId="77777777" w:rsidR="005B2BDF" w:rsidRPr="00593DFB" w:rsidRDefault="005B2BDF" w:rsidP="00AF65CC">
            <w:pPr>
              <w:tabs>
                <w:tab w:val="center" w:pos="4820"/>
              </w:tabs>
              <w:spacing w:after="120"/>
              <w:ind w:left="-567" w:right="-852"/>
              <w:jc w:val="center"/>
              <w:rPr>
                <w:rFonts w:cstheme="minorHAnsi"/>
                <w:sz w:val="24"/>
                <w:szCs w:val="24"/>
              </w:rPr>
            </w:pPr>
            <w:r w:rsidRPr="00593DFB">
              <w:rPr>
                <w:rFonts w:cstheme="minorHAnsi"/>
                <w:sz w:val="24"/>
                <w:szCs w:val="24"/>
              </w:rPr>
              <w:t>CAPÍTULO XIII</w:t>
            </w:r>
          </w:p>
          <w:p w14:paraId="1A7522F7" w14:textId="77777777" w:rsidR="005B2BDF" w:rsidRPr="00593DFB" w:rsidRDefault="005B2BDF" w:rsidP="00AF65CC">
            <w:pPr>
              <w:tabs>
                <w:tab w:val="center" w:pos="4820"/>
              </w:tabs>
              <w:spacing w:after="120"/>
              <w:jc w:val="both"/>
              <w:rPr>
                <w:rFonts w:cstheme="minorHAnsi"/>
                <w:sz w:val="24"/>
                <w:szCs w:val="24"/>
              </w:rPr>
            </w:pPr>
            <w:r w:rsidRPr="00593DFB">
              <w:rPr>
                <w:rFonts w:cstheme="minorHAnsi"/>
                <w:sz w:val="24"/>
                <w:szCs w:val="24"/>
              </w:rPr>
              <w:t>DOS PROCEDIMENTOS VISANDO À PREVENÇÃO DOS CRIMES DE LAVAGEM OU OCULTAÇÃO DE BENS, DIREITOS E VALORES, E DE COMBATE AO FINANCIAMENTO DO TERRORISMO</w:t>
            </w:r>
          </w:p>
        </w:tc>
        <w:tc>
          <w:tcPr>
            <w:tcW w:w="3257" w:type="dxa"/>
          </w:tcPr>
          <w:p w14:paraId="1ACB104F" w14:textId="77777777" w:rsidR="005B2BDF" w:rsidRPr="00593DFB" w:rsidRDefault="005B2BDF" w:rsidP="00AF65CC">
            <w:pPr>
              <w:jc w:val="both"/>
              <w:rPr>
                <w:rFonts w:cstheme="minorHAnsi"/>
                <w:color w:val="000000"/>
                <w:sz w:val="24"/>
                <w:szCs w:val="24"/>
              </w:rPr>
            </w:pPr>
            <w:r w:rsidRPr="00593DFB">
              <w:rPr>
                <w:rFonts w:cstheme="minorHAnsi"/>
                <w:color w:val="000000"/>
                <w:sz w:val="24"/>
                <w:szCs w:val="24"/>
              </w:rPr>
              <w:t>Alteração da nomenclatura do Capítulo para melhor compreensão.</w:t>
            </w:r>
          </w:p>
        </w:tc>
      </w:tr>
      <w:tr w:rsidR="005B2BDF" w:rsidRPr="00593DFB" w14:paraId="7C81F5F4" w14:textId="77777777" w:rsidTr="005B2BDF">
        <w:tc>
          <w:tcPr>
            <w:tcW w:w="3828" w:type="dxa"/>
          </w:tcPr>
          <w:p w14:paraId="7F3739CC" w14:textId="77777777" w:rsidR="005B2BDF" w:rsidRPr="00593DFB" w:rsidRDefault="005B2BDF" w:rsidP="00AF65CC">
            <w:pPr>
              <w:tabs>
                <w:tab w:val="center" w:pos="4820"/>
              </w:tabs>
              <w:spacing w:after="120"/>
              <w:ind w:right="29"/>
              <w:jc w:val="both"/>
              <w:rPr>
                <w:rFonts w:cstheme="minorHAnsi"/>
                <w:sz w:val="24"/>
                <w:szCs w:val="24"/>
              </w:rPr>
            </w:pPr>
            <w:r w:rsidRPr="00593DFB">
              <w:rPr>
                <w:rFonts w:cstheme="minorHAnsi"/>
                <w:sz w:val="24"/>
                <w:szCs w:val="24"/>
              </w:rPr>
              <w:t>Art. 375.  As EFPC devem observar o disposto nas Lei nº 9.613, de 3 de março de 1998, e da Lei nº 13.260, de 16 de março de 2016, quando verificarem a existência de indícios dos crimes previstos nas referidas Leis, comunicando tal fato imediatamente à Previc.</w:t>
            </w:r>
          </w:p>
        </w:tc>
        <w:tc>
          <w:tcPr>
            <w:tcW w:w="3544" w:type="dxa"/>
          </w:tcPr>
          <w:p w14:paraId="04B13748" w14:textId="77777777" w:rsidR="005B2BDF" w:rsidRPr="00593DFB" w:rsidRDefault="005B2BDF" w:rsidP="00AF65CC">
            <w:pPr>
              <w:tabs>
                <w:tab w:val="center" w:pos="4820"/>
              </w:tabs>
              <w:spacing w:after="120"/>
              <w:jc w:val="both"/>
              <w:rPr>
                <w:rFonts w:cstheme="minorHAnsi"/>
                <w:sz w:val="24"/>
                <w:szCs w:val="24"/>
              </w:rPr>
            </w:pPr>
            <w:r w:rsidRPr="00593DFB">
              <w:rPr>
                <w:rFonts w:cstheme="minorHAnsi"/>
                <w:color w:val="0070C0"/>
                <w:sz w:val="24"/>
                <w:szCs w:val="24"/>
              </w:rPr>
              <w:t>Art. 375.  As EFPC devem observar o disposto nesta Resolução para prevenir a utilização do regime de previdência complementar fechada para a prática dos crimes de "lavagem" ou de ocultação de bens, direitos e valores, de que trata a Lei nº 9.613, de 3 de março de 1998, e de financiamento do terrorismo, previsto na Lei nº 13.260, de 16 de março de 2016.</w:t>
            </w:r>
          </w:p>
        </w:tc>
        <w:tc>
          <w:tcPr>
            <w:tcW w:w="3257" w:type="dxa"/>
          </w:tcPr>
          <w:p w14:paraId="1DA2757D" w14:textId="1B5AC1D7" w:rsidR="005B2BDF" w:rsidRPr="00593DFB" w:rsidRDefault="00F90C74" w:rsidP="00AF65CC">
            <w:pPr>
              <w:jc w:val="both"/>
              <w:rPr>
                <w:rFonts w:cstheme="minorHAnsi"/>
                <w:color w:val="000000"/>
                <w:sz w:val="24"/>
                <w:szCs w:val="24"/>
              </w:rPr>
            </w:pPr>
            <w:r w:rsidRPr="00F90C74">
              <w:rPr>
                <w:rFonts w:cstheme="minorHAnsi"/>
                <w:color w:val="000000"/>
                <w:sz w:val="24"/>
                <w:szCs w:val="24"/>
                <w:highlight w:val="yellow"/>
              </w:rPr>
              <w:t>Alteração de inciso para complementar o dispositivo de modo a trazer clareza para o artigo.</w:t>
            </w:r>
          </w:p>
        </w:tc>
      </w:tr>
      <w:tr w:rsidR="005B2BDF" w:rsidRPr="00593DFB" w14:paraId="4AF80ACD" w14:textId="77777777" w:rsidTr="005B2BDF">
        <w:tc>
          <w:tcPr>
            <w:tcW w:w="3828" w:type="dxa"/>
          </w:tcPr>
          <w:p w14:paraId="20C57EAA" w14:textId="77777777" w:rsidR="005B2BDF" w:rsidRPr="00593DFB" w:rsidRDefault="005B2BDF" w:rsidP="00AF65CC">
            <w:pPr>
              <w:tabs>
                <w:tab w:val="center" w:pos="4820"/>
              </w:tabs>
              <w:spacing w:after="120"/>
              <w:ind w:right="29"/>
              <w:jc w:val="both"/>
              <w:rPr>
                <w:rFonts w:cstheme="minorHAnsi"/>
                <w:sz w:val="24"/>
                <w:szCs w:val="24"/>
              </w:rPr>
            </w:pPr>
            <w:r w:rsidRPr="00593DFB">
              <w:rPr>
                <w:rFonts w:cstheme="minorHAnsi"/>
                <w:sz w:val="24"/>
                <w:szCs w:val="24"/>
              </w:rPr>
              <w:t>Art. 376.  As EFPC, considerando seu perfil de risco, porte e complexidade, devem implementar e manter política formulada com base em princípios e diretrizes que busquem prevenir a sua utilização para as práticas de lavagem de dinheiro e de financiamento do terrorismo.</w:t>
            </w:r>
          </w:p>
        </w:tc>
        <w:tc>
          <w:tcPr>
            <w:tcW w:w="3544" w:type="dxa"/>
          </w:tcPr>
          <w:p w14:paraId="5398FE52" w14:textId="77777777" w:rsidR="005B2BDF" w:rsidRPr="00593DFB" w:rsidRDefault="005B2BDF" w:rsidP="00AF65CC">
            <w:pPr>
              <w:ind w:left="41" w:right="29"/>
              <w:jc w:val="both"/>
              <w:rPr>
                <w:rFonts w:cstheme="minorHAnsi"/>
                <w:sz w:val="24"/>
                <w:szCs w:val="24"/>
              </w:rPr>
            </w:pPr>
            <w:r w:rsidRPr="00593DFB">
              <w:rPr>
                <w:rFonts w:cstheme="minorHAnsi"/>
                <w:sz w:val="24"/>
                <w:szCs w:val="24"/>
              </w:rPr>
              <w:t xml:space="preserve">Art. 376.  As EFPC, considerando seu perfil de risco, porte e complexidade, devem implementar e manter política, </w:t>
            </w:r>
            <w:r w:rsidRPr="00593DFB">
              <w:rPr>
                <w:rFonts w:cstheme="minorHAnsi"/>
                <w:color w:val="0070C0"/>
                <w:sz w:val="24"/>
                <w:szCs w:val="24"/>
              </w:rPr>
              <w:t xml:space="preserve">procedimentos e controles internos formulados </w:t>
            </w:r>
            <w:r w:rsidRPr="00593DFB">
              <w:rPr>
                <w:rFonts w:cstheme="minorHAnsi"/>
                <w:sz w:val="24"/>
                <w:szCs w:val="24"/>
              </w:rPr>
              <w:t>com base em princípios e diretrizes que busquem prevenir a sua utilização para as práticas de lavagem de dinheiro e de financiamento do terrorismo.</w:t>
            </w:r>
          </w:p>
        </w:tc>
        <w:tc>
          <w:tcPr>
            <w:tcW w:w="3257" w:type="dxa"/>
          </w:tcPr>
          <w:p w14:paraId="2F618354" w14:textId="77777777" w:rsidR="005B2BDF" w:rsidRPr="00593DFB" w:rsidRDefault="005B2BDF" w:rsidP="00AF65CC">
            <w:pPr>
              <w:jc w:val="both"/>
              <w:rPr>
                <w:rFonts w:cstheme="minorHAnsi"/>
                <w:color w:val="000000"/>
                <w:sz w:val="24"/>
                <w:szCs w:val="24"/>
              </w:rPr>
            </w:pPr>
            <w:r w:rsidRPr="00593DFB">
              <w:rPr>
                <w:rFonts w:cstheme="minorHAnsi"/>
                <w:color w:val="000000"/>
                <w:sz w:val="24"/>
                <w:szCs w:val="24"/>
              </w:rPr>
              <w:t>Alteração de inciso para complementar o dispositivo de modo a trazer clareza para o artigo.</w:t>
            </w:r>
          </w:p>
        </w:tc>
      </w:tr>
      <w:tr w:rsidR="005B2BDF" w:rsidRPr="00593DFB" w14:paraId="718E9FF6" w14:textId="77777777" w:rsidTr="005B2BDF">
        <w:tc>
          <w:tcPr>
            <w:tcW w:w="3828" w:type="dxa"/>
          </w:tcPr>
          <w:p w14:paraId="28C339C8" w14:textId="77777777" w:rsidR="005B2BDF" w:rsidRPr="00593DFB" w:rsidRDefault="005B2BDF" w:rsidP="00AF65CC">
            <w:pPr>
              <w:tabs>
                <w:tab w:val="center" w:pos="4820"/>
              </w:tabs>
              <w:spacing w:after="120"/>
              <w:ind w:right="29"/>
              <w:jc w:val="both"/>
              <w:rPr>
                <w:rFonts w:cstheme="minorHAnsi"/>
                <w:sz w:val="24"/>
                <w:szCs w:val="24"/>
              </w:rPr>
            </w:pPr>
            <w:r w:rsidRPr="00593DFB">
              <w:rPr>
                <w:rFonts w:cstheme="minorHAnsi"/>
                <w:sz w:val="24"/>
                <w:szCs w:val="24"/>
              </w:rPr>
              <w:t>...</w:t>
            </w:r>
          </w:p>
        </w:tc>
        <w:tc>
          <w:tcPr>
            <w:tcW w:w="3544" w:type="dxa"/>
          </w:tcPr>
          <w:p w14:paraId="648C894B" w14:textId="77777777" w:rsidR="005B2BDF" w:rsidRPr="00593DFB" w:rsidRDefault="005B2BDF" w:rsidP="00AF65CC">
            <w:pPr>
              <w:tabs>
                <w:tab w:val="center" w:pos="4820"/>
              </w:tabs>
              <w:spacing w:after="120"/>
              <w:jc w:val="both"/>
              <w:rPr>
                <w:rFonts w:cstheme="minorHAnsi"/>
                <w:sz w:val="24"/>
                <w:szCs w:val="24"/>
              </w:rPr>
            </w:pPr>
            <w:r w:rsidRPr="00593DFB">
              <w:rPr>
                <w:rFonts w:cstheme="minorHAnsi"/>
                <w:sz w:val="24"/>
                <w:szCs w:val="24"/>
              </w:rPr>
              <w:t>...</w:t>
            </w:r>
          </w:p>
        </w:tc>
        <w:tc>
          <w:tcPr>
            <w:tcW w:w="3257" w:type="dxa"/>
          </w:tcPr>
          <w:p w14:paraId="7E7BE1B4" w14:textId="77777777" w:rsidR="005B2BDF" w:rsidRPr="00593DFB" w:rsidRDefault="005B2BDF" w:rsidP="00AF65CC">
            <w:pPr>
              <w:jc w:val="both"/>
              <w:rPr>
                <w:rFonts w:cstheme="minorHAnsi"/>
                <w:color w:val="000000"/>
                <w:sz w:val="24"/>
                <w:szCs w:val="24"/>
              </w:rPr>
            </w:pPr>
          </w:p>
        </w:tc>
      </w:tr>
      <w:tr w:rsidR="005B2BDF" w:rsidRPr="00593DFB" w14:paraId="212CD98D" w14:textId="77777777" w:rsidTr="005B2BDF">
        <w:tc>
          <w:tcPr>
            <w:tcW w:w="3828" w:type="dxa"/>
          </w:tcPr>
          <w:p w14:paraId="079B9E07" w14:textId="77777777" w:rsidR="005B2BDF" w:rsidRPr="00593DFB" w:rsidRDefault="005B2BDF" w:rsidP="00AF65CC">
            <w:pPr>
              <w:tabs>
                <w:tab w:val="center" w:pos="4820"/>
              </w:tabs>
              <w:spacing w:after="120"/>
              <w:ind w:right="29"/>
              <w:jc w:val="both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544" w:type="dxa"/>
          </w:tcPr>
          <w:p w14:paraId="780A172E" w14:textId="77777777" w:rsidR="005B2BDF" w:rsidRPr="00593DFB" w:rsidRDefault="005B2BDF" w:rsidP="00AF65CC">
            <w:pPr>
              <w:ind w:left="41" w:right="29"/>
              <w:jc w:val="both"/>
              <w:rPr>
                <w:rFonts w:cstheme="minorHAnsi"/>
                <w:color w:val="004E9A"/>
                <w:sz w:val="24"/>
                <w:szCs w:val="24"/>
              </w:rPr>
            </w:pPr>
            <w:r w:rsidRPr="00593DFB">
              <w:rPr>
                <w:rFonts w:cstheme="minorHAnsi"/>
                <w:color w:val="004E9A"/>
                <w:sz w:val="24"/>
                <w:szCs w:val="24"/>
              </w:rPr>
              <w:t>§ 3º  As EFPC devem avaliar a efetividade da política, dos procedimentos e dos controles internos de que trata esta Instrução. (NR)</w:t>
            </w:r>
          </w:p>
          <w:p w14:paraId="36283918" w14:textId="77777777" w:rsidR="005B2BDF" w:rsidRPr="00593DFB" w:rsidRDefault="005B2BDF" w:rsidP="00AF65CC">
            <w:pPr>
              <w:tabs>
                <w:tab w:val="center" w:pos="4820"/>
              </w:tabs>
              <w:spacing w:after="120"/>
              <w:jc w:val="both"/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257" w:type="dxa"/>
          </w:tcPr>
          <w:p w14:paraId="40233173" w14:textId="41160890" w:rsidR="005B2BDF" w:rsidRPr="00593DFB" w:rsidRDefault="00F90C74" w:rsidP="00AF65CC">
            <w:pPr>
              <w:jc w:val="both"/>
              <w:rPr>
                <w:rFonts w:cstheme="minorHAnsi"/>
                <w:color w:val="000000"/>
                <w:sz w:val="24"/>
                <w:szCs w:val="24"/>
              </w:rPr>
            </w:pPr>
            <w:r w:rsidRPr="00F90C74">
              <w:rPr>
                <w:rFonts w:cstheme="minorHAnsi"/>
                <w:color w:val="000000"/>
                <w:sz w:val="24"/>
                <w:szCs w:val="24"/>
                <w:highlight w:val="yellow"/>
              </w:rPr>
              <w:t>Inclusão para atender às recomendações do Grupo de Ação Financeira Internacional (GAFI).</w:t>
            </w:r>
          </w:p>
        </w:tc>
      </w:tr>
      <w:tr w:rsidR="005B2BDF" w:rsidRPr="00593DFB" w14:paraId="15E1180B" w14:textId="77777777" w:rsidTr="005B2BDF">
        <w:tc>
          <w:tcPr>
            <w:tcW w:w="3828" w:type="dxa"/>
          </w:tcPr>
          <w:p w14:paraId="50A2C8B8" w14:textId="77777777" w:rsidR="005B2BDF" w:rsidRPr="00593DFB" w:rsidRDefault="005B2BDF" w:rsidP="00AF65CC">
            <w:pPr>
              <w:tabs>
                <w:tab w:val="center" w:pos="4820"/>
              </w:tabs>
              <w:spacing w:after="120"/>
              <w:ind w:right="29"/>
              <w:jc w:val="both"/>
              <w:rPr>
                <w:rFonts w:cstheme="minorHAnsi"/>
                <w:sz w:val="24"/>
                <w:szCs w:val="24"/>
              </w:rPr>
            </w:pPr>
            <w:r w:rsidRPr="00593DFB">
              <w:rPr>
                <w:rFonts w:cstheme="minorHAnsi"/>
                <w:sz w:val="24"/>
                <w:szCs w:val="24"/>
              </w:rPr>
              <w:t>...</w:t>
            </w:r>
          </w:p>
        </w:tc>
        <w:tc>
          <w:tcPr>
            <w:tcW w:w="3544" w:type="dxa"/>
          </w:tcPr>
          <w:p w14:paraId="0FFB1429" w14:textId="77777777" w:rsidR="005B2BDF" w:rsidRPr="00593DFB" w:rsidRDefault="005B2BDF" w:rsidP="00AF65CC">
            <w:pPr>
              <w:tabs>
                <w:tab w:val="center" w:pos="4820"/>
              </w:tabs>
              <w:spacing w:after="120"/>
              <w:jc w:val="both"/>
              <w:rPr>
                <w:rFonts w:cstheme="minorHAnsi"/>
                <w:sz w:val="24"/>
                <w:szCs w:val="24"/>
              </w:rPr>
            </w:pPr>
            <w:r w:rsidRPr="00593DFB">
              <w:rPr>
                <w:rFonts w:cstheme="minorHAnsi"/>
                <w:sz w:val="24"/>
                <w:szCs w:val="24"/>
              </w:rPr>
              <w:t>...</w:t>
            </w:r>
          </w:p>
        </w:tc>
        <w:tc>
          <w:tcPr>
            <w:tcW w:w="3257" w:type="dxa"/>
          </w:tcPr>
          <w:p w14:paraId="2E413027" w14:textId="77777777" w:rsidR="005B2BDF" w:rsidRPr="00593DFB" w:rsidRDefault="005B2BDF" w:rsidP="00AF65CC">
            <w:pPr>
              <w:jc w:val="both"/>
              <w:rPr>
                <w:rFonts w:cstheme="minorHAnsi"/>
                <w:color w:val="000000"/>
                <w:sz w:val="24"/>
                <w:szCs w:val="24"/>
              </w:rPr>
            </w:pPr>
          </w:p>
        </w:tc>
      </w:tr>
      <w:tr w:rsidR="005B2BDF" w:rsidRPr="00593DFB" w14:paraId="117FFC42" w14:textId="77777777" w:rsidTr="005B2BDF">
        <w:tc>
          <w:tcPr>
            <w:tcW w:w="3828" w:type="dxa"/>
          </w:tcPr>
          <w:p w14:paraId="77642998" w14:textId="77777777" w:rsidR="005B2BDF" w:rsidRPr="00593DFB" w:rsidRDefault="005B2BDF" w:rsidP="00AF65CC">
            <w:pPr>
              <w:ind w:right="33"/>
              <w:rPr>
                <w:rFonts w:cstheme="minorHAnsi"/>
                <w:sz w:val="24"/>
                <w:szCs w:val="24"/>
              </w:rPr>
            </w:pPr>
            <w:r w:rsidRPr="00593DFB">
              <w:rPr>
                <w:rFonts w:cstheme="minorHAnsi"/>
                <w:sz w:val="24"/>
                <w:szCs w:val="24"/>
              </w:rPr>
              <w:t>Art. 378. ...</w:t>
            </w:r>
          </w:p>
        </w:tc>
        <w:tc>
          <w:tcPr>
            <w:tcW w:w="3544" w:type="dxa"/>
          </w:tcPr>
          <w:p w14:paraId="589CB6FC" w14:textId="77777777" w:rsidR="005B2BDF" w:rsidRPr="00593DFB" w:rsidRDefault="005B2BDF" w:rsidP="00AF65CC">
            <w:pPr>
              <w:ind w:right="29"/>
              <w:rPr>
                <w:rFonts w:cstheme="minorHAnsi"/>
                <w:sz w:val="24"/>
                <w:szCs w:val="24"/>
              </w:rPr>
            </w:pPr>
            <w:r w:rsidRPr="00593DFB">
              <w:rPr>
                <w:rFonts w:cstheme="minorHAnsi"/>
                <w:sz w:val="24"/>
                <w:szCs w:val="24"/>
              </w:rPr>
              <w:t>Art. 378. ...</w:t>
            </w:r>
          </w:p>
        </w:tc>
        <w:tc>
          <w:tcPr>
            <w:tcW w:w="3257" w:type="dxa"/>
          </w:tcPr>
          <w:p w14:paraId="0F24CAAD" w14:textId="77777777" w:rsidR="005B2BDF" w:rsidRPr="00593DFB" w:rsidRDefault="005B2BDF" w:rsidP="00AF65CC">
            <w:pPr>
              <w:jc w:val="both"/>
              <w:rPr>
                <w:rFonts w:cstheme="minorHAnsi"/>
                <w:color w:val="000000"/>
                <w:sz w:val="24"/>
                <w:szCs w:val="24"/>
              </w:rPr>
            </w:pPr>
          </w:p>
        </w:tc>
      </w:tr>
      <w:tr w:rsidR="005B2BDF" w:rsidRPr="00593DFB" w14:paraId="0DC17493" w14:textId="77777777" w:rsidTr="005B2BDF">
        <w:tc>
          <w:tcPr>
            <w:tcW w:w="3828" w:type="dxa"/>
          </w:tcPr>
          <w:p w14:paraId="75FD264C" w14:textId="77777777" w:rsidR="005B2BDF" w:rsidRPr="00593DFB" w:rsidRDefault="005B2BDF" w:rsidP="00AF65CC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544" w:type="dxa"/>
          </w:tcPr>
          <w:p w14:paraId="0BB325E7" w14:textId="77777777" w:rsidR="005B2BDF" w:rsidRPr="00593DFB" w:rsidRDefault="005B2BDF" w:rsidP="00AF65CC">
            <w:pPr>
              <w:jc w:val="both"/>
              <w:rPr>
                <w:rFonts w:cstheme="minorHAnsi"/>
                <w:sz w:val="24"/>
                <w:szCs w:val="24"/>
              </w:rPr>
            </w:pPr>
            <w:r w:rsidRPr="00593DFB">
              <w:rPr>
                <w:rFonts w:cstheme="minorHAnsi"/>
                <w:color w:val="004E9A"/>
                <w:sz w:val="24"/>
                <w:szCs w:val="24"/>
              </w:rPr>
              <w:t>§ 1º  As EFPC devem comunicar ao COAF:</w:t>
            </w:r>
          </w:p>
        </w:tc>
        <w:tc>
          <w:tcPr>
            <w:tcW w:w="3257" w:type="dxa"/>
          </w:tcPr>
          <w:p w14:paraId="72C1BECB" w14:textId="77777777" w:rsidR="005B2BDF" w:rsidRPr="00593DFB" w:rsidRDefault="005B2BDF" w:rsidP="00AF65CC">
            <w:pPr>
              <w:jc w:val="both"/>
              <w:rPr>
                <w:rFonts w:cstheme="minorHAnsi"/>
                <w:color w:val="000000"/>
                <w:sz w:val="24"/>
                <w:szCs w:val="24"/>
              </w:rPr>
            </w:pPr>
          </w:p>
        </w:tc>
      </w:tr>
      <w:tr w:rsidR="005B2BDF" w:rsidRPr="00593DFB" w14:paraId="1E912D68" w14:textId="77777777" w:rsidTr="005B2BDF">
        <w:tc>
          <w:tcPr>
            <w:tcW w:w="3828" w:type="dxa"/>
          </w:tcPr>
          <w:p w14:paraId="51A1E492" w14:textId="77777777" w:rsidR="005B2BDF" w:rsidRPr="00593DFB" w:rsidRDefault="005B2BDF" w:rsidP="00AF65CC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544" w:type="dxa"/>
          </w:tcPr>
          <w:p w14:paraId="4ACAA595" w14:textId="77777777" w:rsidR="005B2BDF" w:rsidRPr="00593DFB" w:rsidRDefault="005B2BDF" w:rsidP="00AF65CC">
            <w:pPr>
              <w:ind w:left="41"/>
              <w:jc w:val="both"/>
              <w:rPr>
                <w:rFonts w:cstheme="minorHAnsi"/>
                <w:color w:val="004E9A"/>
                <w:sz w:val="24"/>
                <w:szCs w:val="24"/>
              </w:rPr>
            </w:pPr>
            <w:r w:rsidRPr="00593DFB">
              <w:rPr>
                <w:rFonts w:cstheme="minorHAnsi"/>
                <w:color w:val="004E9A"/>
                <w:sz w:val="24"/>
                <w:szCs w:val="24"/>
              </w:rPr>
              <w:t>I - as operações que possam constituir sérios indícios dos crimes previstos na Lei nº 9.613 de 1998, ou a eles se relacionar; e</w:t>
            </w:r>
          </w:p>
        </w:tc>
        <w:tc>
          <w:tcPr>
            <w:tcW w:w="3257" w:type="dxa"/>
          </w:tcPr>
          <w:p w14:paraId="5B3F1839" w14:textId="6A6689F4" w:rsidR="005B2BDF" w:rsidRPr="00593DFB" w:rsidRDefault="00F90C74" w:rsidP="00AF65CC">
            <w:pPr>
              <w:jc w:val="both"/>
              <w:rPr>
                <w:rFonts w:cstheme="minorHAnsi"/>
                <w:color w:val="000000"/>
                <w:sz w:val="24"/>
                <w:szCs w:val="24"/>
              </w:rPr>
            </w:pPr>
            <w:r w:rsidRPr="00F90C74">
              <w:rPr>
                <w:rFonts w:cstheme="minorHAnsi"/>
                <w:color w:val="000000"/>
                <w:sz w:val="24"/>
                <w:szCs w:val="24"/>
                <w:highlight w:val="yellow"/>
              </w:rPr>
              <w:t>Inciso criado para abarcar a comunicação que estava prevista no artigo 375.</w:t>
            </w:r>
            <w:r>
              <w:rPr>
                <w:rFonts w:cstheme="minorHAnsi"/>
                <w:color w:val="000000"/>
                <w:sz w:val="24"/>
                <w:szCs w:val="24"/>
              </w:rPr>
              <w:t xml:space="preserve"> </w:t>
            </w:r>
          </w:p>
        </w:tc>
      </w:tr>
      <w:tr w:rsidR="005B2BDF" w:rsidRPr="00593DFB" w14:paraId="42263B18" w14:textId="77777777" w:rsidTr="005B2BDF">
        <w:tc>
          <w:tcPr>
            <w:tcW w:w="3828" w:type="dxa"/>
          </w:tcPr>
          <w:p w14:paraId="4287BB6F" w14:textId="77777777" w:rsidR="005B2BDF" w:rsidRPr="00593DFB" w:rsidRDefault="005B2BDF" w:rsidP="00AF65CC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544" w:type="dxa"/>
          </w:tcPr>
          <w:p w14:paraId="6C2E6431" w14:textId="77777777" w:rsidR="005B2BDF" w:rsidRPr="00593DFB" w:rsidRDefault="005B2BDF" w:rsidP="00AF65CC">
            <w:pPr>
              <w:jc w:val="both"/>
              <w:rPr>
                <w:rFonts w:cstheme="minorHAnsi"/>
                <w:color w:val="004E9A"/>
                <w:sz w:val="24"/>
                <w:szCs w:val="24"/>
              </w:rPr>
            </w:pPr>
            <w:r w:rsidRPr="00593DFB">
              <w:rPr>
                <w:rFonts w:cstheme="minorHAnsi"/>
                <w:color w:val="004E9A"/>
                <w:sz w:val="24"/>
                <w:szCs w:val="24"/>
              </w:rPr>
              <w:t>II - as operações realizadas com um mesmo participante ou assistido que sejam iguais ou superiores a R$ 50.000,00 (cinquenta mil reais), exceto as operações decorrentes do pagamento de benefícios de caráter previdenciário, de empréstimos a participantes ou assistidos e de portabilidade ou resgate.</w:t>
            </w:r>
          </w:p>
        </w:tc>
        <w:tc>
          <w:tcPr>
            <w:tcW w:w="3257" w:type="dxa"/>
          </w:tcPr>
          <w:p w14:paraId="4AC6A7F5" w14:textId="63FEDFEF" w:rsidR="005B2BDF" w:rsidRPr="00593DFB" w:rsidRDefault="00F90C74" w:rsidP="00AF65CC">
            <w:pPr>
              <w:jc w:val="both"/>
              <w:rPr>
                <w:rFonts w:cstheme="minorHAnsi"/>
                <w:color w:val="000000"/>
                <w:sz w:val="24"/>
                <w:szCs w:val="24"/>
              </w:rPr>
            </w:pPr>
            <w:r w:rsidRPr="00F90C74">
              <w:rPr>
                <w:rFonts w:cstheme="minorHAnsi"/>
                <w:color w:val="000000"/>
                <w:sz w:val="24"/>
                <w:szCs w:val="24"/>
                <w:highlight w:val="yellow"/>
              </w:rPr>
              <w:t>Inclusão de inciso para esclarecer quais operações devem ser comunicadas ao COAF, tendo como referência o valor da operação.</w:t>
            </w:r>
            <w:r>
              <w:rPr>
                <w:rFonts w:cstheme="minorHAnsi"/>
                <w:color w:val="000000"/>
                <w:sz w:val="24"/>
                <w:szCs w:val="24"/>
              </w:rPr>
              <w:t xml:space="preserve"> </w:t>
            </w:r>
          </w:p>
        </w:tc>
      </w:tr>
      <w:tr w:rsidR="005B2BDF" w:rsidRPr="00593DFB" w14:paraId="6856A859" w14:textId="77777777" w:rsidTr="005B2BDF">
        <w:tc>
          <w:tcPr>
            <w:tcW w:w="3828" w:type="dxa"/>
          </w:tcPr>
          <w:p w14:paraId="4FB5E06F" w14:textId="77777777" w:rsidR="005B2BDF" w:rsidRPr="00593DFB" w:rsidRDefault="005B2BDF" w:rsidP="00AF65CC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544" w:type="dxa"/>
          </w:tcPr>
          <w:p w14:paraId="0F6FDE90" w14:textId="77777777" w:rsidR="005B2BDF" w:rsidRPr="00593DFB" w:rsidRDefault="005B2BDF" w:rsidP="00AF65CC">
            <w:pPr>
              <w:jc w:val="both"/>
              <w:rPr>
                <w:rFonts w:cstheme="minorHAnsi"/>
                <w:color w:val="004E9A"/>
                <w:sz w:val="24"/>
                <w:szCs w:val="24"/>
              </w:rPr>
            </w:pPr>
            <w:r w:rsidRPr="00593DFB">
              <w:rPr>
                <w:rFonts w:cstheme="minorHAnsi"/>
                <w:color w:val="004E9A"/>
                <w:sz w:val="24"/>
                <w:szCs w:val="24"/>
              </w:rPr>
              <w:t>Art. 378-A.  As EFPC devem comunicar à Previc a não ocorrência de propostas, situações ou operações passíveis de comunicação ao COAF até último dia do mês de fevereiro do ano subsequente ao exercício</w:t>
            </w:r>
          </w:p>
        </w:tc>
        <w:tc>
          <w:tcPr>
            <w:tcW w:w="3257" w:type="dxa"/>
          </w:tcPr>
          <w:p w14:paraId="51BA04CA" w14:textId="5EEA52D3" w:rsidR="005B2BDF" w:rsidRPr="00F90C74" w:rsidRDefault="00F90C74" w:rsidP="00AF65CC">
            <w:pPr>
              <w:jc w:val="both"/>
              <w:rPr>
                <w:rFonts w:cstheme="minorHAnsi"/>
                <w:color w:val="000000"/>
                <w:sz w:val="24"/>
                <w:szCs w:val="24"/>
              </w:rPr>
            </w:pPr>
            <w:r w:rsidRPr="007E7FED">
              <w:rPr>
                <w:rFonts w:cstheme="minorHAnsi"/>
                <w:color w:val="000000"/>
                <w:sz w:val="24"/>
                <w:szCs w:val="24"/>
                <w:highlight w:val="yellow"/>
              </w:rPr>
              <w:t xml:space="preserve">Inclusão </w:t>
            </w:r>
            <w:r w:rsidRPr="007E7FED">
              <w:rPr>
                <w:rFonts w:cstheme="minorHAnsi"/>
                <w:color w:val="000000"/>
                <w:sz w:val="24"/>
                <w:szCs w:val="24"/>
                <w:highlight w:val="yellow"/>
              </w:rPr>
              <w:t xml:space="preserve">de </w:t>
            </w:r>
            <w:r w:rsidR="007E7FED">
              <w:rPr>
                <w:rFonts w:cstheme="minorHAnsi"/>
                <w:color w:val="000000"/>
                <w:sz w:val="24"/>
                <w:szCs w:val="24"/>
                <w:highlight w:val="yellow"/>
              </w:rPr>
              <w:t>artigo</w:t>
            </w:r>
            <w:r w:rsidRPr="007E7FED">
              <w:rPr>
                <w:rFonts w:cstheme="minorHAnsi"/>
                <w:color w:val="000000"/>
                <w:sz w:val="24"/>
                <w:szCs w:val="24"/>
                <w:highlight w:val="yellow"/>
              </w:rPr>
              <w:t xml:space="preserve"> de modo a trazer clareza</w:t>
            </w:r>
            <w:r w:rsidR="007E7FED" w:rsidRPr="007E7FED">
              <w:rPr>
                <w:rFonts w:cstheme="minorHAnsi"/>
                <w:color w:val="000000"/>
                <w:sz w:val="24"/>
                <w:szCs w:val="24"/>
                <w:highlight w:val="yellow"/>
              </w:rPr>
              <w:t xml:space="preserve"> para a obrigação legal prevista na Lei nº 9.613/1998.</w:t>
            </w:r>
          </w:p>
        </w:tc>
      </w:tr>
      <w:tr w:rsidR="005B2BDF" w:rsidRPr="00593DFB" w14:paraId="4D0BAD4A" w14:textId="77777777" w:rsidTr="005B2BDF">
        <w:tc>
          <w:tcPr>
            <w:tcW w:w="3828" w:type="dxa"/>
          </w:tcPr>
          <w:p w14:paraId="5F855EE8" w14:textId="77777777" w:rsidR="005B2BDF" w:rsidRPr="00593DFB" w:rsidRDefault="005B2BDF" w:rsidP="00AF65CC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544" w:type="dxa"/>
          </w:tcPr>
          <w:p w14:paraId="1A96DECC" w14:textId="77777777" w:rsidR="005B2BDF" w:rsidRPr="00593DFB" w:rsidRDefault="005B2BDF" w:rsidP="00AF65CC">
            <w:pPr>
              <w:jc w:val="both"/>
              <w:rPr>
                <w:rFonts w:cstheme="minorHAnsi"/>
                <w:color w:val="004E9A"/>
                <w:sz w:val="24"/>
                <w:szCs w:val="24"/>
              </w:rPr>
            </w:pPr>
            <w:r w:rsidRPr="00593DFB">
              <w:rPr>
                <w:rFonts w:cstheme="minorHAnsi"/>
                <w:color w:val="004E9A"/>
                <w:sz w:val="24"/>
                <w:szCs w:val="24"/>
              </w:rPr>
              <w:t>Art. 378-B.  A infração às disposições deste Capítulo, sujeitam as EFPC e seus administradores às sanções do art. 12 da Lei nº 9.613, de 1998 e da regulamentação em vigor, sem prejuízo das sanções aplicáveis por eventual descumprimento da legislação no âmbito da previdência complementar fechada.</w:t>
            </w:r>
          </w:p>
        </w:tc>
        <w:tc>
          <w:tcPr>
            <w:tcW w:w="3257" w:type="dxa"/>
          </w:tcPr>
          <w:p w14:paraId="28EDFCE5" w14:textId="5E784231" w:rsidR="005B2BDF" w:rsidRPr="00593DFB" w:rsidRDefault="007E7FED" w:rsidP="00AF65CC">
            <w:pPr>
              <w:jc w:val="both"/>
              <w:rPr>
                <w:rFonts w:cstheme="minorHAnsi"/>
                <w:color w:val="000000"/>
                <w:sz w:val="24"/>
                <w:szCs w:val="24"/>
              </w:rPr>
            </w:pPr>
            <w:r w:rsidRPr="007E7FED">
              <w:rPr>
                <w:rFonts w:cstheme="minorHAnsi"/>
                <w:color w:val="000000"/>
                <w:sz w:val="24"/>
                <w:szCs w:val="24"/>
                <w:highlight w:val="yellow"/>
              </w:rPr>
              <w:t>Inclusão de inciso de modo a trazer clareza para a obrigação legal</w:t>
            </w:r>
            <w:r w:rsidRPr="007E7FED">
              <w:rPr>
                <w:rFonts w:cstheme="minorHAnsi"/>
                <w:color w:val="000000"/>
                <w:sz w:val="24"/>
                <w:szCs w:val="24"/>
                <w:highlight w:val="yellow"/>
              </w:rPr>
              <w:t>.</w:t>
            </w:r>
          </w:p>
        </w:tc>
      </w:tr>
      <w:tr w:rsidR="005B2BDF" w:rsidRPr="00593DFB" w14:paraId="04DB9643" w14:textId="77777777" w:rsidTr="005B2BDF">
        <w:tc>
          <w:tcPr>
            <w:tcW w:w="3828" w:type="dxa"/>
          </w:tcPr>
          <w:p w14:paraId="5403D064" w14:textId="77777777" w:rsidR="005B2BDF" w:rsidRPr="00593DFB" w:rsidRDefault="005B2BDF" w:rsidP="00AF65CC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544" w:type="dxa"/>
          </w:tcPr>
          <w:p w14:paraId="315E645F" w14:textId="77777777" w:rsidR="005B2BDF" w:rsidRPr="00593DFB" w:rsidRDefault="005B2BDF" w:rsidP="00AF65CC">
            <w:pPr>
              <w:jc w:val="both"/>
              <w:rPr>
                <w:rFonts w:cstheme="minorHAnsi"/>
                <w:color w:val="004E9A"/>
                <w:sz w:val="24"/>
                <w:szCs w:val="24"/>
              </w:rPr>
            </w:pPr>
            <w:r w:rsidRPr="00593DFB">
              <w:rPr>
                <w:rFonts w:cstheme="minorHAnsi"/>
                <w:color w:val="004E9A"/>
                <w:sz w:val="24"/>
                <w:szCs w:val="24"/>
              </w:rPr>
              <w:t>Parágrafo único.  Para os fins do disposto neste artigo, serão adotados os procedimentos administrativos próprios da Previc.</w:t>
            </w:r>
          </w:p>
        </w:tc>
        <w:tc>
          <w:tcPr>
            <w:tcW w:w="3257" w:type="dxa"/>
          </w:tcPr>
          <w:p w14:paraId="0D3D5466" w14:textId="2528EE07" w:rsidR="005B2BDF" w:rsidRPr="00593DFB" w:rsidRDefault="007E7FED" w:rsidP="00AF65CC">
            <w:pPr>
              <w:jc w:val="both"/>
              <w:rPr>
                <w:rFonts w:cstheme="minorHAnsi"/>
                <w:color w:val="000000"/>
                <w:sz w:val="24"/>
                <w:szCs w:val="24"/>
              </w:rPr>
            </w:pPr>
            <w:r w:rsidRPr="007E7FED">
              <w:rPr>
                <w:rFonts w:cstheme="minorHAnsi"/>
                <w:color w:val="000000"/>
                <w:sz w:val="24"/>
                <w:szCs w:val="24"/>
                <w:highlight w:val="yellow"/>
              </w:rPr>
              <w:t xml:space="preserve">Inclusão </w:t>
            </w:r>
            <w:r>
              <w:rPr>
                <w:rFonts w:cstheme="minorHAnsi"/>
                <w:color w:val="000000"/>
                <w:sz w:val="24"/>
                <w:szCs w:val="24"/>
                <w:highlight w:val="yellow"/>
              </w:rPr>
              <w:t xml:space="preserve">de </w:t>
            </w:r>
            <w:r w:rsidRPr="007E7FED">
              <w:rPr>
                <w:rFonts w:cstheme="minorHAnsi"/>
                <w:color w:val="000000"/>
                <w:sz w:val="24"/>
                <w:szCs w:val="24"/>
                <w:highlight w:val="yellow"/>
              </w:rPr>
              <w:t>parágrafo</w:t>
            </w:r>
            <w:r w:rsidRPr="007E7FED">
              <w:rPr>
                <w:rFonts w:cstheme="minorHAnsi"/>
                <w:color w:val="000000"/>
                <w:sz w:val="24"/>
                <w:szCs w:val="24"/>
                <w:highlight w:val="yellow"/>
              </w:rPr>
              <w:t xml:space="preserve"> de modo a trazer clareza para a </w:t>
            </w:r>
            <w:r w:rsidRPr="007E7FED">
              <w:rPr>
                <w:rFonts w:cstheme="minorHAnsi"/>
                <w:color w:val="000000"/>
                <w:sz w:val="24"/>
                <w:szCs w:val="24"/>
                <w:highlight w:val="yellow"/>
              </w:rPr>
              <w:t>obrigatoriedade de se seguir os procedimentos administrativos da Previc</w:t>
            </w:r>
          </w:p>
        </w:tc>
      </w:tr>
      <w:tr w:rsidR="005B2BDF" w:rsidRPr="00593DFB" w14:paraId="7F75CE9B" w14:textId="77777777" w:rsidTr="005B2BDF">
        <w:tc>
          <w:tcPr>
            <w:tcW w:w="3828" w:type="dxa"/>
          </w:tcPr>
          <w:p w14:paraId="77204D92" w14:textId="77777777" w:rsidR="005B2BDF" w:rsidRPr="00593DFB" w:rsidRDefault="005B2BDF" w:rsidP="00AF65CC">
            <w:pPr>
              <w:rPr>
                <w:rFonts w:cstheme="minorHAnsi"/>
                <w:sz w:val="24"/>
                <w:szCs w:val="24"/>
              </w:rPr>
            </w:pPr>
            <w:r w:rsidRPr="00593DFB">
              <w:rPr>
                <w:rFonts w:cstheme="minorHAnsi"/>
                <w:sz w:val="24"/>
                <w:szCs w:val="24"/>
              </w:rPr>
              <w:t>Art. 379. ...</w:t>
            </w:r>
          </w:p>
        </w:tc>
        <w:tc>
          <w:tcPr>
            <w:tcW w:w="3544" w:type="dxa"/>
          </w:tcPr>
          <w:p w14:paraId="2D4CD3F3" w14:textId="77777777" w:rsidR="005B2BDF" w:rsidRPr="00593DFB" w:rsidRDefault="005B2BDF" w:rsidP="00AF65CC">
            <w:pPr>
              <w:jc w:val="both"/>
              <w:rPr>
                <w:rFonts w:cstheme="minorHAnsi"/>
                <w:sz w:val="24"/>
                <w:szCs w:val="24"/>
              </w:rPr>
            </w:pPr>
            <w:r w:rsidRPr="00593DFB">
              <w:rPr>
                <w:rFonts w:cstheme="minorHAnsi"/>
                <w:sz w:val="24"/>
                <w:szCs w:val="24"/>
              </w:rPr>
              <w:t>Art. 379. ...</w:t>
            </w:r>
          </w:p>
        </w:tc>
        <w:tc>
          <w:tcPr>
            <w:tcW w:w="3257" w:type="dxa"/>
          </w:tcPr>
          <w:p w14:paraId="776BD921" w14:textId="77777777" w:rsidR="005B2BDF" w:rsidRPr="00593DFB" w:rsidRDefault="005B2BDF" w:rsidP="00AF65CC">
            <w:pPr>
              <w:jc w:val="both"/>
              <w:rPr>
                <w:rFonts w:cstheme="minorHAnsi"/>
                <w:color w:val="000000"/>
                <w:sz w:val="24"/>
                <w:szCs w:val="24"/>
              </w:rPr>
            </w:pPr>
          </w:p>
        </w:tc>
      </w:tr>
      <w:tr w:rsidR="005B2BDF" w:rsidRPr="00593DFB" w14:paraId="2E52F888" w14:textId="77777777" w:rsidTr="005B2BDF">
        <w:tc>
          <w:tcPr>
            <w:tcW w:w="3828" w:type="dxa"/>
          </w:tcPr>
          <w:p w14:paraId="658407D1" w14:textId="77777777" w:rsidR="005B2BDF" w:rsidRPr="00593DFB" w:rsidRDefault="005B2BDF" w:rsidP="00AF65CC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544" w:type="dxa"/>
          </w:tcPr>
          <w:p w14:paraId="152CD257" w14:textId="77777777" w:rsidR="005B2BDF" w:rsidRPr="00593DFB" w:rsidRDefault="005B2BDF" w:rsidP="00AF65CC">
            <w:pPr>
              <w:jc w:val="both"/>
              <w:rPr>
                <w:rFonts w:cstheme="minorHAnsi"/>
                <w:color w:val="004E9A"/>
                <w:sz w:val="24"/>
                <w:szCs w:val="24"/>
              </w:rPr>
            </w:pPr>
            <w:r w:rsidRPr="00593DFB">
              <w:rPr>
                <w:rFonts w:cstheme="minorHAnsi"/>
                <w:color w:val="004E9A"/>
                <w:sz w:val="24"/>
                <w:szCs w:val="24"/>
              </w:rPr>
              <w:t xml:space="preserve">Parágrafo único.  A indisponibilidade de ativos de titularidade, direta ou indireta, de pessoas naturais, de </w:t>
            </w:r>
            <w:r w:rsidRPr="00593DFB">
              <w:rPr>
                <w:rFonts w:cstheme="minorHAnsi"/>
                <w:color w:val="004E9A"/>
                <w:sz w:val="24"/>
                <w:szCs w:val="24"/>
              </w:rPr>
              <w:lastRenderedPageBreak/>
              <w:t>pessoas jurídicas ou de entidades de que trata este artigo, deve ser comunicada imediatamente ao Conselho de Controle de Atividades Financeiras (Coaf), ao Ministério da Justiça e Segurança Pública (MJSP) e à Superintendência Nacional de Previdência Complementar (Previc).</w:t>
            </w:r>
          </w:p>
        </w:tc>
        <w:tc>
          <w:tcPr>
            <w:tcW w:w="3257" w:type="dxa"/>
          </w:tcPr>
          <w:p w14:paraId="738E1F48" w14:textId="7E1206DC" w:rsidR="005B2BDF" w:rsidRPr="00593DFB" w:rsidRDefault="007E7FED" w:rsidP="00AF65CC">
            <w:pPr>
              <w:jc w:val="both"/>
              <w:rPr>
                <w:rFonts w:cstheme="minorHAnsi"/>
                <w:color w:val="000000"/>
                <w:sz w:val="24"/>
                <w:szCs w:val="24"/>
              </w:rPr>
            </w:pPr>
            <w:r w:rsidRPr="007E7FED">
              <w:rPr>
                <w:rFonts w:cstheme="minorHAnsi"/>
                <w:color w:val="000000"/>
                <w:sz w:val="24"/>
                <w:szCs w:val="24"/>
                <w:highlight w:val="yellow"/>
              </w:rPr>
              <w:lastRenderedPageBreak/>
              <w:t xml:space="preserve">Inclusão de </w:t>
            </w:r>
            <w:r>
              <w:rPr>
                <w:rFonts w:cstheme="minorHAnsi"/>
                <w:color w:val="000000"/>
                <w:sz w:val="24"/>
                <w:szCs w:val="24"/>
                <w:highlight w:val="yellow"/>
              </w:rPr>
              <w:t>parágrafo</w:t>
            </w:r>
            <w:r w:rsidRPr="007E7FED">
              <w:rPr>
                <w:rFonts w:cstheme="minorHAnsi"/>
                <w:color w:val="000000"/>
                <w:sz w:val="24"/>
                <w:szCs w:val="24"/>
                <w:highlight w:val="yellow"/>
              </w:rPr>
              <w:t xml:space="preserve"> de modo a trazer clareza para a obrigação legal.</w:t>
            </w:r>
          </w:p>
        </w:tc>
      </w:tr>
    </w:tbl>
    <w:p w14:paraId="5189F320" w14:textId="77777777" w:rsidR="008C38D4" w:rsidRDefault="008C38D4"/>
    <w:sectPr w:rsidR="008C38D4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21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2BDF"/>
    <w:rsid w:val="001500AC"/>
    <w:rsid w:val="002D10F3"/>
    <w:rsid w:val="00452712"/>
    <w:rsid w:val="005B2BDF"/>
    <w:rsid w:val="007E7FED"/>
    <w:rsid w:val="008C38D4"/>
    <w:rsid w:val="00933824"/>
    <w:rsid w:val="00B11950"/>
    <w:rsid w:val="00C15F3C"/>
    <w:rsid w:val="00F90C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76651F"/>
  <w15:chartTrackingRefBased/>
  <w15:docId w15:val="{CBB73D2B-0B48-460A-AC69-66BEA914AD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B2BDF"/>
    <w:rPr>
      <w:kern w:val="0"/>
      <w14:ligatures w14:val="none"/>
    </w:rPr>
  </w:style>
  <w:style w:type="paragraph" w:styleId="Ttulo1">
    <w:name w:val="heading 1"/>
    <w:basedOn w:val="Normal"/>
    <w:next w:val="Normal"/>
    <w:link w:val="Ttulo1Char"/>
    <w:uiPriority w:val="9"/>
    <w:qFormat/>
    <w:rsid w:val="005B2BD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5B2BD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5B2BD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5B2BD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5B2BD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5B2BD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5B2BD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5B2BD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5B2BD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5B2BD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5B2BD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5B2BD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5B2BDF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5B2BDF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5B2BDF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5B2BDF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5B2BDF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5B2BDF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5B2BD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5B2BD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5B2BD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5B2BD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5B2BD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5B2BDF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5B2BDF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5B2BDF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5B2BD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5B2BDF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5B2BDF"/>
    <w:rPr>
      <w:b/>
      <w:bCs/>
      <w:smallCaps/>
      <w:color w:val="0F4761" w:themeColor="accent1" w:themeShade="BF"/>
      <w:spacing w:val="5"/>
    </w:rPr>
  </w:style>
  <w:style w:type="table" w:styleId="Tabelacomgrade">
    <w:name w:val="Table Grid"/>
    <w:basedOn w:val="Tabelanormal"/>
    <w:uiPriority w:val="39"/>
    <w:rsid w:val="005B2BDF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3</Pages>
  <Words>649</Words>
  <Characters>3507</Characters>
  <Application>Microsoft Office Word</Application>
  <DocSecurity>0</DocSecurity>
  <Lines>29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Claudia Elizabeth Ashton de Araujo - PREVICDF</dc:creator>
  <cp:keywords/>
  <dc:description/>
  <cp:lastModifiedBy>Sergio Djundi Taniguchi - PREVICDF</cp:lastModifiedBy>
  <cp:revision>3</cp:revision>
  <dcterms:created xsi:type="dcterms:W3CDTF">2024-04-04T14:46:00Z</dcterms:created>
  <dcterms:modified xsi:type="dcterms:W3CDTF">2024-04-04T14:58:00Z</dcterms:modified>
</cp:coreProperties>
</file>