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7117FD" w14:textId="77777777" w:rsidR="00E75C85" w:rsidRDefault="00E75C85" w:rsidP="00E75C85">
      <w:pPr>
        <w:jc w:val="both"/>
        <w:rPr>
          <w:b/>
          <w:bCs/>
        </w:rPr>
      </w:pPr>
      <w:r>
        <w:rPr>
          <w:b/>
          <w:bCs/>
        </w:rPr>
        <w:t>Redação atual:</w:t>
      </w:r>
    </w:p>
    <w:p w14:paraId="3CE5F137" w14:textId="25A08AE2" w:rsidR="00E75C85" w:rsidRPr="00E75C85" w:rsidRDefault="00E75C85" w:rsidP="00E75C85">
      <w:pPr>
        <w:jc w:val="both"/>
      </w:pPr>
      <w:r w:rsidRPr="00E75C85">
        <w:t>Art. 228</w:t>
      </w:r>
      <w:r w:rsidRPr="00E75C85">
        <w:t>...</w:t>
      </w:r>
    </w:p>
    <w:p w14:paraId="0425B7F3" w14:textId="5C639888" w:rsidR="00E75C85" w:rsidRDefault="00E75C85" w:rsidP="00E75C85">
      <w:pPr>
        <w:jc w:val="both"/>
      </w:pPr>
      <w:r w:rsidRPr="00E75C85">
        <w:t>§2º Na elaboração do programa anual de fiscalização serão ponderados de forma positiva, podendo implicar fiscalização a partir de outros dispositivos da ação fiscal da Previc, as entidades que:</w:t>
      </w:r>
    </w:p>
    <w:p w14:paraId="3991F5AC" w14:textId="77777777" w:rsidR="00E75C85" w:rsidRDefault="00E75C85" w:rsidP="00E75C85">
      <w:pPr>
        <w:jc w:val="both"/>
        <w:rPr>
          <w:b/>
          <w:bCs/>
        </w:rPr>
      </w:pPr>
      <w:r w:rsidRPr="001814B0">
        <w:rPr>
          <w:b/>
          <w:bCs/>
        </w:rPr>
        <w:t xml:space="preserve">Redação </w:t>
      </w:r>
      <w:r>
        <w:rPr>
          <w:b/>
          <w:bCs/>
        </w:rPr>
        <w:t>proposta</w:t>
      </w:r>
      <w:r w:rsidRPr="001814B0">
        <w:rPr>
          <w:b/>
          <w:bCs/>
        </w:rPr>
        <w:t>:</w:t>
      </w:r>
    </w:p>
    <w:p w14:paraId="74224168" w14:textId="7D31830E" w:rsidR="00E75C85" w:rsidRDefault="00E75C85" w:rsidP="00E75C85">
      <w:pPr>
        <w:jc w:val="both"/>
      </w:pPr>
      <w:r w:rsidRPr="00E75C85">
        <w:t xml:space="preserve">§2º Na elaboração do programa anual de fiscalização </w:t>
      </w:r>
      <w:r w:rsidRPr="00E75C85">
        <w:rPr>
          <w:b/>
          <w:bCs/>
          <w:color w:val="FF0000"/>
        </w:rPr>
        <w:t>e monitoramento</w:t>
      </w:r>
      <w:r w:rsidRPr="00E75C85">
        <w:rPr>
          <w:color w:val="FF0000"/>
        </w:rPr>
        <w:t xml:space="preserve"> </w:t>
      </w:r>
      <w:r w:rsidRPr="00E75C85">
        <w:t>serão ponderados de forma positiva, podendo implicar fiscalização a partir de outros dispositivos da ação fiscal da Previc, as entidades que:</w:t>
      </w:r>
    </w:p>
    <w:p w14:paraId="457066BA" w14:textId="77777777" w:rsidR="00E75C85" w:rsidRPr="001814B0" w:rsidRDefault="00E75C85" w:rsidP="00E75C85">
      <w:pPr>
        <w:jc w:val="both"/>
        <w:rPr>
          <w:b/>
          <w:bCs/>
        </w:rPr>
      </w:pPr>
      <w:r w:rsidRPr="00EB70A8">
        <w:rPr>
          <w:b/>
          <w:bCs/>
        </w:rPr>
        <w:t>Justificativa</w:t>
      </w:r>
      <w:r>
        <w:rPr>
          <w:b/>
          <w:bCs/>
        </w:rPr>
        <w:t>:</w:t>
      </w:r>
    </w:p>
    <w:p w14:paraId="5D3446EE" w14:textId="13EA76CC" w:rsidR="00E75C85" w:rsidRPr="00E75C85" w:rsidRDefault="00E75C85" w:rsidP="00E75C85">
      <w:pPr>
        <w:jc w:val="both"/>
      </w:pPr>
      <w:r>
        <w:t>Ajuste da nomenclatura do PAF, incluindo o termo Monitoramento.</w:t>
      </w:r>
    </w:p>
    <w:p w14:paraId="7415BD54" w14:textId="5E628218" w:rsidR="00460F15" w:rsidRPr="001814B0" w:rsidRDefault="00460F15" w:rsidP="00460F15">
      <w:pPr>
        <w:jc w:val="both"/>
        <w:rPr>
          <w:b/>
          <w:bCs/>
        </w:rPr>
      </w:pPr>
      <w:r w:rsidRPr="001814B0">
        <w:rPr>
          <w:b/>
          <w:bCs/>
        </w:rPr>
        <w:t>Redação atual:</w:t>
      </w:r>
    </w:p>
    <w:p w14:paraId="41FD94C6" w14:textId="77777777" w:rsidR="00460F15" w:rsidRDefault="00460F15" w:rsidP="00460F15">
      <w:pPr>
        <w:jc w:val="both"/>
      </w:pPr>
      <w:r>
        <w:t>Art. 233. O acompanhamento especial compreende os procedimentos de fiscalização destinados ao acompanhamento contínuo de situações específicas devidamente justificadas, que não possam ser atendidas por meio de AFDE, diligência ou AFI.</w:t>
      </w:r>
    </w:p>
    <w:p w14:paraId="72B17A6A" w14:textId="77777777" w:rsidR="00460F15" w:rsidRDefault="00460F15" w:rsidP="00460F15">
      <w:pPr>
        <w:jc w:val="both"/>
        <w:rPr>
          <w:b/>
          <w:bCs/>
        </w:rPr>
      </w:pPr>
      <w:r w:rsidRPr="001814B0">
        <w:rPr>
          <w:b/>
          <w:bCs/>
        </w:rPr>
        <w:t xml:space="preserve">Redação </w:t>
      </w:r>
      <w:r>
        <w:rPr>
          <w:b/>
          <w:bCs/>
        </w:rPr>
        <w:t>proposta</w:t>
      </w:r>
      <w:r w:rsidRPr="001814B0">
        <w:rPr>
          <w:b/>
          <w:bCs/>
        </w:rPr>
        <w:t>:</w:t>
      </w:r>
    </w:p>
    <w:p w14:paraId="05D39EF2" w14:textId="5E098BDE" w:rsidR="00460F15" w:rsidRPr="00460F15" w:rsidRDefault="00460F15" w:rsidP="00460F15">
      <w:pPr>
        <w:jc w:val="both"/>
      </w:pPr>
      <w:r>
        <w:t>Art. 233. O acompanhamento especial compreende os procedimentos de fiscalização destinados ao acompanhamento contínuo de situações específicas devidamente justificadas, que não possam ser atendidas por meio de AFDE ou AFI.</w:t>
      </w:r>
    </w:p>
    <w:p w14:paraId="70798137" w14:textId="589D6EAF" w:rsidR="00460F15" w:rsidRPr="001814B0" w:rsidRDefault="00460F15" w:rsidP="00460F15">
      <w:pPr>
        <w:jc w:val="both"/>
        <w:rPr>
          <w:b/>
          <w:bCs/>
        </w:rPr>
      </w:pPr>
      <w:r w:rsidRPr="00EB70A8">
        <w:rPr>
          <w:b/>
          <w:bCs/>
        </w:rPr>
        <w:t>Justificativa</w:t>
      </w:r>
      <w:r>
        <w:rPr>
          <w:b/>
          <w:bCs/>
        </w:rPr>
        <w:t>:</w:t>
      </w:r>
    </w:p>
    <w:p w14:paraId="384149EB" w14:textId="049977E5" w:rsidR="00460F15" w:rsidRDefault="00460F15" w:rsidP="00460F15">
      <w:pPr>
        <w:jc w:val="both"/>
      </w:pPr>
      <w:r>
        <w:t>Exclusão da</w:t>
      </w:r>
      <w:r>
        <w:t xml:space="preserve"> diligência, uma vez que o procedimento tem escopo definido e Segmentação definida. </w:t>
      </w:r>
      <w:r>
        <w:t>Sendo assim, n</w:t>
      </w:r>
      <w:r>
        <w:t>ão cabe</w:t>
      </w:r>
      <w:r>
        <w:t>ria</w:t>
      </w:r>
      <w:r>
        <w:t xml:space="preserve"> escolher Acompanhamento Especial para quando a diligência não for aplicável.</w:t>
      </w:r>
    </w:p>
    <w:p w14:paraId="4A63E464" w14:textId="77777777" w:rsidR="00460F15" w:rsidRPr="001814B0" w:rsidRDefault="00460F15" w:rsidP="00460F15">
      <w:pPr>
        <w:jc w:val="both"/>
        <w:rPr>
          <w:b/>
          <w:bCs/>
        </w:rPr>
      </w:pPr>
      <w:r w:rsidRPr="001814B0">
        <w:rPr>
          <w:b/>
          <w:bCs/>
        </w:rPr>
        <w:t>Redação atual:</w:t>
      </w:r>
    </w:p>
    <w:p w14:paraId="24134078" w14:textId="4EA623C2" w:rsidR="00460F15" w:rsidRDefault="00460F15" w:rsidP="00460F15">
      <w:pPr>
        <w:jc w:val="both"/>
      </w:pPr>
      <w:r>
        <w:t>Art. 237. A AFI compreende o procedimento de fiscalização decorrente de ações fiscais diretas.</w:t>
      </w:r>
    </w:p>
    <w:p w14:paraId="58997218" w14:textId="77777777" w:rsidR="00460F15" w:rsidRDefault="00460F15" w:rsidP="00460F15">
      <w:pPr>
        <w:jc w:val="both"/>
        <w:rPr>
          <w:b/>
          <w:bCs/>
        </w:rPr>
      </w:pPr>
      <w:r w:rsidRPr="001814B0">
        <w:rPr>
          <w:b/>
          <w:bCs/>
        </w:rPr>
        <w:t xml:space="preserve">Redação </w:t>
      </w:r>
      <w:r>
        <w:rPr>
          <w:b/>
          <w:bCs/>
        </w:rPr>
        <w:t>proposta</w:t>
      </w:r>
      <w:r w:rsidRPr="001814B0">
        <w:rPr>
          <w:b/>
          <w:bCs/>
        </w:rPr>
        <w:t>:</w:t>
      </w:r>
    </w:p>
    <w:p w14:paraId="1DE76CD4" w14:textId="3A99E7A9" w:rsidR="00460F15" w:rsidRPr="00460F15" w:rsidRDefault="00460F15" w:rsidP="00460F15">
      <w:pPr>
        <w:jc w:val="both"/>
      </w:pPr>
      <w:r>
        <w:t xml:space="preserve">Art. 237. A AFI compreende o procedimento de fiscalização decorrente de </w:t>
      </w:r>
      <w:r>
        <w:t>outras ações fiscais</w:t>
      </w:r>
      <w:r>
        <w:t>.</w:t>
      </w:r>
    </w:p>
    <w:p w14:paraId="4C44023D" w14:textId="77777777" w:rsidR="00460F15" w:rsidRPr="001814B0" w:rsidRDefault="00460F15" w:rsidP="00460F15">
      <w:pPr>
        <w:jc w:val="both"/>
        <w:rPr>
          <w:b/>
          <w:bCs/>
        </w:rPr>
      </w:pPr>
      <w:r w:rsidRPr="00EB70A8">
        <w:rPr>
          <w:b/>
          <w:bCs/>
        </w:rPr>
        <w:t>Justificativa</w:t>
      </w:r>
      <w:r>
        <w:rPr>
          <w:b/>
          <w:bCs/>
        </w:rPr>
        <w:t>:</w:t>
      </w:r>
    </w:p>
    <w:p w14:paraId="119CFF42" w14:textId="1F5302FB" w:rsidR="00460F15" w:rsidRDefault="00460F15" w:rsidP="00460F15">
      <w:pPr>
        <w:jc w:val="both"/>
      </w:pPr>
      <w:r>
        <w:t>Troca</w:t>
      </w:r>
      <w:r>
        <w:t xml:space="preserve"> do</w:t>
      </w:r>
      <w:r>
        <w:t xml:space="preserve"> termo </w:t>
      </w:r>
      <w:r>
        <w:t xml:space="preserve">“ações fiscais diretas” </w:t>
      </w:r>
      <w:r>
        <w:t xml:space="preserve">por </w:t>
      </w:r>
      <w:r>
        <w:t>“</w:t>
      </w:r>
      <w:r>
        <w:t>outras ações fiscais</w:t>
      </w:r>
      <w:r>
        <w:t>”</w:t>
      </w:r>
      <w:r>
        <w:t xml:space="preserve">, uma vez que hoje, nominalmente, apenas a AFDE é considerada ação fiscal direta. </w:t>
      </w:r>
      <w:r>
        <w:t xml:space="preserve">Sendo assim, </w:t>
      </w:r>
      <w:r>
        <w:t>AFI não po</w:t>
      </w:r>
      <w:r>
        <w:t>de</w:t>
      </w:r>
      <w:r>
        <w:t xml:space="preserve"> </w:t>
      </w:r>
      <w:r>
        <w:t>e</w:t>
      </w:r>
      <w:r>
        <w:t xml:space="preserve"> dev</w:t>
      </w:r>
      <w:r>
        <w:t xml:space="preserve">e ser o instrumento de </w:t>
      </w:r>
      <w:r>
        <w:t>acompanha</w:t>
      </w:r>
      <w:r>
        <w:t>mento</w:t>
      </w:r>
      <w:r>
        <w:t xml:space="preserve"> </w:t>
      </w:r>
      <w:r>
        <w:t>d</w:t>
      </w:r>
      <w:r>
        <w:t xml:space="preserve">as conclusões de qualquer relatório de fiscalização, independente de qual ação fiscal </w:t>
      </w:r>
      <w:r>
        <w:t>o tenha originado.</w:t>
      </w:r>
    </w:p>
    <w:p w14:paraId="7AD7C06A" w14:textId="77777777" w:rsidR="00460F15" w:rsidRDefault="00460F15" w:rsidP="005324DA">
      <w:pPr>
        <w:jc w:val="both"/>
        <w:rPr>
          <w:b/>
          <w:bCs/>
        </w:rPr>
      </w:pPr>
    </w:p>
    <w:p w14:paraId="2F78E5DD" w14:textId="66B2F7C2" w:rsidR="001814B0" w:rsidRPr="001814B0" w:rsidRDefault="001814B0" w:rsidP="005324DA">
      <w:pPr>
        <w:jc w:val="both"/>
        <w:rPr>
          <w:b/>
          <w:bCs/>
        </w:rPr>
      </w:pPr>
      <w:r w:rsidRPr="001814B0">
        <w:rPr>
          <w:b/>
          <w:bCs/>
        </w:rPr>
        <w:t>Redação atual:</w:t>
      </w:r>
    </w:p>
    <w:p w14:paraId="3CDEFC3A" w14:textId="6328CE22" w:rsidR="004C6145" w:rsidRDefault="004C6145" w:rsidP="005324DA">
      <w:pPr>
        <w:jc w:val="both"/>
      </w:pPr>
      <w:r>
        <w:t xml:space="preserve">Art. 239. Os procedimentos de supervisão permanente, periódica e de acompanhamento especial poderão se estender por mais de um exercício. </w:t>
      </w:r>
    </w:p>
    <w:p w14:paraId="4021EE80" w14:textId="12616150" w:rsidR="00146640" w:rsidRDefault="004C6145" w:rsidP="005324DA">
      <w:pPr>
        <w:jc w:val="both"/>
      </w:pPr>
      <w:r>
        <w:lastRenderedPageBreak/>
        <w:t>§ 1º No final de cada ciclo dos trabalhos a equipe deverá se reunir com os órgãos estatutários da EFPC para apresentar os resultados obtidos por meio de relatório fiscal.</w:t>
      </w:r>
    </w:p>
    <w:p w14:paraId="32684C34" w14:textId="664037E3" w:rsidR="00460F15" w:rsidRDefault="00460F15" w:rsidP="005324DA">
      <w:pPr>
        <w:jc w:val="both"/>
      </w:pPr>
      <w:r>
        <w:t>§ 2º As equipes de supervisão permanente periódica e de acompanhamento especial durante suas atividades poderão executar os procedimentos de AFI ou outros procedimentos de fiscalização ou monitoramento dos planos de benefícios.</w:t>
      </w:r>
    </w:p>
    <w:p w14:paraId="2DF0B50D" w14:textId="35E3A4E3" w:rsidR="001814B0" w:rsidRPr="001814B0" w:rsidRDefault="001814B0" w:rsidP="005324DA">
      <w:pPr>
        <w:jc w:val="both"/>
        <w:rPr>
          <w:b/>
          <w:bCs/>
        </w:rPr>
      </w:pPr>
      <w:r w:rsidRPr="001814B0">
        <w:rPr>
          <w:b/>
          <w:bCs/>
        </w:rPr>
        <w:t xml:space="preserve">Redação </w:t>
      </w:r>
      <w:r>
        <w:rPr>
          <w:b/>
          <w:bCs/>
        </w:rPr>
        <w:t>proposta</w:t>
      </w:r>
      <w:r w:rsidRPr="001814B0">
        <w:rPr>
          <w:b/>
          <w:bCs/>
        </w:rPr>
        <w:t>:</w:t>
      </w:r>
    </w:p>
    <w:p w14:paraId="09C08B44" w14:textId="48E10561" w:rsidR="004C6145" w:rsidRDefault="004A5A45" w:rsidP="005324DA">
      <w:pPr>
        <w:jc w:val="both"/>
      </w:pPr>
      <w:r>
        <w:t xml:space="preserve">Art. 239. </w:t>
      </w:r>
      <w:r w:rsidRPr="004A5A45">
        <w:t>Os procedimentos de Supervisão Permanente</w:t>
      </w:r>
      <w:r w:rsidR="005324DA" w:rsidRPr="005324DA">
        <w:rPr>
          <w:b/>
          <w:bCs/>
          <w:color w:val="FF0000"/>
        </w:rPr>
        <w:t>, Supervisão</w:t>
      </w:r>
      <w:r w:rsidRPr="004A5A45">
        <w:t xml:space="preserve"> Periódica, </w:t>
      </w:r>
      <w:r w:rsidRPr="004A5A45">
        <w:rPr>
          <w:b/>
          <w:bCs/>
          <w:color w:val="FF0000"/>
        </w:rPr>
        <w:t>Diligência</w:t>
      </w:r>
      <w:r w:rsidRPr="004A5A45">
        <w:t xml:space="preserve"> e Acompanhamento Especial poderão se estender por mais de um exercício.</w:t>
      </w:r>
    </w:p>
    <w:p w14:paraId="6167D5DF" w14:textId="23488453" w:rsidR="004A5A45" w:rsidRDefault="004A5A45" w:rsidP="005324DA">
      <w:pPr>
        <w:jc w:val="both"/>
      </w:pPr>
      <w:r>
        <w:t xml:space="preserve">§ 1º No final de cada ciclo dos trabalhos a equipe deverá se reunir com os órgãos estatutários da EFPC para apresentar os resultados obtidos por meio de relatório </w:t>
      </w:r>
      <w:r w:rsidRPr="004A5A45">
        <w:rPr>
          <w:b/>
          <w:bCs/>
          <w:color w:val="FF0000"/>
        </w:rPr>
        <w:t>de fiscalização</w:t>
      </w:r>
      <w:r>
        <w:t>.</w:t>
      </w:r>
    </w:p>
    <w:p w14:paraId="63911ED3" w14:textId="4647B848" w:rsidR="00460F15" w:rsidRDefault="00460F15" w:rsidP="005324DA">
      <w:pPr>
        <w:jc w:val="both"/>
      </w:pPr>
      <w:r>
        <w:t xml:space="preserve">§ 2º As equipes de </w:t>
      </w:r>
      <w:r w:rsidRPr="00CB3D6A">
        <w:rPr>
          <w:b/>
          <w:bCs/>
          <w:color w:val="FF0000"/>
        </w:rPr>
        <w:t>Supervisão Permanente, Supervisão Periódica, Diligência e Acompanhamento Especial,</w:t>
      </w:r>
      <w:r>
        <w:t xml:space="preserve"> durante suas atividades</w:t>
      </w:r>
      <w:r w:rsidRPr="00CB3D6A">
        <w:rPr>
          <w:b/>
          <w:bCs/>
          <w:color w:val="FF0000"/>
        </w:rPr>
        <w:t>,</w:t>
      </w:r>
      <w:r>
        <w:t xml:space="preserve"> poderão executar os procedimentos de AFI ou outros procedimentos de fiscalização ou monitoramento </w:t>
      </w:r>
      <w:r w:rsidRPr="00CB3D6A">
        <w:rPr>
          <w:b/>
          <w:bCs/>
          <w:color w:val="FF0000"/>
        </w:rPr>
        <w:t>referentes à EFPC objeto da ação fiscal</w:t>
      </w:r>
      <w:r>
        <w:t>.</w:t>
      </w:r>
    </w:p>
    <w:p w14:paraId="0C3EA81D" w14:textId="77777777" w:rsidR="00460F15" w:rsidRDefault="00460F15" w:rsidP="005324DA">
      <w:pPr>
        <w:jc w:val="both"/>
      </w:pPr>
    </w:p>
    <w:p w14:paraId="7291225F" w14:textId="77777777" w:rsidR="00CB3D6A" w:rsidRDefault="004A5A45" w:rsidP="005324DA">
      <w:pPr>
        <w:jc w:val="both"/>
        <w:rPr>
          <w:b/>
          <w:bCs/>
        </w:rPr>
      </w:pPr>
      <w:r w:rsidRPr="00EB70A8">
        <w:rPr>
          <w:b/>
          <w:bCs/>
        </w:rPr>
        <w:t>Justificativa</w:t>
      </w:r>
      <w:r w:rsidR="00EB70A8">
        <w:rPr>
          <w:b/>
          <w:bCs/>
        </w:rPr>
        <w:t xml:space="preserve">: </w:t>
      </w:r>
    </w:p>
    <w:p w14:paraId="435FA729" w14:textId="29EE314C" w:rsidR="00CB3D6A" w:rsidRDefault="00CB3D6A" w:rsidP="005324DA">
      <w:pPr>
        <w:jc w:val="both"/>
      </w:pPr>
      <w:r w:rsidRPr="00CB3D6A">
        <w:t>Caput</w:t>
      </w:r>
      <w:r>
        <w:rPr>
          <w:b/>
          <w:bCs/>
        </w:rPr>
        <w:t xml:space="preserve"> - </w:t>
      </w:r>
      <w:r w:rsidR="004A5A45">
        <w:t xml:space="preserve">Incluir a Diligência no caput </w:t>
      </w:r>
      <w:r w:rsidR="00EB70A8">
        <w:t xml:space="preserve">do artigo 239 que não </w:t>
      </w:r>
      <w:r>
        <w:t>havia</w:t>
      </w:r>
      <w:r w:rsidR="00EB70A8">
        <w:t xml:space="preserve"> sido incluída por equívoco</w:t>
      </w:r>
      <w:r>
        <w:t>.</w:t>
      </w:r>
    </w:p>
    <w:p w14:paraId="5E611915" w14:textId="77777777" w:rsidR="00CB3D6A" w:rsidRDefault="00CB3D6A" w:rsidP="005324DA">
      <w:pPr>
        <w:jc w:val="both"/>
      </w:pPr>
      <w:r>
        <w:t>§1º - S</w:t>
      </w:r>
      <w:r w:rsidR="00EB70A8">
        <w:t xml:space="preserve">ubstituir o </w:t>
      </w:r>
      <w:r>
        <w:t xml:space="preserve">termo </w:t>
      </w:r>
      <w:r w:rsidR="00EB70A8">
        <w:t xml:space="preserve">relatório fiscal por relatório de fiscalização para padronizar em apenas um tipo de </w:t>
      </w:r>
      <w:r>
        <w:t>documento produzido ao final das ações fiscais.</w:t>
      </w:r>
    </w:p>
    <w:p w14:paraId="6D59EDEB" w14:textId="00BC13BA" w:rsidR="004A5A45" w:rsidRDefault="00CB3D6A" w:rsidP="005324DA">
      <w:pPr>
        <w:jc w:val="both"/>
      </w:pPr>
      <w:r>
        <w:t>§2º - Incluir a diligência no rol das ações fiscais que podem observar este posicionamento da diretoria colegiada em direção do princípio da eficiência no serviço público, bem como pequenos ajustes no texto do parágrafo segundo para maior clareza.</w:t>
      </w:r>
    </w:p>
    <w:p w14:paraId="0FB75D4A" w14:textId="77777777" w:rsidR="00830205" w:rsidRPr="001814B0" w:rsidRDefault="00830205" w:rsidP="005324DA">
      <w:pPr>
        <w:jc w:val="both"/>
        <w:rPr>
          <w:b/>
          <w:bCs/>
        </w:rPr>
      </w:pPr>
      <w:r w:rsidRPr="001814B0">
        <w:rPr>
          <w:b/>
          <w:bCs/>
        </w:rPr>
        <w:t>Redação atual:</w:t>
      </w:r>
    </w:p>
    <w:p w14:paraId="419F0DE8" w14:textId="77777777" w:rsidR="00CB3D6A" w:rsidRDefault="00CB3D6A" w:rsidP="005324DA">
      <w:pPr>
        <w:jc w:val="both"/>
      </w:pPr>
      <w:r>
        <w:t>Art. 240. Os procedimentos de fiscalização serão iniciados com ofício emitido pela Chefia do Escritório de Representação dirigido ao dirigente máximo da EFPC contendo, no mínimo, o seguinte:</w:t>
      </w:r>
    </w:p>
    <w:p w14:paraId="7D33FADD" w14:textId="77777777" w:rsidR="00C23C88" w:rsidRDefault="00C23C88" w:rsidP="00C23C88">
      <w:pPr>
        <w:jc w:val="both"/>
      </w:pPr>
      <w:r>
        <w:t>§ 1º A equipe fiscal designada para executar uma AFDE ou diligência deverá encaminhar à sua chefia, por meio de Informação Fiscal, solicitação fundamentada de retirada ou inclusão de escopo no procedimento de fiscalização, cabendo à chefia a decisão final sobre a solicitação de alteração.</w:t>
      </w:r>
    </w:p>
    <w:p w14:paraId="1451CDEC" w14:textId="001F08BE" w:rsidR="00830205" w:rsidRDefault="00830205" w:rsidP="005324DA">
      <w:pPr>
        <w:jc w:val="both"/>
      </w:pPr>
      <w:r w:rsidRPr="00830205">
        <w:t>§ 2º O acompanhamento da ação fiscal será exercido pelo Escritório de Representação responsável pela equipe de supervisão, reportando ao Diretor de Fiscalização quaisquer dificuldades ou embaraços opostos à ação fiscal.</w:t>
      </w:r>
    </w:p>
    <w:p w14:paraId="0C5B52BC" w14:textId="77777777" w:rsidR="00830205" w:rsidRPr="001814B0" w:rsidRDefault="00830205" w:rsidP="005324DA">
      <w:pPr>
        <w:jc w:val="both"/>
        <w:rPr>
          <w:b/>
          <w:bCs/>
        </w:rPr>
      </w:pPr>
      <w:r w:rsidRPr="001814B0">
        <w:rPr>
          <w:b/>
          <w:bCs/>
        </w:rPr>
        <w:t xml:space="preserve">Redação </w:t>
      </w:r>
      <w:r>
        <w:rPr>
          <w:b/>
          <w:bCs/>
        </w:rPr>
        <w:t>proposta</w:t>
      </w:r>
      <w:r w:rsidRPr="001814B0">
        <w:rPr>
          <w:b/>
          <w:bCs/>
        </w:rPr>
        <w:t>:</w:t>
      </w:r>
    </w:p>
    <w:p w14:paraId="7A7A9162" w14:textId="608D5688" w:rsidR="00CB3D6A" w:rsidRDefault="00CB3D6A" w:rsidP="00CB3D6A">
      <w:pPr>
        <w:jc w:val="both"/>
      </w:pPr>
      <w:r>
        <w:t xml:space="preserve">Art. 240. </w:t>
      </w:r>
      <w:r w:rsidRPr="00CB3D6A">
        <w:rPr>
          <w:b/>
          <w:bCs/>
          <w:color w:val="FF0000"/>
        </w:rPr>
        <w:t>Os procedimentos de fiscalização</w:t>
      </w:r>
      <w:r>
        <w:rPr>
          <w:b/>
          <w:bCs/>
          <w:color w:val="FF0000"/>
        </w:rPr>
        <w:t xml:space="preserve"> elencados no inciso I do art. 231, com exceção das alíneas “f” e “g”,</w:t>
      </w:r>
      <w:r w:rsidRPr="00CB3D6A">
        <w:rPr>
          <w:color w:val="FF0000"/>
        </w:rPr>
        <w:t xml:space="preserve"> </w:t>
      </w:r>
      <w:r>
        <w:t>serão iniciados com ofício emitido pela Chefia do Escritório de Representação dirigido ao dirigente máximo da EFPC contendo, no mínimo, o seguinte:</w:t>
      </w:r>
    </w:p>
    <w:p w14:paraId="43BE78FB" w14:textId="06FD665C" w:rsidR="00C23C88" w:rsidRDefault="00C23C88" w:rsidP="00C23C88">
      <w:pPr>
        <w:jc w:val="both"/>
      </w:pPr>
      <w:r>
        <w:lastRenderedPageBreak/>
        <w:t xml:space="preserve">§ 1º A equipe fiscal designada para executar uma </w:t>
      </w:r>
      <w:r w:rsidRPr="00C23C88">
        <w:rPr>
          <w:b/>
          <w:bCs/>
          <w:color w:val="FF0000"/>
        </w:rPr>
        <w:t>ação fiscal</w:t>
      </w:r>
      <w:r>
        <w:t xml:space="preserve"> deverá encaminhar à sua chefia, por meio de Informação Fiscal, solicitação fundamentada de retirada ou inclusão de escopo no procedimento de fiscalização, cabendo à chefia a decisão final sobre a solicitação de alteração.</w:t>
      </w:r>
    </w:p>
    <w:p w14:paraId="1406D338" w14:textId="77048029" w:rsidR="00830205" w:rsidRDefault="00830205" w:rsidP="005324DA">
      <w:pPr>
        <w:jc w:val="both"/>
      </w:pPr>
      <w:r w:rsidRPr="00830205">
        <w:t xml:space="preserve">§ 2º O acompanhamento da ação fiscal será exercido pelo Escritório de Representação responsável pela equipe de supervisão, reportando ao Diretor de Fiscalização </w:t>
      </w:r>
      <w:r w:rsidRPr="00830205">
        <w:rPr>
          <w:b/>
          <w:bCs/>
          <w:color w:val="FF0000"/>
        </w:rPr>
        <w:t xml:space="preserve">e Monitoramento </w:t>
      </w:r>
      <w:r w:rsidRPr="00830205">
        <w:t>quaisquer dificuldades ou embaraços opostos à ação fiscal.</w:t>
      </w:r>
    </w:p>
    <w:p w14:paraId="3B12C180" w14:textId="77777777" w:rsidR="00CB3D6A" w:rsidRDefault="00830205" w:rsidP="005324DA">
      <w:pPr>
        <w:jc w:val="both"/>
        <w:rPr>
          <w:b/>
          <w:bCs/>
        </w:rPr>
      </w:pPr>
      <w:r w:rsidRPr="00EB70A8">
        <w:rPr>
          <w:b/>
          <w:bCs/>
        </w:rPr>
        <w:t>Justificativa</w:t>
      </w:r>
      <w:r>
        <w:rPr>
          <w:b/>
          <w:bCs/>
        </w:rPr>
        <w:t xml:space="preserve">: </w:t>
      </w:r>
    </w:p>
    <w:p w14:paraId="7020D077" w14:textId="40CA86CF" w:rsidR="00CB3D6A" w:rsidRDefault="00CB3D6A" w:rsidP="005324DA">
      <w:pPr>
        <w:jc w:val="both"/>
      </w:pPr>
      <w:r>
        <w:t xml:space="preserve">Caput – Limitar a aplicação do caput apenas aos procedimentos de fiscalização que </w:t>
      </w:r>
      <w:r w:rsidR="00C23C88">
        <w:t>obedecem a esse trâmite, uma vez que nem a AFI nem os denominados “outros procedimentos de fiscalização” carregam essa obrigação.</w:t>
      </w:r>
    </w:p>
    <w:p w14:paraId="1099A688" w14:textId="481E0363" w:rsidR="00CB3D6A" w:rsidRDefault="00CB3D6A" w:rsidP="005324DA">
      <w:pPr>
        <w:jc w:val="both"/>
      </w:pPr>
      <w:r>
        <w:t xml:space="preserve">§1º - </w:t>
      </w:r>
      <w:r w:rsidR="00C23C88">
        <w:t>Expandir a obrigação de formalização de alteração de escopo às demais ações fiscais.</w:t>
      </w:r>
    </w:p>
    <w:p w14:paraId="0E185B6C" w14:textId="4EE3B4BD" w:rsidR="00830205" w:rsidRDefault="00CB3D6A" w:rsidP="005324DA">
      <w:pPr>
        <w:jc w:val="both"/>
      </w:pPr>
      <w:r w:rsidRPr="00CB3D6A">
        <w:t xml:space="preserve">§2º - </w:t>
      </w:r>
      <w:r w:rsidR="00830205">
        <w:t>Adequar a nomenclatura do Diretor de Fiscalização e Monitoramento.</w:t>
      </w:r>
    </w:p>
    <w:p w14:paraId="64E845B3" w14:textId="77777777" w:rsidR="0086223E" w:rsidRDefault="0086223E" w:rsidP="005324DA">
      <w:pPr>
        <w:jc w:val="both"/>
        <w:rPr>
          <w:b/>
          <w:bCs/>
        </w:rPr>
      </w:pPr>
    </w:p>
    <w:p w14:paraId="6521CDFF" w14:textId="5CE8AAAB" w:rsidR="0086223E" w:rsidRPr="001814B0" w:rsidRDefault="0086223E" w:rsidP="005324DA">
      <w:pPr>
        <w:jc w:val="both"/>
        <w:rPr>
          <w:b/>
          <w:bCs/>
        </w:rPr>
      </w:pPr>
      <w:r w:rsidRPr="001814B0">
        <w:rPr>
          <w:b/>
          <w:bCs/>
        </w:rPr>
        <w:t>Redação atual:</w:t>
      </w:r>
    </w:p>
    <w:p w14:paraId="23782999" w14:textId="77777777" w:rsidR="004C6145" w:rsidRDefault="004C6145" w:rsidP="005324DA">
      <w:pPr>
        <w:jc w:val="both"/>
      </w:pPr>
      <w:r>
        <w:t xml:space="preserve">Art. 242. A AFDE será encerrada com a entrega de Relatório de Fiscalização, que deverá apresentar pelo menos uma das conclusões abaixo indicadas: </w:t>
      </w:r>
    </w:p>
    <w:p w14:paraId="6805194D" w14:textId="77777777" w:rsidR="004C6145" w:rsidRDefault="004C6145" w:rsidP="005324DA">
      <w:pPr>
        <w:spacing w:after="0" w:line="240" w:lineRule="auto"/>
        <w:jc w:val="both"/>
      </w:pPr>
      <w:r>
        <w:t xml:space="preserve">I - </w:t>
      </w:r>
      <w:proofErr w:type="gramStart"/>
      <w:r>
        <w:t>não</w:t>
      </w:r>
      <w:proofErr w:type="gramEnd"/>
      <w:r>
        <w:t xml:space="preserve"> identificação de irregularidades;</w:t>
      </w:r>
    </w:p>
    <w:p w14:paraId="4C37A58C" w14:textId="77777777" w:rsidR="004C6145" w:rsidRDefault="004C6145" w:rsidP="005324DA">
      <w:pPr>
        <w:spacing w:after="0" w:line="240" w:lineRule="auto"/>
        <w:jc w:val="both"/>
      </w:pPr>
      <w:r>
        <w:t xml:space="preserve">II - </w:t>
      </w:r>
      <w:proofErr w:type="gramStart"/>
      <w:r>
        <w:t>recomendação</w:t>
      </w:r>
      <w:proofErr w:type="gramEnd"/>
      <w:r>
        <w:t>;</w:t>
      </w:r>
    </w:p>
    <w:p w14:paraId="64E0A364" w14:textId="77777777" w:rsidR="004C6145" w:rsidRDefault="004C6145" w:rsidP="005324DA">
      <w:pPr>
        <w:spacing w:after="0" w:line="240" w:lineRule="auto"/>
        <w:jc w:val="both"/>
      </w:pPr>
      <w:r>
        <w:t xml:space="preserve">III - análise transferida para o âmbito de outro procedimento, com indicação do número do processo correspondente; </w:t>
      </w:r>
    </w:p>
    <w:p w14:paraId="43E0EBCC" w14:textId="77777777" w:rsidR="004C6145" w:rsidRDefault="004C6145" w:rsidP="005324DA">
      <w:pPr>
        <w:spacing w:after="0" w:line="240" w:lineRule="auto"/>
        <w:jc w:val="both"/>
      </w:pPr>
      <w:r>
        <w:t xml:space="preserve">IV - </w:t>
      </w:r>
      <w:proofErr w:type="gramStart"/>
      <w:r>
        <w:t>aplicação</w:t>
      </w:r>
      <w:proofErr w:type="gramEnd"/>
      <w:r>
        <w:t xml:space="preserve"> do § 2º do art. 22 do Decreto nº 4.942, de 2003, por meio de determinação; </w:t>
      </w:r>
    </w:p>
    <w:p w14:paraId="183E917B" w14:textId="77777777" w:rsidR="004C6145" w:rsidRDefault="004C6145" w:rsidP="005324DA">
      <w:pPr>
        <w:spacing w:after="0" w:line="240" w:lineRule="auto"/>
        <w:jc w:val="both"/>
      </w:pPr>
      <w:r>
        <w:t xml:space="preserve">V – </w:t>
      </w:r>
      <w:proofErr w:type="gramStart"/>
      <w:r>
        <w:t>requisição</w:t>
      </w:r>
      <w:proofErr w:type="gramEnd"/>
      <w:r>
        <w:t xml:space="preserve"> de posicionamento; </w:t>
      </w:r>
    </w:p>
    <w:p w14:paraId="0EBC04D0" w14:textId="56838915" w:rsidR="0086223E" w:rsidRDefault="004C6145" w:rsidP="005324DA">
      <w:pPr>
        <w:spacing w:after="0" w:line="240" w:lineRule="auto"/>
        <w:jc w:val="both"/>
      </w:pPr>
      <w:r>
        <w:t xml:space="preserve">VI – </w:t>
      </w:r>
      <w:proofErr w:type="gramStart"/>
      <w:r>
        <w:t>determinação</w:t>
      </w:r>
      <w:proofErr w:type="gramEnd"/>
      <w:r>
        <w:t xml:space="preserve"> de procedimento; </w:t>
      </w:r>
    </w:p>
    <w:p w14:paraId="3C94D519" w14:textId="77777777" w:rsidR="004C6145" w:rsidRDefault="004C6145" w:rsidP="005324DA">
      <w:pPr>
        <w:spacing w:after="0" w:line="240" w:lineRule="auto"/>
        <w:jc w:val="both"/>
      </w:pPr>
      <w:r>
        <w:t xml:space="preserve">VII - proposta de celebração de Termo de Ajustamento de Conduta; e </w:t>
      </w:r>
    </w:p>
    <w:p w14:paraId="0EF7CF7F" w14:textId="53DFE71E" w:rsidR="0086223E" w:rsidRDefault="004C6145" w:rsidP="005324DA">
      <w:pPr>
        <w:spacing w:after="120" w:line="240" w:lineRule="auto"/>
        <w:jc w:val="both"/>
      </w:pPr>
      <w:r>
        <w:t>VIII - emissão de auto de infração</w:t>
      </w:r>
    </w:p>
    <w:p w14:paraId="597A9A81" w14:textId="66905759" w:rsidR="0086223E" w:rsidRDefault="0086223E" w:rsidP="005324DA">
      <w:pPr>
        <w:jc w:val="both"/>
      </w:pPr>
      <w:r w:rsidRPr="0086223E">
        <w:t>§1º A Coordenação-Geral de Fiscalização Direta e o Diretor de Fiscalização deverão ter conhecimento do teor do Relatório de Fiscalização.</w:t>
      </w:r>
    </w:p>
    <w:p w14:paraId="485ED046" w14:textId="77777777" w:rsidR="0086223E" w:rsidRPr="001814B0" w:rsidRDefault="0086223E" w:rsidP="005324DA">
      <w:pPr>
        <w:jc w:val="both"/>
        <w:rPr>
          <w:b/>
          <w:bCs/>
        </w:rPr>
      </w:pPr>
      <w:r w:rsidRPr="001814B0">
        <w:rPr>
          <w:b/>
          <w:bCs/>
        </w:rPr>
        <w:t xml:space="preserve">Redação </w:t>
      </w:r>
      <w:r>
        <w:rPr>
          <w:b/>
          <w:bCs/>
        </w:rPr>
        <w:t>proposta</w:t>
      </w:r>
      <w:r w:rsidRPr="001814B0">
        <w:rPr>
          <w:b/>
          <w:bCs/>
        </w:rPr>
        <w:t>:</w:t>
      </w:r>
    </w:p>
    <w:p w14:paraId="15710B84" w14:textId="217A714B" w:rsidR="0086223E" w:rsidRDefault="0086223E" w:rsidP="005324DA">
      <w:pPr>
        <w:jc w:val="both"/>
      </w:pPr>
      <w:r>
        <w:t xml:space="preserve">Art. 242. </w:t>
      </w:r>
      <w:r w:rsidR="00C23C88" w:rsidRPr="00CB3D6A">
        <w:rPr>
          <w:b/>
          <w:bCs/>
          <w:color w:val="FF0000"/>
        </w:rPr>
        <w:t>Os procedimentos de fiscalização</w:t>
      </w:r>
      <w:r w:rsidR="00C23C88">
        <w:rPr>
          <w:b/>
          <w:bCs/>
          <w:color w:val="FF0000"/>
        </w:rPr>
        <w:t xml:space="preserve"> elencados no inciso I do art. 231, com exceção das alíneas “f” e “g”,</w:t>
      </w:r>
      <w:r w:rsidR="00C23C88" w:rsidRPr="00CB3D6A">
        <w:rPr>
          <w:color w:val="FF0000"/>
        </w:rPr>
        <w:t xml:space="preserve"> </w:t>
      </w:r>
      <w:r>
        <w:t xml:space="preserve">serão encerrados com a entrega de Relatório de Fiscalização, que deverão apresentar pelo menos uma das conclusões abaixo indicadas: </w:t>
      </w:r>
    </w:p>
    <w:p w14:paraId="2CD373E9" w14:textId="77777777" w:rsidR="0086223E" w:rsidRDefault="0086223E" w:rsidP="005324DA">
      <w:pPr>
        <w:spacing w:after="0" w:line="240" w:lineRule="auto"/>
        <w:jc w:val="both"/>
      </w:pPr>
      <w:r>
        <w:t xml:space="preserve">I - </w:t>
      </w:r>
      <w:proofErr w:type="gramStart"/>
      <w:r>
        <w:t>não</w:t>
      </w:r>
      <w:proofErr w:type="gramEnd"/>
      <w:r>
        <w:t xml:space="preserve"> identificação de irregularidades;</w:t>
      </w:r>
    </w:p>
    <w:p w14:paraId="47128AE2" w14:textId="77777777" w:rsidR="0086223E" w:rsidRDefault="0086223E" w:rsidP="005324DA">
      <w:pPr>
        <w:spacing w:after="0" w:line="240" w:lineRule="auto"/>
        <w:jc w:val="both"/>
      </w:pPr>
      <w:r>
        <w:t xml:space="preserve">II - </w:t>
      </w:r>
      <w:proofErr w:type="gramStart"/>
      <w:r>
        <w:t>recomendação</w:t>
      </w:r>
      <w:proofErr w:type="gramEnd"/>
      <w:r>
        <w:t>;</w:t>
      </w:r>
    </w:p>
    <w:p w14:paraId="2D66E6C1" w14:textId="77777777" w:rsidR="0086223E" w:rsidRDefault="0086223E" w:rsidP="005324DA">
      <w:pPr>
        <w:spacing w:after="0" w:line="240" w:lineRule="auto"/>
        <w:jc w:val="both"/>
      </w:pPr>
      <w:r>
        <w:t xml:space="preserve">III - análise transferida para o âmbito de outro procedimento, com indicação do número do processo correspondente; </w:t>
      </w:r>
    </w:p>
    <w:p w14:paraId="5FAF4E1B" w14:textId="77777777" w:rsidR="0086223E" w:rsidRDefault="0086223E" w:rsidP="005324DA">
      <w:pPr>
        <w:spacing w:after="0" w:line="240" w:lineRule="auto"/>
        <w:jc w:val="both"/>
      </w:pPr>
      <w:r>
        <w:t xml:space="preserve">IV - </w:t>
      </w:r>
      <w:proofErr w:type="gramStart"/>
      <w:r>
        <w:t>aplicação</w:t>
      </w:r>
      <w:proofErr w:type="gramEnd"/>
      <w:r>
        <w:t xml:space="preserve"> do § 2º do art. 22 do Decreto nº 4.942, de 2003, por meio de determinação; </w:t>
      </w:r>
    </w:p>
    <w:p w14:paraId="63545366" w14:textId="77777777" w:rsidR="0086223E" w:rsidRDefault="0086223E" w:rsidP="005324DA">
      <w:pPr>
        <w:spacing w:after="0" w:line="240" w:lineRule="auto"/>
        <w:jc w:val="both"/>
      </w:pPr>
      <w:r>
        <w:t xml:space="preserve">V – </w:t>
      </w:r>
      <w:proofErr w:type="gramStart"/>
      <w:r>
        <w:t>requisição</w:t>
      </w:r>
      <w:proofErr w:type="gramEnd"/>
      <w:r>
        <w:t xml:space="preserve"> de posicionamento; </w:t>
      </w:r>
    </w:p>
    <w:p w14:paraId="351057FB" w14:textId="77777777" w:rsidR="0086223E" w:rsidRDefault="0086223E" w:rsidP="005324DA">
      <w:pPr>
        <w:spacing w:after="0" w:line="240" w:lineRule="auto"/>
        <w:jc w:val="both"/>
      </w:pPr>
      <w:r>
        <w:t xml:space="preserve">VI – </w:t>
      </w:r>
      <w:proofErr w:type="gramStart"/>
      <w:r>
        <w:t>determinação</w:t>
      </w:r>
      <w:proofErr w:type="gramEnd"/>
      <w:r>
        <w:t xml:space="preserve"> de procedimento; </w:t>
      </w:r>
    </w:p>
    <w:p w14:paraId="7A23D389" w14:textId="2C67EC72" w:rsidR="0086223E" w:rsidRPr="0086223E" w:rsidRDefault="0086223E" w:rsidP="005324DA">
      <w:pPr>
        <w:spacing w:after="0" w:line="240" w:lineRule="auto"/>
        <w:jc w:val="both"/>
        <w:rPr>
          <w:color w:val="FF0000"/>
        </w:rPr>
      </w:pPr>
      <w:r w:rsidRPr="0086223E">
        <w:rPr>
          <w:b/>
          <w:bCs/>
          <w:color w:val="FF0000"/>
        </w:rPr>
        <w:t>VII – Pontos de atenção</w:t>
      </w:r>
      <w:r w:rsidRPr="0086223E">
        <w:rPr>
          <w:color w:val="FF0000"/>
        </w:rPr>
        <w:t>;</w:t>
      </w:r>
    </w:p>
    <w:p w14:paraId="4F0C0F8D" w14:textId="77777777" w:rsidR="0086223E" w:rsidRDefault="0086223E" w:rsidP="005324DA">
      <w:pPr>
        <w:spacing w:after="0" w:line="240" w:lineRule="auto"/>
        <w:jc w:val="both"/>
      </w:pPr>
      <w:r>
        <w:t xml:space="preserve">VII - proposta de celebração de Termo de Ajustamento de Conduta; e </w:t>
      </w:r>
    </w:p>
    <w:p w14:paraId="1CBD661F" w14:textId="77777777" w:rsidR="0086223E" w:rsidRDefault="0086223E" w:rsidP="005324DA">
      <w:pPr>
        <w:spacing w:after="120" w:line="240" w:lineRule="auto"/>
        <w:jc w:val="both"/>
      </w:pPr>
      <w:r>
        <w:t>VIII - emissão de auto de infração</w:t>
      </w:r>
    </w:p>
    <w:p w14:paraId="29037B32" w14:textId="0D46638F" w:rsidR="0086223E" w:rsidRDefault="0086223E" w:rsidP="005324DA">
      <w:pPr>
        <w:jc w:val="both"/>
      </w:pPr>
      <w:r w:rsidRPr="0086223E">
        <w:lastRenderedPageBreak/>
        <w:t>§1º A Coordenação-Geral de Fiscalização Direta e o Diretor de Fiscalização</w:t>
      </w:r>
      <w:r w:rsidRPr="0086223E">
        <w:rPr>
          <w:b/>
          <w:bCs/>
        </w:rPr>
        <w:t xml:space="preserve"> </w:t>
      </w:r>
      <w:r w:rsidRPr="0086223E">
        <w:rPr>
          <w:b/>
          <w:bCs/>
          <w:color w:val="FF0000"/>
        </w:rPr>
        <w:t>e Monitoramento</w:t>
      </w:r>
      <w:r w:rsidRPr="0086223E">
        <w:rPr>
          <w:color w:val="FF0000"/>
        </w:rPr>
        <w:t xml:space="preserve"> </w:t>
      </w:r>
      <w:r w:rsidRPr="0086223E">
        <w:t>deverão ter conhecimento do teor do Relatório de Fiscalização.</w:t>
      </w:r>
    </w:p>
    <w:p w14:paraId="1EA4A16C" w14:textId="77777777" w:rsidR="00C23C88" w:rsidRDefault="0086223E" w:rsidP="005324DA">
      <w:pPr>
        <w:jc w:val="both"/>
        <w:rPr>
          <w:b/>
          <w:bCs/>
        </w:rPr>
      </w:pPr>
      <w:r w:rsidRPr="00EB70A8">
        <w:rPr>
          <w:b/>
          <w:bCs/>
        </w:rPr>
        <w:t>Justificativa</w:t>
      </w:r>
      <w:r>
        <w:rPr>
          <w:b/>
          <w:bCs/>
        </w:rPr>
        <w:t>:</w:t>
      </w:r>
    </w:p>
    <w:p w14:paraId="46C1DF1E" w14:textId="77777777" w:rsidR="00C23C88" w:rsidRDefault="00C23C88" w:rsidP="005324DA">
      <w:pPr>
        <w:jc w:val="both"/>
      </w:pPr>
      <w:r w:rsidRPr="00C23C88">
        <w:t xml:space="preserve">Caput - </w:t>
      </w:r>
      <w:r w:rsidR="0086223E" w:rsidRPr="0086223E">
        <w:t>Ajustar para que todas as ações fiscais se encerrem com a entrega do relatório de fiscalização,</w:t>
      </w:r>
      <w:r w:rsidR="0086223E">
        <w:t xml:space="preserve"> </w:t>
      </w:r>
      <w:r>
        <w:t>não apenas a AFDE.</w:t>
      </w:r>
    </w:p>
    <w:p w14:paraId="54CA85AA" w14:textId="77777777" w:rsidR="00C23C88" w:rsidRDefault="00C23C88" w:rsidP="005324DA">
      <w:pPr>
        <w:jc w:val="both"/>
      </w:pPr>
      <w:r>
        <w:t>Inciso VII - I</w:t>
      </w:r>
      <w:r w:rsidR="0086223E">
        <w:t>ncluir o ponto de atenção como um item do relatório de fiscalização</w:t>
      </w:r>
      <w:r>
        <w:t xml:space="preserve"> para adequar os achados de auditoria atualmente utilizados nas atividades de supervisão permanente, garantindo maior segurança jurídica às conclusões dos trabalhos de fiscalização.</w:t>
      </w:r>
    </w:p>
    <w:p w14:paraId="5F5BF1F9" w14:textId="388E47E9" w:rsidR="00460F15" w:rsidRDefault="00C23C88" w:rsidP="00C23C88">
      <w:pPr>
        <w:jc w:val="both"/>
      </w:pPr>
      <w:r>
        <w:t>§1º - A</w:t>
      </w:r>
      <w:r w:rsidR="0086223E">
        <w:t>dequa</w:t>
      </w:r>
      <w:r>
        <w:t>ção</w:t>
      </w:r>
      <w:r w:rsidR="0086223E">
        <w:t xml:space="preserve"> </w:t>
      </w:r>
      <w:r>
        <w:t>d</w:t>
      </w:r>
      <w:r w:rsidR="0086223E">
        <w:t>a nomenclatura do Diretor de Fiscalização e Monitoramento.</w:t>
      </w:r>
      <w:r w:rsidR="004A0F4D">
        <w:t xml:space="preserve"> </w:t>
      </w:r>
    </w:p>
    <w:p w14:paraId="17644151" w14:textId="77777777" w:rsidR="00C23C88" w:rsidRPr="001814B0" w:rsidRDefault="00C23C88" w:rsidP="00C23C88">
      <w:pPr>
        <w:jc w:val="both"/>
        <w:rPr>
          <w:b/>
          <w:bCs/>
        </w:rPr>
      </w:pPr>
      <w:r w:rsidRPr="001814B0">
        <w:rPr>
          <w:b/>
          <w:bCs/>
        </w:rPr>
        <w:t>Redação atual:</w:t>
      </w:r>
    </w:p>
    <w:p w14:paraId="553A096A" w14:textId="1C308B95" w:rsidR="00460F15" w:rsidRDefault="00460F15" w:rsidP="00460F15">
      <w:pPr>
        <w:jc w:val="both"/>
      </w:pPr>
      <w:r>
        <w:t>A</w:t>
      </w:r>
      <w:r w:rsidR="00C23C88">
        <w:t>rt</w:t>
      </w:r>
      <w:r>
        <w:t>. 244</w:t>
      </w:r>
      <w:r w:rsidR="00C23C88">
        <w:t>...</w:t>
      </w:r>
    </w:p>
    <w:p w14:paraId="11E41B31" w14:textId="77777777" w:rsidR="00E75C85" w:rsidRDefault="00460F15" w:rsidP="00E75C85">
      <w:pPr>
        <w:jc w:val="both"/>
      </w:pPr>
      <w:r>
        <w:t>III - apresentar relação custo-benefício adequada, considerando especialmente o segmento em que a entidade está enquadrada; e</w:t>
      </w:r>
    </w:p>
    <w:p w14:paraId="450F447C" w14:textId="2848F4CD" w:rsidR="00E75C85" w:rsidRDefault="00E75C85" w:rsidP="00E75C85">
      <w:pPr>
        <w:jc w:val="both"/>
      </w:pPr>
      <w:r>
        <w:t xml:space="preserve">IV - </w:t>
      </w:r>
      <w:proofErr w:type="gramStart"/>
      <w:r>
        <w:t>apresentar</w:t>
      </w:r>
      <w:proofErr w:type="gramEnd"/>
      <w:r>
        <w:t xml:space="preserve"> oportunidades de melhoria relevantes, indicando o que pode ser feito e o resultado esperado.</w:t>
      </w:r>
    </w:p>
    <w:p w14:paraId="572AFF69" w14:textId="77777777" w:rsidR="00C23C88" w:rsidRPr="001814B0" w:rsidRDefault="00C23C88" w:rsidP="00C23C88">
      <w:pPr>
        <w:jc w:val="both"/>
        <w:rPr>
          <w:b/>
          <w:bCs/>
        </w:rPr>
      </w:pPr>
      <w:r w:rsidRPr="001814B0">
        <w:rPr>
          <w:b/>
          <w:bCs/>
        </w:rPr>
        <w:t xml:space="preserve">Redação </w:t>
      </w:r>
      <w:r>
        <w:rPr>
          <w:b/>
          <w:bCs/>
        </w:rPr>
        <w:t>proposta</w:t>
      </w:r>
      <w:r w:rsidRPr="001814B0">
        <w:rPr>
          <w:b/>
          <w:bCs/>
        </w:rPr>
        <w:t>:</w:t>
      </w:r>
    </w:p>
    <w:p w14:paraId="4B7E3ABE" w14:textId="77777777" w:rsidR="00C23C88" w:rsidRDefault="00C23C88" w:rsidP="00C23C88">
      <w:pPr>
        <w:jc w:val="both"/>
      </w:pPr>
      <w:r>
        <w:t>Art. 244...</w:t>
      </w:r>
    </w:p>
    <w:p w14:paraId="44A06C6E" w14:textId="5CC794B3" w:rsidR="00C23C88" w:rsidRDefault="00C23C88" w:rsidP="00C23C88">
      <w:pPr>
        <w:jc w:val="both"/>
      </w:pPr>
      <w:r>
        <w:t xml:space="preserve">III </w:t>
      </w:r>
      <w:r w:rsidR="00E75C85">
        <w:t>–</w:t>
      </w:r>
      <w:r>
        <w:t xml:space="preserve"> </w:t>
      </w:r>
      <w:r w:rsidR="00E75C85" w:rsidRPr="00E75C85">
        <w:rPr>
          <w:b/>
          <w:bCs/>
          <w:color w:val="FF0000"/>
        </w:rPr>
        <w:t xml:space="preserve">considerar o princípio da </w:t>
      </w:r>
      <w:r w:rsidRPr="00E75C85">
        <w:rPr>
          <w:b/>
          <w:bCs/>
          <w:color w:val="FF0000"/>
        </w:rPr>
        <w:t>razoabilidade</w:t>
      </w:r>
      <w:r>
        <w:t xml:space="preserve">, </w:t>
      </w:r>
      <w:r w:rsidRPr="00E75C85">
        <w:rPr>
          <w:b/>
          <w:bCs/>
          <w:color w:val="FF0000"/>
        </w:rPr>
        <w:t>e</w:t>
      </w:r>
      <w:r w:rsidR="00E75C85" w:rsidRPr="00E75C85">
        <w:rPr>
          <w:b/>
          <w:bCs/>
          <w:color w:val="FF0000"/>
        </w:rPr>
        <w:t>m e</w:t>
      </w:r>
      <w:r w:rsidRPr="00E75C85">
        <w:rPr>
          <w:b/>
          <w:bCs/>
          <w:color w:val="FF0000"/>
        </w:rPr>
        <w:t xml:space="preserve">special </w:t>
      </w:r>
      <w:r w:rsidR="00E75C85" w:rsidRPr="00E75C85">
        <w:rPr>
          <w:b/>
          <w:bCs/>
          <w:color w:val="FF0000"/>
        </w:rPr>
        <w:t xml:space="preserve">quanto ao </w:t>
      </w:r>
      <w:r>
        <w:t>segmento em que a entidade está enquadrada; e</w:t>
      </w:r>
    </w:p>
    <w:p w14:paraId="76F3DB8C" w14:textId="043A8545" w:rsidR="00E75C85" w:rsidRDefault="00E75C85" w:rsidP="00E75C85">
      <w:pPr>
        <w:jc w:val="both"/>
      </w:pPr>
      <w:r>
        <w:t xml:space="preserve">IV - </w:t>
      </w:r>
      <w:proofErr w:type="gramStart"/>
      <w:r>
        <w:t>apresentar</w:t>
      </w:r>
      <w:proofErr w:type="gramEnd"/>
      <w:r>
        <w:t xml:space="preserve"> oportunidades de melhoria.</w:t>
      </w:r>
    </w:p>
    <w:p w14:paraId="28E60143" w14:textId="77777777" w:rsidR="00E75C85" w:rsidRDefault="00E75C85" w:rsidP="00E75C85">
      <w:pPr>
        <w:jc w:val="both"/>
        <w:rPr>
          <w:b/>
          <w:bCs/>
        </w:rPr>
      </w:pPr>
      <w:r w:rsidRPr="00EB70A8">
        <w:rPr>
          <w:b/>
          <w:bCs/>
        </w:rPr>
        <w:t>Justificativa</w:t>
      </w:r>
      <w:r>
        <w:rPr>
          <w:b/>
          <w:bCs/>
        </w:rPr>
        <w:t>:</w:t>
      </w:r>
    </w:p>
    <w:p w14:paraId="32F62183" w14:textId="00FCD384" w:rsidR="00460F15" w:rsidRDefault="00E75C85" w:rsidP="00460F15">
      <w:pPr>
        <w:jc w:val="both"/>
      </w:pPr>
      <w:r>
        <w:t>Inciso III – Troca do termo custo-benefício pelo princípio da razoabilidade, que deve reger os atos administrativos da equipe fiscal, retirando, com isso eventual questionamento subjetivo de como se faz o cálculo do conceito anterior, evitando, inclusive, eventuais recursos contra atos administrativos.</w:t>
      </w:r>
    </w:p>
    <w:p w14:paraId="01A3D944" w14:textId="311DC6DB" w:rsidR="00E75C85" w:rsidRDefault="00E75C85" w:rsidP="00E75C85">
      <w:pPr>
        <w:jc w:val="both"/>
      </w:pPr>
      <w:r>
        <w:t>Inciso IV – Exclusão de subjetividades do texto que podem gerar</w:t>
      </w:r>
      <w:r w:rsidRPr="00E75C85">
        <w:t xml:space="preserve"> </w:t>
      </w:r>
      <w:r>
        <w:t>eventua</w:t>
      </w:r>
      <w:r>
        <w:t>is</w:t>
      </w:r>
      <w:r>
        <w:t xml:space="preserve"> questionamento</w:t>
      </w:r>
      <w:r>
        <w:t>s</w:t>
      </w:r>
      <w:r>
        <w:t xml:space="preserve"> subjetivo</w:t>
      </w:r>
      <w:r>
        <w:t>s acerca de como se calcula a relevância ou o resultado esperado pela equipe de fiscalização</w:t>
      </w:r>
      <w:r>
        <w:t>, evitando, inclusive, eventuais recursos contra atos administrativos.</w:t>
      </w:r>
    </w:p>
    <w:sectPr w:rsidR="00E75C8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6145"/>
    <w:rsid w:val="00146640"/>
    <w:rsid w:val="001814B0"/>
    <w:rsid w:val="001B46A8"/>
    <w:rsid w:val="00460F15"/>
    <w:rsid w:val="004A0F4D"/>
    <w:rsid w:val="004A5A45"/>
    <w:rsid w:val="004C6145"/>
    <w:rsid w:val="005324DA"/>
    <w:rsid w:val="005C5D2C"/>
    <w:rsid w:val="006546FC"/>
    <w:rsid w:val="00830205"/>
    <w:rsid w:val="0086223E"/>
    <w:rsid w:val="00B7026D"/>
    <w:rsid w:val="00C23C88"/>
    <w:rsid w:val="00CB3D6A"/>
    <w:rsid w:val="00CF703E"/>
    <w:rsid w:val="00E75C85"/>
    <w:rsid w:val="00EA2069"/>
    <w:rsid w:val="00EB70A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DD1C0D"/>
  <w15:chartTrackingRefBased/>
  <w15:docId w15:val="{8533E334-862E-42ED-8192-5C05B7852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4C6145"/>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Ttulo2">
    <w:name w:val="heading 2"/>
    <w:basedOn w:val="Normal"/>
    <w:next w:val="Normal"/>
    <w:link w:val="Ttulo2Char"/>
    <w:uiPriority w:val="9"/>
    <w:semiHidden/>
    <w:unhideWhenUsed/>
    <w:qFormat/>
    <w:rsid w:val="004C6145"/>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Ttulo3">
    <w:name w:val="heading 3"/>
    <w:basedOn w:val="Normal"/>
    <w:next w:val="Normal"/>
    <w:link w:val="Ttulo3Char"/>
    <w:uiPriority w:val="9"/>
    <w:semiHidden/>
    <w:unhideWhenUsed/>
    <w:qFormat/>
    <w:rsid w:val="004C6145"/>
    <w:pPr>
      <w:keepNext/>
      <w:keepLines/>
      <w:spacing w:before="160" w:after="80"/>
      <w:outlineLvl w:val="2"/>
    </w:pPr>
    <w:rPr>
      <w:rFonts w:eastAsiaTheme="majorEastAsia" w:cstheme="majorBidi"/>
      <w:color w:val="2E74B5" w:themeColor="accent1" w:themeShade="BF"/>
      <w:sz w:val="28"/>
      <w:szCs w:val="28"/>
    </w:rPr>
  </w:style>
  <w:style w:type="paragraph" w:styleId="Ttulo4">
    <w:name w:val="heading 4"/>
    <w:basedOn w:val="Normal"/>
    <w:next w:val="Normal"/>
    <w:link w:val="Ttulo4Char"/>
    <w:uiPriority w:val="9"/>
    <w:semiHidden/>
    <w:unhideWhenUsed/>
    <w:qFormat/>
    <w:rsid w:val="004C6145"/>
    <w:pPr>
      <w:keepNext/>
      <w:keepLines/>
      <w:spacing w:before="80" w:after="40"/>
      <w:outlineLvl w:val="3"/>
    </w:pPr>
    <w:rPr>
      <w:rFonts w:eastAsiaTheme="majorEastAsia" w:cstheme="majorBidi"/>
      <w:i/>
      <w:iCs/>
      <w:color w:val="2E74B5" w:themeColor="accent1" w:themeShade="BF"/>
    </w:rPr>
  </w:style>
  <w:style w:type="paragraph" w:styleId="Ttulo5">
    <w:name w:val="heading 5"/>
    <w:basedOn w:val="Normal"/>
    <w:next w:val="Normal"/>
    <w:link w:val="Ttulo5Char"/>
    <w:uiPriority w:val="9"/>
    <w:semiHidden/>
    <w:unhideWhenUsed/>
    <w:qFormat/>
    <w:rsid w:val="004C6145"/>
    <w:pPr>
      <w:keepNext/>
      <w:keepLines/>
      <w:spacing w:before="80" w:after="40"/>
      <w:outlineLvl w:val="4"/>
    </w:pPr>
    <w:rPr>
      <w:rFonts w:eastAsiaTheme="majorEastAsia" w:cstheme="majorBidi"/>
      <w:color w:val="2E74B5" w:themeColor="accent1" w:themeShade="BF"/>
    </w:rPr>
  </w:style>
  <w:style w:type="paragraph" w:styleId="Ttulo6">
    <w:name w:val="heading 6"/>
    <w:basedOn w:val="Normal"/>
    <w:next w:val="Normal"/>
    <w:link w:val="Ttulo6Char"/>
    <w:uiPriority w:val="9"/>
    <w:semiHidden/>
    <w:unhideWhenUsed/>
    <w:qFormat/>
    <w:rsid w:val="004C614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4C614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4C614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4C6145"/>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4C6145"/>
    <w:rPr>
      <w:rFonts w:asciiTheme="majorHAnsi" w:eastAsiaTheme="majorEastAsia" w:hAnsiTheme="majorHAnsi" w:cstheme="majorBidi"/>
      <w:color w:val="2E74B5" w:themeColor="accent1" w:themeShade="BF"/>
      <w:sz w:val="40"/>
      <w:szCs w:val="40"/>
    </w:rPr>
  </w:style>
  <w:style w:type="character" w:customStyle="1" w:styleId="Ttulo2Char">
    <w:name w:val="Título 2 Char"/>
    <w:basedOn w:val="Fontepargpadro"/>
    <w:link w:val="Ttulo2"/>
    <w:uiPriority w:val="9"/>
    <w:semiHidden/>
    <w:rsid w:val="004C6145"/>
    <w:rPr>
      <w:rFonts w:asciiTheme="majorHAnsi" w:eastAsiaTheme="majorEastAsia" w:hAnsiTheme="majorHAnsi" w:cstheme="majorBidi"/>
      <w:color w:val="2E74B5" w:themeColor="accent1" w:themeShade="BF"/>
      <w:sz w:val="32"/>
      <w:szCs w:val="32"/>
    </w:rPr>
  </w:style>
  <w:style w:type="character" w:customStyle="1" w:styleId="Ttulo3Char">
    <w:name w:val="Título 3 Char"/>
    <w:basedOn w:val="Fontepargpadro"/>
    <w:link w:val="Ttulo3"/>
    <w:uiPriority w:val="9"/>
    <w:semiHidden/>
    <w:rsid w:val="004C6145"/>
    <w:rPr>
      <w:rFonts w:eastAsiaTheme="majorEastAsia" w:cstheme="majorBidi"/>
      <w:color w:val="2E74B5" w:themeColor="accent1" w:themeShade="BF"/>
      <w:sz w:val="28"/>
      <w:szCs w:val="28"/>
    </w:rPr>
  </w:style>
  <w:style w:type="character" w:customStyle="1" w:styleId="Ttulo4Char">
    <w:name w:val="Título 4 Char"/>
    <w:basedOn w:val="Fontepargpadro"/>
    <w:link w:val="Ttulo4"/>
    <w:uiPriority w:val="9"/>
    <w:semiHidden/>
    <w:rsid w:val="004C6145"/>
    <w:rPr>
      <w:rFonts w:eastAsiaTheme="majorEastAsia" w:cstheme="majorBidi"/>
      <w:i/>
      <w:iCs/>
      <w:color w:val="2E74B5" w:themeColor="accent1" w:themeShade="BF"/>
    </w:rPr>
  </w:style>
  <w:style w:type="character" w:customStyle="1" w:styleId="Ttulo5Char">
    <w:name w:val="Título 5 Char"/>
    <w:basedOn w:val="Fontepargpadro"/>
    <w:link w:val="Ttulo5"/>
    <w:uiPriority w:val="9"/>
    <w:semiHidden/>
    <w:rsid w:val="004C6145"/>
    <w:rPr>
      <w:rFonts w:eastAsiaTheme="majorEastAsia" w:cstheme="majorBidi"/>
      <w:color w:val="2E74B5" w:themeColor="accent1" w:themeShade="BF"/>
    </w:rPr>
  </w:style>
  <w:style w:type="character" w:customStyle="1" w:styleId="Ttulo6Char">
    <w:name w:val="Título 6 Char"/>
    <w:basedOn w:val="Fontepargpadro"/>
    <w:link w:val="Ttulo6"/>
    <w:uiPriority w:val="9"/>
    <w:semiHidden/>
    <w:rsid w:val="004C6145"/>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4C6145"/>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4C6145"/>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4C6145"/>
    <w:rPr>
      <w:rFonts w:eastAsiaTheme="majorEastAsia" w:cstheme="majorBidi"/>
      <w:color w:val="272727" w:themeColor="text1" w:themeTint="D8"/>
    </w:rPr>
  </w:style>
  <w:style w:type="paragraph" w:styleId="Ttulo">
    <w:name w:val="Title"/>
    <w:basedOn w:val="Normal"/>
    <w:next w:val="Normal"/>
    <w:link w:val="TtuloChar"/>
    <w:uiPriority w:val="10"/>
    <w:qFormat/>
    <w:rsid w:val="004C614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4C614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4C6145"/>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4C6145"/>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4C6145"/>
    <w:pPr>
      <w:spacing w:before="160"/>
      <w:jc w:val="center"/>
    </w:pPr>
    <w:rPr>
      <w:i/>
      <w:iCs/>
      <w:color w:val="404040" w:themeColor="text1" w:themeTint="BF"/>
    </w:rPr>
  </w:style>
  <w:style w:type="character" w:customStyle="1" w:styleId="CitaoChar">
    <w:name w:val="Citação Char"/>
    <w:basedOn w:val="Fontepargpadro"/>
    <w:link w:val="Citao"/>
    <w:uiPriority w:val="29"/>
    <w:rsid w:val="004C6145"/>
    <w:rPr>
      <w:i/>
      <w:iCs/>
      <w:color w:val="404040" w:themeColor="text1" w:themeTint="BF"/>
    </w:rPr>
  </w:style>
  <w:style w:type="paragraph" w:styleId="PargrafodaLista">
    <w:name w:val="List Paragraph"/>
    <w:basedOn w:val="Normal"/>
    <w:uiPriority w:val="34"/>
    <w:qFormat/>
    <w:rsid w:val="004C6145"/>
    <w:pPr>
      <w:ind w:left="720"/>
      <w:contextualSpacing/>
    </w:pPr>
  </w:style>
  <w:style w:type="character" w:styleId="nfaseIntensa">
    <w:name w:val="Intense Emphasis"/>
    <w:basedOn w:val="Fontepargpadro"/>
    <w:uiPriority w:val="21"/>
    <w:qFormat/>
    <w:rsid w:val="004C6145"/>
    <w:rPr>
      <w:i/>
      <w:iCs/>
      <w:color w:val="2E74B5" w:themeColor="accent1" w:themeShade="BF"/>
    </w:rPr>
  </w:style>
  <w:style w:type="paragraph" w:styleId="CitaoIntensa">
    <w:name w:val="Intense Quote"/>
    <w:basedOn w:val="Normal"/>
    <w:next w:val="Normal"/>
    <w:link w:val="CitaoIntensaChar"/>
    <w:uiPriority w:val="30"/>
    <w:qFormat/>
    <w:rsid w:val="004C6145"/>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itaoIntensaChar">
    <w:name w:val="Citação Intensa Char"/>
    <w:basedOn w:val="Fontepargpadro"/>
    <w:link w:val="CitaoIntensa"/>
    <w:uiPriority w:val="30"/>
    <w:rsid w:val="004C6145"/>
    <w:rPr>
      <w:i/>
      <w:iCs/>
      <w:color w:val="2E74B5" w:themeColor="accent1" w:themeShade="BF"/>
    </w:rPr>
  </w:style>
  <w:style w:type="character" w:styleId="RefernciaIntensa">
    <w:name w:val="Intense Reference"/>
    <w:basedOn w:val="Fontepargpadro"/>
    <w:uiPriority w:val="32"/>
    <w:qFormat/>
    <w:rsid w:val="004C6145"/>
    <w:rPr>
      <w:b/>
      <w:bCs/>
      <w:smallCaps/>
      <w:color w:val="2E74B5" w:themeColor="accent1" w:themeShade="BF"/>
      <w:spacing w:val="5"/>
    </w:rPr>
  </w:style>
  <w:style w:type="paragraph" w:styleId="Reviso">
    <w:name w:val="Revision"/>
    <w:hidden/>
    <w:uiPriority w:val="99"/>
    <w:semiHidden/>
    <w:rsid w:val="004C6145"/>
    <w:pPr>
      <w:spacing w:after="0" w:line="240" w:lineRule="auto"/>
    </w:pPr>
  </w:style>
  <w:style w:type="character" w:styleId="Refdecomentrio">
    <w:name w:val="annotation reference"/>
    <w:basedOn w:val="Fontepargpadro"/>
    <w:uiPriority w:val="99"/>
    <w:semiHidden/>
    <w:unhideWhenUsed/>
    <w:rsid w:val="005324DA"/>
    <w:rPr>
      <w:sz w:val="16"/>
      <w:szCs w:val="16"/>
    </w:rPr>
  </w:style>
  <w:style w:type="paragraph" w:styleId="Textodecomentrio">
    <w:name w:val="annotation text"/>
    <w:basedOn w:val="Normal"/>
    <w:link w:val="TextodecomentrioChar"/>
    <w:uiPriority w:val="99"/>
    <w:unhideWhenUsed/>
    <w:rsid w:val="005324DA"/>
    <w:pPr>
      <w:spacing w:line="240" w:lineRule="auto"/>
    </w:pPr>
    <w:rPr>
      <w:sz w:val="20"/>
      <w:szCs w:val="20"/>
    </w:rPr>
  </w:style>
  <w:style w:type="character" w:customStyle="1" w:styleId="TextodecomentrioChar">
    <w:name w:val="Texto de comentário Char"/>
    <w:basedOn w:val="Fontepargpadro"/>
    <w:link w:val="Textodecomentrio"/>
    <w:uiPriority w:val="99"/>
    <w:rsid w:val="005324DA"/>
    <w:rPr>
      <w:sz w:val="20"/>
      <w:szCs w:val="20"/>
    </w:rPr>
  </w:style>
  <w:style w:type="paragraph" w:styleId="Assuntodocomentrio">
    <w:name w:val="annotation subject"/>
    <w:basedOn w:val="Textodecomentrio"/>
    <w:next w:val="Textodecomentrio"/>
    <w:link w:val="AssuntodocomentrioChar"/>
    <w:uiPriority w:val="99"/>
    <w:semiHidden/>
    <w:unhideWhenUsed/>
    <w:rsid w:val="005324DA"/>
    <w:rPr>
      <w:b/>
      <w:bCs/>
    </w:rPr>
  </w:style>
  <w:style w:type="character" w:customStyle="1" w:styleId="AssuntodocomentrioChar">
    <w:name w:val="Assunto do comentário Char"/>
    <w:basedOn w:val="TextodecomentrioChar"/>
    <w:link w:val="Assuntodocomentrio"/>
    <w:uiPriority w:val="99"/>
    <w:semiHidden/>
    <w:rsid w:val="005324D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TotalTime>
  <Pages>4</Pages>
  <Words>1332</Words>
  <Characters>7193</Characters>
  <Application>Microsoft Office Word</Application>
  <DocSecurity>0</DocSecurity>
  <Lines>59</Lines>
  <Paragraphs>17</Paragraphs>
  <ScaleCrop>false</ScaleCrop>
  <HeadingPairs>
    <vt:vector size="2" baseType="variant">
      <vt:variant>
        <vt:lpstr>Título</vt:lpstr>
      </vt:variant>
      <vt:variant>
        <vt:i4>1</vt:i4>
      </vt:variant>
    </vt:vector>
  </HeadingPairs>
  <TitlesOfParts>
    <vt:vector size="1" baseType="lpstr">
      <vt:lpstr/>
    </vt:vector>
  </TitlesOfParts>
  <Company>CELEBORN</Company>
  <LinksUpToDate>false</LinksUpToDate>
  <CharactersWithSpaces>8508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Mauricio de Aguirre Nakata - PREVICDF</dc:creator>
  <cp:keywords/>
  <dc:description/>
  <cp:lastModifiedBy>Arnaldo Ferreira Leite Burle Neto - PREVICDF</cp:lastModifiedBy>
  <cp:revision>10</cp:revision>
  <dcterms:created xsi:type="dcterms:W3CDTF">2024-03-08T18:39:00Z</dcterms:created>
  <dcterms:modified xsi:type="dcterms:W3CDTF">2024-03-13T14:30:00Z</dcterms:modified>
</cp:coreProperties>
</file>