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AFF25BC" w14:textId="77777777" w:rsidR="001B106B" w:rsidRPr="001B106B" w:rsidRDefault="001B106B" w:rsidP="001B106B">
      <w:pPr>
        <w:spacing w:before="100" w:beforeAutospacing="1" w:after="100" w:afterAutospacing="1" w:line="240" w:lineRule="auto"/>
        <w:jc w:val="center"/>
        <w:rPr>
          <w:rFonts w:ascii="Calibri" w:eastAsia="Times New Roman" w:hAnsi="Calibri" w:cs="Calibri"/>
          <w:caps/>
          <w:color w:val="000000"/>
          <w:sz w:val="26"/>
          <w:szCs w:val="26"/>
          <w:lang w:eastAsia="pt-BR"/>
        </w:rPr>
      </w:pPr>
      <w:r w:rsidRPr="001B106B">
        <w:rPr>
          <w:rFonts w:ascii="Calibri" w:eastAsia="Times New Roman" w:hAnsi="Calibri" w:cs="Calibri"/>
          <w:caps/>
          <w:color w:val="000000"/>
          <w:sz w:val="26"/>
          <w:szCs w:val="26"/>
          <w:lang w:eastAsia="pt-BR"/>
        </w:rPr>
        <w:t>MINUTA DE RESOLUÇÃO</w:t>
      </w:r>
    </w:p>
    <w:tbl>
      <w:tblPr>
        <w:tblW w:w="10064" w:type="dxa"/>
        <w:jc w:val="center"/>
        <w:tblCellSpacing w:w="10" w:type="dxa"/>
        <w:tblCellMar>
          <w:top w:w="200" w:type="dxa"/>
          <w:left w:w="200" w:type="dxa"/>
          <w:bottom w:w="200" w:type="dxa"/>
          <w:right w:w="200" w:type="dxa"/>
        </w:tblCellMar>
        <w:tblLook w:val="04A0" w:firstRow="1" w:lastRow="0" w:firstColumn="1" w:lastColumn="0" w:noHBand="0" w:noVBand="1"/>
      </w:tblPr>
      <w:tblGrid>
        <w:gridCol w:w="5014"/>
        <w:gridCol w:w="5050"/>
      </w:tblGrid>
      <w:tr w:rsidR="001B106B" w:rsidRPr="001B106B" w14:paraId="4C0D7BEA" w14:textId="77777777" w:rsidTr="001B106B">
        <w:trPr>
          <w:trHeight w:val="1035"/>
          <w:tblCellSpacing w:w="10" w:type="dxa"/>
          <w:jc w:val="center"/>
        </w:trPr>
        <w:tc>
          <w:tcPr>
            <w:tcW w:w="4984" w:type="dxa"/>
            <w:tcMar>
              <w:top w:w="200" w:type="dxa"/>
              <w:left w:w="200" w:type="dxa"/>
              <w:bottom w:w="200" w:type="dxa"/>
              <w:right w:w="375" w:type="dxa"/>
            </w:tcMar>
            <w:vAlign w:val="center"/>
            <w:hideMark/>
          </w:tcPr>
          <w:p w14:paraId="2957A31F" w14:textId="77777777" w:rsidR="001B106B" w:rsidRPr="001B106B" w:rsidRDefault="001B106B" w:rsidP="001B106B">
            <w:pPr>
              <w:spacing w:after="0" w:line="240" w:lineRule="auto"/>
              <w:rPr>
                <w:rFonts w:ascii="Times New Roman" w:eastAsia="Times New Roman" w:hAnsi="Times New Roman" w:cs="Times New Roman"/>
                <w:color w:val="000000"/>
                <w:sz w:val="27"/>
                <w:szCs w:val="27"/>
                <w:lang w:eastAsia="pt-BR"/>
              </w:rPr>
            </w:pPr>
            <w:r w:rsidRPr="001B106B">
              <w:rPr>
                <w:rFonts w:ascii="Times New Roman" w:eastAsia="Times New Roman" w:hAnsi="Times New Roman" w:cs="Times New Roman"/>
                <w:color w:val="000000"/>
                <w:sz w:val="27"/>
                <w:szCs w:val="27"/>
                <w:lang w:eastAsia="pt-BR"/>
              </w:rPr>
              <w:t>  </w:t>
            </w:r>
          </w:p>
        </w:tc>
        <w:tc>
          <w:tcPr>
            <w:tcW w:w="5020" w:type="dxa"/>
            <w:vAlign w:val="center"/>
            <w:hideMark/>
          </w:tcPr>
          <w:p w14:paraId="22199FA0" w14:textId="77777777" w:rsidR="001B106B" w:rsidRPr="001B106B" w:rsidRDefault="001B106B" w:rsidP="001B106B">
            <w:pPr>
              <w:spacing w:before="120" w:after="120" w:line="240" w:lineRule="auto"/>
              <w:ind w:left="120" w:right="120"/>
              <w:jc w:val="both"/>
              <w:rPr>
                <w:rFonts w:ascii="Calibri" w:eastAsia="Times New Roman" w:hAnsi="Calibri" w:cs="Calibri"/>
                <w:color w:val="000000"/>
                <w:sz w:val="24"/>
                <w:szCs w:val="24"/>
                <w:lang w:eastAsia="pt-BR"/>
              </w:rPr>
            </w:pPr>
            <w:r w:rsidRPr="001B106B">
              <w:rPr>
                <w:rFonts w:ascii="Calibri" w:eastAsia="Times New Roman" w:hAnsi="Calibri" w:cs="Calibri"/>
                <w:color w:val="000000"/>
                <w:lang w:eastAsia="pt-BR"/>
              </w:rPr>
              <w:t>Altera a Resolução Previc nº 23, de 14 de agosto de 2023, que estabelece procedimentos para aplicação das normas relativas às atividades desenvolvidas pela Superintendência Nacional de Previdência Complementar</w:t>
            </w:r>
            <w:r w:rsidRPr="001B106B">
              <w:rPr>
                <w:rFonts w:ascii="Calibri" w:eastAsia="Times New Roman" w:hAnsi="Calibri" w:cs="Calibri"/>
                <w:color w:val="000000"/>
                <w:sz w:val="24"/>
                <w:szCs w:val="24"/>
                <w:lang w:eastAsia="pt-BR"/>
              </w:rPr>
              <w:t>.</w:t>
            </w:r>
          </w:p>
        </w:tc>
      </w:tr>
    </w:tbl>
    <w:p w14:paraId="3C57A217" w14:textId="77777777" w:rsidR="001B106B" w:rsidRPr="001B106B" w:rsidRDefault="001B106B" w:rsidP="001B106B">
      <w:pPr>
        <w:spacing w:before="120" w:after="120" w:line="240" w:lineRule="auto"/>
        <w:ind w:left="120" w:right="120" w:firstLine="1418"/>
        <w:jc w:val="both"/>
        <w:rPr>
          <w:rFonts w:ascii="Calibri" w:eastAsia="Times New Roman" w:hAnsi="Calibri" w:cs="Calibri"/>
          <w:color w:val="000000"/>
          <w:sz w:val="27"/>
          <w:szCs w:val="27"/>
          <w:lang w:eastAsia="pt-BR"/>
        </w:rPr>
      </w:pPr>
      <w:r w:rsidRPr="001B106B">
        <w:rPr>
          <w:rFonts w:ascii="Calibri" w:eastAsia="Times New Roman" w:hAnsi="Calibri" w:cs="Calibri"/>
          <w:color w:val="000000"/>
          <w:sz w:val="27"/>
          <w:szCs w:val="27"/>
          <w:lang w:eastAsia="pt-BR"/>
        </w:rPr>
        <w:t> </w:t>
      </w:r>
    </w:p>
    <w:p w14:paraId="08F21D48" w14:textId="77777777" w:rsidR="001B106B" w:rsidRPr="001B106B" w:rsidRDefault="001B106B" w:rsidP="001B106B">
      <w:pPr>
        <w:spacing w:before="120" w:after="120" w:line="240" w:lineRule="auto"/>
        <w:ind w:left="120" w:right="120" w:firstLine="1418"/>
        <w:jc w:val="both"/>
        <w:rPr>
          <w:rFonts w:ascii="Calibri" w:eastAsia="Times New Roman" w:hAnsi="Calibri" w:cs="Calibri"/>
          <w:color w:val="000000"/>
          <w:sz w:val="27"/>
          <w:szCs w:val="27"/>
          <w:lang w:eastAsia="pt-BR"/>
        </w:rPr>
      </w:pPr>
      <w:r w:rsidRPr="001B106B">
        <w:rPr>
          <w:rFonts w:ascii="Calibri" w:eastAsia="Times New Roman" w:hAnsi="Calibri" w:cs="Calibri"/>
          <w:color w:val="000000"/>
          <w:sz w:val="27"/>
          <w:szCs w:val="27"/>
          <w:lang w:eastAsia="pt-BR"/>
        </w:rPr>
        <w:t> </w:t>
      </w:r>
    </w:p>
    <w:p w14:paraId="4B5A0D3A" w14:textId="77777777" w:rsidR="001B106B" w:rsidRPr="001B106B" w:rsidRDefault="001B106B" w:rsidP="001B106B">
      <w:pPr>
        <w:spacing w:before="120" w:after="120" w:line="240" w:lineRule="auto"/>
        <w:ind w:left="120" w:right="120"/>
        <w:jc w:val="both"/>
        <w:rPr>
          <w:rFonts w:ascii="Calibri" w:eastAsia="Times New Roman" w:hAnsi="Calibri" w:cs="Calibri"/>
          <w:color w:val="000000"/>
          <w:sz w:val="27"/>
          <w:szCs w:val="27"/>
          <w:lang w:eastAsia="pt-BR"/>
        </w:rPr>
      </w:pPr>
      <w:r w:rsidRPr="001B106B">
        <w:rPr>
          <w:rFonts w:ascii="Calibri" w:eastAsia="Times New Roman" w:hAnsi="Calibri" w:cs="Calibri"/>
          <w:color w:val="000000"/>
          <w:lang w:eastAsia="pt-BR"/>
        </w:rPr>
        <w:t xml:space="preserve">A DIRETORIA COLEGIADA DA SUPERINTENDÊNCIA NACIONAL DE PREVIDÊNCIA COMPLEMENTAR (PREVIC), na sessão </w:t>
      </w:r>
      <w:proofErr w:type="spellStart"/>
      <w:r w:rsidRPr="001B106B">
        <w:rPr>
          <w:rFonts w:ascii="Calibri" w:eastAsia="Times New Roman" w:hAnsi="Calibri" w:cs="Calibri"/>
          <w:color w:val="000000"/>
          <w:lang w:eastAsia="pt-BR"/>
        </w:rPr>
        <w:t>xxxª</w:t>
      </w:r>
      <w:proofErr w:type="spellEnd"/>
      <w:r w:rsidRPr="001B106B">
        <w:rPr>
          <w:rFonts w:ascii="Calibri" w:eastAsia="Times New Roman" w:hAnsi="Calibri" w:cs="Calibri"/>
          <w:color w:val="000000"/>
          <w:lang w:eastAsia="pt-BR"/>
        </w:rPr>
        <w:t xml:space="preserve">, realizada em </w:t>
      </w:r>
      <w:proofErr w:type="spellStart"/>
      <w:r w:rsidRPr="001B106B">
        <w:rPr>
          <w:rFonts w:ascii="Calibri" w:eastAsia="Times New Roman" w:hAnsi="Calibri" w:cs="Calibri"/>
          <w:color w:val="000000"/>
          <w:lang w:eastAsia="pt-BR"/>
        </w:rPr>
        <w:t>xx</w:t>
      </w:r>
      <w:proofErr w:type="spellEnd"/>
      <w:r w:rsidRPr="001B106B">
        <w:rPr>
          <w:rFonts w:ascii="Calibri" w:eastAsia="Times New Roman" w:hAnsi="Calibri" w:cs="Calibri"/>
          <w:color w:val="000000"/>
          <w:lang w:eastAsia="pt-BR"/>
        </w:rPr>
        <w:t xml:space="preserve"> de </w:t>
      </w:r>
      <w:proofErr w:type="spellStart"/>
      <w:r w:rsidRPr="001B106B">
        <w:rPr>
          <w:rFonts w:ascii="Calibri" w:eastAsia="Times New Roman" w:hAnsi="Calibri" w:cs="Calibri"/>
          <w:color w:val="000000"/>
          <w:lang w:eastAsia="pt-BR"/>
        </w:rPr>
        <w:t>xxxxxxxx</w:t>
      </w:r>
      <w:proofErr w:type="spellEnd"/>
      <w:r w:rsidRPr="001B106B">
        <w:rPr>
          <w:rFonts w:ascii="Calibri" w:eastAsia="Times New Roman" w:hAnsi="Calibri" w:cs="Calibri"/>
          <w:color w:val="000000"/>
          <w:lang w:eastAsia="pt-BR"/>
        </w:rPr>
        <w:t xml:space="preserve"> de 2024, com fundamento na Lei Complementar nº 109, de 29 de maio de 2001, na Lei nº 12.154, de 23 de dezembro de 2009, e no Decreto nº 11.241, de 18 de outubro de 2022, resolve:</w:t>
      </w:r>
    </w:p>
    <w:p w14:paraId="58BA3B24" w14:textId="77777777" w:rsidR="001B106B" w:rsidRPr="001B106B" w:rsidRDefault="001B106B" w:rsidP="001B106B">
      <w:pPr>
        <w:spacing w:before="120" w:after="120" w:line="240" w:lineRule="auto"/>
        <w:ind w:left="120" w:right="120"/>
        <w:jc w:val="both"/>
        <w:rPr>
          <w:rFonts w:ascii="Calibri" w:eastAsia="Times New Roman" w:hAnsi="Calibri" w:cs="Calibri"/>
          <w:color w:val="000000"/>
          <w:sz w:val="27"/>
          <w:szCs w:val="27"/>
          <w:lang w:eastAsia="pt-BR"/>
        </w:rPr>
      </w:pPr>
      <w:r w:rsidRPr="001B106B">
        <w:rPr>
          <w:rFonts w:ascii="Calibri" w:eastAsia="Times New Roman" w:hAnsi="Calibri" w:cs="Calibri"/>
          <w:color w:val="000000"/>
          <w:sz w:val="27"/>
          <w:szCs w:val="27"/>
          <w:lang w:eastAsia="pt-BR"/>
        </w:rPr>
        <w:t> </w:t>
      </w:r>
    </w:p>
    <w:p w14:paraId="7B7BC272" w14:textId="77777777" w:rsidR="001B106B" w:rsidRPr="001B106B" w:rsidRDefault="001B106B" w:rsidP="001B106B">
      <w:pPr>
        <w:spacing w:before="120" w:after="120" w:line="240" w:lineRule="auto"/>
        <w:ind w:left="120" w:right="120"/>
        <w:jc w:val="both"/>
        <w:rPr>
          <w:rFonts w:ascii="Times New Roman" w:eastAsia="Times New Roman" w:hAnsi="Times New Roman" w:cs="Times New Roman"/>
          <w:color w:val="000000"/>
          <w:sz w:val="27"/>
          <w:szCs w:val="27"/>
          <w:lang w:eastAsia="pt-BR"/>
        </w:rPr>
      </w:pPr>
      <w:r w:rsidRPr="001B106B">
        <w:rPr>
          <w:rFonts w:ascii="Calibri" w:eastAsia="Times New Roman" w:hAnsi="Calibri" w:cs="Calibri"/>
          <w:color w:val="000000"/>
          <w:lang w:eastAsia="pt-BR"/>
        </w:rPr>
        <w:t>Art. 1º O art. 24 da Resolução Previc n.º 23 de 14 de agosto de 2023, passa a vigorar com a seguinte redação:</w:t>
      </w:r>
    </w:p>
    <w:p w14:paraId="55DF7E9B" w14:textId="77777777" w:rsidR="001B106B" w:rsidRPr="001B106B" w:rsidRDefault="001B106B" w:rsidP="001B106B">
      <w:pPr>
        <w:spacing w:before="120" w:after="120" w:line="240" w:lineRule="auto"/>
        <w:ind w:left="1560" w:right="120"/>
        <w:jc w:val="both"/>
        <w:rPr>
          <w:rFonts w:ascii="Times New Roman" w:eastAsia="Times New Roman" w:hAnsi="Times New Roman" w:cs="Times New Roman"/>
          <w:color w:val="000000"/>
          <w:sz w:val="27"/>
          <w:szCs w:val="27"/>
          <w:lang w:eastAsia="pt-BR"/>
        </w:rPr>
      </w:pPr>
      <w:r w:rsidRPr="001B106B">
        <w:rPr>
          <w:rFonts w:ascii="Times New Roman" w:eastAsia="Times New Roman" w:hAnsi="Times New Roman" w:cs="Times New Roman"/>
          <w:color w:val="000000"/>
          <w:sz w:val="27"/>
          <w:szCs w:val="27"/>
          <w:lang w:eastAsia="pt-BR"/>
        </w:rPr>
        <w:t> </w:t>
      </w:r>
    </w:p>
    <w:p w14:paraId="7A08EF6D" w14:textId="2A2178AE" w:rsidR="001B106B" w:rsidRPr="001B106B" w:rsidRDefault="001B106B" w:rsidP="001B106B">
      <w:pPr>
        <w:spacing w:before="120" w:after="120" w:line="240" w:lineRule="auto"/>
        <w:ind w:left="1560" w:right="120"/>
        <w:jc w:val="both"/>
        <w:rPr>
          <w:rFonts w:ascii="Times New Roman" w:eastAsia="Times New Roman" w:hAnsi="Times New Roman" w:cs="Times New Roman"/>
          <w:color w:val="000000"/>
          <w:sz w:val="27"/>
          <w:szCs w:val="27"/>
          <w:lang w:eastAsia="pt-BR"/>
        </w:rPr>
      </w:pPr>
      <w:r w:rsidRPr="001B106B">
        <w:rPr>
          <w:rFonts w:ascii="Calibri" w:eastAsia="Times New Roman" w:hAnsi="Calibri" w:cs="Calibri"/>
          <w:color w:val="000000"/>
          <w:lang w:eastAsia="pt-BR"/>
        </w:rPr>
        <w:t>"Art.24........................................................................................................................................................................</w:t>
      </w:r>
      <w:r>
        <w:rPr>
          <w:rFonts w:ascii="Calibri" w:eastAsia="Times New Roman" w:hAnsi="Calibri" w:cs="Calibri"/>
          <w:color w:val="000000"/>
          <w:lang w:eastAsia="pt-BR"/>
        </w:rPr>
        <w:t>.............................................................................................................</w:t>
      </w:r>
    </w:p>
    <w:p w14:paraId="43D610C0" w14:textId="77777777" w:rsidR="001B106B" w:rsidRPr="001B106B" w:rsidRDefault="001B106B" w:rsidP="001B106B">
      <w:pPr>
        <w:spacing w:before="120" w:after="120" w:line="240" w:lineRule="auto"/>
        <w:ind w:left="1560" w:right="120"/>
        <w:jc w:val="both"/>
        <w:rPr>
          <w:rFonts w:ascii="Times New Roman" w:eastAsia="Times New Roman" w:hAnsi="Times New Roman" w:cs="Times New Roman"/>
          <w:color w:val="000000"/>
          <w:sz w:val="27"/>
          <w:szCs w:val="27"/>
          <w:lang w:eastAsia="pt-BR"/>
        </w:rPr>
      </w:pPr>
      <w:r w:rsidRPr="001B106B">
        <w:rPr>
          <w:rFonts w:ascii="Calibri" w:eastAsia="Times New Roman" w:hAnsi="Calibri" w:cs="Calibri"/>
          <w:color w:val="000000"/>
          <w:lang w:eastAsia="pt-BR"/>
        </w:rPr>
        <w:t>§1º Em situações excepcionais, devidamente justificadas, a Previc poderá permitir a prorrogação do prazo previsto no caput, sem prejuízo do encaminhamento imediato de solicitação de habilitação do substituto.</w:t>
      </w:r>
    </w:p>
    <w:p w14:paraId="064D5BD0" w14:textId="77777777" w:rsidR="001B106B" w:rsidRPr="001B106B" w:rsidRDefault="001B106B" w:rsidP="001B106B">
      <w:pPr>
        <w:spacing w:before="120" w:after="120" w:line="240" w:lineRule="auto"/>
        <w:ind w:left="1560" w:right="120"/>
        <w:jc w:val="both"/>
        <w:rPr>
          <w:rFonts w:ascii="Times New Roman" w:eastAsia="Times New Roman" w:hAnsi="Times New Roman" w:cs="Times New Roman"/>
          <w:color w:val="000000"/>
          <w:sz w:val="27"/>
          <w:szCs w:val="27"/>
          <w:lang w:eastAsia="pt-BR"/>
        </w:rPr>
      </w:pPr>
      <w:r w:rsidRPr="001B106B">
        <w:rPr>
          <w:rFonts w:ascii="Calibri" w:eastAsia="Times New Roman" w:hAnsi="Calibri" w:cs="Calibri"/>
          <w:color w:val="000000"/>
          <w:lang w:eastAsia="pt-BR"/>
        </w:rPr>
        <w:t>§2º Na hipótese devidamente justificada de não realização tempestiva e prévia do processo seletivo referido no §1º do artigo 5º da Resolução CNPC nº 35, de 20 de dezembro de 2019, alterada pela Resolução CNPC nº 49, de 08 de dezembro de 2021, excepcionalmente, poderá ser requerida pela EFPC a habilitação de empregado ou dirigente que já presta serviço à mesma para o exercício de cargo na condição de interino, por prazo não superior a seis meses, condicionada à apresentação de cronograma para a realização do processo seletivo."</w:t>
      </w:r>
    </w:p>
    <w:p w14:paraId="60C7E7AB" w14:textId="77777777" w:rsidR="001B106B" w:rsidRPr="001B106B" w:rsidRDefault="001B106B" w:rsidP="001B106B">
      <w:pPr>
        <w:spacing w:before="120" w:after="120" w:line="240" w:lineRule="auto"/>
        <w:ind w:right="120" w:firstLine="1560"/>
        <w:jc w:val="both"/>
        <w:rPr>
          <w:rFonts w:ascii="Times New Roman" w:eastAsia="Times New Roman" w:hAnsi="Times New Roman" w:cs="Times New Roman"/>
          <w:color w:val="000000"/>
          <w:sz w:val="27"/>
          <w:szCs w:val="27"/>
          <w:lang w:eastAsia="pt-BR"/>
        </w:rPr>
      </w:pPr>
      <w:r w:rsidRPr="001B106B">
        <w:rPr>
          <w:rFonts w:ascii="Times New Roman" w:eastAsia="Times New Roman" w:hAnsi="Times New Roman" w:cs="Times New Roman"/>
          <w:color w:val="000000"/>
          <w:sz w:val="27"/>
          <w:szCs w:val="27"/>
          <w:lang w:eastAsia="pt-BR"/>
        </w:rPr>
        <w:t> </w:t>
      </w:r>
    </w:p>
    <w:p w14:paraId="700F724B" w14:textId="77777777" w:rsidR="001B106B" w:rsidRPr="001B106B" w:rsidRDefault="001B106B" w:rsidP="001B106B">
      <w:pPr>
        <w:spacing w:before="120" w:after="120" w:line="240" w:lineRule="auto"/>
        <w:ind w:right="120"/>
        <w:jc w:val="both"/>
        <w:rPr>
          <w:rFonts w:ascii="Times New Roman" w:eastAsia="Times New Roman" w:hAnsi="Times New Roman" w:cs="Times New Roman"/>
          <w:color w:val="000000"/>
          <w:sz w:val="27"/>
          <w:szCs w:val="27"/>
          <w:lang w:eastAsia="pt-BR"/>
        </w:rPr>
      </w:pPr>
      <w:r w:rsidRPr="001B106B">
        <w:rPr>
          <w:rFonts w:ascii="Calibri" w:eastAsia="Times New Roman" w:hAnsi="Calibri" w:cs="Calibri"/>
          <w:color w:val="000000"/>
          <w:lang w:eastAsia="pt-BR"/>
        </w:rPr>
        <w:t>Art. 2º Esta Resolução entra em vigor em 1º de abril de 2024.</w:t>
      </w:r>
    </w:p>
    <w:p w14:paraId="69F10A80" w14:textId="77777777" w:rsidR="00EB7D43" w:rsidRDefault="00EB7D43"/>
    <w:sectPr w:rsidR="00EB7D43" w:rsidSect="00390746">
      <w:pgSz w:w="11906" w:h="16838"/>
      <w:pgMar w:top="1440" w:right="1080" w:bottom="1440" w:left="108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76"/>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B106B"/>
    <w:rsid w:val="001B106B"/>
    <w:rsid w:val="00390746"/>
    <w:rsid w:val="00EB7D43"/>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2AC4501"/>
  <w15:chartTrackingRefBased/>
  <w15:docId w15:val="{56DE8A2B-D427-4ABF-A338-EBDF670A8E3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pt-BR"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basedOn w:val="Normal"/>
    <w:next w:val="Normal"/>
    <w:link w:val="Ttulo1Char"/>
    <w:uiPriority w:val="9"/>
    <w:qFormat/>
    <w:rsid w:val="001B106B"/>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Ttulo2">
    <w:name w:val="heading 2"/>
    <w:basedOn w:val="Normal"/>
    <w:next w:val="Normal"/>
    <w:link w:val="Ttulo2Char"/>
    <w:uiPriority w:val="9"/>
    <w:semiHidden/>
    <w:unhideWhenUsed/>
    <w:qFormat/>
    <w:rsid w:val="001B106B"/>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Ttulo3">
    <w:name w:val="heading 3"/>
    <w:basedOn w:val="Normal"/>
    <w:next w:val="Normal"/>
    <w:link w:val="Ttulo3Char"/>
    <w:uiPriority w:val="9"/>
    <w:semiHidden/>
    <w:unhideWhenUsed/>
    <w:qFormat/>
    <w:rsid w:val="001B106B"/>
    <w:pPr>
      <w:keepNext/>
      <w:keepLines/>
      <w:spacing w:before="160" w:after="80"/>
      <w:outlineLvl w:val="2"/>
    </w:pPr>
    <w:rPr>
      <w:rFonts w:eastAsiaTheme="majorEastAsia" w:cstheme="majorBidi"/>
      <w:color w:val="0F4761" w:themeColor="accent1" w:themeShade="BF"/>
      <w:sz w:val="28"/>
      <w:szCs w:val="28"/>
    </w:rPr>
  </w:style>
  <w:style w:type="paragraph" w:styleId="Ttulo4">
    <w:name w:val="heading 4"/>
    <w:basedOn w:val="Normal"/>
    <w:next w:val="Normal"/>
    <w:link w:val="Ttulo4Char"/>
    <w:uiPriority w:val="9"/>
    <w:semiHidden/>
    <w:unhideWhenUsed/>
    <w:qFormat/>
    <w:rsid w:val="001B106B"/>
    <w:pPr>
      <w:keepNext/>
      <w:keepLines/>
      <w:spacing w:before="80" w:after="40"/>
      <w:outlineLvl w:val="3"/>
    </w:pPr>
    <w:rPr>
      <w:rFonts w:eastAsiaTheme="majorEastAsia" w:cstheme="majorBidi"/>
      <w:i/>
      <w:iCs/>
      <w:color w:val="0F4761" w:themeColor="accent1" w:themeShade="BF"/>
    </w:rPr>
  </w:style>
  <w:style w:type="paragraph" w:styleId="Ttulo5">
    <w:name w:val="heading 5"/>
    <w:basedOn w:val="Normal"/>
    <w:next w:val="Normal"/>
    <w:link w:val="Ttulo5Char"/>
    <w:uiPriority w:val="9"/>
    <w:semiHidden/>
    <w:unhideWhenUsed/>
    <w:qFormat/>
    <w:rsid w:val="001B106B"/>
    <w:pPr>
      <w:keepNext/>
      <w:keepLines/>
      <w:spacing w:before="80" w:after="40"/>
      <w:outlineLvl w:val="4"/>
    </w:pPr>
    <w:rPr>
      <w:rFonts w:eastAsiaTheme="majorEastAsia" w:cstheme="majorBidi"/>
      <w:color w:val="0F4761" w:themeColor="accent1" w:themeShade="BF"/>
    </w:rPr>
  </w:style>
  <w:style w:type="paragraph" w:styleId="Ttulo6">
    <w:name w:val="heading 6"/>
    <w:basedOn w:val="Normal"/>
    <w:next w:val="Normal"/>
    <w:link w:val="Ttulo6Char"/>
    <w:uiPriority w:val="9"/>
    <w:semiHidden/>
    <w:unhideWhenUsed/>
    <w:qFormat/>
    <w:rsid w:val="001B106B"/>
    <w:pPr>
      <w:keepNext/>
      <w:keepLines/>
      <w:spacing w:before="40" w:after="0"/>
      <w:outlineLvl w:val="5"/>
    </w:pPr>
    <w:rPr>
      <w:rFonts w:eastAsiaTheme="majorEastAsia" w:cstheme="majorBidi"/>
      <w:i/>
      <w:iCs/>
      <w:color w:val="595959" w:themeColor="text1" w:themeTint="A6"/>
    </w:rPr>
  </w:style>
  <w:style w:type="paragraph" w:styleId="Ttulo7">
    <w:name w:val="heading 7"/>
    <w:basedOn w:val="Normal"/>
    <w:next w:val="Normal"/>
    <w:link w:val="Ttulo7Char"/>
    <w:uiPriority w:val="9"/>
    <w:semiHidden/>
    <w:unhideWhenUsed/>
    <w:qFormat/>
    <w:rsid w:val="001B106B"/>
    <w:pPr>
      <w:keepNext/>
      <w:keepLines/>
      <w:spacing w:before="40" w:after="0"/>
      <w:outlineLvl w:val="6"/>
    </w:pPr>
    <w:rPr>
      <w:rFonts w:eastAsiaTheme="majorEastAsia" w:cstheme="majorBidi"/>
      <w:color w:val="595959" w:themeColor="text1" w:themeTint="A6"/>
    </w:rPr>
  </w:style>
  <w:style w:type="paragraph" w:styleId="Ttulo8">
    <w:name w:val="heading 8"/>
    <w:basedOn w:val="Normal"/>
    <w:next w:val="Normal"/>
    <w:link w:val="Ttulo8Char"/>
    <w:uiPriority w:val="9"/>
    <w:semiHidden/>
    <w:unhideWhenUsed/>
    <w:qFormat/>
    <w:rsid w:val="001B106B"/>
    <w:pPr>
      <w:keepNext/>
      <w:keepLines/>
      <w:spacing w:after="0"/>
      <w:outlineLvl w:val="7"/>
    </w:pPr>
    <w:rPr>
      <w:rFonts w:eastAsiaTheme="majorEastAsia" w:cstheme="majorBidi"/>
      <w:i/>
      <w:iCs/>
      <w:color w:val="272727" w:themeColor="text1" w:themeTint="D8"/>
    </w:rPr>
  </w:style>
  <w:style w:type="paragraph" w:styleId="Ttulo9">
    <w:name w:val="heading 9"/>
    <w:basedOn w:val="Normal"/>
    <w:next w:val="Normal"/>
    <w:link w:val="Ttulo9Char"/>
    <w:uiPriority w:val="9"/>
    <w:semiHidden/>
    <w:unhideWhenUsed/>
    <w:qFormat/>
    <w:rsid w:val="001B106B"/>
    <w:pPr>
      <w:keepNext/>
      <w:keepLines/>
      <w:spacing w:after="0"/>
      <w:outlineLvl w:val="8"/>
    </w:pPr>
    <w:rPr>
      <w:rFonts w:eastAsiaTheme="majorEastAsia" w:cstheme="majorBidi"/>
      <w:color w:val="272727" w:themeColor="text1" w:themeTint="D8"/>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Ttulo1Char">
    <w:name w:val="Título 1 Char"/>
    <w:basedOn w:val="Fontepargpadro"/>
    <w:link w:val="Ttulo1"/>
    <w:uiPriority w:val="9"/>
    <w:rsid w:val="001B106B"/>
    <w:rPr>
      <w:rFonts w:asciiTheme="majorHAnsi" w:eastAsiaTheme="majorEastAsia" w:hAnsiTheme="majorHAnsi" w:cstheme="majorBidi"/>
      <w:color w:val="0F4761" w:themeColor="accent1" w:themeShade="BF"/>
      <w:sz w:val="40"/>
      <w:szCs w:val="40"/>
    </w:rPr>
  </w:style>
  <w:style w:type="character" w:customStyle="1" w:styleId="Ttulo2Char">
    <w:name w:val="Título 2 Char"/>
    <w:basedOn w:val="Fontepargpadro"/>
    <w:link w:val="Ttulo2"/>
    <w:uiPriority w:val="9"/>
    <w:semiHidden/>
    <w:rsid w:val="001B106B"/>
    <w:rPr>
      <w:rFonts w:asciiTheme="majorHAnsi" w:eastAsiaTheme="majorEastAsia" w:hAnsiTheme="majorHAnsi" w:cstheme="majorBidi"/>
      <w:color w:val="0F4761" w:themeColor="accent1" w:themeShade="BF"/>
      <w:sz w:val="32"/>
      <w:szCs w:val="32"/>
    </w:rPr>
  </w:style>
  <w:style w:type="character" w:customStyle="1" w:styleId="Ttulo3Char">
    <w:name w:val="Título 3 Char"/>
    <w:basedOn w:val="Fontepargpadro"/>
    <w:link w:val="Ttulo3"/>
    <w:uiPriority w:val="9"/>
    <w:semiHidden/>
    <w:rsid w:val="001B106B"/>
    <w:rPr>
      <w:rFonts w:eastAsiaTheme="majorEastAsia" w:cstheme="majorBidi"/>
      <w:color w:val="0F4761" w:themeColor="accent1" w:themeShade="BF"/>
      <w:sz w:val="28"/>
      <w:szCs w:val="28"/>
    </w:rPr>
  </w:style>
  <w:style w:type="character" w:customStyle="1" w:styleId="Ttulo4Char">
    <w:name w:val="Título 4 Char"/>
    <w:basedOn w:val="Fontepargpadro"/>
    <w:link w:val="Ttulo4"/>
    <w:uiPriority w:val="9"/>
    <w:semiHidden/>
    <w:rsid w:val="001B106B"/>
    <w:rPr>
      <w:rFonts w:eastAsiaTheme="majorEastAsia" w:cstheme="majorBidi"/>
      <w:i/>
      <w:iCs/>
      <w:color w:val="0F4761" w:themeColor="accent1" w:themeShade="BF"/>
    </w:rPr>
  </w:style>
  <w:style w:type="character" w:customStyle="1" w:styleId="Ttulo5Char">
    <w:name w:val="Título 5 Char"/>
    <w:basedOn w:val="Fontepargpadro"/>
    <w:link w:val="Ttulo5"/>
    <w:uiPriority w:val="9"/>
    <w:semiHidden/>
    <w:rsid w:val="001B106B"/>
    <w:rPr>
      <w:rFonts w:eastAsiaTheme="majorEastAsia" w:cstheme="majorBidi"/>
      <w:color w:val="0F4761" w:themeColor="accent1" w:themeShade="BF"/>
    </w:rPr>
  </w:style>
  <w:style w:type="character" w:customStyle="1" w:styleId="Ttulo6Char">
    <w:name w:val="Título 6 Char"/>
    <w:basedOn w:val="Fontepargpadro"/>
    <w:link w:val="Ttulo6"/>
    <w:uiPriority w:val="9"/>
    <w:semiHidden/>
    <w:rsid w:val="001B106B"/>
    <w:rPr>
      <w:rFonts w:eastAsiaTheme="majorEastAsia" w:cstheme="majorBidi"/>
      <w:i/>
      <w:iCs/>
      <w:color w:val="595959" w:themeColor="text1" w:themeTint="A6"/>
    </w:rPr>
  </w:style>
  <w:style w:type="character" w:customStyle="1" w:styleId="Ttulo7Char">
    <w:name w:val="Título 7 Char"/>
    <w:basedOn w:val="Fontepargpadro"/>
    <w:link w:val="Ttulo7"/>
    <w:uiPriority w:val="9"/>
    <w:semiHidden/>
    <w:rsid w:val="001B106B"/>
    <w:rPr>
      <w:rFonts w:eastAsiaTheme="majorEastAsia" w:cstheme="majorBidi"/>
      <w:color w:val="595959" w:themeColor="text1" w:themeTint="A6"/>
    </w:rPr>
  </w:style>
  <w:style w:type="character" w:customStyle="1" w:styleId="Ttulo8Char">
    <w:name w:val="Título 8 Char"/>
    <w:basedOn w:val="Fontepargpadro"/>
    <w:link w:val="Ttulo8"/>
    <w:uiPriority w:val="9"/>
    <w:semiHidden/>
    <w:rsid w:val="001B106B"/>
    <w:rPr>
      <w:rFonts w:eastAsiaTheme="majorEastAsia" w:cstheme="majorBidi"/>
      <w:i/>
      <w:iCs/>
      <w:color w:val="272727" w:themeColor="text1" w:themeTint="D8"/>
    </w:rPr>
  </w:style>
  <w:style w:type="character" w:customStyle="1" w:styleId="Ttulo9Char">
    <w:name w:val="Título 9 Char"/>
    <w:basedOn w:val="Fontepargpadro"/>
    <w:link w:val="Ttulo9"/>
    <w:uiPriority w:val="9"/>
    <w:semiHidden/>
    <w:rsid w:val="001B106B"/>
    <w:rPr>
      <w:rFonts w:eastAsiaTheme="majorEastAsia" w:cstheme="majorBidi"/>
      <w:color w:val="272727" w:themeColor="text1" w:themeTint="D8"/>
    </w:rPr>
  </w:style>
  <w:style w:type="paragraph" w:styleId="Ttulo">
    <w:name w:val="Title"/>
    <w:basedOn w:val="Normal"/>
    <w:next w:val="Normal"/>
    <w:link w:val="TtuloChar"/>
    <w:uiPriority w:val="10"/>
    <w:qFormat/>
    <w:rsid w:val="001B106B"/>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tuloChar">
    <w:name w:val="Título Char"/>
    <w:basedOn w:val="Fontepargpadro"/>
    <w:link w:val="Ttulo"/>
    <w:uiPriority w:val="10"/>
    <w:rsid w:val="001B106B"/>
    <w:rPr>
      <w:rFonts w:asciiTheme="majorHAnsi" w:eastAsiaTheme="majorEastAsia" w:hAnsiTheme="majorHAnsi" w:cstheme="majorBidi"/>
      <w:spacing w:val="-10"/>
      <w:kern w:val="28"/>
      <w:sz w:val="56"/>
      <w:szCs w:val="56"/>
    </w:rPr>
  </w:style>
  <w:style w:type="paragraph" w:styleId="Subttulo">
    <w:name w:val="Subtitle"/>
    <w:basedOn w:val="Normal"/>
    <w:next w:val="Normal"/>
    <w:link w:val="SubttuloChar"/>
    <w:uiPriority w:val="11"/>
    <w:qFormat/>
    <w:rsid w:val="001B106B"/>
    <w:pPr>
      <w:numPr>
        <w:ilvl w:val="1"/>
      </w:numPr>
    </w:pPr>
    <w:rPr>
      <w:rFonts w:eastAsiaTheme="majorEastAsia" w:cstheme="majorBidi"/>
      <w:color w:val="595959" w:themeColor="text1" w:themeTint="A6"/>
      <w:spacing w:val="15"/>
      <w:sz w:val="28"/>
      <w:szCs w:val="28"/>
    </w:rPr>
  </w:style>
  <w:style w:type="character" w:customStyle="1" w:styleId="SubttuloChar">
    <w:name w:val="Subtítulo Char"/>
    <w:basedOn w:val="Fontepargpadro"/>
    <w:link w:val="Subttulo"/>
    <w:uiPriority w:val="11"/>
    <w:rsid w:val="001B106B"/>
    <w:rPr>
      <w:rFonts w:eastAsiaTheme="majorEastAsia" w:cstheme="majorBidi"/>
      <w:color w:val="595959" w:themeColor="text1" w:themeTint="A6"/>
      <w:spacing w:val="15"/>
      <w:sz w:val="28"/>
      <w:szCs w:val="28"/>
    </w:rPr>
  </w:style>
  <w:style w:type="paragraph" w:styleId="Citao">
    <w:name w:val="Quote"/>
    <w:basedOn w:val="Normal"/>
    <w:next w:val="Normal"/>
    <w:link w:val="CitaoChar"/>
    <w:uiPriority w:val="29"/>
    <w:qFormat/>
    <w:rsid w:val="001B106B"/>
    <w:pPr>
      <w:spacing w:before="160"/>
      <w:jc w:val="center"/>
    </w:pPr>
    <w:rPr>
      <w:i/>
      <w:iCs/>
      <w:color w:val="404040" w:themeColor="text1" w:themeTint="BF"/>
    </w:rPr>
  </w:style>
  <w:style w:type="character" w:customStyle="1" w:styleId="CitaoChar">
    <w:name w:val="Citação Char"/>
    <w:basedOn w:val="Fontepargpadro"/>
    <w:link w:val="Citao"/>
    <w:uiPriority w:val="29"/>
    <w:rsid w:val="001B106B"/>
    <w:rPr>
      <w:i/>
      <w:iCs/>
      <w:color w:val="404040" w:themeColor="text1" w:themeTint="BF"/>
    </w:rPr>
  </w:style>
  <w:style w:type="paragraph" w:styleId="PargrafodaLista">
    <w:name w:val="List Paragraph"/>
    <w:basedOn w:val="Normal"/>
    <w:uiPriority w:val="34"/>
    <w:qFormat/>
    <w:rsid w:val="001B106B"/>
    <w:pPr>
      <w:ind w:left="720"/>
      <w:contextualSpacing/>
    </w:pPr>
  </w:style>
  <w:style w:type="character" w:styleId="nfaseIntensa">
    <w:name w:val="Intense Emphasis"/>
    <w:basedOn w:val="Fontepargpadro"/>
    <w:uiPriority w:val="21"/>
    <w:qFormat/>
    <w:rsid w:val="001B106B"/>
    <w:rPr>
      <w:i/>
      <w:iCs/>
      <w:color w:val="0F4761" w:themeColor="accent1" w:themeShade="BF"/>
    </w:rPr>
  </w:style>
  <w:style w:type="paragraph" w:styleId="CitaoIntensa">
    <w:name w:val="Intense Quote"/>
    <w:basedOn w:val="Normal"/>
    <w:next w:val="Normal"/>
    <w:link w:val="CitaoIntensaChar"/>
    <w:uiPriority w:val="30"/>
    <w:qFormat/>
    <w:rsid w:val="001B106B"/>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oIntensaChar">
    <w:name w:val="Citação Intensa Char"/>
    <w:basedOn w:val="Fontepargpadro"/>
    <w:link w:val="CitaoIntensa"/>
    <w:uiPriority w:val="30"/>
    <w:rsid w:val="001B106B"/>
    <w:rPr>
      <w:i/>
      <w:iCs/>
      <w:color w:val="0F4761" w:themeColor="accent1" w:themeShade="BF"/>
    </w:rPr>
  </w:style>
  <w:style w:type="character" w:styleId="RefernciaIntensa">
    <w:name w:val="Intense Reference"/>
    <w:basedOn w:val="Fontepargpadro"/>
    <w:uiPriority w:val="32"/>
    <w:qFormat/>
    <w:rsid w:val="001B106B"/>
    <w:rPr>
      <w:b/>
      <w:bCs/>
      <w:smallCaps/>
      <w:color w:val="0F476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30700527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10</TotalTime>
  <Pages>1</Pages>
  <Words>274</Words>
  <Characters>1483</Characters>
  <Application>Microsoft Office Word</Application>
  <DocSecurity>0</DocSecurity>
  <Lines>12</Lines>
  <Paragraphs>3</Paragraphs>
  <ScaleCrop>false</ScaleCrop>
  <Company/>
  <LinksUpToDate>false</LinksUpToDate>
  <CharactersWithSpaces>1754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Lucas Oliveira Rocha - PREVICDF</dc:creator>
  <cp:keywords/>
  <dc:description/>
  <cp:lastModifiedBy>Lucas Oliveira Rocha - PREVICDF</cp:lastModifiedBy>
  <cp:revision>1</cp:revision>
  <dcterms:created xsi:type="dcterms:W3CDTF">2024-03-15T20:15:00Z</dcterms:created>
  <dcterms:modified xsi:type="dcterms:W3CDTF">2024-03-15T20:25:00Z</dcterms:modified>
</cp:coreProperties>
</file>