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1" w:rightFromText="141" w:tblpX="-152" w:tblpY="-1691"/>
        <w:tblW w:w="506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827"/>
        <w:gridCol w:w="3741"/>
        <w:gridCol w:w="3741"/>
        <w:gridCol w:w="3279"/>
      </w:tblGrid>
      <w:tr w:rsidR="00664E7F" w:rsidRPr="0010524E" w14:paraId="51C19084" w14:textId="31FAAF8B" w:rsidTr="00664E7F">
        <w:tc>
          <w:tcPr>
            <w:tcW w:w="4827" w:type="dxa"/>
            <w:shd w:val="clear" w:color="auto" w:fill="D0CECE" w:themeFill="background2" w:themeFillShade="E6"/>
            <w:noWrap/>
            <w:vAlign w:val="center"/>
            <w:hideMark/>
          </w:tcPr>
          <w:p w14:paraId="3C23D6F5" w14:textId="02FC06B2" w:rsidR="00664E7F" w:rsidRPr="0010524E" w:rsidRDefault="00664E7F" w:rsidP="00664E7F">
            <w:pPr>
              <w:spacing w:after="0" w:line="240" w:lineRule="auto"/>
              <w:jc w:val="center"/>
              <w:rPr>
                <w:rFonts w:ascii="Calibri" w:eastAsia="Times New Roman" w:hAnsi="Calibri" w:cs="Calibri"/>
                <w:b/>
                <w:bCs/>
                <w:kern w:val="0"/>
                <w:sz w:val="24"/>
                <w:szCs w:val="24"/>
                <w:lang w:eastAsia="pt-BR"/>
                <w14:ligatures w14:val="none"/>
              </w:rPr>
            </w:pPr>
            <w:r>
              <w:rPr>
                <w:rFonts w:ascii="Calibri" w:eastAsia="Times New Roman" w:hAnsi="Calibri" w:cs="Calibri"/>
                <w:b/>
                <w:bCs/>
                <w:kern w:val="0"/>
                <w:sz w:val="24"/>
                <w:szCs w:val="24"/>
                <w:lang w:eastAsia="pt-BR"/>
                <w14:ligatures w14:val="none"/>
              </w:rPr>
              <w:t>DE</w:t>
            </w:r>
          </w:p>
        </w:tc>
        <w:tc>
          <w:tcPr>
            <w:tcW w:w="3741" w:type="dxa"/>
            <w:shd w:val="clear" w:color="auto" w:fill="D0CECE" w:themeFill="background2" w:themeFillShade="E6"/>
          </w:tcPr>
          <w:p w14:paraId="32EFEB15" w14:textId="09E0404C" w:rsidR="00664E7F" w:rsidRDefault="00664E7F" w:rsidP="00664E7F">
            <w:pPr>
              <w:spacing w:after="0" w:line="240" w:lineRule="auto"/>
              <w:jc w:val="center"/>
              <w:rPr>
                <w:rFonts w:ascii="Calibri" w:eastAsia="Times New Roman" w:hAnsi="Calibri" w:cs="Calibri"/>
                <w:b/>
                <w:bCs/>
                <w:kern w:val="0"/>
                <w:sz w:val="24"/>
                <w:szCs w:val="24"/>
                <w:lang w:eastAsia="pt-BR"/>
                <w14:ligatures w14:val="none"/>
              </w:rPr>
            </w:pPr>
            <w:r>
              <w:rPr>
                <w:rFonts w:ascii="Calibri" w:eastAsia="Times New Roman" w:hAnsi="Calibri" w:cs="Calibri"/>
                <w:b/>
                <w:bCs/>
                <w:kern w:val="0"/>
                <w:sz w:val="24"/>
                <w:szCs w:val="24"/>
                <w:lang w:eastAsia="pt-BR"/>
                <w14:ligatures w14:val="none"/>
              </w:rPr>
              <w:t>PARA</w:t>
            </w:r>
          </w:p>
        </w:tc>
        <w:tc>
          <w:tcPr>
            <w:tcW w:w="3741" w:type="dxa"/>
            <w:shd w:val="clear" w:color="auto" w:fill="D0CECE" w:themeFill="background2" w:themeFillShade="E6"/>
          </w:tcPr>
          <w:p w14:paraId="46B6BA5C" w14:textId="54933C3A" w:rsidR="00664E7F" w:rsidRDefault="00664E7F" w:rsidP="00664E7F">
            <w:pPr>
              <w:spacing w:after="0" w:line="240" w:lineRule="auto"/>
              <w:rPr>
                <w:rFonts w:ascii="Calibri" w:eastAsia="Times New Roman" w:hAnsi="Calibri" w:cs="Calibri"/>
                <w:b/>
                <w:bCs/>
                <w:kern w:val="0"/>
                <w:sz w:val="24"/>
                <w:szCs w:val="24"/>
                <w:lang w:eastAsia="pt-BR"/>
                <w14:ligatures w14:val="none"/>
              </w:rPr>
            </w:pPr>
            <w:r>
              <w:rPr>
                <w:rFonts w:ascii="Calibri" w:eastAsia="Times New Roman" w:hAnsi="Calibri" w:cs="Calibri"/>
                <w:b/>
                <w:bCs/>
                <w:kern w:val="0"/>
                <w:sz w:val="24"/>
                <w:szCs w:val="24"/>
                <w:lang w:eastAsia="pt-BR"/>
                <w14:ligatures w14:val="none"/>
              </w:rPr>
              <w:t>JUSTIFICATIVA</w:t>
            </w:r>
          </w:p>
        </w:tc>
        <w:tc>
          <w:tcPr>
            <w:tcW w:w="3279" w:type="dxa"/>
            <w:shd w:val="clear" w:color="auto" w:fill="D0CECE" w:themeFill="background2" w:themeFillShade="E6"/>
          </w:tcPr>
          <w:p w14:paraId="4607805D" w14:textId="77777777" w:rsidR="00664E7F" w:rsidRDefault="00664E7F" w:rsidP="00664E7F">
            <w:pPr>
              <w:spacing w:after="0" w:line="240" w:lineRule="auto"/>
              <w:jc w:val="center"/>
              <w:rPr>
                <w:rFonts w:ascii="Calibri" w:eastAsia="Times New Roman" w:hAnsi="Calibri" w:cs="Calibri"/>
                <w:b/>
                <w:bCs/>
                <w:kern w:val="0"/>
                <w:sz w:val="24"/>
                <w:szCs w:val="24"/>
                <w:lang w:eastAsia="pt-BR"/>
                <w14:ligatures w14:val="none"/>
              </w:rPr>
            </w:pPr>
            <w:r>
              <w:rPr>
                <w:rFonts w:ascii="Calibri" w:eastAsia="Times New Roman" w:hAnsi="Calibri" w:cs="Calibri"/>
                <w:b/>
                <w:bCs/>
                <w:kern w:val="0"/>
                <w:sz w:val="24"/>
                <w:szCs w:val="24"/>
                <w:lang w:eastAsia="pt-BR"/>
                <w14:ligatures w14:val="none"/>
              </w:rPr>
              <w:t>ANÁLISE CGEF</w:t>
            </w:r>
          </w:p>
          <w:p w14:paraId="792D23BC" w14:textId="1917EDB9" w:rsidR="00664E7F" w:rsidRDefault="00664E7F" w:rsidP="00664E7F">
            <w:pPr>
              <w:spacing w:after="0" w:line="240" w:lineRule="auto"/>
              <w:jc w:val="center"/>
              <w:rPr>
                <w:rFonts w:ascii="Calibri" w:eastAsia="Times New Roman" w:hAnsi="Calibri" w:cs="Calibri"/>
                <w:b/>
                <w:bCs/>
                <w:kern w:val="0"/>
                <w:sz w:val="24"/>
                <w:szCs w:val="24"/>
                <w:lang w:eastAsia="pt-BR"/>
                <w14:ligatures w14:val="none"/>
              </w:rPr>
            </w:pPr>
          </w:p>
        </w:tc>
      </w:tr>
      <w:tr w:rsidR="00664E7F" w:rsidRPr="0010524E" w14:paraId="61F375EE" w14:textId="53C0E4FF" w:rsidTr="00664E7F">
        <w:tc>
          <w:tcPr>
            <w:tcW w:w="4827" w:type="dxa"/>
            <w:shd w:val="clear" w:color="auto" w:fill="auto"/>
            <w:noWrap/>
            <w:vAlign w:val="center"/>
          </w:tcPr>
          <w:p w14:paraId="5043624A" w14:textId="7E2771D3" w:rsidR="00664E7F" w:rsidRPr="0010524E" w:rsidRDefault="00664E7F" w:rsidP="00664E7F">
            <w:pPr>
              <w:spacing w:after="120" w:line="240" w:lineRule="auto"/>
              <w:jc w:val="center"/>
              <w:rPr>
                <w:rFonts w:ascii="Calibri" w:eastAsia="Times New Roman" w:hAnsi="Calibri" w:cs="Calibri"/>
                <w:kern w:val="0"/>
                <w:sz w:val="24"/>
                <w:szCs w:val="24"/>
                <w:lang w:eastAsia="pt-BR"/>
                <w14:ligatures w14:val="none"/>
              </w:rPr>
            </w:pPr>
            <w:r w:rsidRPr="00732C5A">
              <w:rPr>
                <w:rFonts w:cstheme="minorHAnsi"/>
                <w:b/>
                <w:bCs/>
                <w:sz w:val="24"/>
                <w:szCs w:val="24"/>
              </w:rPr>
              <w:t>RESOLUÇÃO PREVIC Nº XX, DE XX DE XXXXXX DE 20XX</w:t>
            </w:r>
          </w:p>
        </w:tc>
        <w:tc>
          <w:tcPr>
            <w:tcW w:w="3741" w:type="dxa"/>
          </w:tcPr>
          <w:p w14:paraId="44A6C7C1" w14:textId="77777777" w:rsidR="00664E7F" w:rsidRPr="00732C5A" w:rsidRDefault="00664E7F" w:rsidP="00664E7F">
            <w:pPr>
              <w:spacing w:after="120" w:line="240" w:lineRule="auto"/>
              <w:jc w:val="center"/>
              <w:rPr>
                <w:rFonts w:cstheme="minorHAnsi"/>
                <w:b/>
                <w:bCs/>
                <w:sz w:val="24"/>
                <w:szCs w:val="24"/>
              </w:rPr>
            </w:pPr>
          </w:p>
        </w:tc>
        <w:tc>
          <w:tcPr>
            <w:tcW w:w="3741" w:type="dxa"/>
          </w:tcPr>
          <w:p w14:paraId="1C77E93A" w14:textId="77777777" w:rsidR="00664E7F" w:rsidRPr="00732C5A" w:rsidRDefault="00664E7F" w:rsidP="00664E7F">
            <w:pPr>
              <w:spacing w:after="120" w:line="240" w:lineRule="auto"/>
              <w:jc w:val="center"/>
              <w:rPr>
                <w:rFonts w:cstheme="minorHAnsi"/>
                <w:b/>
                <w:bCs/>
                <w:sz w:val="24"/>
                <w:szCs w:val="24"/>
              </w:rPr>
            </w:pPr>
          </w:p>
        </w:tc>
        <w:tc>
          <w:tcPr>
            <w:tcW w:w="3279" w:type="dxa"/>
          </w:tcPr>
          <w:p w14:paraId="2A1DF4A9" w14:textId="6B1840B9" w:rsidR="00664E7F" w:rsidRPr="00732C5A" w:rsidRDefault="00664E7F" w:rsidP="00664E7F">
            <w:pPr>
              <w:spacing w:after="120" w:line="240" w:lineRule="auto"/>
              <w:jc w:val="center"/>
              <w:rPr>
                <w:rFonts w:cstheme="minorHAnsi"/>
                <w:b/>
                <w:bCs/>
                <w:sz w:val="24"/>
                <w:szCs w:val="24"/>
              </w:rPr>
            </w:pPr>
          </w:p>
        </w:tc>
      </w:tr>
      <w:tr w:rsidR="00664E7F" w:rsidRPr="0010524E" w14:paraId="5B1A5884" w14:textId="5A3FD20E" w:rsidTr="00664E7F">
        <w:tc>
          <w:tcPr>
            <w:tcW w:w="4827" w:type="dxa"/>
            <w:shd w:val="clear" w:color="auto" w:fill="auto"/>
            <w:noWrap/>
            <w:vAlign w:val="center"/>
          </w:tcPr>
          <w:p w14:paraId="577A226A" w14:textId="77777777" w:rsidR="00664E7F" w:rsidRPr="0010524E" w:rsidRDefault="00664E7F" w:rsidP="00664E7F">
            <w:pPr>
              <w:spacing w:before="120" w:after="120" w:line="240" w:lineRule="auto"/>
              <w:jc w:val="center"/>
              <w:rPr>
                <w:rFonts w:ascii="Calibri" w:hAnsi="Calibri" w:cstheme="minorHAnsi"/>
                <w:sz w:val="24"/>
                <w:szCs w:val="24"/>
              </w:rPr>
            </w:pPr>
            <w:r w:rsidRPr="0010524E">
              <w:rPr>
                <w:rFonts w:ascii="Calibri" w:hAnsi="Calibri" w:cstheme="minorHAnsi"/>
                <w:sz w:val="24"/>
                <w:szCs w:val="24"/>
              </w:rPr>
              <w:t>CAPÍTULO I</w:t>
            </w:r>
          </w:p>
          <w:p w14:paraId="750B01BC" w14:textId="614796F5" w:rsidR="00664E7F" w:rsidRPr="00C43435" w:rsidRDefault="00664E7F" w:rsidP="00664E7F">
            <w:pPr>
              <w:spacing w:after="0" w:line="240" w:lineRule="auto"/>
              <w:jc w:val="center"/>
              <w:rPr>
                <w:rFonts w:ascii="Calibri" w:eastAsia="Times New Roman" w:hAnsi="Calibri" w:cs="Calibri"/>
                <w:kern w:val="0"/>
                <w:sz w:val="24"/>
                <w:szCs w:val="24"/>
                <w:lang w:eastAsia="pt-BR"/>
                <w14:ligatures w14:val="none"/>
              </w:rPr>
            </w:pPr>
            <w:r>
              <w:rPr>
                <w:rFonts w:ascii="Calibri" w:hAnsi="Calibri"/>
                <w:sz w:val="24"/>
                <w:szCs w:val="24"/>
              </w:rPr>
              <w:t>DAS DISPOSIÇÕES GERAIS</w:t>
            </w:r>
          </w:p>
        </w:tc>
        <w:tc>
          <w:tcPr>
            <w:tcW w:w="3741" w:type="dxa"/>
          </w:tcPr>
          <w:p w14:paraId="2FEEB5FE" w14:textId="77777777" w:rsidR="00664E7F" w:rsidRPr="0010524E" w:rsidRDefault="00664E7F" w:rsidP="00664E7F">
            <w:pPr>
              <w:spacing w:before="120" w:after="120" w:line="240" w:lineRule="auto"/>
              <w:jc w:val="center"/>
              <w:rPr>
                <w:rFonts w:ascii="Calibri" w:hAnsi="Calibri" w:cstheme="minorHAnsi"/>
                <w:sz w:val="24"/>
                <w:szCs w:val="24"/>
              </w:rPr>
            </w:pPr>
          </w:p>
        </w:tc>
        <w:tc>
          <w:tcPr>
            <w:tcW w:w="3741" w:type="dxa"/>
          </w:tcPr>
          <w:p w14:paraId="5A1A6CCD" w14:textId="77777777" w:rsidR="00664E7F" w:rsidRPr="0010524E" w:rsidRDefault="00664E7F" w:rsidP="00664E7F">
            <w:pPr>
              <w:spacing w:before="120" w:after="120" w:line="240" w:lineRule="auto"/>
              <w:jc w:val="center"/>
              <w:rPr>
                <w:rFonts w:ascii="Calibri" w:hAnsi="Calibri" w:cstheme="minorHAnsi"/>
                <w:sz w:val="24"/>
                <w:szCs w:val="24"/>
              </w:rPr>
            </w:pPr>
          </w:p>
        </w:tc>
        <w:tc>
          <w:tcPr>
            <w:tcW w:w="3279" w:type="dxa"/>
          </w:tcPr>
          <w:p w14:paraId="5D6A5B0B" w14:textId="3F3B1ED3" w:rsidR="00664E7F" w:rsidRPr="0010524E" w:rsidRDefault="00664E7F" w:rsidP="00664E7F">
            <w:pPr>
              <w:spacing w:before="120" w:after="120" w:line="240" w:lineRule="auto"/>
              <w:jc w:val="center"/>
              <w:rPr>
                <w:rFonts w:ascii="Calibri" w:hAnsi="Calibri" w:cstheme="minorHAnsi"/>
                <w:sz w:val="24"/>
                <w:szCs w:val="24"/>
              </w:rPr>
            </w:pPr>
          </w:p>
        </w:tc>
      </w:tr>
      <w:tr w:rsidR="00664E7F" w:rsidRPr="0010524E" w14:paraId="02364514" w14:textId="5433ADC8" w:rsidTr="00664E7F">
        <w:tc>
          <w:tcPr>
            <w:tcW w:w="4827" w:type="dxa"/>
            <w:shd w:val="clear" w:color="auto" w:fill="auto"/>
            <w:noWrap/>
            <w:vAlign w:val="center"/>
          </w:tcPr>
          <w:p w14:paraId="79F5597F" w14:textId="3288F820" w:rsidR="00664E7F" w:rsidRPr="0010524E" w:rsidRDefault="00664E7F" w:rsidP="00664E7F">
            <w:pPr>
              <w:spacing w:after="0" w:line="240" w:lineRule="auto"/>
              <w:jc w:val="both"/>
              <w:rPr>
                <w:rFonts w:ascii="Calibri" w:eastAsia="Times New Roman" w:hAnsi="Calibri" w:cs="Calibri"/>
                <w:kern w:val="0"/>
                <w:sz w:val="24"/>
                <w:szCs w:val="24"/>
                <w:lang w:eastAsia="pt-BR"/>
                <w14:ligatures w14:val="none"/>
              </w:rPr>
            </w:pPr>
            <w:r w:rsidRPr="00C43435">
              <w:rPr>
                <w:rFonts w:ascii="Calibri" w:eastAsia="Times New Roman" w:hAnsi="Calibri" w:cs="Calibri"/>
                <w:kern w:val="0"/>
                <w:sz w:val="24"/>
                <w:szCs w:val="24"/>
                <w:lang w:eastAsia="pt-BR"/>
                <w14:ligatures w14:val="none"/>
              </w:rPr>
              <w:t>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tc>
        <w:tc>
          <w:tcPr>
            <w:tcW w:w="3741" w:type="dxa"/>
          </w:tcPr>
          <w:p w14:paraId="7142CCC5" w14:textId="77777777" w:rsidR="00664E7F" w:rsidRPr="00C43435" w:rsidRDefault="00664E7F" w:rsidP="00664E7F">
            <w:pPr>
              <w:spacing w:after="0" w:line="240" w:lineRule="auto"/>
              <w:jc w:val="both"/>
              <w:rPr>
                <w:rFonts w:ascii="Calibri" w:eastAsia="Times New Roman" w:hAnsi="Calibri" w:cs="Calibri"/>
                <w:kern w:val="0"/>
                <w:sz w:val="24"/>
                <w:szCs w:val="24"/>
                <w:lang w:eastAsia="pt-BR"/>
                <w14:ligatures w14:val="none"/>
              </w:rPr>
            </w:pPr>
          </w:p>
        </w:tc>
        <w:tc>
          <w:tcPr>
            <w:tcW w:w="3741" w:type="dxa"/>
          </w:tcPr>
          <w:p w14:paraId="48D6C4EC" w14:textId="77777777" w:rsidR="00664E7F" w:rsidRPr="00C43435" w:rsidRDefault="00664E7F" w:rsidP="00664E7F">
            <w:pPr>
              <w:spacing w:after="0" w:line="240" w:lineRule="auto"/>
              <w:jc w:val="both"/>
              <w:rPr>
                <w:rFonts w:ascii="Calibri" w:eastAsia="Times New Roman" w:hAnsi="Calibri" w:cs="Calibri"/>
                <w:kern w:val="0"/>
                <w:sz w:val="24"/>
                <w:szCs w:val="24"/>
                <w:lang w:eastAsia="pt-BR"/>
                <w14:ligatures w14:val="none"/>
              </w:rPr>
            </w:pPr>
          </w:p>
        </w:tc>
        <w:tc>
          <w:tcPr>
            <w:tcW w:w="3279" w:type="dxa"/>
          </w:tcPr>
          <w:p w14:paraId="5D9EA400" w14:textId="42CCE0BF" w:rsidR="00664E7F" w:rsidRPr="00C43435" w:rsidRDefault="00664E7F" w:rsidP="00664E7F">
            <w:pPr>
              <w:spacing w:after="0" w:line="240" w:lineRule="auto"/>
              <w:jc w:val="both"/>
              <w:rPr>
                <w:rFonts w:ascii="Calibri" w:eastAsia="Times New Roman" w:hAnsi="Calibri" w:cs="Calibri"/>
                <w:kern w:val="0"/>
                <w:sz w:val="24"/>
                <w:szCs w:val="24"/>
                <w:lang w:eastAsia="pt-BR"/>
                <w14:ligatures w14:val="none"/>
              </w:rPr>
            </w:pPr>
          </w:p>
        </w:tc>
      </w:tr>
      <w:tr w:rsidR="00664E7F" w:rsidRPr="0010524E" w14:paraId="133ACC09" w14:textId="2A0685BE" w:rsidTr="00664E7F">
        <w:tc>
          <w:tcPr>
            <w:tcW w:w="4827" w:type="dxa"/>
            <w:shd w:val="clear" w:color="auto" w:fill="auto"/>
            <w:noWrap/>
            <w:vAlign w:val="center"/>
          </w:tcPr>
          <w:p w14:paraId="32636757" w14:textId="36C38C67" w:rsidR="00664E7F" w:rsidRPr="0010524E" w:rsidRDefault="00664E7F" w:rsidP="00664E7F">
            <w:pPr>
              <w:spacing w:after="120" w:line="240" w:lineRule="auto"/>
              <w:jc w:val="both"/>
              <w:rPr>
                <w:rFonts w:ascii="Calibri" w:eastAsia="Times New Roman" w:hAnsi="Calibri" w:cs="Calibri"/>
                <w:kern w:val="0"/>
                <w:sz w:val="24"/>
                <w:szCs w:val="24"/>
                <w:lang w:eastAsia="pt-BR"/>
                <w14:ligatures w14:val="none"/>
              </w:rPr>
            </w:pPr>
            <w:r w:rsidRPr="0010524E">
              <w:rPr>
                <w:b/>
                <w:bCs/>
                <w:sz w:val="24"/>
                <w:szCs w:val="24"/>
              </w:rPr>
              <w:t>A DIRETORIA COLEGIADA DA SUPERINTENDÊNCIA NACIONAL DE PREVIDÊNCIA COMPLEMENTAR (PREVIC),</w:t>
            </w:r>
            <w:r w:rsidRPr="0010524E">
              <w:rPr>
                <w:sz w:val="24"/>
                <w:szCs w:val="24"/>
              </w:rPr>
              <w:t xml:space="preserve"> na sessão XX, realizada em XX de XXXXXX de 20XX, com fundamento na Lei Complementar nº 109, de 29 de maio de 2001, na Lei nº 12.154, de 23 de dezembro de 2009, e no Decreto nº 11.241, de 18 de outubro de 2022</w:t>
            </w:r>
            <w:r w:rsidRPr="005D694E">
              <w:rPr>
                <w:sz w:val="24"/>
                <w:szCs w:val="24"/>
              </w:rPr>
              <w:t>,</w:t>
            </w:r>
            <w:r w:rsidRPr="0010524E">
              <w:rPr>
                <w:sz w:val="24"/>
                <w:szCs w:val="24"/>
              </w:rPr>
              <w:t xml:space="preserve"> </w:t>
            </w:r>
            <w:r w:rsidRPr="0010524E">
              <w:rPr>
                <w:b/>
                <w:bCs/>
                <w:sz w:val="24"/>
                <w:szCs w:val="24"/>
              </w:rPr>
              <w:t>RESOLVE</w:t>
            </w:r>
            <w:r w:rsidRPr="0010524E">
              <w:rPr>
                <w:sz w:val="24"/>
                <w:szCs w:val="24"/>
              </w:rPr>
              <w:t>:</w:t>
            </w:r>
          </w:p>
        </w:tc>
        <w:tc>
          <w:tcPr>
            <w:tcW w:w="3741" w:type="dxa"/>
          </w:tcPr>
          <w:p w14:paraId="38B6F35A" w14:textId="77777777" w:rsidR="00664E7F" w:rsidRPr="0010524E" w:rsidRDefault="00664E7F" w:rsidP="00664E7F">
            <w:pPr>
              <w:spacing w:after="120" w:line="240" w:lineRule="auto"/>
              <w:jc w:val="both"/>
              <w:rPr>
                <w:b/>
                <w:bCs/>
                <w:sz w:val="24"/>
                <w:szCs w:val="24"/>
              </w:rPr>
            </w:pPr>
          </w:p>
        </w:tc>
        <w:tc>
          <w:tcPr>
            <w:tcW w:w="3741" w:type="dxa"/>
          </w:tcPr>
          <w:p w14:paraId="1CA0D50C" w14:textId="77777777" w:rsidR="00664E7F" w:rsidRPr="0010524E" w:rsidRDefault="00664E7F" w:rsidP="00664E7F">
            <w:pPr>
              <w:spacing w:after="120" w:line="240" w:lineRule="auto"/>
              <w:jc w:val="both"/>
              <w:rPr>
                <w:b/>
                <w:bCs/>
                <w:sz w:val="24"/>
                <w:szCs w:val="24"/>
              </w:rPr>
            </w:pPr>
          </w:p>
        </w:tc>
        <w:tc>
          <w:tcPr>
            <w:tcW w:w="3279" w:type="dxa"/>
          </w:tcPr>
          <w:p w14:paraId="57459985" w14:textId="724D5AC9" w:rsidR="00664E7F" w:rsidRPr="0010524E" w:rsidRDefault="00664E7F" w:rsidP="00664E7F">
            <w:pPr>
              <w:spacing w:after="120" w:line="240" w:lineRule="auto"/>
              <w:jc w:val="both"/>
              <w:rPr>
                <w:b/>
                <w:bCs/>
                <w:sz w:val="24"/>
                <w:szCs w:val="24"/>
              </w:rPr>
            </w:pPr>
          </w:p>
        </w:tc>
      </w:tr>
      <w:tr w:rsidR="00664E7F" w:rsidRPr="0010524E" w14:paraId="5175EA72" w14:textId="241F78CE" w:rsidTr="00664E7F">
        <w:tc>
          <w:tcPr>
            <w:tcW w:w="4827" w:type="dxa"/>
            <w:shd w:val="clear" w:color="auto" w:fill="auto"/>
            <w:noWrap/>
            <w:vAlign w:val="center"/>
          </w:tcPr>
          <w:p w14:paraId="215A9738" w14:textId="3BE7BAEB" w:rsidR="00664E7F" w:rsidRPr="0010524E" w:rsidRDefault="00664E7F" w:rsidP="00664E7F">
            <w:pPr>
              <w:spacing w:after="120" w:line="240" w:lineRule="auto"/>
              <w:jc w:val="both"/>
              <w:rPr>
                <w:rFonts w:ascii="Calibri" w:eastAsia="Times New Roman" w:hAnsi="Calibri" w:cs="Calibri"/>
                <w:kern w:val="0"/>
                <w:sz w:val="24"/>
                <w:szCs w:val="24"/>
                <w:lang w:eastAsia="pt-BR"/>
                <w14:ligatures w14:val="none"/>
              </w:rPr>
            </w:pPr>
            <w:r w:rsidRPr="00C43435">
              <w:rPr>
                <w:sz w:val="24"/>
                <w:szCs w:val="24"/>
              </w:rPr>
              <w:t xml:space="preserve">Art. 1º  Esta Resolução estabelece os procedimentos para a aplicação das normas relativas às atividades desenvolvidas pela Superintendência Nacional de Previdência Complementar - </w:t>
            </w:r>
            <w:proofErr w:type="spellStart"/>
            <w:r w:rsidRPr="00C43435">
              <w:rPr>
                <w:sz w:val="24"/>
                <w:szCs w:val="24"/>
              </w:rPr>
              <w:t>Previc</w:t>
            </w:r>
            <w:proofErr w:type="spellEnd"/>
            <w:r w:rsidRPr="00C43435">
              <w:rPr>
                <w:sz w:val="24"/>
                <w:szCs w:val="24"/>
              </w:rPr>
              <w:t>, bem como normas complementares às diretrizes do Conselho Nacional de Previdência Complementar - CNPC e do Conselho Monetário Nacional - CMN.</w:t>
            </w:r>
          </w:p>
        </w:tc>
        <w:tc>
          <w:tcPr>
            <w:tcW w:w="3741" w:type="dxa"/>
          </w:tcPr>
          <w:p w14:paraId="423A85AD" w14:textId="77777777" w:rsidR="00664E7F" w:rsidRPr="00C43435" w:rsidRDefault="00664E7F" w:rsidP="00664E7F">
            <w:pPr>
              <w:spacing w:after="120" w:line="240" w:lineRule="auto"/>
              <w:jc w:val="both"/>
              <w:rPr>
                <w:sz w:val="24"/>
                <w:szCs w:val="24"/>
              </w:rPr>
            </w:pPr>
          </w:p>
        </w:tc>
        <w:tc>
          <w:tcPr>
            <w:tcW w:w="3741" w:type="dxa"/>
          </w:tcPr>
          <w:p w14:paraId="3923BFCB" w14:textId="77777777" w:rsidR="00664E7F" w:rsidRPr="00C43435" w:rsidRDefault="00664E7F" w:rsidP="00664E7F">
            <w:pPr>
              <w:spacing w:after="120" w:line="240" w:lineRule="auto"/>
              <w:jc w:val="both"/>
              <w:rPr>
                <w:sz w:val="24"/>
                <w:szCs w:val="24"/>
              </w:rPr>
            </w:pPr>
          </w:p>
        </w:tc>
        <w:tc>
          <w:tcPr>
            <w:tcW w:w="3279" w:type="dxa"/>
          </w:tcPr>
          <w:p w14:paraId="666A497B" w14:textId="6119E2EE" w:rsidR="00664E7F" w:rsidRPr="00C43435" w:rsidRDefault="00664E7F" w:rsidP="00664E7F">
            <w:pPr>
              <w:spacing w:after="120" w:line="240" w:lineRule="auto"/>
              <w:jc w:val="both"/>
              <w:rPr>
                <w:sz w:val="24"/>
                <w:szCs w:val="24"/>
              </w:rPr>
            </w:pPr>
          </w:p>
        </w:tc>
      </w:tr>
      <w:tr w:rsidR="00664E7F" w:rsidRPr="0010524E" w14:paraId="7A46417F" w14:textId="1691DAF0" w:rsidTr="00664E7F">
        <w:tc>
          <w:tcPr>
            <w:tcW w:w="4827" w:type="dxa"/>
            <w:shd w:val="clear" w:color="auto" w:fill="auto"/>
            <w:noWrap/>
            <w:vAlign w:val="center"/>
          </w:tcPr>
          <w:p w14:paraId="769DD023" w14:textId="2C17A481" w:rsidR="00664E7F" w:rsidRPr="0010524E" w:rsidRDefault="00664E7F" w:rsidP="00664E7F">
            <w:pPr>
              <w:spacing w:before="120" w:after="120" w:line="240" w:lineRule="auto"/>
              <w:jc w:val="both"/>
              <w:rPr>
                <w:sz w:val="24"/>
                <w:szCs w:val="24"/>
              </w:rPr>
            </w:pPr>
            <w:r w:rsidRPr="00C43435">
              <w:rPr>
                <w:sz w:val="24"/>
                <w:szCs w:val="24"/>
              </w:rPr>
              <w:t xml:space="preserve">Art. 2º  No desenvolvimento de suas atividades de supervisão e licenciamento, a </w:t>
            </w:r>
            <w:proofErr w:type="spellStart"/>
            <w:r w:rsidRPr="00C43435">
              <w:rPr>
                <w:sz w:val="24"/>
                <w:szCs w:val="24"/>
              </w:rPr>
              <w:t>Previc</w:t>
            </w:r>
            <w:proofErr w:type="spellEnd"/>
            <w:r w:rsidRPr="00C43435">
              <w:rPr>
                <w:sz w:val="24"/>
                <w:szCs w:val="24"/>
              </w:rPr>
              <w:t xml:space="preserve"> deverá considerar o porte, a diversidade, a complexidade e os riscos atinentes às entidades fechadas de previdência complementar - EFPC e aos planos de benefícios por elas administrados.</w:t>
            </w:r>
          </w:p>
        </w:tc>
        <w:tc>
          <w:tcPr>
            <w:tcW w:w="3741" w:type="dxa"/>
          </w:tcPr>
          <w:p w14:paraId="26E48235" w14:textId="77777777" w:rsidR="00664E7F" w:rsidRPr="00C43435" w:rsidRDefault="00664E7F" w:rsidP="00664E7F">
            <w:pPr>
              <w:spacing w:before="120" w:after="120" w:line="240" w:lineRule="auto"/>
              <w:jc w:val="both"/>
              <w:rPr>
                <w:sz w:val="24"/>
                <w:szCs w:val="24"/>
              </w:rPr>
            </w:pPr>
          </w:p>
        </w:tc>
        <w:tc>
          <w:tcPr>
            <w:tcW w:w="3741" w:type="dxa"/>
          </w:tcPr>
          <w:p w14:paraId="28109576" w14:textId="77777777" w:rsidR="00664E7F" w:rsidRPr="00C43435" w:rsidRDefault="00664E7F" w:rsidP="00664E7F">
            <w:pPr>
              <w:spacing w:before="120" w:after="120" w:line="240" w:lineRule="auto"/>
              <w:jc w:val="both"/>
              <w:rPr>
                <w:sz w:val="24"/>
                <w:szCs w:val="24"/>
              </w:rPr>
            </w:pPr>
          </w:p>
        </w:tc>
        <w:tc>
          <w:tcPr>
            <w:tcW w:w="3279" w:type="dxa"/>
          </w:tcPr>
          <w:p w14:paraId="7488E833" w14:textId="2B81A7D6" w:rsidR="00664E7F" w:rsidRPr="00C43435" w:rsidRDefault="00664E7F" w:rsidP="00664E7F">
            <w:pPr>
              <w:spacing w:before="120" w:after="120" w:line="240" w:lineRule="auto"/>
              <w:jc w:val="both"/>
              <w:rPr>
                <w:sz w:val="24"/>
                <w:szCs w:val="24"/>
              </w:rPr>
            </w:pPr>
          </w:p>
        </w:tc>
      </w:tr>
      <w:tr w:rsidR="00664E7F" w:rsidRPr="0010524E" w14:paraId="0404D930" w14:textId="4340E383" w:rsidTr="00664E7F">
        <w:tc>
          <w:tcPr>
            <w:tcW w:w="4827" w:type="dxa"/>
            <w:shd w:val="clear" w:color="auto" w:fill="auto"/>
            <w:noWrap/>
          </w:tcPr>
          <w:p w14:paraId="0CCF968F" w14:textId="77777777" w:rsidR="00076A65" w:rsidRPr="00B733C8" w:rsidRDefault="00076A65" w:rsidP="00076A65">
            <w:pPr>
              <w:spacing w:before="120" w:after="120" w:line="240" w:lineRule="auto"/>
              <w:jc w:val="both"/>
              <w:rPr>
                <w:sz w:val="24"/>
                <w:szCs w:val="24"/>
              </w:rPr>
            </w:pPr>
            <w:r w:rsidRPr="00B733C8">
              <w:rPr>
                <w:sz w:val="24"/>
                <w:szCs w:val="24"/>
              </w:rPr>
              <w:t xml:space="preserve">Art. 3º  </w:t>
            </w:r>
            <w:r>
              <w:rPr>
                <w:sz w:val="24"/>
                <w:szCs w:val="24"/>
              </w:rPr>
              <w:t xml:space="preserve">Considerando o disposto no art. 1º da Resolução CGPC nº 13, de 1º de outubro de 2004, </w:t>
            </w:r>
            <w:r w:rsidRPr="00B733C8">
              <w:rPr>
                <w:sz w:val="24"/>
                <w:szCs w:val="24"/>
              </w:rPr>
              <w:t>as EFPC serão enquadradas, em decorrência da soma dos fatores de porte e de complexidade, em um dos seguintes segmentos:</w:t>
            </w:r>
          </w:p>
          <w:p w14:paraId="12CF9B3B" w14:textId="77777777" w:rsidR="00076A65" w:rsidRPr="00B733C8" w:rsidRDefault="00076A65" w:rsidP="00076A65">
            <w:pPr>
              <w:spacing w:before="120" w:after="120" w:line="240" w:lineRule="auto"/>
              <w:jc w:val="both"/>
              <w:rPr>
                <w:sz w:val="24"/>
                <w:szCs w:val="24"/>
              </w:rPr>
            </w:pPr>
            <w:r w:rsidRPr="00B733C8">
              <w:rPr>
                <w:sz w:val="24"/>
                <w:szCs w:val="24"/>
              </w:rPr>
              <w:t>I - Segmento 1 (S1), quando o resultado for maior que 7;</w:t>
            </w:r>
          </w:p>
          <w:p w14:paraId="4182F183" w14:textId="77777777" w:rsidR="00076A65" w:rsidRPr="00B733C8" w:rsidRDefault="00076A65" w:rsidP="00076A65">
            <w:pPr>
              <w:spacing w:before="120" w:after="120" w:line="240" w:lineRule="auto"/>
              <w:jc w:val="both"/>
              <w:rPr>
                <w:sz w:val="24"/>
                <w:szCs w:val="24"/>
              </w:rPr>
            </w:pPr>
            <w:r w:rsidRPr="00B733C8">
              <w:rPr>
                <w:sz w:val="24"/>
                <w:szCs w:val="24"/>
              </w:rPr>
              <w:t>II - Segmento 2 (S2), quando o resultado for maior que 5 e menor ou igual a 7;</w:t>
            </w:r>
          </w:p>
          <w:p w14:paraId="57780894" w14:textId="77777777" w:rsidR="00076A65" w:rsidRPr="00B733C8" w:rsidRDefault="00076A65" w:rsidP="00076A65">
            <w:pPr>
              <w:spacing w:before="120" w:after="120" w:line="240" w:lineRule="auto"/>
              <w:jc w:val="both"/>
              <w:rPr>
                <w:sz w:val="24"/>
                <w:szCs w:val="24"/>
              </w:rPr>
            </w:pPr>
            <w:r w:rsidRPr="00B733C8">
              <w:rPr>
                <w:sz w:val="24"/>
                <w:szCs w:val="24"/>
              </w:rPr>
              <w:t>III - Segmento 3 (S3), quando o resultado for maior que 3 e menor ou igual a 5; ou</w:t>
            </w:r>
          </w:p>
          <w:p w14:paraId="32EDF560" w14:textId="77777777" w:rsidR="00076A65" w:rsidRPr="00B733C8" w:rsidRDefault="00076A65" w:rsidP="00076A65">
            <w:pPr>
              <w:spacing w:before="120" w:after="120" w:line="240" w:lineRule="auto"/>
              <w:jc w:val="both"/>
              <w:rPr>
                <w:sz w:val="24"/>
                <w:szCs w:val="24"/>
              </w:rPr>
            </w:pPr>
            <w:r w:rsidRPr="00B733C8">
              <w:rPr>
                <w:sz w:val="24"/>
                <w:szCs w:val="24"/>
              </w:rPr>
              <w:t>IV - Segmento 4 (S4), quando o resultado for menor ou igual a 3.</w:t>
            </w:r>
          </w:p>
          <w:p w14:paraId="6DCFD895" w14:textId="77777777" w:rsidR="00664E7F" w:rsidRPr="00B733C8" w:rsidRDefault="00664E7F" w:rsidP="00664E7F">
            <w:pPr>
              <w:spacing w:before="120" w:after="120" w:line="240" w:lineRule="auto"/>
              <w:jc w:val="both"/>
              <w:rPr>
                <w:sz w:val="24"/>
                <w:szCs w:val="24"/>
              </w:rPr>
            </w:pPr>
          </w:p>
        </w:tc>
        <w:tc>
          <w:tcPr>
            <w:tcW w:w="3741" w:type="dxa"/>
          </w:tcPr>
          <w:p w14:paraId="42B9E02D" w14:textId="77777777" w:rsidR="00664E7F" w:rsidRPr="00B733C8" w:rsidRDefault="00664E7F" w:rsidP="00664E7F">
            <w:pPr>
              <w:spacing w:before="120" w:after="120" w:line="240" w:lineRule="auto"/>
              <w:jc w:val="both"/>
              <w:rPr>
                <w:sz w:val="24"/>
                <w:szCs w:val="24"/>
              </w:rPr>
            </w:pPr>
          </w:p>
        </w:tc>
        <w:tc>
          <w:tcPr>
            <w:tcW w:w="3741" w:type="dxa"/>
          </w:tcPr>
          <w:p w14:paraId="56119480" w14:textId="77777777" w:rsidR="00664E7F" w:rsidRPr="00B733C8" w:rsidRDefault="00664E7F" w:rsidP="00664E7F">
            <w:pPr>
              <w:spacing w:before="120" w:after="120" w:line="240" w:lineRule="auto"/>
              <w:jc w:val="both"/>
              <w:rPr>
                <w:sz w:val="24"/>
                <w:szCs w:val="24"/>
              </w:rPr>
            </w:pPr>
          </w:p>
        </w:tc>
        <w:tc>
          <w:tcPr>
            <w:tcW w:w="3279" w:type="dxa"/>
          </w:tcPr>
          <w:p w14:paraId="2B650384" w14:textId="1F4285BE" w:rsidR="00664E7F" w:rsidRPr="00B733C8" w:rsidRDefault="00664E7F" w:rsidP="00664E7F">
            <w:pPr>
              <w:spacing w:before="120" w:after="120" w:line="240" w:lineRule="auto"/>
              <w:jc w:val="both"/>
              <w:rPr>
                <w:sz w:val="24"/>
                <w:szCs w:val="24"/>
              </w:rPr>
            </w:pPr>
          </w:p>
        </w:tc>
      </w:tr>
      <w:tr w:rsidR="00076A65" w:rsidRPr="0010524E" w14:paraId="63C9566B" w14:textId="77777777" w:rsidTr="00664E7F">
        <w:tc>
          <w:tcPr>
            <w:tcW w:w="4827" w:type="dxa"/>
            <w:shd w:val="clear" w:color="auto" w:fill="auto"/>
            <w:noWrap/>
          </w:tcPr>
          <w:p w14:paraId="6A42840E" w14:textId="77777777" w:rsidR="00076A65" w:rsidRPr="00B733C8" w:rsidRDefault="00076A65" w:rsidP="00076A65">
            <w:pPr>
              <w:spacing w:before="120" w:after="120" w:line="240" w:lineRule="auto"/>
              <w:jc w:val="both"/>
              <w:rPr>
                <w:sz w:val="24"/>
                <w:szCs w:val="24"/>
              </w:rPr>
            </w:pPr>
            <w:r w:rsidRPr="00B733C8">
              <w:rPr>
                <w:sz w:val="24"/>
                <w:szCs w:val="24"/>
              </w:rPr>
              <w:t>§ 1º  O fator de porte será definido considerando a soma das provisões matemáticas de seus planos de benefícios face ao total das provisões matemáticas de todas as EFPC, atribuindo-se valor referencial de 1 a 4.</w:t>
            </w:r>
          </w:p>
          <w:p w14:paraId="19446F07" w14:textId="77777777" w:rsidR="00076A65" w:rsidRPr="00B733C8" w:rsidRDefault="00076A65" w:rsidP="00076A65">
            <w:pPr>
              <w:spacing w:before="120" w:after="120" w:line="240" w:lineRule="auto"/>
              <w:jc w:val="both"/>
              <w:rPr>
                <w:sz w:val="24"/>
                <w:szCs w:val="24"/>
              </w:rPr>
            </w:pPr>
          </w:p>
        </w:tc>
        <w:tc>
          <w:tcPr>
            <w:tcW w:w="3741" w:type="dxa"/>
          </w:tcPr>
          <w:p w14:paraId="2874A574" w14:textId="24A00BDA" w:rsidR="00076A65" w:rsidRDefault="00076A65" w:rsidP="00664E7F">
            <w:pPr>
              <w:spacing w:before="120" w:after="120" w:line="240" w:lineRule="auto"/>
              <w:jc w:val="both"/>
              <w:rPr>
                <w:sz w:val="24"/>
                <w:szCs w:val="24"/>
              </w:rPr>
            </w:pPr>
            <w:r>
              <w:rPr>
                <w:sz w:val="24"/>
                <w:szCs w:val="24"/>
              </w:rPr>
              <w:t>(ABRAPP</w:t>
            </w:r>
            <w:r w:rsidR="002343D8">
              <w:rPr>
                <w:sz w:val="24"/>
                <w:szCs w:val="24"/>
              </w:rPr>
              <w:t xml:space="preserve"> e ANCEP</w:t>
            </w:r>
            <w:r>
              <w:rPr>
                <w:sz w:val="24"/>
                <w:szCs w:val="24"/>
              </w:rPr>
              <w:t>)</w:t>
            </w:r>
          </w:p>
          <w:p w14:paraId="2E64BF78" w14:textId="77777777" w:rsidR="00076A65" w:rsidRDefault="00076A65" w:rsidP="00664E7F">
            <w:pPr>
              <w:spacing w:before="120" w:after="120" w:line="240" w:lineRule="auto"/>
              <w:jc w:val="both"/>
              <w:rPr>
                <w:sz w:val="24"/>
                <w:szCs w:val="24"/>
              </w:rPr>
            </w:pPr>
            <w:r w:rsidRPr="00076A65">
              <w:rPr>
                <w:sz w:val="24"/>
                <w:szCs w:val="24"/>
              </w:rPr>
              <w:t>§ 1º O fator de porte será definido considerando a soma das provisões matemáticas dos planos de benefícios administrados pela EFPC, face ao total das provisões matemáticas de todas as EFPC, atribuindo-se valor referencial de 1 a 4.</w:t>
            </w:r>
          </w:p>
          <w:p w14:paraId="2C6B1CD8" w14:textId="77777777" w:rsidR="002343D8" w:rsidRDefault="002343D8" w:rsidP="00664E7F">
            <w:pPr>
              <w:spacing w:before="120" w:after="120" w:line="240" w:lineRule="auto"/>
              <w:jc w:val="both"/>
              <w:rPr>
                <w:sz w:val="24"/>
                <w:szCs w:val="24"/>
              </w:rPr>
            </w:pPr>
            <w:r>
              <w:rPr>
                <w:sz w:val="24"/>
                <w:szCs w:val="24"/>
              </w:rPr>
              <w:t>(ANAPAR)</w:t>
            </w:r>
          </w:p>
          <w:p w14:paraId="71641471" w14:textId="09CB0558" w:rsidR="002343D8" w:rsidRPr="00B733C8" w:rsidRDefault="002343D8" w:rsidP="00664E7F">
            <w:pPr>
              <w:spacing w:before="120" w:after="120" w:line="240" w:lineRule="auto"/>
              <w:jc w:val="both"/>
              <w:rPr>
                <w:sz w:val="24"/>
                <w:szCs w:val="24"/>
              </w:rPr>
            </w:pPr>
            <w:r w:rsidRPr="002343D8">
              <w:rPr>
                <w:sz w:val="24"/>
                <w:szCs w:val="24"/>
              </w:rPr>
              <w:t>§ 1º O fator de porte será definido considerando a soma das provisões matemáticas de seus planos de benefícios, desconsideradas as Provisões a Constituir, face ao total das provisões matemáticas de todas as EFPC, atribuindo-se valor referencial de 1 a 4</w:t>
            </w:r>
          </w:p>
        </w:tc>
        <w:tc>
          <w:tcPr>
            <w:tcW w:w="3741" w:type="dxa"/>
          </w:tcPr>
          <w:p w14:paraId="61E1BE24" w14:textId="5853DF08" w:rsidR="00076A65" w:rsidRDefault="00076A65" w:rsidP="00664E7F">
            <w:pPr>
              <w:spacing w:before="120" w:after="120" w:line="240" w:lineRule="auto"/>
              <w:jc w:val="both"/>
              <w:rPr>
                <w:sz w:val="24"/>
                <w:szCs w:val="24"/>
              </w:rPr>
            </w:pPr>
            <w:r>
              <w:rPr>
                <w:sz w:val="24"/>
                <w:szCs w:val="24"/>
              </w:rPr>
              <w:t>(ABRAPP</w:t>
            </w:r>
            <w:r w:rsidR="002343D8">
              <w:rPr>
                <w:sz w:val="24"/>
                <w:szCs w:val="24"/>
              </w:rPr>
              <w:t xml:space="preserve"> e ANCEP</w:t>
            </w:r>
            <w:r>
              <w:rPr>
                <w:sz w:val="24"/>
                <w:szCs w:val="24"/>
              </w:rPr>
              <w:t>)</w:t>
            </w:r>
          </w:p>
          <w:p w14:paraId="1A96FC58" w14:textId="77777777" w:rsidR="00076A65" w:rsidRDefault="00076A65" w:rsidP="00664E7F">
            <w:pPr>
              <w:spacing w:before="120" w:after="120" w:line="240" w:lineRule="auto"/>
              <w:jc w:val="both"/>
              <w:rPr>
                <w:sz w:val="24"/>
                <w:szCs w:val="24"/>
              </w:rPr>
            </w:pPr>
            <w:r w:rsidRPr="00076A65">
              <w:rPr>
                <w:sz w:val="24"/>
                <w:szCs w:val="24"/>
              </w:rPr>
              <w:t>Ajuste redacional para melhor esclarecimento da forma de cálculo.</w:t>
            </w:r>
          </w:p>
          <w:p w14:paraId="1998F400" w14:textId="77777777" w:rsidR="002343D8" w:rsidRDefault="002343D8" w:rsidP="00664E7F">
            <w:pPr>
              <w:spacing w:before="120" w:after="120" w:line="240" w:lineRule="auto"/>
              <w:jc w:val="both"/>
              <w:rPr>
                <w:sz w:val="24"/>
                <w:szCs w:val="24"/>
              </w:rPr>
            </w:pPr>
            <w:r>
              <w:rPr>
                <w:sz w:val="24"/>
                <w:szCs w:val="24"/>
              </w:rPr>
              <w:t>(ANAPAR)</w:t>
            </w:r>
          </w:p>
          <w:p w14:paraId="6A9634C0" w14:textId="77777777" w:rsidR="002343D8" w:rsidRPr="002343D8" w:rsidRDefault="002343D8" w:rsidP="002343D8">
            <w:pPr>
              <w:spacing w:before="120" w:after="120" w:line="240" w:lineRule="auto"/>
              <w:jc w:val="both"/>
              <w:rPr>
                <w:sz w:val="24"/>
                <w:szCs w:val="24"/>
              </w:rPr>
            </w:pPr>
            <w:r w:rsidRPr="002343D8">
              <w:rPr>
                <w:sz w:val="24"/>
                <w:szCs w:val="24"/>
              </w:rPr>
              <w:t>Para que eventuais déficits equacionados não mascarem o porte da EFPC</w:t>
            </w:r>
          </w:p>
          <w:p w14:paraId="1F72A635" w14:textId="77777777" w:rsidR="002343D8" w:rsidRPr="002343D8" w:rsidRDefault="002343D8" w:rsidP="002343D8">
            <w:pPr>
              <w:spacing w:before="120" w:after="120" w:line="240" w:lineRule="auto"/>
              <w:jc w:val="both"/>
              <w:rPr>
                <w:sz w:val="24"/>
                <w:szCs w:val="24"/>
              </w:rPr>
            </w:pPr>
            <w:r w:rsidRPr="002343D8">
              <w:rPr>
                <w:sz w:val="24"/>
                <w:szCs w:val="24"/>
              </w:rPr>
              <w:t>Porte Petros &lt; 40%</w:t>
            </w:r>
          </w:p>
          <w:p w14:paraId="27711608" w14:textId="0C5F0DC8" w:rsidR="002343D8" w:rsidRPr="00B733C8" w:rsidRDefault="002343D8" w:rsidP="002343D8">
            <w:pPr>
              <w:spacing w:before="120" w:after="120" w:line="240" w:lineRule="auto"/>
              <w:jc w:val="both"/>
              <w:rPr>
                <w:sz w:val="24"/>
                <w:szCs w:val="24"/>
              </w:rPr>
            </w:pPr>
            <w:r w:rsidRPr="002343D8">
              <w:rPr>
                <w:sz w:val="24"/>
                <w:szCs w:val="24"/>
              </w:rPr>
              <w:t xml:space="preserve">Porte </w:t>
            </w:r>
            <w:proofErr w:type="spellStart"/>
            <w:r w:rsidRPr="002343D8">
              <w:rPr>
                <w:sz w:val="24"/>
                <w:szCs w:val="24"/>
              </w:rPr>
              <w:t>Postalis</w:t>
            </w:r>
            <w:proofErr w:type="spellEnd"/>
            <w:r w:rsidRPr="002343D8">
              <w:rPr>
                <w:sz w:val="24"/>
                <w:szCs w:val="24"/>
              </w:rPr>
              <w:t xml:space="preserve"> &lt; 83,3%</w:t>
            </w:r>
          </w:p>
        </w:tc>
        <w:tc>
          <w:tcPr>
            <w:tcW w:w="3279" w:type="dxa"/>
          </w:tcPr>
          <w:p w14:paraId="2CAA1E72" w14:textId="77777777" w:rsidR="00076A65" w:rsidRDefault="002343D8" w:rsidP="00664E7F">
            <w:pPr>
              <w:spacing w:before="120" w:after="120" w:line="240" w:lineRule="auto"/>
              <w:jc w:val="both"/>
              <w:rPr>
                <w:sz w:val="24"/>
                <w:szCs w:val="24"/>
              </w:rPr>
            </w:pPr>
            <w:r>
              <w:rPr>
                <w:sz w:val="24"/>
                <w:szCs w:val="24"/>
              </w:rPr>
              <w:t xml:space="preserve">Sugestões da ABRAPP e ANCEP </w:t>
            </w:r>
            <w:r w:rsidR="00076A65">
              <w:rPr>
                <w:sz w:val="24"/>
                <w:szCs w:val="24"/>
              </w:rPr>
              <w:t>Acatada</w:t>
            </w:r>
            <w:r>
              <w:rPr>
                <w:sz w:val="24"/>
                <w:szCs w:val="24"/>
              </w:rPr>
              <w:t>s.</w:t>
            </w:r>
          </w:p>
          <w:p w14:paraId="7050857E" w14:textId="77777777" w:rsidR="002343D8" w:rsidRDefault="002343D8" w:rsidP="00664E7F">
            <w:pPr>
              <w:spacing w:before="120" w:after="120" w:line="240" w:lineRule="auto"/>
              <w:jc w:val="both"/>
              <w:rPr>
                <w:sz w:val="24"/>
                <w:szCs w:val="24"/>
              </w:rPr>
            </w:pPr>
          </w:p>
          <w:p w14:paraId="386708CC" w14:textId="07736FA4" w:rsidR="002343D8" w:rsidRPr="00B733C8" w:rsidRDefault="002343D8" w:rsidP="000629C5">
            <w:pPr>
              <w:spacing w:before="120" w:after="120" w:line="240" w:lineRule="auto"/>
              <w:jc w:val="both"/>
              <w:rPr>
                <w:sz w:val="24"/>
                <w:szCs w:val="24"/>
              </w:rPr>
            </w:pPr>
            <w:r>
              <w:rPr>
                <w:sz w:val="24"/>
                <w:szCs w:val="24"/>
              </w:rPr>
              <w:t xml:space="preserve">A sugestão da ANAPAR </w:t>
            </w:r>
            <w:r w:rsidR="000629C5">
              <w:rPr>
                <w:sz w:val="24"/>
                <w:szCs w:val="24"/>
              </w:rPr>
              <w:t xml:space="preserve">para </w:t>
            </w:r>
            <w:r w:rsidR="000629C5">
              <w:t>desconsiderar</w:t>
            </w:r>
            <w:r w:rsidR="000629C5" w:rsidRPr="000629C5">
              <w:rPr>
                <w:sz w:val="24"/>
                <w:szCs w:val="24"/>
              </w:rPr>
              <w:t xml:space="preserve"> as Provisões a Constituir</w:t>
            </w:r>
            <w:r w:rsidR="000629C5">
              <w:rPr>
                <w:sz w:val="24"/>
                <w:szCs w:val="24"/>
              </w:rPr>
              <w:t xml:space="preserve"> do cálculo das provisões não foi acatada </w:t>
            </w:r>
            <w:r w:rsidR="000629C5" w:rsidRPr="002343D8">
              <w:rPr>
                <w:sz w:val="24"/>
                <w:szCs w:val="24"/>
              </w:rPr>
              <w:t xml:space="preserve">devido a urgência do projeto. A alteração dos </w:t>
            </w:r>
            <w:proofErr w:type="spellStart"/>
            <w:r w:rsidR="000629C5" w:rsidRPr="002343D8">
              <w:rPr>
                <w:sz w:val="24"/>
                <w:szCs w:val="24"/>
              </w:rPr>
              <w:t>criterios</w:t>
            </w:r>
            <w:proofErr w:type="spellEnd"/>
            <w:r w:rsidR="000629C5" w:rsidRPr="002343D8">
              <w:rPr>
                <w:sz w:val="24"/>
                <w:szCs w:val="24"/>
              </w:rPr>
              <w:t xml:space="preserve"> deve ser precedidas de simulações e discussão entre o grupo de trabalho envolvido.</w:t>
            </w:r>
          </w:p>
        </w:tc>
      </w:tr>
      <w:tr w:rsidR="00664E7F" w:rsidRPr="0010524E" w14:paraId="6A2599E7" w14:textId="5D449A25" w:rsidTr="00664E7F">
        <w:tc>
          <w:tcPr>
            <w:tcW w:w="4827" w:type="dxa"/>
            <w:shd w:val="clear" w:color="auto" w:fill="auto"/>
            <w:noWrap/>
          </w:tcPr>
          <w:p w14:paraId="0603C301" w14:textId="77777777" w:rsidR="00664E7F" w:rsidRPr="00B733C8" w:rsidRDefault="00664E7F" w:rsidP="00664E7F">
            <w:pPr>
              <w:spacing w:before="120" w:after="120" w:line="240" w:lineRule="auto"/>
              <w:jc w:val="both"/>
              <w:rPr>
                <w:sz w:val="24"/>
                <w:szCs w:val="24"/>
              </w:rPr>
            </w:pPr>
            <w:r w:rsidRPr="00B733C8">
              <w:rPr>
                <w:sz w:val="24"/>
                <w:szCs w:val="24"/>
              </w:rPr>
              <w:t>§ 2º  O fator de complexidade, cujo valor referencial será de 1 a 4, constitui uma média ponderada dos seguintes critérios:</w:t>
            </w:r>
          </w:p>
          <w:p w14:paraId="595CA7FF" w14:textId="77777777" w:rsidR="00664E7F" w:rsidRPr="00B733C8" w:rsidRDefault="00664E7F" w:rsidP="00664E7F">
            <w:pPr>
              <w:spacing w:before="120" w:after="120" w:line="240" w:lineRule="auto"/>
              <w:jc w:val="both"/>
              <w:rPr>
                <w:sz w:val="24"/>
                <w:szCs w:val="24"/>
              </w:rPr>
            </w:pPr>
            <w:r w:rsidRPr="00B733C8">
              <w:rPr>
                <w:sz w:val="24"/>
                <w:szCs w:val="24"/>
              </w:rPr>
              <w:t>a) número total de participantes e assistidos;</w:t>
            </w:r>
          </w:p>
          <w:p w14:paraId="52A5D489" w14:textId="77777777" w:rsidR="00664E7F" w:rsidRPr="00B733C8" w:rsidRDefault="00664E7F" w:rsidP="00664E7F">
            <w:pPr>
              <w:spacing w:before="120" w:after="120" w:line="240" w:lineRule="auto"/>
              <w:jc w:val="both"/>
              <w:rPr>
                <w:sz w:val="24"/>
                <w:szCs w:val="24"/>
              </w:rPr>
            </w:pPr>
            <w:r w:rsidRPr="00B733C8">
              <w:rPr>
                <w:sz w:val="24"/>
                <w:szCs w:val="24"/>
              </w:rPr>
              <w:t>b) número de patrocinadores;</w:t>
            </w:r>
          </w:p>
          <w:p w14:paraId="3ED75FC4" w14:textId="77777777" w:rsidR="00664E7F" w:rsidRPr="00B733C8" w:rsidRDefault="00664E7F" w:rsidP="00664E7F">
            <w:pPr>
              <w:spacing w:before="120" w:after="120" w:line="240" w:lineRule="auto"/>
              <w:jc w:val="both"/>
              <w:rPr>
                <w:sz w:val="24"/>
                <w:szCs w:val="24"/>
              </w:rPr>
            </w:pPr>
            <w:r w:rsidRPr="00B733C8">
              <w:rPr>
                <w:sz w:val="24"/>
                <w:szCs w:val="24"/>
              </w:rPr>
              <w:t>c) número e modalidade de planos de benefícios;</w:t>
            </w:r>
          </w:p>
          <w:p w14:paraId="6781AD6E" w14:textId="77777777" w:rsidR="00664E7F" w:rsidRPr="00B733C8" w:rsidRDefault="00664E7F" w:rsidP="00664E7F">
            <w:pPr>
              <w:spacing w:before="120" w:after="120" w:line="240" w:lineRule="auto"/>
              <w:jc w:val="both"/>
              <w:rPr>
                <w:sz w:val="24"/>
                <w:szCs w:val="24"/>
              </w:rPr>
            </w:pPr>
            <w:r w:rsidRPr="00B733C8">
              <w:rPr>
                <w:sz w:val="24"/>
                <w:szCs w:val="24"/>
              </w:rPr>
              <w:t>d) valor do exigível contingencial face ao total de ativos; e</w:t>
            </w:r>
          </w:p>
          <w:p w14:paraId="2ADBFD91" w14:textId="74E73CE2" w:rsidR="00664E7F" w:rsidRPr="0010524E" w:rsidRDefault="00664E7F" w:rsidP="00664E7F">
            <w:pPr>
              <w:spacing w:after="0" w:line="240" w:lineRule="auto"/>
              <w:jc w:val="both"/>
              <w:rPr>
                <w:rFonts w:ascii="Calibri" w:eastAsia="Times New Roman" w:hAnsi="Calibri" w:cs="Calibri"/>
                <w:kern w:val="0"/>
                <w:sz w:val="24"/>
                <w:szCs w:val="24"/>
                <w:lang w:eastAsia="pt-BR"/>
                <w14:ligatures w14:val="none"/>
              </w:rPr>
            </w:pPr>
            <w:r w:rsidRPr="00B733C8">
              <w:rPr>
                <w:sz w:val="24"/>
                <w:szCs w:val="24"/>
              </w:rPr>
              <w:t xml:space="preserve">e) valor total </w:t>
            </w:r>
            <w:r>
              <w:rPr>
                <w:sz w:val="24"/>
                <w:szCs w:val="24"/>
              </w:rPr>
              <w:t>dos fluxos previdenciários</w:t>
            </w:r>
            <w:r w:rsidRPr="00B733C8">
              <w:rPr>
                <w:sz w:val="24"/>
                <w:szCs w:val="24"/>
              </w:rPr>
              <w:t>.</w:t>
            </w:r>
          </w:p>
        </w:tc>
        <w:tc>
          <w:tcPr>
            <w:tcW w:w="3741" w:type="dxa"/>
          </w:tcPr>
          <w:p w14:paraId="230C415B" w14:textId="77777777" w:rsidR="00664E7F" w:rsidRDefault="002343D8" w:rsidP="00664E7F">
            <w:pPr>
              <w:spacing w:before="120" w:after="120" w:line="240" w:lineRule="auto"/>
              <w:jc w:val="both"/>
              <w:rPr>
                <w:sz w:val="24"/>
                <w:szCs w:val="24"/>
              </w:rPr>
            </w:pPr>
            <w:r>
              <w:rPr>
                <w:sz w:val="24"/>
                <w:szCs w:val="24"/>
              </w:rPr>
              <w:t>(ANCEP)</w:t>
            </w:r>
          </w:p>
          <w:p w14:paraId="17DC7D92" w14:textId="2B26C20D" w:rsidR="002343D8" w:rsidRPr="00B733C8" w:rsidRDefault="002343D8" w:rsidP="00664E7F">
            <w:pPr>
              <w:spacing w:before="120" w:after="120" w:line="240" w:lineRule="auto"/>
              <w:jc w:val="both"/>
              <w:rPr>
                <w:sz w:val="24"/>
                <w:szCs w:val="24"/>
              </w:rPr>
            </w:pPr>
            <w:r w:rsidRPr="002343D8">
              <w:rPr>
                <w:sz w:val="24"/>
                <w:szCs w:val="24"/>
              </w:rPr>
              <w:t xml:space="preserve">Acrescentar como fatores de complexidade: i. Planos com Seguro de Cobertura de Riscos Previdenciais; </w:t>
            </w:r>
            <w:proofErr w:type="spellStart"/>
            <w:r w:rsidRPr="002343D8">
              <w:rPr>
                <w:sz w:val="24"/>
                <w:szCs w:val="24"/>
              </w:rPr>
              <w:t>ii</w:t>
            </w:r>
            <w:proofErr w:type="spellEnd"/>
            <w:r w:rsidRPr="002343D8">
              <w:rPr>
                <w:sz w:val="24"/>
                <w:szCs w:val="24"/>
              </w:rPr>
              <w:t xml:space="preserve">. EFPC com administração interna direta de investimentos dos planos; </w:t>
            </w:r>
            <w:proofErr w:type="spellStart"/>
            <w:r w:rsidRPr="002343D8">
              <w:rPr>
                <w:sz w:val="24"/>
                <w:szCs w:val="24"/>
              </w:rPr>
              <w:t>iii</w:t>
            </w:r>
            <w:proofErr w:type="spellEnd"/>
            <w:r w:rsidRPr="002343D8">
              <w:rPr>
                <w:sz w:val="24"/>
                <w:szCs w:val="24"/>
              </w:rPr>
              <w:t xml:space="preserve">. Valor das Operações Contratadas com Patrocinador em relação ao Ativo; </w:t>
            </w:r>
            <w:proofErr w:type="spellStart"/>
            <w:r w:rsidRPr="002343D8">
              <w:rPr>
                <w:sz w:val="24"/>
                <w:szCs w:val="24"/>
              </w:rPr>
              <w:t>iv</w:t>
            </w:r>
            <w:proofErr w:type="spellEnd"/>
            <w:r w:rsidRPr="002343D8">
              <w:rPr>
                <w:sz w:val="24"/>
                <w:szCs w:val="24"/>
              </w:rPr>
              <w:t>. EFPC que administra perfil de investimentos. Proporcionar maior tecnicidade ao fator de complexidade.</w:t>
            </w:r>
          </w:p>
        </w:tc>
        <w:tc>
          <w:tcPr>
            <w:tcW w:w="3741" w:type="dxa"/>
          </w:tcPr>
          <w:p w14:paraId="142E868F" w14:textId="77777777" w:rsidR="00664E7F" w:rsidRDefault="002343D8" w:rsidP="00664E7F">
            <w:pPr>
              <w:spacing w:before="120" w:after="120" w:line="240" w:lineRule="auto"/>
              <w:jc w:val="both"/>
              <w:rPr>
                <w:sz w:val="24"/>
                <w:szCs w:val="24"/>
              </w:rPr>
            </w:pPr>
            <w:r>
              <w:rPr>
                <w:sz w:val="24"/>
                <w:szCs w:val="24"/>
              </w:rPr>
              <w:t>(ANCEP)</w:t>
            </w:r>
          </w:p>
          <w:p w14:paraId="342892CF" w14:textId="195F00BC" w:rsidR="002343D8" w:rsidRPr="00B733C8" w:rsidRDefault="002343D8" w:rsidP="00664E7F">
            <w:pPr>
              <w:spacing w:before="120" w:after="120" w:line="240" w:lineRule="auto"/>
              <w:jc w:val="both"/>
              <w:rPr>
                <w:sz w:val="24"/>
                <w:szCs w:val="24"/>
              </w:rPr>
            </w:pPr>
            <w:r w:rsidRPr="002343D8">
              <w:rPr>
                <w:sz w:val="24"/>
                <w:szCs w:val="24"/>
              </w:rPr>
              <w:t>Proporcionar maior tecnicidade ao fator de complexidade.</w:t>
            </w:r>
          </w:p>
        </w:tc>
        <w:tc>
          <w:tcPr>
            <w:tcW w:w="3279" w:type="dxa"/>
          </w:tcPr>
          <w:p w14:paraId="2BDA6A50" w14:textId="3F7577C9" w:rsidR="00664E7F" w:rsidRPr="00B733C8" w:rsidRDefault="002343D8" w:rsidP="00664E7F">
            <w:pPr>
              <w:spacing w:before="120" w:after="120" w:line="240" w:lineRule="auto"/>
              <w:jc w:val="both"/>
              <w:rPr>
                <w:sz w:val="24"/>
                <w:szCs w:val="24"/>
              </w:rPr>
            </w:pPr>
            <w:r w:rsidRPr="002343D8">
              <w:rPr>
                <w:sz w:val="24"/>
                <w:szCs w:val="24"/>
              </w:rPr>
              <w:t xml:space="preserve">Não acatar devido a urgência do projeto. A alteração dos </w:t>
            </w:r>
            <w:proofErr w:type="spellStart"/>
            <w:r w:rsidRPr="002343D8">
              <w:rPr>
                <w:sz w:val="24"/>
                <w:szCs w:val="24"/>
              </w:rPr>
              <w:t>criterios</w:t>
            </w:r>
            <w:proofErr w:type="spellEnd"/>
            <w:r w:rsidRPr="002343D8">
              <w:rPr>
                <w:sz w:val="24"/>
                <w:szCs w:val="24"/>
              </w:rPr>
              <w:t xml:space="preserve"> deve ser precedidas de simulações e discussão entre o grupo de trabalho envolvido.</w:t>
            </w:r>
          </w:p>
        </w:tc>
      </w:tr>
      <w:tr w:rsidR="00664E7F" w:rsidRPr="0010524E" w14:paraId="65AEBDF5" w14:textId="752D55FA" w:rsidTr="00664E7F">
        <w:tc>
          <w:tcPr>
            <w:tcW w:w="4827" w:type="dxa"/>
            <w:shd w:val="clear" w:color="auto" w:fill="auto"/>
            <w:noWrap/>
          </w:tcPr>
          <w:p w14:paraId="3D17308B" w14:textId="77777777" w:rsidR="00664E7F" w:rsidRPr="00B733C8" w:rsidRDefault="00664E7F" w:rsidP="00664E7F">
            <w:pPr>
              <w:spacing w:before="120" w:after="120" w:line="240" w:lineRule="auto"/>
              <w:jc w:val="both"/>
              <w:rPr>
                <w:sz w:val="24"/>
                <w:szCs w:val="24"/>
              </w:rPr>
            </w:pPr>
            <w:r w:rsidRPr="00B733C8">
              <w:rPr>
                <w:sz w:val="24"/>
                <w:szCs w:val="24"/>
              </w:rPr>
              <w:t xml:space="preserve">Art. 4º  A Diretoria de Normas da </w:t>
            </w:r>
            <w:proofErr w:type="spellStart"/>
            <w:r w:rsidRPr="00B733C8">
              <w:rPr>
                <w:sz w:val="24"/>
                <w:szCs w:val="24"/>
              </w:rPr>
              <w:t>Previc</w:t>
            </w:r>
            <w:proofErr w:type="spellEnd"/>
            <w:r w:rsidRPr="00B733C8">
              <w:rPr>
                <w:sz w:val="24"/>
                <w:szCs w:val="24"/>
              </w:rPr>
              <w:t xml:space="preserve"> publicará, até o dia 30 de junho de cada exercício, a fórmula de cálculo utilizada para definição dos fatores de porte e de complexidade, assim como a relação de entidades enquadradas em cada segmento.</w:t>
            </w:r>
          </w:p>
          <w:p w14:paraId="0E0F97AC" w14:textId="77777777" w:rsidR="00664E7F" w:rsidRPr="00B733C8" w:rsidRDefault="00664E7F" w:rsidP="00664E7F">
            <w:pPr>
              <w:spacing w:before="120" w:after="120" w:line="240" w:lineRule="auto"/>
              <w:jc w:val="both"/>
              <w:rPr>
                <w:sz w:val="24"/>
                <w:szCs w:val="24"/>
              </w:rPr>
            </w:pPr>
          </w:p>
        </w:tc>
        <w:tc>
          <w:tcPr>
            <w:tcW w:w="3741" w:type="dxa"/>
          </w:tcPr>
          <w:p w14:paraId="3FEA71C9" w14:textId="77777777" w:rsidR="00664E7F" w:rsidRDefault="00D543AD" w:rsidP="00664E7F">
            <w:pPr>
              <w:spacing w:before="120" w:after="120" w:line="240" w:lineRule="auto"/>
              <w:jc w:val="both"/>
              <w:rPr>
                <w:sz w:val="24"/>
                <w:szCs w:val="24"/>
              </w:rPr>
            </w:pPr>
            <w:r>
              <w:rPr>
                <w:sz w:val="24"/>
                <w:szCs w:val="24"/>
              </w:rPr>
              <w:t>(ABRAPP)</w:t>
            </w:r>
          </w:p>
          <w:p w14:paraId="21F6CE1C" w14:textId="77777777" w:rsidR="00155EEB" w:rsidRDefault="00155EEB" w:rsidP="00664E7F">
            <w:pPr>
              <w:spacing w:before="120" w:after="120" w:line="240" w:lineRule="auto"/>
              <w:jc w:val="both"/>
              <w:rPr>
                <w:sz w:val="24"/>
                <w:szCs w:val="24"/>
              </w:rPr>
            </w:pPr>
            <w:r w:rsidRPr="00155EEB">
              <w:rPr>
                <w:sz w:val="24"/>
                <w:szCs w:val="24"/>
              </w:rPr>
              <w:t xml:space="preserve">Art. 4º A Diretoria de Normas da </w:t>
            </w:r>
            <w:proofErr w:type="spellStart"/>
            <w:r w:rsidRPr="00155EEB">
              <w:rPr>
                <w:sz w:val="24"/>
                <w:szCs w:val="24"/>
              </w:rPr>
              <w:t>Previc</w:t>
            </w:r>
            <w:proofErr w:type="spellEnd"/>
            <w:r w:rsidRPr="00155EEB">
              <w:rPr>
                <w:sz w:val="24"/>
                <w:szCs w:val="24"/>
              </w:rPr>
              <w:t xml:space="preserve"> publicará, até o dia 30 de junho de cada exercício, a fórmula de cálculo utilizada para definição dos fatores de porte e de complexidade, assim como a relação de entidades enquadradas em cada segmento para o exercício social seguinte.</w:t>
            </w:r>
          </w:p>
          <w:p w14:paraId="603D808E" w14:textId="2AB60A69" w:rsidR="00155EEB" w:rsidRPr="00B733C8" w:rsidRDefault="00155EEB" w:rsidP="00664E7F">
            <w:pPr>
              <w:spacing w:before="120" w:after="120" w:line="240" w:lineRule="auto"/>
              <w:jc w:val="both"/>
              <w:rPr>
                <w:sz w:val="24"/>
                <w:szCs w:val="24"/>
              </w:rPr>
            </w:pPr>
          </w:p>
        </w:tc>
        <w:tc>
          <w:tcPr>
            <w:tcW w:w="3741" w:type="dxa"/>
          </w:tcPr>
          <w:p w14:paraId="362A9358" w14:textId="77777777" w:rsidR="00664E7F" w:rsidRDefault="00155EEB" w:rsidP="00664E7F">
            <w:pPr>
              <w:spacing w:before="120" w:after="120" w:line="240" w:lineRule="auto"/>
              <w:jc w:val="both"/>
              <w:rPr>
                <w:sz w:val="24"/>
                <w:szCs w:val="24"/>
              </w:rPr>
            </w:pPr>
            <w:r>
              <w:rPr>
                <w:sz w:val="24"/>
                <w:szCs w:val="24"/>
              </w:rPr>
              <w:t>(ABRAPP)</w:t>
            </w:r>
          </w:p>
          <w:p w14:paraId="50FC8A7B" w14:textId="0809A7E9" w:rsidR="00155EEB" w:rsidRPr="00B733C8" w:rsidRDefault="00155EEB" w:rsidP="00664E7F">
            <w:pPr>
              <w:spacing w:before="120" w:after="120" w:line="240" w:lineRule="auto"/>
              <w:jc w:val="both"/>
              <w:rPr>
                <w:sz w:val="24"/>
                <w:szCs w:val="24"/>
              </w:rPr>
            </w:pPr>
            <w:r w:rsidRPr="00155EEB">
              <w:rPr>
                <w:sz w:val="24"/>
                <w:szCs w:val="24"/>
              </w:rPr>
              <w:t>Ajuste redacional para melhor esclarecimento da forma de cálculo.</w:t>
            </w:r>
          </w:p>
        </w:tc>
        <w:tc>
          <w:tcPr>
            <w:tcW w:w="3279" w:type="dxa"/>
          </w:tcPr>
          <w:p w14:paraId="67484CA2" w14:textId="2294E98D" w:rsidR="00664E7F" w:rsidRPr="00B733C8" w:rsidRDefault="00155EEB" w:rsidP="00664E7F">
            <w:pPr>
              <w:spacing w:before="120" w:after="120" w:line="240" w:lineRule="auto"/>
              <w:jc w:val="both"/>
              <w:rPr>
                <w:sz w:val="24"/>
                <w:szCs w:val="24"/>
              </w:rPr>
            </w:pPr>
            <w:r>
              <w:rPr>
                <w:sz w:val="24"/>
                <w:szCs w:val="24"/>
              </w:rPr>
              <w:t>Sugestão Acatada</w:t>
            </w:r>
          </w:p>
        </w:tc>
      </w:tr>
      <w:tr w:rsidR="00664E7F" w:rsidRPr="0010524E" w14:paraId="5FFC693A" w14:textId="5BB0C395" w:rsidTr="00664E7F">
        <w:tc>
          <w:tcPr>
            <w:tcW w:w="4827" w:type="dxa"/>
            <w:shd w:val="clear" w:color="auto" w:fill="auto"/>
            <w:noWrap/>
          </w:tcPr>
          <w:p w14:paraId="7B1E7BB5" w14:textId="36E74ABF" w:rsidR="00664E7F" w:rsidRPr="00B733C8" w:rsidRDefault="00664E7F" w:rsidP="00664E7F">
            <w:pPr>
              <w:spacing w:before="120" w:after="120" w:line="240" w:lineRule="auto"/>
              <w:jc w:val="both"/>
              <w:rPr>
                <w:sz w:val="24"/>
                <w:szCs w:val="24"/>
              </w:rPr>
            </w:pPr>
          </w:p>
        </w:tc>
        <w:tc>
          <w:tcPr>
            <w:tcW w:w="3741" w:type="dxa"/>
          </w:tcPr>
          <w:p w14:paraId="7DCB1FBF" w14:textId="77777777" w:rsidR="00401D1F" w:rsidRDefault="00401D1F" w:rsidP="00664E7F">
            <w:pPr>
              <w:spacing w:before="120" w:after="120" w:line="240" w:lineRule="auto"/>
              <w:jc w:val="both"/>
              <w:rPr>
                <w:sz w:val="24"/>
                <w:szCs w:val="24"/>
              </w:rPr>
            </w:pPr>
            <w:r>
              <w:rPr>
                <w:sz w:val="24"/>
                <w:szCs w:val="24"/>
              </w:rPr>
              <w:t>(APEP_IPCOM)</w:t>
            </w:r>
          </w:p>
          <w:p w14:paraId="1556437E" w14:textId="77777777" w:rsidR="00664E7F" w:rsidRDefault="00401D1F" w:rsidP="00664E7F">
            <w:pPr>
              <w:spacing w:before="120" w:after="120" w:line="240" w:lineRule="auto"/>
              <w:jc w:val="both"/>
              <w:rPr>
                <w:rFonts w:eastAsia="Calibri" w:cstheme="minorHAnsi"/>
                <w:sz w:val="24"/>
              </w:rPr>
            </w:pPr>
            <w:r w:rsidRPr="00A14021">
              <w:rPr>
                <w:rFonts w:cstheme="minorHAnsi"/>
                <w:sz w:val="24"/>
              </w:rPr>
              <w:t xml:space="preserve">Parágrafo único </w:t>
            </w:r>
            <w:r w:rsidRPr="00A14021">
              <w:rPr>
                <w:rFonts w:eastAsia="Calibri" w:cstheme="minorHAnsi"/>
                <w:sz w:val="24"/>
              </w:rPr>
              <w:t xml:space="preserve">- As entidades de que trata o </w:t>
            </w:r>
            <w:r w:rsidRPr="00A14021">
              <w:rPr>
                <w:rFonts w:eastAsia="Calibri" w:cstheme="minorHAnsi"/>
                <w:b/>
                <w:bCs/>
                <w:sz w:val="24"/>
              </w:rPr>
              <w:t>caput</w:t>
            </w:r>
            <w:r w:rsidRPr="00A14021">
              <w:rPr>
                <w:rFonts w:eastAsia="Calibri" w:cstheme="minorHAnsi"/>
                <w:sz w:val="24"/>
              </w:rPr>
              <w:t xml:space="preserve"> serão classificadas de 01/07 a 30/06 de cada ano, sendo a primeira classificação válida até 30/06/2024, com base nas informações disponibilizadas pela </w:t>
            </w:r>
            <w:proofErr w:type="spellStart"/>
            <w:r w:rsidRPr="00A14021">
              <w:rPr>
                <w:rFonts w:eastAsia="Calibri" w:cstheme="minorHAnsi"/>
                <w:sz w:val="24"/>
              </w:rPr>
              <w:t>Previc</w:t>
            </w:r>
            <w:proofErr w:type="spellEnd"/>
            <w:r w:rsidRPr="00A14021">
              <w:rPr>
                <w:rFonts w:eastAsia="Calibri" w:cstheme="minorHAnsi"/>
                <w:sz w:val="24"/>
              </w:rPr>
              <w:t xml:space="preserve"> na data de publicação desta Resolução</w:t>
            </w:r>
          </w:p>
          <w:p w14:paraId="12D68550" w14:textId="77777777" w:rsidR="00155EEB" w:rsidRDefault="00155EEB" w:rsidP="00664E7F">
            <w:pPr>
              <w:spacing w:before="120" w:after="120" w:line="240" w:lineRule="auto"/>
              <w:jc w:val="both"/>
              <w:rPr>
                <w:rFonts w:eastAsia="Calibri" w:cstheme="minorHAnsi"/>
                <w:sz w:val="24"/>
              </w:rPr>
            </w:pPr>
          </w:p>
          <w:p w14:paraId="1719C5F6" w14:textId="77777777" w:rsidR="00155EEB" w:rsidRDefault="00155EEB" w:rsidP="00664E7F">
            <w:pPr>
              <w:spacing w:before="120" w:after="120" w:line="240" w:lineRule="auto"/>
              <w:jc w:val="both"/>
              <w:rPr>
                <w:rFonts w:eastAsia="Calibri" w:cstheme="minorHAnsi"/>
                <w:sz w:val="24"/>
              </w:rPr>
            </w:pPr>
            <w:r>
              <w:rPr>
                <w:rFonts w:eastAsia="Calibri" w:cstheme="minorHAnsi"/>
                <w:sz w:val="24"/>
              </w:rPr>
              <w:t>(ABRAPP)</w:t>
            </w:r>
          </w:p>
          <w:p w14:paraId="00BF5DE4" w14:textId="52CC3EFD" w:rsidR="00155EEB" w:rsidRDefault="00155EEB" w:rsidP="00664E7F">
            <w:pPr>
              <w:spacing w:before="120" w:after="120" w:line="240" w:lineRule="auto"/>
              <w:jc w:val="both"/>
              <w:rPr>
                <w:sz w:val="24"/>
                <w:szCs w:val="24"/>
              </w:rPr>
            </w:pPr>
            <w:r w:rsidRPr="00155EEB">
              <w:rPr>
                <w:sz w:val="24"/>
                <w:szCs w:val="24"/>
              </w:rPr>
              <w:t>Parágrafo único. Para fins de enquadramento, nos cálculos serão utilizadas as informações das EFPC, relativas ao mês de dezembro do exercício anterior.</w:t>
            </w:r>
          </w:p>
        </w:tc>
        <w:tc>
          <w:tcPr>
            <w:tcW w:w="3741" w:type="dxa"/>
          </w:tcPr>
          <w:p w14:paraId="60C51F1E" w14:textId="77777777" w:rsidR="00664E7F" w:rsidRDefault="00401D1F" w:rsidP="00664E7F">
            <w:pPr>
              <w:spacing w:before="120" w:after="120" w:line="240" w:lineRule="auto"/>
              <w:jc w:val="both"/>
              <w:rPr>
                <w:sz w:val="24"/>
                <w:szCs w:val="24"/>
              </w:rPr>
            </w:pPr>
            <w:r>
              <w:rPr>
                <w:sz w:val="24"/>
                <w:szCs w:val="24"/>
              </w:rPr>
              <w:t>(APEP_IPCOM)</w:t>
            </w:r>
          </w:p>
          <w:p w14:paraId="163E7EF0" w14:textId="77777777" w:rsidR="00401D1F" w:rsidRDefault="00401D1F" w:rsidP="00664E7F">
            <w:pPr>
              <w:spacing w:before="120" w:after="120" w:line="240" w:lineRule="auto"/>
              <w:jc w:val="both"/>
              <w:rPr>
                <w:rFonts w:cstheme="minorHAnsi"/>
                <w:sz w:val="24"/>
              </w:rPr>
            </w:pPr>
            <w:r w:rsidRPr="004D2AB1">
              <w:rPr>
                <w:rFonts w:cstheme="minorHAnsi"/>
                <w:sz w:val="24"/>
              </w:rPr>
              <w:t>Disciplinar a validade das informações e o primeiro período de sua validade</w:t>
            </w:r>
          </w:p>
          <w:p w14:paraId="6631A03C" w14:textId="77777777" w:rsidR="00155EEB" w:rsidRDefault="00155EEB" w:rsidP="00664E7F">
            <w:pPr>
              <w:spacing w:before="120" w:after="120" w:line="240" w:lineRule="auto"/>
              <w:jc w:val="both"/>
              <w:rPr>
                <w:rFonts w:cstheme="minorHAnsi"/>
                <w:sz w:val="24"/>
              </w:rPr>
            </w:pPr>
            <w:r>
              <w:rPr>
                <w:rFonts w:cstheme="minorHAnsi"/>
                <w:sz w:val="24"/>
              </w:rPr>
              <w:t>(ABRAPP)</w:t>
            </w:r>
          </w:p>
          <w:p w14:paraId="16E2B92B" w14:textId="38717240" w:rsidR="00155EEB" w:rsidRDefault="00155EEB" w:rsidP="00664E7F">
            <w:pPr>
              <w:spacing w:before="120" w:after="120" w:line="240" w:lineRule="auto"/>
              <w:jc w:val="both"/>
              <w:rPr>
                <w:sz w:val="24"/>
                <w:szCs w:val="24"/>
              </w:rPr>
            </w:pPr>
            <w:r w:rsidRPr="00155EEB">
              <w:rPr>
                <w:sz w:val="24"/>
                <w:szCs w:val="24"/>
              </w:rPr>
              <w:t>Inclusão da competência da base dos enquadramentos.</w:t>
            </w:r>
          </w:p>
        </w:tc>
        <w:tc>
          <w:tcPr>
            <w:tcW w:w="3279" w:type="dxa"/>
          </w:tcPr>
          <w:p w14:paraId="274C1814" w14:textId="4F9249D6" w:rsidR="00664E7F" w:rsidRDefault="00155EEB" w:rsidP="00664E7F">
            <w:pPr>
              <w:spacing w:before="120" w:after="120" w:line="240" w:lineRule="auto"/>
              <w:jc w:val="both"/>
              <w:rPr>
                <w:sz w:val="24"/>
                <w:szCs w:val="24"/>
              </w:rPr>
            </w:pPr>
            <w:r>
              <w:rPr>
                <w:sz w:val="24"/>
                <w:szCs w:val="24"/>
              </w:rPr>
              <w:t xml:space="preserve">Sugestão da </w:t>
            </w:r>
            <w:proofErr w:type="spellStart"/>
            <w:r>
              <w:rPr>
                <w:sz w:val="24"/>
                <w:szCs w:val="24"/>
              </w:rPr>
              <w:t>Abrapp</w:t>
            </w:r>
            <w:proofErr w:type="spellEnd"/>
            <w:r>
              <w:rPr>
                <w:sz w:val="24"/>
                <w:szCs w:val="24"/>
              </w:rPr>
              <w:t xml:space="preserve"> acatada por ser de mais claro entendimento que a versão da APEP_IPCOM.</w:t>
            </w:r>
          </w:p>
        </w:tc>
      </w:tr>
      <w:tr w:rsidR="00664E7F" w:rsidRPr="0010524E" w14:paraId="401F87C1" w14:textId="2D446ECA" w:rsidTr="00664E7F">
        <w:tc>
          <w:tcPr>
            <w:tcW w:w="4827" w:type="dxa"/>
            <w:shd w:val="clear" w:color="auto" w:fill="auto"/>
            <w:noWrap/>
          </w:tcPr>
          <w:p w14:paraId="1602FD34" w14:textId="2737CF5C" w:rsidR="00664E7F" w:rsidRPr="0010524E" w:rsidRDefault="00664E7F" w:rsidP="00664E7F">
            <w:pPr>
              <w:spacing w:after="0" w:line="240" w:lineRule="auto"/>
              <w:jc w:val="both"/>
              <w:rPr>
                <w:rFonts w:ascii="Calibri" w:eastAsia="Times New Roman" w:hAnsi="Calibri" w:cs="Calibri"/>
                <w:kern w:val="0"/>
                <w:sz w:val="24"/>
                <w:szCs w:val="24"/>
                <w:lang w:eastAsia="pt-BR"/>
                <w14:ligatures w14:val="none"/>
              </w:rPr>
            </w:pPr>
          </w:p>
        </w:tc>
        <w:tc>
          <w:tcPr>
            <w:tcW w:w="3741" w:type="dxa"/>
          </w:tcPr>
          <w:p w14:paraId="30BA0FFC" w14:textId="77777777" w:rsidR="00664E7F" w:rsidRPr="0010524E" w:rsidRDefault="00664E7F" w:rsidP="00664E7F">
            <w:pPr>
              <w:spacing w:after="0" w:line="240" w:lineRule="auto"/>
              <w:jc w:val="both"/>
              <w:rPr>
                <w:rFonts w:ascii="Calibri" w:eastAsia="Times New Roman" w:hAnsi="Calibri" w:cs="Calibri"/>
                <w:kern w:val="0"/>
                <w:sz w:val="24"/>
                <w:szCs w:val="24"/>
                <w:lang w:eastAsia="pt-BR"/>
                <w14:ligatures w14:val="none"/>
              </w:rPr>
            </w:pPr>
          </w:p>
        </w:tc>
        <w:tc>
          <w:tcPr>
            <w:tcW w:w="3741" w:type="dxa"/>
          </w:tcPr>
          <w:p w14:paraId="29D645DC" w14:textId="77777777" w:rsidR="00664E7F" w:rsidRPr="0010524E" w:rsidRDefault="00664E7F" w:rsidP="00664E7F">
            <w:pPr>
              <w:spacing w:after="0" w:line="240" w:lineRule="auto"/>
              <w:jc w:val="both"/>
              <w:rPr>
                <w:rFonts w:ascii="Calibri" w:eastAsia="Times New Roman" w:hAnsi="Calibri" w:cs="Calibri"/>
                <w:kern w:val="0"/>
                <w:sz w:val="24"/>
                <w:szCs w:val="24"/>
                <w:lang w:eastAsia="pt-BR"/>
                <w14:ligatures w14:val="none"/>
              </w:rPr>
            </w:pPr>
          </w:p>
        </w:tc>
        <w:tc>
          <w:tcPr>
            <w:tcW w:w="3279" w:type="dxa"/>
          </w:tcPr>
          <w:p w14:paraId="355B05B6" w14:textId="12E6584D" w:rsidR="00664E7F" w:rsidRPr="0010524E" w:rsidRDefault="00664E7F" w:rsidP="00664E7F">
            <w:pPr>
              <w:spacing w:after="0" w:line="240" w:lineRule="auto"/>
              <w:jc w:val="both"/>
              <w:rPr>
                <w:rFonts w:ascii="Calibri" w:eastAsia="Times New Roman" w:hAnsi="Calibri" w:cs="Calibri"/>
                <w:kern w:val="0"/>
                <w:sz w:val="24"/>
                <w:szCs w:val="24"/>
                <w:lang w:eastAsia="pt-BR"/>
                <w14:ligatures w14:val="none"/>
              </w:rPr>
            </w:pPr>
          </w:p>
        </w:tc>
      </w:tr>
      <w:tr w:rsidR="00664E7F" w:rsidRPr="0010524E" w14:paraId="084995E6" w14:textId="7FD51EBB"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72B792" w14:textId="77777777" w:rsidR="00664E7F" w:rsidRPr="007A3B8B" w:rsidRDefault="00664E7F" w:rsidP="00664E7F">
            <w:pPr>
              <w:spacing w:after="120"/>
              <w:jc w:val="center"/>
              <w:rPr>
                <w:rFonts w:ascii="Calibri" w:eastAsia="Calibri" w:hAnsi="Calibri" w:cs="Calibri"/>
                <w:sz w:val="24"/>
                <w:szCs w:val="24"/>
              </w:rPr>
            </w:pPr>
            <w:r w:rsidRPr="007A3B8B">
              <w:rPr>
                <w:rFonts w:ascii="Calibri" w:eastAsia="Calibri" w:hAnsi="Calibri" w:cs="Calibri"/>
                <w:sz w:val="24"/>
                <w:szCs w:val="24"/>
              </w:rPr>
              <w:t>CAPÍTULO IX</w:t>
            </w:r>
          </w:p>
          <w:p w14:paraId="5FEB3108" w14:textId="43B35B67" w:rsidR="00664E7F" w:rsidRPr="0010524E" w:rsidRDefault="00664E7F" w:rsidP="00664E7F">
            <w:pPr>
              <w:spacing w:after="120"/>
              <w:jc w:val="center"/>
              <w:rPr>
                <w:rFonts w:ascii="Calibri" w:eastAsia="Times New Roman" w:hAnsi="Calibri" w:cs="Calibri"/>
                <w:kern w:val="0"/>
                <w:sz w:val="24"/>
                <w:szCs w:val="24"/>
                <w:lang w:eastAsia="pt-BR"/>
                <w14:ligatures w14:val="none"/>
              </w:rPr>
            </w:pPr>
            <w:r w:rsidRPr="007A3B8B">
              <w:rPr>
                <w:rFonts w:ascii="Calibri" w:eastAsia="Calibri" w:hAnsi="Calibri" w:cs="Calibri"/>
                <w:sz w:val="24"/>
                <w:szCs w:val="24"/>
              </w:rPr>
              <w:t>DOS PROCEDIMENTOS RELATIVOS AO RECOLHIMENTO DA TAXA DE FISCALIZAÇÃO E CONTROLE DA PREVIDÊNCIA COMPLEMENTAR - TAFIC</w:t>
            </w:r>
          </w:p>
        </w:tc>
        <w:tc>
          <w:tcPr>
            <w:tcW w:w="3741" w:type="dxa"/>
            <w:tcBorders>
              <w:top w:val="single" w:sz="4" w:space="0" w:color="auto"/>
              <w:left w:val="single" w:sz="4" w:space="0" w:color="auto"/>
              <w:bottom w:val="single" w:sz="4" w:space="0" w:color="auto"/>
              <w:right w:val="single" w:sz="4" w:space="0" w:color="auto"/>
            </w:tcBorders>
          </w:tcPr>
          <w:p w14:paraId="5D2B63ED" w14:textId="77777777" w:rsidR="00664E7F" w:rsidRPr="007A3B8B" w:rsidRDefault="00664E7F" w:rsidP="00664E7F">
            <w:pPr>
              <w:spacing w:after="120"/>
              <w:jc w:val="center"/>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2657A15E" w14:textId="77777777" w:rsidR="00664E7F" w:rsidRPr="007A3B8B" w:rsidRDefault="00664E7F" w:rsidP="00664E7F">
            <w:pPr>
              <w:spacing w:after="120"/>
              <w:jc w:val="center"/>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2E08E40C" w14:textId="7B37CA45" w:rsidR="00664E7F" w:rsidRPr="007A3B8B" w:rsidRDefault="00664E7F" w:rsidP="00664E7F">
            <w:pPr>
              <w:spacing w:after="120"/>
              <w:jc w:val="center"/>
              <w:rPr>
                <w:rFonts w:ascii="Calibri" w:eastAsia="Calibri" w:hAnsi="Calibri" w:cs="Calibri"/>
                <w:sz w:val="24"/>
                <w:szCs w:val="24"/>
              </w:rPr>
            </w:pPr>
          </w:p>
        </w:tc>
      </w:tr>
      <w:tr w:rsidR="00664E7F" w:rsidRPr="0010524E" w14:paraId="19544F35" w14:textId="26215A6E"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D2DDAC" w14:textId="7230A9FE" w:rsidR="00664E7F" w:rsidRPr="0010524E" w:rsidRDefault="00664E7F" w:rsidP="00664E7F">
            <w:pPr>
              <w:pStyle w:val="PargrafodaLista"/>
              <w:tabs>
                <w:tab w:val="left" w:pos="993"/>
              </w:tabs>
              <w:ind w:left="0"/>
              <w:jc w:val="center"/>
              <w:rPr>
                <w:rFonts w:ascii="Calibri" w:eastAsia="Times New Roman" w:hAnsi="Calibri" w:cs="Calibri"/>
                <w:b/>
                <w:bCs/>
                <w:kern w:val="0"/>
                <w:sz w:val="24"/>
                <w:szCs w:val="24"/>
                <w:lang w:eastAsia="pt-BR"/>
                <w14:ligatures w14:val="none"/>
              </w:rPr>
            </w:pPr>
            <w:r>
              <w:rPr>
                <w:rFonts w:ascii="Calibri" w:eastAsia="Times New Roman" w:hAnsi="Calibri" w:cs="Calibri"/>
                <w:b/>
                <w:bCs/>
                <w:kern w:val="0"/>
                <w:sz w:val="24"/>
                <w:szCs w:val="24"/>
                <w:lang w:eastAsia="pt-BR"/>
                <w14:ligatures w14:val="none"/>
              </w:rPr>
              <w:t>Seção</w:t>
            </w:r>
            <w:r w:rsidRPr="0010524E">
              <w:rPr>
                <w:rFonts w:ascii="Calibri" w:eastAsia="Times New Roman" w:hAnsi="Calibri" w:cs="Calibri"/>
                <w:b/>
                <w:bCs/>
                <w:kern w:val="0"/>
                <w:sz w:val="24"/>
                <w:szCs w:val="24"/>
                <w:lang w:eastAsia="pt-BR"/>
                <w14:ligatures w14:val="none"/>
              </w:rPr>
              <w:t xml:space="preserve"> I</w:t>
            </w:r>
          </w:p>
          <w:p w14:paraId="4C8F15C1" w14:textId="212D68F8" w:rsidR="00664E7F" w:rsidRPr="0010524E" w:rsidRDefault="00664E7F" w:rsidP="00664E7F">
            <w:pPr>
              <w:pStyle w:val="PargrafodaLista"/>
              <w:tabs>
                <w:tab w:val="left" w:pos="993"/>
              </w:tabs>
              <w:ind w:left="0"/>
              <w:jc w:val="center"/>
              <w:rPr>
                <w:rFonts w:ascii="Calibri" w:eastAsia="Times New Roman" w:hAnsi="Calibri" w:cs="Calibri"/>
                <w:kern w:val="0"/>
                <w:sz w:val="24"/>
                <w:szCs w:val="24"/>
                <w:lang w:eastAsia="pt-BR"/>
                <w14:ligatures w14:val="none"/>
              </w:rPr>
            </w:pPr>
            <w:r>
              <w:rPr>
                <w:rFonts w:ascii="Calibri" w:eastAsia="Times New Roman" w:hAnsi="Calibri" w:cs="Calibri"/>
                <w:b/>
                <w:bCs/>
                <w:kern w:val="0"/>
                <w:sz w:val="24"/>
                <w:szCs w:val="24"/>
                <w:lang w:eastAsia="pt-BR"/>
                <w14:ligatures w14:val="none"/>
              </w:rPr>
              <w:t>Disposições Gerais</w:t>
            </w:r>
          </w:p>
        </w:tc>
        <w:tc>
          <w:tcPr>
            <w:tcW w:w="3741" w:type="dxa"/>
            <w:tcBorders>
              <w:top w:val="single" w:sz="4" w:space="0" w:color="auto"/>
              <w:left w:val="single" w:sz="4" w:space="0" w:color="auto"/>
              <w:bottom w:val="single" w:sz="4" w:space="0" w:color="auto"/>
              <w:right w:val="single" w:sz="4" w:space="0" w:color="auto"/>
            </w:tcBorders>
          </w:tcPr>
          <w:p w14:paraId="3A8C5540" w14:textId="77777777" w:rsidR="00664E7F" w:rsidRDefault="00664E7F" w:rsidP="00664E7F">
            <w:pPr>
              <w:pStyle w:val="PargrafodaLista"/>
              <w:tabs>
                <w:tab w:val="left" w:pos="993"/>
              </w:tabs>
              <w:ind w:left="0"/>
              <w:jc w:val="center"/>
              <w:rPr>
                <w:rFonts w:ascii="Calibri" w:eastAsia="Times New Roman" w:hAnsi="Calibri" w:cs="Calibri"/>
                <w:b/>
                <w:bCs/>
                <w:kern w:val="0"/>
                <w:sz w:val="24"/>
                <w:szCs w:val="24"/>
                <w:lang w:eastAsia="pt-BR"/>
                <w14:ligatures w14:val="none"/>
              </w:rPr>
            </w:pPr>
          </w:p>
        </w:tc>
        <w:tc>
          <w:tcPr>
            <w:tcW w:w="3741" w:type="dxa"/>
            <w:tcBorders>
              <w:top w:val="single" w:sz="4" w:space="0" w:color="auto"/>
              <w:left w:val="single" w:sz="4" w:space="0" w:color="auto"/>
              <w:bottom w:val="single" w:sz="4" w:space="0" w:color="auto"/>
              <w:right w:val="single" w:sz="4" w:space="0" w:color="auto"/>
            </w:tcBorders>
          </w:tcPr>
          <w:p w14:paraId="5E3A01ED" w14:textId="77777777" w:rsidR="00664E7F" w:rsidRDefault="00664E7F" w:rsidP="00664E7F">
            <w:pPr>
              <w:pStyle w:val="PargrafodaLista"/>
              <w:tabs>
                <w:tab w:val="left" w:pos="993"/>
              </w:tabs>
              <w:ind w:left="0"/>
              <w:jc w:val="center"/>
              <w:rPr>
                <w:rFonts w:ascii="Calibri" w:eastAsia="Times New Roman" w:hAnsi="Calibri" w:cs="Calibri"/>
                <w:b/>
                <w:bCs/>
                <w:kern w:val="0"/>
                <w:sz w:val="24"/>
                <w:szCs w:val="24"/>
                <w:lang w:eastAsia="pt-BR"/>
                <w14:ligatures w14:val="none"/>
              </w:rPr>
            </w:pPr>
          </w:p>
        </w:tc>
        <w:tc>
          <w:tcPr>
            <w:tcW w:w="3279" w:type="dxa"/>
            <w:tcBorders>
              <w:top w:val="single" w:sz="4" w:space="0" w:color="auto"/>
              <w:left w:val="single" w:sz="4" w:space="0" w:color="auto"/>
              <w:bottom w:val="single" w:sz="4" w:space="0" w:color="auto"/>
              <w:right w:val="single" w:sz="4" w:space="0" w:color="auto"/>
            </w:tcBorders>
          </w:tcPr>
          <w:p w14:paraId="6896FF08" w14:textId="0AD666FF" w:rsidR="00664E7F" w:rsidRDefault="00664E7F" w:rsidP="00664E7F">
            <w:pPr>
              <w:pStyle w:val="PargrafodaLista"/>
              <w:tabs>
                <w:tab w:val="left" w:pos="993"/>
              </w:tabs>
              <w:ind w:left="0"/>
              <w:jc w:val="center"/>
              <w:rPr>
                <w:rFonts w:ascii="Calibri" w:eastAsia="Times New Roman" w:hAnsi="Calibri" w:cs="Calibri"/>
                <w:b/>
                <w:bCs/>
                <w:kern w:val="0"/>
                <w:sz w:val="24"/>
                <w:szCs w:val="24"/>
                <w:lang w:eastAsia="pt-BR"/>
                <w14:ligatures w14:val="none"/>
              </w:rPr>
            </w:pPr>
          </w:p>
        </w:tc>
      </w:tr>
      <w:tr w:rsidR="00664E7F" w:rsidRPr="0010524E" w14:paraId="3A8B5CF2" w14:textId="03C2C448"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17541247" w14:textId="26CF150B"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281</w:t>
            </w:r>
            <w:r w:rsidRPr="0010524E">
              <w:rPr>
                <w:rFonts w:ascii="Calibri" w:eastAsia="Calibri" w:hAnsi="Calibri" w:cs="Calibri"/>
                <w:sz w:val="24"/>
                <w:szCs w:val="24"/>
              </w:rPr>
              <w:t xml:space="preserve">.  O fato gerador da Taxa de Fiscalização e Controle da Previdência Complementar é o exercício do poder de polícia legalmente atribuído à </w:t>
            </w:r>
            <w:proofErr w:type="spellStart"/>
            <w:r w:rsidRPr="0010524E">
              <w:rPr>
                <w:rFonts w:ascii="Calibri" w:eastAsia="Calibri" w:hAnsi="Calibri" w:cs="Calibri"/>
                <w:sz w:val="24"/>
                <w:szCs w:val="24"/>
              </w:rPr>
              <w:t>Previc</w:t>
            </w:r>
            <w:proofErr w:type="spellEnd"/>
            <w:r w:rsidRPr="0010524E">
              <w:rPr>
                <w:rFonts w:ascii="Calibri" w:eastAsia="Calibri" w:hAnsi="Calibri" w:cs="Calibri"/>
                <w:sz w:val="24"/>
                <w:szCs w:val="24"/>
              </w:rPr>
              <w:t>, na forma do art. 2º da Lei nº 12.154, de 23 de dezembro de 2009.</w:t>
            </w:r>
          </w:p>
        </w:tc>
        <w:tc>
          <w:tcPr>
            <w:tcW w:w="3741" w:type="dxa"/>
            <w:tcBorders>
              <w:top w:val="single" w:sz="4" w:space="0" w:color="auto"/>
              <w:left w:val="single" w:sz="4" w:space="0" w:color="auto"/>
              <w:bottom w:val="single" w:sz="4" w:space="0" w:color="auto"/>
              <w:right w:val="single" w:sz="4" w:space="0" w:color="auto"/>
            </w:tcBorders>
          </w:tcPr>
          <w:p w14:paraId="43C21B7A"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3A30F452"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61F0A09F" w14:textId="7268D143" w:rsidR="00664E7F" w:rsidRPr="0010524E" w:rsidRDefault="00664E7F" w:rsidP="00664E7F">
            <w:pPr>
              <w:spacing w:after="120"/>
              <w:jc w:val="both"/>
              <w:rPr>
                <w:rFonts w:ascii="Calibri" w:eastAsia="Calibri" w:hAnsi="Calibri" w:cs="Calibri"/>
                <w:sz w:val="24"/>
                <w:szCs w:val="24"/>
              </w:rPr>
            </w:pPr>
          </w:p>
        </w:tc>
      </w:tr>
      <w:tr w:rsidR="00664E7F" w:rsidRPr="0010524E" w14:paraId="16F3F386" w14:textId="674EE2E1"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42D4D7BC" w14:textId="627C46DF"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282</w:t>
            </w:r>
            <w:r w:rsidRPr="0010524E">
              <w:rPr>
                <w:rFonts w:ascii="Calibri" w:eastAsia="Calibri" w:hAnsi="Calibri" w:cs="Calibri"/>
                <w:sz w:val="24"/>
                <w:szCs w:val="24"/>
              </w:rPr>
              <w:t xml:space="preserve">.  A base de cálculo da Taxa de Fiscalização e Controle da Previdência Complementar é o valor dos recursos garantidores, conforme apresentado nos balancetes contábeis referentes aos meses de novembro, março e julho de cada ano, observando o respectivo enquadramento constante do Anexo XXIV desta Resolução, de cada plano de benefícios de caráter </w:t>
            </w:r>
            <w:proofErr w:type="spellStart"/>
            <w:r w:rsidRPr="0010524E">
              <w:rPr>
                <w:rFonts w:ascii="Calibri" w:eastAsia="Calibri" w:hAnsi="Calibri" w:cs="Calibri"/>
                <w:sz w:val="24"/>
                <w:szCs w:val="24"/>
              </w:rPr>
              <w:t>previdencial</w:t>
            </w:r>
            <w:proofErr w:type="spellEnd"/>
            <w:r w:rsidRPr="0010524E">
              <w:rPr>
                <w:rFonts w:ascii="Calibri" w:eastAsia="Calibri" w:hAnsi="Calibri" w:cs="Calibri"/>
                <w:sz w:val="24"/>
                <w:szCs w:val="24"/>
              </w:rPr>
              <w:t xml:space="preserve"> administrado pela EFPC (plano de benefícios).</w:t>
            </w:r>
          </w:p>
        </w:tc>
        <w:tc>
          <w:tcPr>
            <w:tcW w:w="3741" w:type="dxa"/>
            <w:tcBorders>
              <w:top w:val="single" w:sz="4" w:space="0" w:color="auto"/>
              <w:left w:val="single" w:sz="4" w:space="0" w:color="auto"/>
              <w:bottom w:val="single" w:sz="4" w:space="0" w:color="auto"/>
              <w:right w:val="single" w:sz="4" w:space="0" w:color="auto"/>
            </w:tcBorders>
          </w:tcPr>
          <w:p w14:paraId="6307A762" w14:textId="463D695F" w:rsidR="00664E7F" w:rsidRDefault="003E761D" w:rsidP="00664E7F">
            <w:pPr>
              <w:spacing w:after="120"/>
              <w:jc w:val="both"/>
              <w:rPr>
                <w:rFonts w:ascii="Calibri" w:eastAsia="Calibri" w:hAnsi="Calibri" w:cs="Calibri"/>
                <w:sz w:val="24"/>
                <w:szCs w:val="24"/>
              </w:rPr>
            </w:pPr>
            <w:r>
              <w:rPr>
                <w:rFonts w:ascii="Calibri" w:eastAsia="Calibri" w:hAnsi="Calibri" w:cs="Calibri"/>
                <w:sz w:val="24"/>
                <w:szCs w:val="24"/>
              </w:rPr>
              <w:t>(ABRAPP</w:t>
            </w:r>
            <w:r w:rsidR="00D20DF1">
              <w:rPr>
                <w:rFonts w:ascii="Calibri" w:eastAsia="Calibri" w:hAnsi="Calibri" w:cs="Calibri"/>
                <w:sz w:val="24"/>
                <w:szCs w:val="24"/>
              </w:rPr>
              <w:t xml:space="preserve"> e ANCEP</w:t>
            </w:r>
            <w:r>
              <w:rPr>
                <w:rFonts w:ascii="Calibri" w:eastAsia="Calibri" w:hAnsi="Calibri" w:cs="Calibri"/>
                <w:sz w:val="24"/>
                <w:szCs w:val="24"/>
              </w:rPr>
              <w:t>)</w:t>
            </w:r>
          </w:p>
          <w:p w14:paraId="3BB038F6" w14:textId="10666633" w:rsidR="003E761D" w:rsidRPr="0010524E" w:rsidRDefault="003E761D" w:rsidP="00664E7F">
            <w:pPr>
              <w:spacing w:after="120"/>
              <w:jc w:val="both"/>
              <w:rPr>
                <w:rFonts w:ascii="Calibri" w:eastAsia="Calibri" w:hAnsi="Calibri" w:cs="Calibri"/>
                <w:sz w:val="24"/>
                <w:szCs w:val="24"/>
              </w:rPr>
            </w:pPr>
            <w:r w:rsidRPr="003E761D">
              <w:rPr>
                <w:rFonts w:ascii="Calibri" w:eastAsia="Calibri" w:hAnsi="Calibri" w:cs="Calibri"/>
                <w:sz w:val="24"/>
                <w:szCs w:val="24"/>
              </w:rPr>
              <w:t xml:space="preserve">Art. 282. A base de cálculo da Taxa de Fiscalização e Controle da Previdência Complementar é o valor dos recursos garantidores, conforme apresentado nos balancetes contábeis referentes aos meses de setembro, março e junho de cada ano, observando o respectivo enquadramento constante do Anexo IV desta Resolução, de cada plano de benefícios de caráter </w:t>
            </w:r>
            <w:proofErr w:type="spellStart"/>
            <w:r w:rsidRPr="003E761D">
              <w:rPr>
                <w:rFonts w:ascii="Calibri" w:eastAsia="Calibri" w:hAnsi="Calibri" w:cs="Calibri"/>
                <w:sz w:val="24"/>
                <w:szCs w:val="24"/>
              </w:rPr>
              <w:t>previdencial</w:t>
            </w:r>
            <w:proofErr w:type="spellEnd"/>
            <w:r w:rsidRPr="003E761D">
              <w:rPr>
                <w:rFonts w:ascii="Calibri" w:eastAsia="Calibri" w:hAnsi="Calibri" w:cs="Calibri"/>
                <w:sz w:val="24"/>
                <w:szCs w:val="24"/>
              </w:rPr>
              <w:t xml:space="preserve"> administrado pela EFPC.</w:t>
            </w:r>
          </w:p>
        </w:tc>
        <w:tc>
          <w:tcPr>
            <w:tcW w:w="3741" w:type="dxa"/>
            <w:tcBorders>
              <w:top w:val="single" w:sz="4" w:space="0" w:color="auto"/>
              <w:left w:val="single" w:sz="4" w:space="0" w:color="auto"/>
              <w:bottom w:val="single" w:sz="4" w:space="0" w:color="auto"/>
              <w:right w:val="single" w:sz="4" w:space="0" w:color="auto"/>
            </w:tcBorders>
          </w:tcPr>
          <w:p w14:paraId="49C145EB" w14:textId="2FE1782C" w:rsidR="00664E7F" w:rsidRDefault="003E761D" w:rsidP="00664E7F">
            <w:pPr>
              <w:spacing w:after="120"/>
              <w:jc w:val="both"/>
              <w:rPr>
                <w:rFonts w:ascii="Calibri" w:eastAsia="Calibri" w:hAnsi="Calibri" w:cs="Calibri"/>
                <w:sz w:val="24"/>
                <w:szCs w:val="24"/>
              </w:rPr>
            </w:pPr>
            <w:r>
              <w:rPr>
                <w:rFonts w:ascii="Calibri" w:eastAsia="Calibri" w:hAnsi="Calibri" w:cs="Calibri"/>
                <w:sz w:val="24"/>
                <w:szCs w:val="24"/>
              </w:rPr>
              <w:t>(ABRAPP</w:t>
            </w:r>
            <w:r w:rsidR="00D20DF1">
              <w:rPr>
                <w:rFonts w:ascii="Calibri" w:eastAsia="Calibri" w:hAnsi="Calibri" w:cs="Calibri"/>
                <w:sz w:val="24"/>
                <w:szCs w:val="24"/>
              </w:rPr>
              <w:t xml:space="preserve"> e ANCEP</w:t>
            </w:r>
            <w:r>
              <w:rPr>
                <w:rFonts w:ascii="Calibri" w:eastAsia="Calibri" w:hAnsi="Calibri" w:cs="Calibri"/>
                <w:sz w:val="24"/>
                <w:szCs w:val="24"/>
              </w:rPr>
              <w:t>)</w:t>
            </w:r>
          </w:p>
          <w:p w14:paraId="0F271B6E" w14:textId="77777777" w:rsidR="003E761D" w:rsidRDefault="003E761D" w:rsidP="00664E7F">
            <w:pPr>
              <w:spacing w:after="120"/>
              <w:jc w:val="both"/>
              <w:rPr>
                <w:rFonts w:ascii="Calibri" w:eastAsia="Calibri" w:hAnsi="Calibri" w:cs="Calibri"/>
                <w:sz w:val="24"/>
                <w:szCs w:val="24"/>
              </w:rPr>
            </w:pPr>
            <w:r w:rsidRPr="003E761D">
              <w:rPr>
                <w:rFonts w:ascii="Calibri" w:eastAsia="Calibri" w:hAnsi="Calibri" w:cs="Calibri"/>
                <w:sz w:val="24"/>
                <w:szCs w:val="24"/>
              </w:rPr>
              <w:t xml:space="preserve">Alteração dos meses em virtude da possibilidade do envio dos balancetes trimestrais, para que a </w:t>
            </w:r>
            <w:proofErr w:type="spellStart"/>
            <w:r w:rsidRPr="003E761D">
              <w:rPr>
                <w:rFonts w:ascii="Calibri" w:eastAsia="Calibri" w:hAnsi="Calibri" w:cs="Calibri"/>
                <w:sz w:val="24"/>
                <w:szCs w:val="24"/>
              </w:rPr>
              <w:t>Previc</w:t>
            </w:r>
            <w:proofErr w:type="spellEnd"/>
            <w:r w:rsidRPr="003E761D">
              <w:rPr>
                <w:rFonts w:ascii="Calibri" w:eastAsia="Calibri" w:hAnsi="Calibri" w:cs="Calibri"/>
                <w:sz w:val="24"/>
                <w:szCs w:val="24"/>
              </w:rPr>
              <w:t xml:space="preserve"> feche as bases de cálculo.</w:t>
            </w:r>
          </w:p>
          <w:p w14:paraId="34FEF9B4" w14:textId="77777777" w:rsidR="003E761D" w:rsidRDefault="003E761D" w:rsidP="00664E7F">
            <w:pPr>
              <w:spacing w:after="120"/>
              <w:jc w:val="both"/>
              <w:rPr>
                <w:rFonts w:ascii="Calibri" w:eastAsia="Calibri" w:hAnsi="Calibri" w:cs="Calibri"/>
                <w:sz w:val="24"/>
                <w:szCs w:val="24"/>
              </w:rPr>
            </w:pPr>
            <w:r>
              <w:rPr>
                <w:rFonts w:ascii="Calibri" w:eastAsia="Calibri" w:hAnsi="Calibri" w:cs="Calibri"/>
                <w:sz w:val="24"/>
                <w:szCs w:val="24"/>
              </w:rPr>
              <w:t>(ABRAPP)</w:t>
            </w:r>
          </w:p>
          <w:p w14:paraId="0EE9BEB7" w14:textId="10E3844D" w:rsidR="003E761D" w:rsidRPr="0010524E" w:rsidRDefault="003E761D" w:rsidP="00664E7F">
            <w:pPr>
              <w:spacing w:after="120"/>
              <w:jc w:val="both"/>
              <w:rPr>
                <w:rFonts w:ascii="Calibri" w:eastAsia="Calibri" w:hAnsi="Calibri" w:cs="Calibri"/>
                <w:sz w:val="24"/>
                <w:szCs w:val="24"/>
              </w:rPr>
            </w:pPr>
            <w:r w:rsidRPr="003E761D">
              <w:rPr>
                <w:rFonts w:ascii="Calibri" w:eastAsia="Calibri" w:hAnsi="Calibri" w:cs="Calibri"/>
                <w:sz w:val="24"/>
                <w:szCs w:val="24"/>
              </w:rPr>
              <w:t>Ademais, os valores do PGA não serão mais base de cálculo?</w:t>
            </w:r>
          </w:p>
        </w:tc>
        <w:tc>
          <w:tcPr>
            <w:tcW w:w="3279" w:type="dxa"/>
            <w:tcBorders>
              <w:top w:val="single" w:sz="4" w:space="0" w:color="auto"/>
              <w:left w:val="single" w:sz="4" w:space="0" w:color="auto"/>
              <w:bottom w:val="single" w:sz="4" w:space="0" w:color="auto"/>
              <w:right w:val="single" w:sz="4" w:space="0" w:color="auto"/>
            </w:tcBorders>
          </w:tcPr>
          <w:p w14:paraId="3C18137C" w14:textId="77777777" w:rsidR="00664E7F" w:rsidRDefault="003E761D" w:rsidP="00664E7F">
            <w:pPr>
              <w:spacing w:after="120"/>
              <w:jc w:val="both"/>
              <w:rPr>
                <w:rFonts w:ascii="Calibri" w:eastAsia="Calibri" w:hAnsi="Calibri" w:cs="Calibri"/>
                <w:sz w:val="24"/>
                <w:szCs w:val="24"/>
              </w:rPr>
            </w:pPr>
            <w:r w:rsidRPr="003E761D">
              <w:rPr>
                <w:rFonts w:ascii="Calibri" w:eastAsia="Calibri" w:hAnsi="Calibri" w:cs="Calibri"/>
                <w:sz w:val="24"/>
                <w:szCs w:val="24"/>
              </w:rPr>
              <w:t>Sugestão acatada. Feita consulta a CGOC que indicou os balancetes de setembro, março e junho.</w:t>
            </w:r>
          </w:p>
          <w:p w14:paraId="392C4F77" w14:textId="513CFCBF" w:rsidR="003E761D" w:rsidRDefault="003E761D" w:rsidP="00664E7F">
            <w:pPr>
              <w:spacing w:after="120"/>
              <w:jc w:val="both"/>
              <w:rPr>
                <w:rFonts w:ascii="Calibri" w:eastAsia="Calibri" w:hAnsi="Calibri" w:cs="Calibri"/>
                <w:sz w:val="24"/>
                <w:szCs w:val="24"/>
              </w:rPr>
            </w:pPr>
            <w:r>
              <w:rPr>
                <w:rFonts w:ascii="Calibri" w:eastAsia="Calibri" w:hAnsi="Calibri" w:cs="Calibri"/>
                <w:sz w:val="24"/>
                <w:szCs w:val="24"/>
              </w:rPr>
              <w:t>Quanto ao questionamento da ABRAPP: “</w:t>
            </w:r>
            <w:r w:rsidRPr="003E761D">
              <w:rPr>
                <w:rFonts w:ascii="Calibri" w:eastAsia="Calibri" w:hAnsi="Calibri" w:cs="Calibri"/>
                <w:sz w:val="24"/>
                <w:szCs w:val="24"/>
              </w:rPr>
              <w:t xml:space="preserve"> </w:t>
            </w:r>
            <w:r w:rsidRPr="003E761D">
              <w:rPr>
                <w:rFonts w:ascii="Calibri" w:eastAsia="Calibri" w:hAnsi="Calibri" w:cs="Calibri"/>
                <w:sz w:val="24"/>
                <w:szCs w:val="24"/>
              </w:rPr>
              <w:t>Ademais, os valores do PGA não serão mais base de cálculo?</w:t>
            </w:r>
            <w:r>
              <w:rPr>
                <w:rFonts w:ascii="Calibri" w:eastAsia="Calibri" w:hAnsi="Calibri" w:cs="Calibri"/>
                <w:sz w:val="24"/>
                <w:szCs w:val="24"/>
              </w:rPr>
              <w:t>”:</w:t>
            </w:r>
          </w:p>
          <w:p w14:paraId="5862B9E3" w14:textId="03895BAB" w:rsidR="003E761D" w:rsidRPr="0010524E" w:rsidRDefault="003E761D" w:rsidP="00664E7F">
            <w:pPr>
              <w:spacing w:after="120"/>
              <w:jc w:val="both"/>
              <w:rPr>
                <w:rFonts w:ascii="Calibri" w:eastAsia="Calibri" w:hAnsi="Calibri" w:cs="Calibri"/>
                <w:sz w:val="24"/>
                <w:szCs w:val="24"/>
              </w:rPr>
            </w:pPr>
            <w:r w:rsidRPr="003E761D">
              <w:rPr>
                <w:rFonts w:ascii="Calibri" w:eastAsia="Calibri" w:hAnsi="Calibri" w:cs="Calibri"/>
                <w:sz w:val="24"/>
                <w:szCs w:val="24"/>
              </w:rPr>
              <w:t xml:space="preserve">Os valores do PGA não são mais base de </w:t>
            </w:r>
            <w:proofErr w:type="spellStart"/>
            <w:r w:rsidRPr="003E761D">
              <w:rPr>
                <w:rFonts w:ascii="Calibri" w:eastAsia="Calibri" w:hAnsi="Calibri" w:cs="Calibri"/>
                <w:sz w:val="24"/>
                <w:szCs w:val="24"/>
              </w:rPr>
              <w:t>cáculo</w:t>
            </w:r>
            <w:proofErr w:type="spellEnd"/>
            <w:r w:rsidRPr="003E761D">
              <w:rPr>
                <w:rFonts w:ascii="Calibri" w:eastAsia="Calibri" w:hAnsi="Calibri" w:cs="Calibri"/>
                <w:sz w:val="24"/>
                <w:szCs w:val="24"/>
              </w:rPr>
              <w:t xml:space="preserve"> conforme a Res. nº 20 de 2022, republicada em 30 de dezembro de 2022.</w:t>
            </w:r>
          </w:p>
        </w:tc>
      </w:tr>
      <w:tr w:rsidR="00664E7F" w:rsidRPr="0010524E" w14:paraId="70983C19" w14:textId="5E8225BC"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4387A194" w14:textId="0D2723B2"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1º  Consideram-se recursos garantidores dos planos de benefícios administrados por EFPC os ativos disponíveis e de investimentos, deduzidos de suas correspondentes exigibilidades.</w:t>
            </w:r>
          </w:p>
        </w:tc>
        <w:tc>
          <w:tcPr>
            <w:tcW w:w="3741" w:type="dxa"/>
            <w:tcBorders>
              <w:top w:val="single" w:sz="4" w:space="0" w:color="auto"/>
              <w:left w:val="single" w:sz="4" w:space="0" w:color="auto"/>
              <w:bottom w:val="single" w:sz="4" w:space="0" w:color="auto"/>
              <w:right w:val="single" w:sz="4" w:space="0" w:color="auto"/>
            </w:tcBorders>
          </w:tcPr>
          <w:p w14:paraId="1D0AAA08"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77C33E50"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41EE8932" w14:textId="38463099" w:rsidR="00664E7F" w:rsidRPr="0010524E" w:rsidRDefault="00664E7F" w:rsidP="00664E7F">
            <w:pPr>
              <w:spacing w:after="120"/>
              <w:jc w:val="both"/>
              <w:rPr>
                <w:rFonts w:ascii="Calibri" w:eastAsia="Calibri" w:hAnsi="Calibri" w:cs="Calibri"/>
                <w:sz w:val="24"/>
                <w:szCs w:val="24"/>
              </w:rPr>
            </w:pPr>
          </w:p>
        </w:tc>
      </w:tr>
      <w:tr w:rsidR="00664E7F" w:rsidRPr="0010524E" w14:paraId="170ACDBD" w14:textId="77120C37"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7B0150C8" w14:textId="276DC387"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2º  Os planos de benefícios autorizados e que não estiverem em funcionamento nas datas referidas no caput devem ser enquadrados na primeira faixa da tabela anexa a esta Resolução.</w:t>
            </w:r>
          </w:p>
        </w:tc>
        <w:tc>
          <w:tcPr>
            <w:tcW w:w="3741" w:type="dxa"/>
            <w:tcBorders>
              <w:top w:val="single" w:sz="4" w:space="0" w:color="auto"/>
              <w:left w:val="single" w:sz="4" w:space="0" w:color="auto"/>
              <w:bottom w:val="single" w:sz="4" w:space="0" w:color="auto"/>
              <w:right w:val="single" w:sz="4" w:space="0" w:color="auto"/>
            </w:tcBorders>
          </w:tcPr>
          <w:p w14:paraId="02CE8209"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14E7DAC4"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0A6B9E02" w14:textId="183A7003" w:rsidR="00664E7F" w:rsidRPr="0010524E" w:rsidRDefault="00664E7F" w:rsidP="00664E7F">
            <w:pPr>
              <w:spacing w:after="120"/>
              <w:jc w:val="both"/>
              <w:rPr>
                <w:rFonts w:ascii="Calibri" w:eastAsia="Calibri" w:hAnsi="Calibri" w:cs="Calibri"/>
                <w:sz w:val="24"/>
                <w:szCs w:val="24"/>
              </w:rPr>
            </w:pPr>
          </w:p>
        </w:tc>
      </w:tr>
      <w:tr w:rsidR="00664E7F" w:rsidRPr="0010524E" w14:paraId="0D7ED1B8" w14:textId="5D99684C"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13D3B1D6" w14:textId="558D459B"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3º  Os recursos garantidores dos planos de benefícios assistenciais com registro na Agência Nacional de Saúde Suplementar não integram a base de cálculo da Taxa de Fiscalização e Controle da Previdência Complementar.</w:t>
            </w:r>
          </w:p>
        </w:tc>
        <w:tc>
          <w:tcPr>
            <w:tcW w:w="3741" w:type="dxa"/>
            <w:tcBorders>
              <w:top w:val="single" w:sz="4" w:space="0" w:color="auto"/>
              <w:left w:val="single" w:sz="4" w:space="0" w:color="auto"/>
              <w:bottom w:val="single" w:sz="4" w:space="0" w:color="auto"/>
              <w:right w:val="single" w:sz="4" w:space="0" w:color="auto"/>
            </w:tcBorders>
          </w:tcPr>
          <w:p w14:paraId="2D01A0DF"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73DB3B99"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614326F1" w14:textId="1DC0431C" w:rsidR="00664E7F" w:rsidRPr="0010524E" w:rsidRDefault="00664E7F" w:rsidP="00664E7F">
            <w:pPr>
              <w:spacing w:after="120"/>
              <w:jc w:val="both"/>
              <w:rPr>
                <w:rFonts w:ascii="Calibri" w:eastAsia="Calibri" w:hAnsi="Calibri" w:cs="Calibri"/>
                <w:sz w:val="24"/>
                <w:szCs w:val="24"/>
              </w:rPr>
            </w:pPr>
          </w:p>
        </w:tc>
      </w:tr>
      <w:tr w:rsidR="00664E7F" w:rsidRPr="0010524E" w14:paraId="4E31835B" w14:textId="6839C4A3"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1E0B7F49" w14:textId="73D91102"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283</w:t>
            </w:r>
            <w:r w:rsidRPr="0010524E">
              <w:rPr>
                <w:rFonts w:ascii="Calibri" w:eastAsia="Calibri" w:hAnsi="Calibri" w:cs="Calibri"/>
                <w:sz w:val="24"/>
                <w:szCs w:val="24"/>
              </w:rPr>
              <w:t>.  São contribuintes as EFPC, constituídas na forma da legislação e autorizadas a administrar plano de benefícios.</w:t>
            </w:r>
          </w:p>
        </w:tc>
        <w:tc>
          <w:tcPr>
            <w:tcW w:w="3741" w:type="dxa"/>
            <w:tcBorders>
              <w:top w:val="single" w:sz="4" w:space="0" w:color="auto"/>
              <w:left w:val="single" w:sz="4" w:space="0" w:color="auto"/>
              <w:bottom w:val="single" w:sz="4" w:space="0" w:color="auto"/>
              <w:right w:val="single" w:sz="4" w:space="0" w:color="auto"/>
            </w:tcBorders>
          </w:tcPr>
          <w:p w14:paraId="4301EACA"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1EBDEEBE"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0B39A04C" w14:textId="3C8A3FCA" w:rsidR="00664E7F" w:rsidRPr="0010524E" w:rsidRDefault="00664E7F" w:rsidP="00664E7F">
            <w:pPr>
              <w:spacing w:after="120"/>
              <w:jc w:val="both"/>
              <w:rPr>
                <w:rFonts w:ascii="Calibri" w:eastAsia="Calibri" w:hAnsi="Calibri" w:cs="Calibri"/>
                <w:sz w:val="24"/>
                <w:szCs w:val="24"/>
              </w:rPr>
            </w:pPr>
          </w:p>
        </w:tc>
      </w:tr>
      <w:tr w:rsidR="00664E7F" w:rsidRPr="0010524E" w14:paraId="33B26C38" w14:textId="3CC7397C"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0FDEC679" w14:textId="53E4E04C"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284</w:t>
            </w:r>
            <w:r w:rsidRPr="0010524E">
              <w:rPr>
                <w:rFonts w:ascii="Calibri" w:eastAsia="Calibri" w:hAnsi="Calibri" w:cs="Calibri"/>
                <w:sz w:val="24"/>
                <w:szCs w:val="24"/>
              </w:rPr>
              <w:t>.  A Taxa de Fiscalização e Controle da Previdência Complementar deve ser recolhida quadrimestralmente, em valores expressos em reais, até o dia 10 dos meses de janeiro, maio e setembro de cada ano.</w:t>
            </w:r>
          </w:p>
        </w:tc>
        <w:tc>
          <w:tcPr>
            <w:tcW w:w="3741" w:type="dxa"/>
            <w:tcBorders>
              <w:top w:val="single" w:sz="4" w:space="0" w:color="auto"/>
              <w:left w:val="single" w:sz="4" w:space="0" w:color="auto"/>
              <w:bottom w:val="single" w:sz="4" w:space="0" w:color="auto"/>
              <w:right w:val="single" w:sz="4" w:space="0" w:color="auto"/>
            </w:tcBorders>
          </w:tcPr>
          <w:p w14:paraId="7C433D62"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06ABD50F"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41F51487" w14:textId="777CB800" w:rsidR="00664E7F" w:rsidRPr="0010524E" w:rsidRDefault="00664E7F" w:rsidP="00664E7F">
            <w:pPr>
              <w:spacing w:after="120"/>
              <w:jc w:val="both"/>
              <w:rPr>
                <w:rFonts w:ascii="Calibri" w:eastAsia="Calibri" w:hAnsi="Calibri" w:cs="Calibri"/>
                <w:sz w:val="24"/>
                <w:szCs w:val="24"/>
              </w:rPr>
            </w:pPr>
          </w:p>
        </w:tc>
      </w:tr>
      <w:tr w:rsidR="00664E7F" w:rsidRPr="0010524E" w14:paraId="18CA9A94" w14:textId="722147A5"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7A7F5506" w14:textId="0BF3CC9F"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285</w:t>
            </w:r>
            <w:r w:rsidRPr="0010524E">
              <w:rPr>
                <w:rFonts w:ascii="Calibri" w:eastAsia="Calibri" w:hAnsi="Calibri" w:cs="Calibri"/>
                <w:sz w:val="24"/>
                <w:szCs w:val="24"/>
              </w:rPr>
              <w:t>.  A Taxa de Fiscalização e Controle da Previdência Complementar recolhida em valor inferior ou em desacordo com a forma e os prazos previstos nesta Seção sujeita a EFPC a:</w:t>
            </w:r>
          </w:p>
        </w:tc>
        <w:tc>
          <w:tcPr>
            <w:tcW w:w="3741" w:type="dxa"/>
            <w:tcBorders>
              <w:top w:val="single" w:sz="4" w:space="0" w:color="auto"/>
              <w:left w:val="single" w:sz="4" w:space="0" w:color="auto"/>
              <w:bottom w:val="single" w:sz="4" w:space="0" w:color="auto"/>
              <w:right w:val="single" w:sz="4" w:space="0" w:color="auto"/>
            </w:tcBorders>
          </w:tcPr>
          <w:p w14:paraId="49DCB394"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2CA1322B"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01C68586" w14:textId="09195A13" w:rsidR="00664E7F" w:rsidRPr="0010524E" w:rsidRDefault="00664E7F" w:rsidP="00664E7F">
            <w:pPr>
              <w:spacing w:after="120"/>
              <w:jc w:val="both"/>
              <w:rPr>
                <w:rFonts w:ascii="Calibri" w:eastAsia="Calibri" w:hAnsi="Calibri" w:cs="Calibri"/>
                <w:sz w:val="24"/>
                <w:szCs w:val="24"/>
              </w:rPr>
            </w:pPr>
          </w:p>
        </w:tc>
      </w:tr>
      <w:tr w:rsidR="00664E7F" w:rsidRPr="0010524E" w14:paraId="54A696D3" w14:textId="37FD0D78"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14D8BB1B" w14:textId="398DA8DC"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I - juros de mora:</w:t>
            </w:r>
          </w:p>
        </w:tc>
        <w:tc>
          <w:tcPr>
            <w:tcW w:w="3741" w:type="dxa"/>
            <w:tcBorders>
              <w:top w:val="single" w:sz="4" w:space="0" w:color="auto"/>
              <w:left w:val="single" w:sz="4" w:space="0" w:color="auto"/>
              <w:bottom w:val="single" w:sz="4" w:space="0" w:color="auto"/>
              <w:right w:val="single" w:sz="4" w:space="0" w:color="auto"/>
            </w:tcBorders>
          </w:tcPr>
          <w:p w14:paraId="246E4C75"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2405B7DC"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01FA7962" w14:textId="3F0E55FE" w:rsidR="00664E7F" w:rsidRPr="0010524E" w:rsidRDefault="00664E7F" w:rsidP="00664E7F">
            <w:pPr>
              <w:spacing w:after="120"/>
              <w:jc w:val="both"/>
              <w:rPr>
                <w:rFonts w:ascii="Calibri" w:eastAsia="Calibri" w:hAnsi="Calibri" w:cs="Calibri"/>
                <w:sz w:val="24"/>
                <w:szCs w:val="24"/>
              </w:rPr>
            </w:pPr>
          </w:p>
        </w:tc>
      </w:tr>
      <w:tr w:rsidR="00664E7F" w:rsidRPr="0010524E" w14:paraId="041E5887" w14:textId="010F6558"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73337F56" w14:textId="6452684E"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a) calculados à taxa referencial do Sistema Especial de Liquidação e de Custódia aplicada aos títulos públicos federais, a partir do primeiro dia do mês subsequente ao vencimento do prazo até o mês anterior ao do pagamento; e</w:t>
            </w:r>
          </w:p>
        </w:tc>
        <w:tc>
          <w:tcPr>
            <w:tcW w:w="3741" w:type="dxa"/>
            <w:tcBorders>
              <w:top w:val="single" w:sz="4" w:space="0" w:color="auto"/>
              <w:left w:val="single" w:sz="4" w:space="0" w:color="auto"/>
              <w:bottom w:val="single" w:sz="4" w:space="0" w:color="auto"/>
              <w:right w:val="single" w:sz="4" w:space="0" w:color="auto"/>
            </w:tcBorders>
          </w:tcPr>
          <w:p w14:paraId="329C3C34"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4C4821BE"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46AF920D" w14:textId="0A6B2A73" w:rsidR="00664E7F" w:rsidRPr="0010524E" w:rsidRDefault="00664E7F" w:rsidP="00664E7F">
            <w:pPr>
              <w:spacing w:after="120"/>
              <w:jc w:val="both"/>
              <w:rPr>
                <w:rFonts w:ascii="Calibri" w:eastAsia="Calibri" w:hAnsi="Calibri" w:cs="Calibri"/>
                <w:sz w:val="24"/>
                <w:szCs w:val="24"/>
              </w:rPr>
            </w:pPr>
          </w:p>
        </w:tc>
      </w:tr>
      <w:tr w:rsidR="00664E7F" w:rsidRPr="0010524E" w14:paraId="3F4CB058" w14:textId="5882C638"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23FFB073" w14:textId="4CA4869F"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b) de um por cento no mês do pagamento.</w:t>
            </w:r>
          </w:p>
        </w:tc>
        <w:tc>
          <w:tcPr>
            <w:tcW w:w="3741" w:type="dxa"/>
            <w:tcBorders>
              <w:top w:val="single" w:sz="4" w:space="0" w:color="auto"/>
              <w:left w:val="single" w:sz="4" w:space="0" w:color="auto"/>
              <w:bottom w:val="single" w:sz="4" w:space="0" w:color="auto"/>
              <w:right w:val="single" w:sz="4" w:space="0" w:color="auto"/>
            </w:tcBorders>
          </w:tcPr>
          <w:p w14:paraId="5B5C2314"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606F968A"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2BFB46B5" w14:textId="0643570F" w:rsidR="00664E7F" w:rsidRPr="0010524E" w:rsidRDefault="00664E7F" w:rsidP="00664E7F">
            <w:pPr>
              <w:spacing w:after="120"/>
              <w:jc w:val="both"/>
              <w:rPr>
                <w:rFonts w:ascii="Calibri" w:eastAsia="Calibri" w:hAnsi="Calibri" w:cs="Calibri"/>
                <w:sz w:val="24"/>
                <w:szCs w:val="24"/>
              </w:rPr>
            </w:pPr>
          </w:p>
        </w:tc>
      </w:tr>
      <w:tr w:rsidR="00664E7F" w:rsidRPr="0010524E" w14:paraId="03ED2BBA" w14:textId="61D46AF7"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744812E9" w14:textId="0687FCE6"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II - multa de mora, calculada à taxa de trinta e três centésimos por cento, por dia de atraso.</w:t>
            </w:r>
          </w:p>
        </w:tc>
        <w:tc>
          <w:tcPr>
            <w:tcW w:w="3741" w:type="dxa"/>
            <w:tcBorders>
              <w:top w:val="single" w:sz="4" w:space="0" w:color="auto"/>
              <w:left w:val="single" w:sz="4" w:space="0" w:color="auto"/>
              <w:bottom w:val="single" w:sz="4" w:space="0" w:color="auto"/>
              <w:right w:val="single" w:sz="4" w:space="0" w:color="auto"/>
            </w:tcBorders>
          </w:tcPr>
          <w:p w14:paraId="29877E5A"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77A78661"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2D185E13" w14:textId="33EF1FE6" w:rsidR="00664E7F" w:rsidRPr="0010524E" w:rsidRDefault="00664E7F" w:rsidP="00664E7F">
            <w:pPr>
              <w:spacing w:after="120"/>
              <w:jc w:val="both"/>
              <w:rPr>
                <w:rFonts w:ascii="Calibri" w:eastAsia="Calibri" w:hAnsi="Calibri" w:cs="Calibri"/>
                <w:sz w:val="24"/>
                <w:szCs w:val="24"/>
              </w:rPr>
            </w:pPr>
          </w:p>
        </w:tc>
      </w:tr>
      <w:tr w:rsidR="00664E7F" w:rsidRPr="0010524E" w14:paraId="442D04D2" w14:textId="1ADDB84D"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418568AE" w14:textId="049A48A3"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1º  A multa de mora de que trata o inciso II do caput deve ser calculada a partir do primeiro dia subsequente ao do vencimento do prazo previsto para o pagamento da Taxa de Fiscalização e Controle da Previdência Complementar até o dia em que ocorrer o seu pagamento.</w:t>
            </w:r>
          </w:p>
        </w:tc>
        <w:tc>
          <w:tcPr>
            <w:tcW w:w="3741" w:type="dxa"/>
            <w:tcBorders>
              <w:top w:val="single" w:sz="4" w:space="0" w:color="auto"/>
              <w:left w:val="single" w:sz="4" w:space="0" w:color="auto"/>
              <w:bottom w:val="single" w:sz="4" w:space="0" w:color="auto"/>
              <w:right w:val="single" w:sz="4" w:space="0" w:color="auto"/>
            </w:tcBorders>
          </w:tcPr>
          <w:p w14:paraId="7E8BABB8"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23E247B3"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46F41AB1" w14:textId="70DB308B" w:rsidR="00664E7F" w:rsidRPr="0010524E" w:rsidRDefault="00664E7F" w:rsidP="00664E7F">
            <w:pPr>
              <w:spacing w:after="120"/>
              <w:jc w:val="both"/>
              <w:rPr>
                <w:rFonts w:ascii="Calibri" w:eastAsia="Calibri" w:hAnsi="Calibri" w:cs="Calibri"/>
                <w:sz w:val="24"/>
                <w:szCs w:val="24"/>
              </w:rPr>
            </w:pPr>
          </w:p>
        </w:tc>
      </w:tr>
      <w:tr w:rsidR="00664E7F" w:rsidRPr="0010524E" w14:paraId="1BC69BC7" w14:textId="1DB0E566"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4E2ACB95" w14:textId="33DA2090"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 2º  O percentual a ser aplicado na multa de mora de que trata o inciso II do caput </w:t>
            </w:r>
            <w:proofErr w:type="spellStart"/>
            <w:r w:rsidRPr="0010524E">
              <w:rPr>
                <w:rFonts w:ascii="Calibri" w:eastAsia="Calibri" w:hAnsi="Calibri" w:cs="Calibri"/>
                <w:sz w:val="24"/>
                <w:szCs w:val="24"/>
              </w:rPr>
              <w:t>ﬁca</w:t>
            </w:r>
            <w:proofErr w:type="spellEnd"/>
            <w:r w:rsidRPr="0010524E">
              <w:rPr>
                <w:rFonts w:ascii="Calibri" w:eastAsia="Calibri" w:hAnsi="Calibri" w:cs="Calibri"/>
                <w:sz w:val="24"/>
                <w:szCs w:val="24"/>
              </w:rPr>
              <w:t xml:space="preserve"> limitado a vinte por cento.</w:t>
            </w:r>
          </w:p>
        </w:tc>
        <w:tc>
          <w:tcPr>
            <w:tcW w:w="3741" w:type="dxa"/>
            <w:tcBorders>
              <w:top w:val="single" w:sz="4" w:space="0" w:color="auto"/>
              <w:left w:val="single" w:sz="4" w:space="0" w:color="auto"/>
              <w:bottom w:val="single" w:sz="4" w:space="0" w:color="auto"/>
              <w:right w:val="single" w:sz="4" w:space="0" w:color="auto"/>
            </w:tcBorders>
          </w:tcPr>
          <w:p w14:paraId="0B4A1656"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0AC50FEB"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265D3F84" w14:textId="3AE5539A" w:rsidR="00664E7F" w:rsidRPr="0010524E" w:rsidRDefault="00664E7F" w:rsidP="00664E7F">
            <w:pPr>
              <w:spacing w:after="120"/>
              <w:jc w:val="both"/>
              <w:rPr>
                <w:rFonts w:ascii="Calibri" w:eastAsia="Calibri" w:hAnsi="Calibri" w:cs="Calibri"/>
                <w:sz w:val="24"/>
                <w:szCs w:val="24"/>
              </w:rPr>
            </w:pPr>
          </w:p>
        </w:tc>
      </w:tr>
      <w:tr w:rsidR="00664E7F" w:rsidRPr="0010524E" w14:paraId="22FB5C80" w14:textId="625A6D0A"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5F8DE628" w14:textId="5722FECD"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286</w:t>
            </w:r>
            <w:r w:rsidRPr="0010524E">
              <w:rPr>
                <w:rFonts w:ascii="Calibri" w:eastAsia="Calibri" w:hAnsi="Calibri" w:cs="Calibri"/>
                <w:sz w:val="24"/>
                <w:szCs w:val="24"/>
              </w:rPr>
              <w:t xml:space="preserve">.  A Taxa de Fiscalização e Controle da Previdência Complementar deve ser recolhida sob o código 10070-6, em conta vinculada à </w:t>
            </w:r>
            <w:proofErr w:type="spellStart"/>
            <w:r w:rsidRPr="0010524E">
              <w:rPr>
                <w:rFonts w:ascii="Calibri" w:eastAsia="Calibri" w:hAnsi="Calibri" w:cs="Calibri"/>
                <w:sz w:val="24"/>
                <w:szCs w:val="24"/>
              </w:rPr>
              <w:t>Previc</w:t>
            </w:r>
            <w:proofErr w:type="spellEnd"/>
            <w:r w:rsidRPr="0010524E">
              <w:rPr>
                <w:rFonts w:ascii="Calibri" w:eastAsia="Calibri" w:hAnsi="Calibri" w:cs="Calibri"/>
                <w:sz w:val="24"/>
                <w:szCs w:val="24"/>
              </w:rPr>
              <w:t>, mediante emissão de Guia de Recolhimento da União para cada plano de benefícios, observando-se o seguinte:</w:t>
            </w:r>
          </w:p>
        </w:tc>
        <w:tc>
          <w:tcPr>
            <w:tcW w:w="3741" w:type="dxa"/>
            <w:tcBorders>
              <w:top w:val="single" w:sz="4" w:space="0" w:color="auto"/>
              <w:left w:val="single" w:sz="4" w:space="0" w:color="auto"/>
              <w:bottom w:val="single" w:sz="4" w:space="0" w:color="auto"/>
              <w:right w:val="single" w:sz="4" w:space="0" w:color="auto"/>
            </w:tcBorders>
          </w:tcPr>
          <w:p w14:paraId="390D096C"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3A0060CC"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4215FA6A" w14:textId="45005D19" w:rsidR="00664E7F" w:rsidRPr="0010524E" w:rsidRDefault="00664E7F" w:rsidP="00664E7F">
            <w:pPr>
              <w:spacing w:after="120"/>
              <w:jc w:val="both"/>
              <w:rPr>
                <w:rFonts w:ascii="Calibri" w:eastAsia="Calibri" w:hAnsi="Calibri" w:cs="Calibri"/>
                <w:sz w:val="24"/>
                <w:szCs w:val="24"/>
              </w:rPr>
            </w:pPr>
          </w:p>
        </w:tc>
      </w:tr>
      <w:tr w:rsidR="00664E7F" w:rsidRPr="0010524E" w14:paraId="5BDF8708" w14:textId="60348FEB"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634E3522" w14:textId="5CF26072"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I - o recolhimento de valores iguais ou superiores a R$ 50,00 (cinquenta reais) deve ser realizado por meio da emissão da Guia de Recolhimento da União-Cobrança, pagável na rede bancária integrante da rede arrecadadora de receitas federais; e</w:t>
            </w:r>
          </w:p>
        </w:tc>
        <w:tc>
          <w:tcPr>
            <w:tcW w:w="3741" w:type="dxa"/>
            <w:tcBorders>
              <w:top w:val="single" w:sz="4" w:space="0" w:color="auto"/>
              <w:left w:val="single" w:sz="4" w:space="0" w:color="auto"/>
              <w:bottom w:val="single" w:sz="4" w:space="0" w:color="auto"/>
              <w:right w:val="single" w:sz="4" w:space="0" w:color="auto"/>
            </w:tcBorders>
          </w:tcPr>
          <w:p w14:paraId="6454B1C6"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5D6076CF"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5B821B49" w14:textId="3B8E4E59" w:rsidR="00664E7F" w:rsidRPr="0010524E" w:rsidRDefault="00664E7F" w:rsidP="00664E7F">
            <w:pPr>
              <w:spacing w:after="120"/>
              <w:jc w:val="both"/>
              <w:rPr>
                <w:rFonts w:ascii="Calibri" w:eastAsia="Calibri" w:hAnsi="Calibri" w:cs="Calibri"/>
                <w:sz w:val="24"/>
                <w:szCs w:val="24"/>
              </w:rPr>
            </w:pPr>
          </w:p>
        </w:tc>
      </w:tr>
      <w:tr w:rsidR="00664E7F" w:rsidRPr="0010524E" w14:paraId="14FF698B" w14:textId="295DB575"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680F625B" w14:textId="70EB8A4D"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II - o recolhimento de valores inferiores a R$ 50,00 (cinquenta reais), deve ser realizado por meio da Guia de Recolhimento da União-Simples, pagável somente no Banco do Brasil.</w:t>
            </w:r>
          </w:p>
        </w:tc>
        <w:tc>
          <w:tcPr>
            <w:tcW w:w="3741" w:type="dxa"/>
            <w:tcBorders>
              <w:top w:val="single" w:sz="4" w:space="0" w:color="auto"/>
              <w:left w:val="single" w:sz="4" w:space="0" w:color="auto"/>
              <w:bottom w:val="single" w:sz="4" w:space="0" w:color="auto"/>
              <w:right w:val="single" w:sz="4" w:space="0" w:color="auto"/>
            </w:tcBorders>
          </w:tcPr>
          <w:p w14:paraId="271BEF01"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121D95D6"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0B071F9A" w14:textId="58BAD22B" w:rsidR="00664E7F" w:rsidRPr="0010524E" w:rsidRDefault="00664E7F" w:rsidP="00664E7F">
            <w:pPr>
              <w:spacing w:after="120"/>
              <w:jc w:val="both"/>
              <w:rPr>
                <w:rFonts w:ascii="Calibri" w:eastAsia="Calibri" w:hAnsi="Calibri" w:cs="Calibri"/>
                <w:sz w:val="24"/>
                <w:szCs w:val="24"/>
              </w:rPr>
            </w:pPr>
          </w:p>
        </w:tc>
      </w:tr>
      <w:tr w:rsidR="00664E7F" w:rsidRPr="0010524E" w14:paraId="2C99BA4F" w14:textId="2B53FF1C"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5305CED0" w14:textId="3534FA7C"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287</w:t>
            </w:r>
            <w:r w:rsidRPr="0010524E">
              <w:rPr>
                <w:rFonts w:ascii="Calibri" w:eastAsia="Calibri" w:hAnsi="Calibri" w:cs="Calibri"/>
                <w:sz w:val="24"/>
                <w:szCs w:val="24"/>
              </w:rPr>
              <w:t xml:space="preserve">.  A Taxa de Fiscalização e Controle da Previdência Complementar, nos casos de transferência de gerenciamento, de cisão, de incorporação e de fusão de planos de benefícios, deve ser recolhida pelas EFPC envolvidas nessas operações, observada a proporção do tempo em que os recursos garantidores foram por elas administrados durante o quadrimestre em que ocorrer a data efetiva da operação, conforme </w:t>
            </w:r>
            <w:proofErr w:type="spellStart"/>
            <w:r w:rsidRPr="0010524E">
              <w:rPr>
                <w:rFonts w:ascii="Calibri" w:eastAsia="Calibri" w:hAnsi="Calibri" w:cs="Calibri"/>
                <w:sz w:val="24"/>
                <w:szCs w:val="24"/>
              </w:rPr>
              <w:t>deﬁnida</w:t>
            </w:r>
            <w:proofErr w:type="spellEnd"/>
            <w:r w:rsidRPr="0010524E">
              <w:rPr>
                <w:rFonts w:ascii="Calibri" w:eastAsia="Calibri" w:hAnsi="Calibri" w:cs="Calibri"/>
                <w:sz w:val="24"/>
                <w:szCs w:val="24"/>
              </w:rPr>
              <w:t xml:space="preserve"> pela legislação aplicável.</w:t>
            </w:r>
          </w:p>
        </w:tc>
        <w:tc>
          <w:tcPr>
            <w:tcW w:w="3741" w:type="dxa"/>
            <w:tcBorders>
              <w:top w:val="single" w:sz="4" w:space="0" w:color="auto"/>
              <w:left w:val="single" w:sz="4" w:space="0" w:color="auto"/>
              <w:bottom w:val="single" w:sz="4" w:space="0" w:color="auto"/>
              <w:right w:val="single" w:sz="4" w:space="0" w:color="auto"/>
            </w:tcBorders>
          </w:tcPr>
          <w:p w14:paraId="01466E0B"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5ED115F9"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506E966F" w14:textId="140A00E5" w:rsidR="00664E7F" w:rsidRPr="0010524E" w:rsidRDefault="00664E7F" w:rsidP="00664E7F">
            <w:pPr>
              <w:spacing w:after="120"/>
              <w:jc w:val="both"/>
              <w:rPr>
                <w:rFonts w:ascii="Calibri" w:eastAsia="Calibri" w:hAnsi="Calibri" w:cs="Calibri"/>
                <w:sz w:val="24"/>
                <w:szCs w:val="24"/>
              </w:rPr>
            </w:pPr>
          </w:p>
        </w:tc>
      </w:tr>
      <w:tr w:rsidR="00664E7F" w:rsidRPr="0010524E" w14:paraId="6D5798ED" w14:textId="3D8E022E"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D668A4" w14:textId="05B741C9" w:rsidR="00664E7F" w:rsidRPr="0010524E" w:rsidRDefault="00664E7F" w:rsidP="00664E7F">
            <w:pPr>
              <w:pStyle w:val="PargrafodaLista"/>
              <w:tabs>
                <w:tab w:val="left" w:pos="993"/>
              </w:tabs>
              <w:ind w:left="11"/>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II</w:t>
            </w:r>
          </w:p>
          <w:p w14:paraId="2D7911C1" w14:textId="564031D4" w:rsidR="00664E7F" w:rsidRPr="0010524E" w:rsidRDefault="00664E7F" w:rsidP="00664E7F">
            <w:pPr>
              <w:pStyle w:val="PargrafodaLista"/>
              <w:tabs>
                <w:tab w:val="left" w:pos="993"/>
              </w:tabs>
              <w:ind w:left="11"/>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Multa </w:t>
            </w:r>
            <w:r>
              <w:rPr>
                <w:rFonts w:ascii="Calibri" w:eastAsia="Times New Roman" w:hAnsi="Calibri" w:cs="Calibri"/>
                <w:b/>
                <w:bCs/>
                <w:kern w:val="0"/>
                <w:sz w:val="24"/>
                <w:szCs w:val="24"/>
                <w:lang w:eastAsia="pt-BR"/>
                <w14:ligatures w14:val="none"/>
              </w:rPr>
              <w:t>A</w:t>
            </w:r>
            <w:r w:rsidRPr="0010524E">
              <w:rPr>
                <w:rFonts w:ascii="Calibri" w:eastAsia="Times New Roman" w:hAnsi="Calibri" w:cs="Calibri"/>
                <w:b/>
                <w:bCs/>
                <w:kern w:val="0"/>
                <w:sz w:val="24"/>
                <w:szCs w:val="24"/>
                <w:lang w:eastAsia="pt-BR"/>
                <w14:ligatures w14:val="none"/>
              </w:rPr>
              <w:t xml:space="preserve">plicável no </w:t>
            </w:r>
            <w:r>
              <w:rPr>
                <w:rFonts w:ascii="Calibri" w:eastAsia="Times New Roman" w:hAnsi="Calibri" w:cs="Calibri"/>
                <w:b/>
                <w:bCs/>
                <w:kern w:val="0"/>
                <w:sz w:val="24"/>
                <w:szCs w:val="24"/>
                <w:lang w:eastAsia="pt-BR"/>
                <w14:ligatures w14:val="none"/>
              </w:rPr>
              <w:t>R</w:t>
            </w:r>
            <w:r w:rsidRPr="0010524E">
              <w:rPr>
                <w:rFonts w:ascii="Calibri" w:eastAsia="Times New Roman" w:hAnsi="Calibri" w:cs="Calibri"/>
                <w:b/>
                <w:bCs/>
                <w:kern w:val="0"/>
                <w:sz w:val="24"/>
                <w:szCs w:val="24"/>
                <w:lang w:eastAsia="pt-BR"/>
                <w14:ligatures w14:val="none"/>
              </w:rPr>
              <w:t xml:space="preserve">egime </w:t>
            </w:r>
            <w:r>
              <w:rPr>
                <w:rFonts w:ascii="Calibri" w:eastAsia="Times New Roman" w:hAnsi="Calibri" w:cs="Calibri"/>
                <w:b/>
                <w:bCs/>
                <w:kern w:val="0"/>
                <w:sz w:val="24"/>
                <w:szCs w:val="24"/>
                <w:lang w:eastAsia="pt-BR"/>
                <w14:ligatures w14:val="none"/>
              </w:rPr>
              <w:t>D</w:t>
            </w:r>
            <w:r w:rsidRPr="0010524E">
              <w:rPr>
                <w:rFonts w:ascii="Calibri" w:eastAsia="Times New Roman" w:hAnsi="Calibri" w:cs="Calibri"/>
                <w:b/>
                <w:bCs/>
                <w:kern w:val="0"/>
                <w:sz w:val="24"/>
                <w:szCs w:val="24"/>
                <w:lang w:eastAsia="pt-BR"/>
                <w14:ligatures w14:val="none"/>
              </w:rPr>
              <w:t>isciplinar</w:t>
            </w:r>
          </w:p>
        </w:tc>
        <w:tc>
          <w:tcPr>
            <w:tcW w:w="3741" w:type="dxa"/>
            <w:tcBorders>
              <w:top w:val="single" w:sz="4" w:space="0" w:color="auto"/>
              <w:left w:val="single" w:sz="4" w:space="0" w:color="auto"/>
              <w:bottom w:val="single" w:sz="4" w:space="0" w:color="auto"/>
              <w:right w:val="single" w:sz="4" w:space="0" w:color="auto"/>
            </w:tcBorders>
          </w:tcPr>
          <w:p w14:paraId="20477B11" w14:textId="77777777" w:rsidR="00664E7F" w:rsidRPr="0010524E" w:rsidRDefault="00664E7F" w:rsidP="00664E7F">
            <w:pPr>
              <w:pStyle w:val="PargrafodaLista"/>
              <w:tabs>
                <w:tab w:val="left" w:pos="993"/>
              </w:tabs>
              <w:ind w:left="11"/>
              <w:jc w:val="center"/>
              <w:rPr>
                <w:rFonts w:ascii="Calibri" w:eastAsia="Times New Roman" w:hAnsi="Calibri" w:cs="Calibri"/>
                <w:b/>
                <w:bCs/>
                <w:kern w:val="0"/>
                <w:sz w:val="24"/>
                <w:szCs w:val="24"/>
                <w:lang w:eastAsia="pt-BR"/>
                <w14:ligatures w14:val="none"/>
              </w:rPr>
            </w:pPr>
          </w:p>
        </w:tc>
        <w:tc>
          <w:tcPr>
            <w:tcW w:w="3741" w:type="dxa"/>
            <w:tcBorders>
              <w:top w:val="single" w:sz="4" w:space="0" w:color="auto"/>
              <w:left w:val="single" w:sz="4" w:space="0" w:color="auto"/>
              <w:bottom w:val="single" w:sz="4" w:space="0" w:color="auto"/>
              <w:right w:val="single" w:sz="4" w:space="0" w:color="auto"/>
            </w:tcBorders>
          </w:tcPr>
          <w:p w14:paraId="6C8202E0" w14:textId="77777777" w:rsidR="00664E7F" w:rsidRPr="0010524E" w:rsidRDefault="00664E7F" w:rsidP="00664E7F">
            <w:pPr>
              <w:pStyle w:val="PargrafodaLista"/>
              <w:tabs>
                <w:tab w:val="left" w:pos="993"/>
              </w:tabs>
              <w:ind w:left="11"/>
              <w:jc w:val="center"/>
              <w:rPr>
                <w:rFonts w:ascii="Calibri" w:eastAsia="Times New Roman" w:hAnsi="Calibri" w:cs="Calibri"/>
                <w:b/>
                <w:bCs/>
                <w:kern w:val="0"/>
                <w:sz w:val="24"/>
                <w:szCs w:val="24"/>
                <w:lang w:eastAsia="pt-BR"/>
                <w14:ligatures w14:val="none"/>
              </w:rPr>
            </w:pPr>
          </w:p>
        </w:tc>
        <w:tc>
          <w:tcPr>
            <w:tcW w:w="3279" w:type="dxa"/>
            <w:tcBorders>
              <w:top w:val="single" w:sz="4" w:space="0" w:color="auto"/>
              <w:left w:val="single" w:sz="4" w:space="0" w:color="auto"/>
              <w:bottom w:val="single" w:sz="4" w:space="0" w:color="auto"/>
              <w:right w:val="single" w:sz="4" w:space="0" w:color="auto"/>
            </w:tcBorders>
          </w:tcPr>
          <w:p w14:paraId="0BF68118" w14:textId="1644E7EC" w:rsidR="00664E7F" w:rsidRPr="0010524E" w:rsidRDefault="00664E7F" w:rsidP="00664E7F">
            <w:pPr>
              <w:pStyle w:val="PargrafodaLista"/>
              <w:tabs>
                <w:tab w:val="left" w:pos="993"/>
              </w:tabs>
              <w:ind w:left="11"/>
              <w:jc w:val="center"/>
              <w:rPr>
                <w:rFonts w:ascii="Calibri" w:eastAsia="Times New Roman" w:hAnsi="Calibri" w:cs="Calibri"/>
                <w:b/>
                <w:bCs/>
                <w:kern w:val="0"/>
                <w:sz w:val="24"/>
                <w:szCs w:val="24"/>
                <w:lang w:eastAsia="pt-BR"/>
                <w14:ligatures w14:val="none"/>
              </w:rPr>
            </w:pPr>
          </w:p>
        </w:tc>
      </w:tr>
      <w:tr w:rsidR="00664E7F" w:rsidRPr="0010524E" w14:paraId="43B80CC9" w14:textId="0AC33C28"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1C96846A" w14:textId="3B8D2D8D"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Art. 2</w:t>
            </w:r>
            <w:r>
              <w:rPr>
                <w:rFonts w:ascii="Calibri" w:eastAsia="Calibri" w:hAnsi="Calibri" w:cs="Calibri"/>
                <w:sz w:val="24"/>
                <w:szCs w:val="24"/>
              </w:rPr>
              <w:t>88</w:t>
            </w:r>
            <w:r w:rsidRPr="0010524E">
              <w:rPr>
                <w:rFonts w:ascii="Calibri" w:eastAsia="Calibri" w:hAnsi="Calibri" w:cs="Calibri"/>
                <w:sz w:val="24"/>
                <w:szCs w:val="24"/>
              </w:rPr>
              <w:t>.  O recolhimento da multa prevista no regime disciplinar aplicável ao autuado deve observar o disposto nesta Seção.</w:t>
            </w:r>
          </w:p>
        </w:tc>
        <w:tc>
          <w:tcPr>
            <w:tcW w:w="3741" w:type="dxa"/>
            <w:tcBorders>
              <w:top w:val="single" w:sz="4" w:space="0" w:color="auto"/>
              <w:left w:val="single" w:sz="4" w:space="0" w:color="auto"/>
              <w:bottom w:val="single" w:sz="4" w:space="0" w:color="auto"/>
              <w:right w:val="single" w:sz="4" w:space="0" w:color="auto"/>
            </w:tcBorders>
          </w:tcPr>
          <w:p w14:paraId="1777DF12"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0FDC419F"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7EE7741D" w14:textId="52B549C7" w:rsidR="00664E7F" w:rsidRPr="0010524E" w:rsidRDefault="00664E7F" w:rsidP="00664E7F">
            <w:pPr>
              <w:spacing w:after="120"/>
              <w:jc w:val="both"/>
              <w:rPr>
                <w:rFonts w:ascii="Calibri" w:eastAsia="Calibri" w:hAnsi="Calibri" w:cs="Calibri"/>
                <w:sz w:val="24"/>
                <w:szCs w:val="24"/>
              </w:rPr>
            </w:pPr>
          </w:p>
        </w:tc>
      </w:tr>
      <w:tr w:rsidR="00664E7F" w:rsidRPr="0010524E" w14:paraId="180B99CC" w14:textId="105E7579"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5C2DBFA0" w14:textId="7AB42DA9"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Art. 2</w:t>
            </w:r>
            <w:r>
              <w:rPr>
                <w:rFonts w:ascii="Calibri" w:eastAsia="Calibri" w:hAnsi="Calibri" w:cs="Calibri"/>
                <w:sz w:val="24"/>
                <w:szCs w:val="24"/>
              </w:rPr>
              <w:t>89</w:t>
            </w:r>
            <w:r w:rsidRPr="0010524E">
              <w:rPr>
                <w:rFonts w:ascii="Calibri" w:eastAsia="Calibri" w:hAnsi="Calibri" w:cs="Calibri"/>
                <w:sz w:val="24"/>
                <w:szCs w:val="24"/>
              </w:rPr>
              <w:t>.  O recolhimento da multa deve ser efetuado por Guia de Recolhimento da União-Cobrança, que pode ser impressa mediante acesso à internet.</w:t>
            </w:r>
          </w:p>
        </w:tc>
        <w:tc>
          <w:tcPr>
            <w:tcW w:w="3741" w:type="dxa"/>
            <w:tcBorders>
              <w:top w:val="single" w:sz="4" w:space="0" w:color="auto"/>
              <w:left w:val="single" w:sz="4" w:space="0" w:color="auto"/>
              <w:bottom w:val="single" w:sz="4" w:space="0" w:color="auto"/>
              <w:right w:val="single" w:sz="4" w:space="0" w:color="auto"/>
            </w:tcBorders>
          </w:tcPr>
          <w:p w14:paraId="0A1CA701"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70DE3A83"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12CD5D08" w14:textId="0FCE1A93" w:rsidR="00664E7F" w:rsidRPr="0010524E" w:rsidRDefault="00664E7F" w:rsidP="00664E7F">
            <w:pPr>
              <w:spacing w:after="120"/>
              <w:jc w:val="both"/>
              <w:rPr>
                <w:rFonts w:ascii="Calibri" w:eastAsia="Calibri" w:hAnsi="Calibri" w:cs="Calibri"/>
                <w:sz w:val="24"/>
                <w:szCs w:val="24"/>
              </w:rPr>
            </w:pPr>
          </w:p>
        </w:tc>
      </w:tr>
      <w:tr w:rsidR="00664E7F" w:rsidRPr="0010524E" w14:paraId="38BEFB27" w14:textId="6B76A69D"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024B4E94" w14:textId="3E337E68"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1º  O recolhimento deve ser efetuado mediante utilização de Guia de Recolhimento da União-Cobrança, quando se tratar de débito inscrito em Dívida Ativa da União.</w:t>
            </w:r>
          </w:p>
        </w:tc>
        <w:tc>
          <w:tcPr>
            <w:tcW w:w="3741" w:type="dxa"/>
            <w:tcBorders>
              <w:top w:val="single" w:sz="4" w:space="0" w:color="auto"/>
              <w:left w:val="single" w:sz="4" w:space="0" w:color="auto"/>
              <w:bottom w:val="single" w:sz="4" w:space="0" w:color="auto"/>
              <w:right w:val="single" w:sz="4" w:space="0" w:color="auto"/>
            </w:tcBorders>
          </w:tcPr>
          <w:p w14:paraId="06DB0929"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42562EA3"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41E2C368" w14:textId="1877ADE0" w:rsidR="00664E7F" w:rsidRPr="0010524E" w:rsidRDefault="00664E7F" w:rsidP="00664E7F">
            <w:pPr>
              <w:spacing w:after="120"/>
              <w:jc w:val="both"/>
              <w:rPr>
                <w:rFonts w:ascii="Calibri" w:eastAsia="Calibri" w:hAnsi="Calibri" w:cs="Calibri"/>
                <w:sz w:val="24"/>
                <w:szCs w:val="24"/>
              </w:rPr>
            </w:pPr>
          </w:p>
        </w:tc>
      </w:tr>
      <w:tr w:rsidR="00664E7F" w:rsidRPr="0010524E" w14:paraId="346627AA" w14:textId="336F35B0"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065E1FBE" w14:textId="09D141A7"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 2º  As instruções necessárias ao preenchimento da Guia de Recolhimento da União devem ser encaminhadas ao autuado juntamente com a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administrativa de cobrança de multa expedida pela </w:t>
            </w:r>
            <w:proofErr w:type="spellStart"/>
            <w:r w:rsidRPr="0010524E">
              <w:rPr>
                <w:rFonts w:ascii="Calibri" w:eastAsia="Calibri" w:hAnsi="Calibri" w:cs="Calibri"/>
                <w:sz w:val="24"/>
                <w:szCs w:val="24"/>
              </w:rPr>
              <w:t>Previc</w:t>
            </w:r>
            <w:proofErr w:type="spellEnd"/>
            <w:r w:rsidRPr="0010524E">
              <w:rPr>
                <w:rFonts w:ascii="Calibri" w:eastAsia="Calibri" w:hAnsi="Calibri" w:cs="Calibri"/>
                <w:sz w:val="24"/>
                <w:szCs w:val="24"/>
              </w:rPr>
              <w:t>.</w:t>
            </w:r>
          </w:p>
        </w:tc>
        <w:tc>
          <w:tcPr>
            <w:tcW w:w="3741" w:type="dxa"/>
            <w:tcBorders>
              <w:top w:val="single" w:sz="4" w:space="0" w:color="auto"/>
              <w:left w:val="single" w:sz="4" w:space="0" w:color="auto"/>
              <w:bottom w:val="single" w:sz="4" w:space="0" w:color="auto"/>
              <w:right w:val="single" w:sz="4" w:space="0" w:color="auto"/>
            </w:tcBorders>
          </w:tcPr>
          <w:p w14:paraId="0E2C39F6"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04BE968D"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4C6B70A9" w14:textId="7F47E8E5" w:rsidR="00664E7F" w:rsidRPr="0010524E" w:rsidRDefault="00664E7F" w:rsidP="00664E7F">
            <w:pPr>
              <w:spacing w:after="120"/>
              <w:jc w:val="both"/>
              <w:rPr>
                <w:rFonts w:ascii="Calibri" w:eastAsia="Calibri" w:hAnsi="Calibri" w:cs="Calibri"/>
                <w:sz w:val="24"/>
                <w:szCs w:val="24"/>
              </w:rPr>
            </w:pPr>
          </w:p>
        </w:tc>
      </w:tr>
      <w:tr w:rsidR="00664E7F" w:rsidRPr="0010524E" w14:paraId="5D16712D" w14:textId="50CDE76C"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4D174B25" w14:textId="42DA5649"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290</w:t>
            </w:r>
            <w:r w:rsidRPr="0010524E">
              <w:rPr>
                <w:rFonts w:ascii="Calibri" w:eastAsia="Calibri" w:hAnsi="Calibri" w:cs="Calibri"/>
                <w:sz w:val="24"/>
                <w:szCs w:val="24"/>
              </w:rPr>
              <w:t xml:space="preserve">.  O autuado </w:t>
            </w:r>
            <w:proofErr w:type="spellStart"/>
            <w:r w:rsidRPr="0010524E">
              <w:rPr>
                <w:rFonts w:ascii="Calibri" w:eastAsia="Calibri" w:hAnsi="Calibri" w:cs="Calibri"/>
                <w:sz w:val="24"/>
                <w:szCs w:val="24"/>
              </w:rPr>
              <w:t>ﬁca</w:t>
            </w:r>
            <w:proofErr w:type="spellEnd"/>
            <w:r w:rsidRPr="0010524E">
              <w:rPr>
                <w:rFonts w:ascii="Calibri" w:eastAsia="Calibri" w:hAnsi="Calibri" w:cs="Calibri"/>
                <w:sz w:val="24"/>
                <w:szCs w:val="24"/>
              </w:rPr>
              <w:t xml:space="preserve"> obrigado a encaminhar à </w:t>
            </w:r>
            <w:proofErr w:type="spellStart"/>
            <w:r w:rsidRPr="0010524E">
              <w:rPr>
                <w:rFonts w:ascii="Calibri" w:eastAsia="Calibri" w:hAnsi="Calibri" w:cs="Calibri"/>
                <w:sz w:val="24"/>
                <w:szCs w:val="24"/>
              </w:rPr>
              <w:t>Previc</w:t>
            </w:r>
            <w:proofErr w:type="spellEnd"/>
            <w:r w:rsidRPr="0010524E">
              <w:rPr>
                <w:rFonts w:ascii="Calibri" w:eastAsia="Calibri" w:hAnsi="Calibri" w:cs="Calibri"/>
                <w:sz w:val="24"/>
                <w:szCs w:val="24"/>
              </w:rPr>
              <w:t xml:space="preserve"> o comprovante de pagamento da penalidade recebida, devidamente autenticado e sem rasuras, a </w:t>
            </w:r>
            <w:proofErr w:type="spellStart"/>
            <w:r w:rsidRPr="0010524E">
              <w:rPr>
                <w:rFonts w:ascii="Calibri" w:eastAsia="Calibri" w:hAnsi="Calibri" w:cs="Calibri"/>
                <w:sz w:val="24"/>
                <w:szCs w:val="24"/>
              </w:rPr>
              <w:t>ﬁm</w:t>
            </w:r>
            <w:proofErr w:type="spellEnd"/>
            <w:r w:rsidRPr="0010524E">
              <w:rPr>
                <w:rFonts w:ascii="Calibri" w:eastAsia="Calibri" w:hAnsi="Calibri" w:cs="Calibri"/>
                <w:sz w:val="24"/>
                <w:szCs w:val="24"/>
              </w:rPr>
              <w:t xml:space="preserve"> de que se proceda o encerramento do procedimento administrativo de cobrança.</w:t>
            </w:r>
          </w:p>
        </w:tc>
        <w:tc>
          <w:tcPr>
            <w:tcW w:w="3741" w:type="dxa"/>
            <w:tcBorders>
              <w:top w:val="single" w:sz="4" w:space="0" w:color="auto"/>
              <w:left w:val="single" w:sz="4" w:space="0" w:color="auto"/>
              <w:bottom w:val="single" w:sz="4" w:space="0" w:color="auto"/>
              <w:right w:val="single" w:sz="4" w:space="0" w:color="auto"/>
            </w:tcBorders>
          </w:tcPr>
          <w:p w14:paraId="23B2D448"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53A4B633"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063406E2" w14:textId="1EA24E5B" w:rsidR="00664E7F" w:rsidRPr="0010524E" w:rsidRDefault="00664E7F" w:rsidP="00664E7F">
            <w:pPr>
              <w:spacing w:after="120"/>
              <w:jc w:val="both"/>
              <w:rPr>
                <w:rFonts w:ascii="Calibri" w:eastAsia="Calibri" w:hAnsi="Calibri" w:cs="Calibri"/>
                <w:sz w:val="24"/>
                <w:szCs w:val="24"/>
              </w:rPr>
            </w:pPr>
          </w:p>
        </w:tc>
      </w:tr>
      <w:tr w:rsidR="00664E7F" w:rsidRPr="0010524E" w14:paraId="0096DC7E" w14:textId="14F8CE1E"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53D8F110" w14:textId="4B7EC90B"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Art. 2</w:t>
            </w:r>
            <w:r>
              <w:rPr>
                <w:rFonts w:ascii="Calibri" w:eastAsia="Calibri" w:hAnsi="Calibri" w:cs="Calibri"/>
                <w:sz w:val="24"/>
                <w:szCs w:val="24"/>
              </w:rPr>
              <w:t>91</w:t>
            </w:r>
            <w:r w:rsidRPr="0010524E">
              <w:rPr>
                <w:rFonts w:ascii="Calibri" w:eastAsia="Calibri" w:hAnsi="Calibri" w:cs="Calibri"/>
                <w:sz w:val="24"/>
                <w:szCs w:val="24"/>
              </w:rPr>
              <w:t xml:space="preserve">.  O processo administrativo deve ser repassado à gestão da Procuradoria Federal junto à </w:t>
            </w:r>
            <w:proofErr w:type="spellStart"/>
            <w:r w:rsidRPr="0010524E">
              <w:rPr>
                <w:rFonts w:ascii="Calibri" w:eastAsia="Calibri" w:hAnsi="Calibri" w:cs="Calibri"/>
                <w:sz w:val="24"/>
                <w:szCs w:val="24"/>
              </w:rPr>
              <w:t>Previc</w:t>
            </w:r>
            <w:proofErr w:type="spellEnd"/>
            <w:r w:rsidRPr="0010524E">
              <w:rPr>
                <w:rFonts w:ascii="Calibri" w:eastAsia="Calibri" w:hAnsi="Calibri" w:cs="Calibri"/>
                <w:sz w:val="24"/>
                <w:szCs w:val="24"/>
              </w:rPr>
              <w:t xml:space="preserve"> para a realização da cobrança, em caso de vencimento do prazo estabelecido na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administrativa para o recolhimento da multa.</w:t>
            </w:r>
          </w:p>
        </w:tc>
        <w:tc>
          <w:tcPr>
            <w:tcW w:w="3741" w:type="dxa"/>
            <w:tcBorders>
              <w:top w:val="single" w:sz="4" w:space="0" w:color="auto"/>
              <w:left w:val="single" w:sz="4" w:space="0" w:color="auto"/>
              <w:bottom w:val="single" w:sz="4" w:space="0" w:color="auto"/>
              <w:right w:val="single" w:sz="4" w:space="0" w:color="auto"/>
            </w:tcBorders>
          </w:tcPr>
          <w:p w14:paraId="2E40FAD0"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0E338557"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2808095A" w14:textId="70EEA4C1" w:rsidR="00664E7F" w:rsidRPr="0010524E" w:rsidRDefault="00664E7F" w:rsidP="00664E7F">
            <w:pPr>
              <w:spacing w:after="120"/>
              <w:jc w:val="both"/>
              <w:rPr>
                <w:rFonts w:ascii="Calibri" w:eastAsia="Calibri" w:hAnsi="Calibri" w:cs="Calibri"/>
                <w:sz w:val="24"/>
                <w:szCs w:val="24"/>
              </w:rPr>
            </w:pPr>
          </w:p>
        </w:tc>
      </w:tr>
      <w:tr w:rsidR="00664E7F" w:rsidRPr="0010524E" w14:paraId="214764B8" w14:textId="575B7ADD"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1F24F617" w14:textId="333D6B48"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Art. 2</w:t>
            </w:r>
            <w:r>
              <w:rPr>
                <w:rFonts w:ascii="Calibri" w:eastAsia="Calibri" w:hAnsi="Calibri" w:cs="Calibri"/>
                <w:sz w:val="24"/>
                <w:szCs w:val="24"/>
              </w:rPr>
              <w:t>92</w:t>
            </w:r>
            <w:r w:rsidRPr="0010524E">
              <w:rPr>
                <w:rFonts w:ascii="Calibri" w:eastAsia="Calibri" w:hAnsi="Calibri" w:cs="Calibri"/>
                <w:sz w:val="24"/>
                <w:szCs w:val="24"/>
              </w:rPr>
              <w:t>.  O não cumprimento da obrigação ou o recolhimento da multa referida no art. 2</w:t>
            </w:r>
            <w:r>
              <w:rPr>
                <w:rFonts w:ascii="Calibri" w:eastAsia="Calibri" w:hAnsi="Calibri" w:cs="Calibri"/>
                <w:sz w:val="24"/>
                <w:szCs w:val="24"/>
              </w:rPr>
              <w:t>88</w:t>
            </w:r>
            <w:r w:rsidRPr="0010524E">
              <w:rPr>
                <w:rFonts w:ascii="Calibri" w:eastAsia="Calibri" w:hAnsi="Calibri" w:cs="Calibri"/>
                <w:sz w:val="24"/>
                <w:szCs w:val="24"/>
              </w:rPr>
              <w:t xml:space="preserve"> em valor inferior ou em desacordo com a forma e os prazos previstos nesta Seção sujeita o autuado aos acréscimos previstos nos Incisos I e II do art. 2</w:t>
            </w:r>
            <w:r>
              <w:rPr>
                <w:rFonts w:ascii="Calibri" w:eastAsia="Calibri" w:hAnsi="Calibri" w:cs="Calibri"/>
                <w:sz w:val="24"/>
                <w:szCs w:val="24"/>
              </w:rPr>
              <w:t>85</w:t>
            </w:r>
            <w:r w:rsidRPr="0010524E">
              <w:rPr>
                <w:rFonts w:ascii="Calibri" w:eastAsia="Calibri" w:hAnsi="Calibri" w:cs="Calibri"/>
                <w:sz w:val="24"/>
                <w:szCs w:val="24"/>
              </w:rPr>
              <w:t>.</w:t>
            </w:r>
          </w:p>
        </w:tc>
        <w:tc>
          <w:tcPr>
            <w:tcW w:w="3741" w:type="dxa"/>
            <w:tcBorders>
              <w:top w:val="single" w:sz="4" w:space="0" w:color="auto"/>
              <w:left w:val="single" w:sz="4" w:space="0" w:color="auto"/>
              <w:bottom w:val="single" w:sz="4" w:space="0" w:color="auto"/>
              <w:right w:val="single" w:sz="4" w:space="0" w:color="auto"/>
            </w:tcBorders>
          </w:tcPr>
          <w:p w14:paraId="4DF08FD2"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2FE28FE3"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6B8560D3" w14:textId="698F0C95" w:rsidR="00664E7F" w:rsidRPr="0010524E" w:rsidRDefault="00664E7F" w:rsidP="00664E7F">
            <w:pPr>
              <w:spacing w:after="120"/>
              <w:jc w:val="both"/>
              <w:rPr>
                <w:rFonts w:ascii="Calibri" w:eastAsia="Calibri" w:hAnsi="Calibri" w:cs="Calibri"/>
                <w:sz w:val="24"/>
                <w:szCs w:val="24"/>
              </w:rPr>
            </w:pPr>
          </w:p>
        </w:tc>
      </w:tr>
      <w:tr w:rsidR="00664E7F" w:rsidRPr="0010524E" w14:paraId="3F8334C2" w14:textId="4D6ECB35"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737F1D20" w14:textId="7F8A2CE1"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 1º  Os juros de mora relativos a multas previstas no regime disciplinar aplicável às EFPC que, em razão de recurso, tenham sido </w:t>
            </w:r>
            <w:proofErr w:type="spellStart"/>
            <w:r w:rsidRPr="0010524E">
              <w:rPr>
                <w:rFonts w:ascii="Calibri" w:eastAsia="Calibri" w:hAnsi="Calibri" w:cs="Calibri"/>
                <w:sz w:val="24"/>
                <w:szCs w:val="24"/>
              </w:rPr>
              <w:t>conﬁrmadas</w:t>
            </w:r>
            <w:proofErr w:type="spellEnd"/>
            <w:r w:rsidRPr="0010524E">
              <w:rPr>
                <w:rFonts w:ascii="Calibri" w:eastAsia="Calibri" w:hAnsi="Calibri" w:cs="Calibri"/>
                <w:sz w:val="24"/>
                <w:szCs w:val="24"/>
              </w:rPr>
              <w:t xml:space="preserve"> pela instância superior, contam-se do primeiro dia do mês subsequente ao do vencimento, previsto na intimação da decisão de primeira instância.</w:t>
            </w:r>
          </w:p>
        </w:tc>
        <w:tc>
          <w:tcPr>
            <w:tcW w:w="3741" w:type="dxa"/>
            <w:tcBorders>
              <w:top w:val="single" w:sz="4" w:space="0" w:color="auto"/>
              <w:left w:val="single" w:sz="4" w:space="0" w:color="auto"/>
              <w:bottom w:val="single" w:sz="4" w:space="0" w:color="auto"/>
              <w:right w:val="single" w:sz="4" w:space="0" w:color="auto"/>
            </w:tcBorders>
          </w:tcPr>
          <w:p w14:paraId="1DA617C4"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50B18132"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2E769DF3" w14:textId="0A894F3D" w:rsidR="00664E7F" w:rsidRPr="0010524E" w:rsidRDefault="00664E7F" w:rsidP="00664E7F">
            <w:pPr>
              <w:spacing w:after="120"/>
              <w:jc w:val="both"/>
              <w:rPr>
                <w:rFonts w:ascii="Calibri" w:eastAsia="Calibri" w:hAnsi="Calibri" w:cs="Calibri"/>
                <w:sz w:val="24"/>
                <w:szCs w:val="24"/>
              </w:rPr>
            </w:pPr>
          </w:p>
        </w:tc>
      </w:tr>
      <w:tr w:rsidR="00664E7F" w:rsidRPr="0010524E" w14:paraId="57EB74D0" w14:textId="17964A1F"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3B83F0EC" w14:textId="64D3104B"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2º  A multa de mora deve ser calculada a partir do primeiro dia subsequente ao do vencimento do prazo previsto para o pagamento da multa referida no art. 262 até o dia em que ocorrer o seu pagamento.</w:t>
            </w:r>
          </w:p>
        </w:tc>
        <w:tc>
          <w:tcPr>
            <w:tcW w:w="3741" w:type="dxa"/>
            <w:tcBorders>
              <w:top w:val="single" w:sz="4" w:space="0" w:color="auto"/>
              <w:left w:val="single" w:sz="4" w:space="0" w:color="auto"/>
              <w:bottom w:val="single" w:sz="4" w:space="0" w:color="auto"/>
              <w:right w:val="single" w:sz="4" w:space="0" w:color="auto"/>
            </w:tcBorders>
          </w:tcPr>
          <w:p w14:paraId="4A4FFD6C"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1C899FA2"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7BA64EBD" w14:textId="44B6312F" w:rsidR="00664E7F" w:rsidRPr="0010524E" w:rsidRDefault="00664E7F" w:rsidP="00664E7F">
            <w:pPr>
              <w:spacing w:after="120"/>
              <w:jc w:val="both"/>
              <w:rPr>
                <w:rFonts w:ascii="Calibri" w:eastAsia="Calibri" w:hAnsi="Calibri" w:cs="Calibri"/>
                <w:sz w:val="24"/>
                <w:szCs w:val="24"/>
              </w:rPr>
            </w:pPr>
          </w:p>
        </w:tc>
      </w:tr>
      <w:tr w:rsidR="00664E7F" w:rsidRPr="0010524E" w14:paraId="1CC462E0" w14:textId="3627B3CE"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6D261165" w14:textId="7482747C"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 3º  O percentual a ser aplicado na multa de mora </w:t>
            </w:r>
            <w:proofErr w:type="spellStart"/>
            <w:r w:rsidRPr="0010524E">
              <w:rPr>
                <w:rFonts w:ascii="Calibri" w:eastAsia="Calibri" w:hAnsi="Calibri" w:cs="Calibri"/>
                <w:sz w:val="24"/>
                <w:szCs w:val="24"/>
              </w:rPr>
              <w:t>ﬁca</w:t>
            </w:r>
            <w:proofErr w:type="spellEnd"/>
            <w:r w:rsidRPr="0010524E">
              <w:rPr>
                <w:rFonts w:ascii="Calibri" w:eastAsia="Calibri" w:hAnsi="Calibri" w:cs="Calibri"/>
                <w:sz w:val="24"/>
                <w:szCs w:val="24"/>
              </w:rPr>
              <w:t xml:space="preserve"> limitado a vinte por cento.</w:t>
            </w:r>
          </w:p>
        </w:tc>
        <w:tc>
          <w:tcPr>
            <w:tcW w:w="3741" w:type="dxa"/>
            <w:tcBorders>
              <w:top w:val="single" w:sz="4" w:space="0" w:color="auto"/>
              <w:left w:val="single" w:sz="4" w:space="0" w:color="auto"/>
              <w:bottom w:val="single" w:sz="4" w:space="0" w:color="auto"/>
              <w:right w:val="single" w:sz="4" w:space="0" w:color="auto"/>
            </w:tcBorders>
          </w:tcPr>
          <w:p w14:paraId="6DADF2E4"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1AC41248"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2C29A527" w14:textId="66BDCF3C" w:rsidR="00664E7F" w:rsidRPr="0010524E" w:rsidRDefault="00664E7F" w:rsidP="00664E7F">
            <w:pPr>
              <w:spacing w:after="120"/>
              <w:jc w:val="both"/>
              <w:rPr>
                <w:rFonts w:ascii="Calibri" w:eastAsia="Calibri" w:hAnsi="Calibri" w:cs="Calibri"/>
                <w:sz w:val="24"/>
                <w:szCs w:val="24"/>
              </w:rPr>
            </w:pPr>
          </w:p>
        </w:tc>
      </w:tr>
      <w:tr w:rsidR="00664E7F" w:rsidRPr="0010524E" w14:paraId="36C19A09" w14:textId="54B18F4D"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56A8DAF5" w14:textId="36B184F3" w:rsidR="00664E7F" w:rsidRPr="0010524E" w:rsidRDefault="00664E7F" w:rsidP="00664E7F">
            <w:pPr>
              <w:pStyle w:val="PargrafodaLista"/>
              <w:tabs>
                <w:tab w:val="left" w:pos="993"/>
              </w:tabs>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III</w:t>
            </w:r>
          </w:p>
          <w:p w14:paraId="26E4CCBC" w14:textId="3ED47409" w:rsidR="00664E7F" w:rsidRPr="0010524E" w:rsidRDefault="00664E7F" w:rsidP="00664E7F">
            <w:pPr>
              <w:pStyle w:val="PargrafodaLista"/>
              <w:tabs>
                <w:tab w:val="left" w:pos="993"/>
              </w:tabs>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Restituição e </w:t>
            </w:r>
            <w:r>
              <w:rPr>
                <w:rFonts w:ascii="Calibri" w:eastAsia="Times New Roman" w:hAnsi="Calibri" w:cs="Calibri"/>
                <w:b/>
                <w:bCs/>
                <w:kern w:val="0"/>
                <w:sz w:val="24"/>
                <w:szCs w:val="24"/>
                <w:lang w:eastAsia="pt-BR"/>
                <w14:ligatures w14:val="none"/>
              </w:rPr>
              <w:t>C</w:t>
            </w:r>
            <w:r w:rsidRPr="0010524E">
              <w:rPr>
                <w:rFonts w:ascii="Calibri" w:eastAsia="Times New Roman" w:hAnsi="Calibri" w:cs="Calibri"/>
                <w:b/>
                <w:bCs/>
                <w:kern w:val="0"/>
                <w:sz w:val="24"/>
                <w:szCs w:val="24"/>
                <w:lang w:eastAsia="pt-BR"/>
                <w14:ligatures w14:val="none"/>
              </w:rPr>
              <w:t xml:space="preserve">ompensação de </w:t>
            </w:r>
            <w:r>
              <w:rPr>
                <w:rFonts w:ascii="Calibri" w:eastAsia="Times New Roman" w:hAnsi="Calibri" w:cs="Calibri"/>
                <w:b/>
                <w:bCs/>
                <w:kern w:val="0"/>
                <w:sz w:val="24"/>
                <w:szCs w:val="24"/>
                <w:lang w:eastAsia="pt-BR"/>
                <w14:ligatures w14:val="none"/>
              </w:rPr>
              <w:t>Q</w:t>
            </w:r>
            <w:r w:rsidRPr="0010524E">
              <w:rPr>
                <w:rFonts w:ascii="Calibri" w:eastAsia="Times New Roman" w:hAnsi="Calibri" w:cs="Calibri"/>
                <w:b/>
                <w:bCs/>
                <w:kern w:val="0"/>
                <w:sz w:val="24"/>
                <w:szCs w:val="24"/>
                <w:lang w:eastAsia="pt-BR"/>
                <w14:ligatures w14:val="none"/>
              </w:rPr>
              <w:t xml:space="preserve">uantias </w:t>
            </w:r>
            <w:r>
              <w:rPr>
                <w:rFonts w:ascii="Calibri" w:eastAsia="Times New Roman" w:hAnsi="Calibri" w:cs="Calibri"/>
                <w:b/>
                <w:bCs/>
                <w:kern w:val="0"/>
                <w:sz w:val="24"/>
                <w:szCs w:val="24"/>
                <w:lang w:eastAsia="pt-BR"/>
                <w14:ligatures w14:val="none"/>
              </w:rPr>
              <w:t>R</w:t>
            </w:r>
            <w:r w:rsidRPr="0010524E">
              <w:rPr>
                <w:rFonts w:ascii="Calibri" w:eastAsia="Times New Roman" w:hAnsi="Calibri" w:cs="Calibri"/>
                <w:b/>
                <w:bCs/>
                <w:kern w:val="0"/>
                <w:sz w:val="24"/>
                <w:szCs w:val="24"/>
                <w:lang w:eastAsia="pt-BR"/>
                <w14:ligatures w14:val="none"/>
              </w:rPr>
              <w:t xml:space="preserve">ecolhidas a </w:t>
            </w:r>
            <w:r>
              <w:rPr>
                <w:rFonts w:ascii="Calibri" w:eastAsia="Times New Roman" w:hAnsi="Calibri" w:cs="Calibri"/>
                <w:b/>
                <w:bCs/>
                <w:kern w:val="0"/>
                <w:sz w:val="24"/>
                <w:szCs w:val="24"/>
                <w:lang w:eastAsia="pt-BR"/>
                <w14:ligatures w14:val="none"/>
              </w:rPr>
              <w:t>T</w:t>
            </w:r>
            <w:r w:rsidRPr="0010524E">
              <w:rPr>
                <w:rFonts w:ascii="Calibri" w:eastAsia="Times New Roman" w:hAnsi="Calibri" w:cs="Calibri"/>
                <w:b/>
                <w:bCs/>
                <w:kern w:val="0"/>
                <w:sz w:val="24"/>
                <w:szCs w:val="24"/>
                <w:lang w:eastAsia="pt-BR"/>
                <w14:ligatures w14:val="none"/>
              </w:rPr>
              <w:t xml:space="preserve">ítulo de </w:t>
            </w:r>
            <w:proofErr w:type="spellStart"/>
            <w:r w:rsidRPr="0010524E">
              <w:rPr>
                <w:rFonts w:ascii="Calibri" w:eastAsia="Times New Roman" w:hAnsi="Calibri" w:cs="Calibri"/>
                <w:b/>
                <w:bCs/>
                <w:kern w:val="0"/>
                <w:sz w:val="24"/>
                <w:szCs w:val="24"/>
                <w:lang w:eastAsia="pt-BR"/>
                <w14:ligatures w14:val="none"/>
              </w:rPr>
              <w:t>Tafic</w:t>
            </w:r>
            <w:proofErr w:type="spellEnd"/>
            <w:r w:rsidRPr="0010524E">
              <w:rPr>
                <w:rFonts w:ascii="Calibri" w:eastAsia="Times New Roman" w:hAnsi="Calibri" w:cs="Calibri"/>
                <w:b/>
                <w:bCs/>
                <w:kern w:val="0"/>
                <w:sz w:val="24"/>
                <w:szCs w:val="24"/>
                <w:lang w:eastAsia="pt-BR"/>
                <w14:ligatures w14:val="none"/>
              </w:rPr>
              <w:t xml:space="preserve"> e de </w:t>
            </w:r>
            <w:r>
              <w:rPr>
                <w:rFonts w:ascii="Calibri" w:eastAsia="Times New Roman" w:hAnsi="Calibri" w:cs="Calibri"/>
                <w:b/>
                <w:bCs/>
                <w:kern w:val="0"/>
                <w:sz w:val="24"/>
                <w:szCs w:val="24"/>
                <w:lang w:eastAsia="pt-BR"/>
                <w14:ligatures w14:val="none"/>
              </w:rPr>
              <w:t>P</w:t>
            </w:r>
            <w:r w:rsidRPr="0010524E">
              <w:rPr>
                <w:rFonts w:ascii="Calibri" w:eastAsia="Times New Roman" w:hAnsi="Calibri" w:cs="Calibri"/>
                <w:b/>
                <w:bCs/>
                <w:kern w:val="0"/>
                <w:sz w:val="24"/>
                <w:szCs w:val="24"/>
                <w:lang w:eastAsia="pt-BR"/>
                <w14:ligatures w14:val="none"/>
              </w:rPr>
              <w:t xml:space="preserve">enalidade de </w:t>
            </w:r>
            <w:r>
              <w:rPr>
                <w:rFonts w:ascii="Calibri" w:eastAsia="Times New Roman" w:hAnsi="Calibri" w:cs="Calibri"/>
                <w:b/>
                <w:bCs/>
                <w:kern w:val="0"/>
                <w:sz w:val="24"/>
                <w:szCs w:val="24"/>
                <w:lang w:eastAsia="pt-BR"/>
                <w14:ligatures w14:val="none"/>
              </w:rPr>
              <w:t>M</w:t>
            </w:r>
            <w:r w:rsidRPr="0010524E">
              <w:rPr>
                <w:rFonts w:ascii="Calibri" w:eastAsia="Times New Roman" w:hAnsi="Calibri" w:cs="Calibri"/>
                <w:b/>
                <w:bCs/>
                <w:kern w:val="0"/>
                <w:sz w:val="24"/>
                <w:szCs w:val="24"/>
                <w:lang w:eastAsia="pt-BR"/>
                <w14:ligatures w14:val="none"/>
              </w:rPr>
              <w:t xml:space="preserve">ulta </w:t>
            </w:r>
            <w:r>
              <w:rPr>
                <w:rFonts w:ascii="Calibri" w:eastAsia="Times New Roman" w:hAnsi="Calibri" w:cs="Calibri"/>
                <w:b/>
                <w:bCs/>
                <w:kern w:val="0"/>
                <w:sz w:val="24"/>
                <w:szCs w:val="24"/>
                <w:lang w:eastAsia="pt-BR"/>
                <w14:ligatures w14:val="none"/>
              </w:rPr>
              <w:t>Pr</w:t>
            </w:r>
            <w:r w:rsidRPr="0010524E">
              <w:rPr>
                <w:rFonts w:ascii="Calibri" w:eastAsia="Times New Roman" w:hAnsi="Calibri" w:cs="Calibri"/>
                <w:b/>
                <w:bCs/>
                <w:kern w:val="0"/>
                <w:sz w:val="24"/>
                <w:szCs w:val="24"/>
                <w:lang w:eastAsia="pt-BR"/>
                <w14:ligatures w14:val="none"/>
              </w:rPr>
              <w:t xml:space="preserve">evista no </w:t>
            </w:r>
            <w:r>
              <w:rPr>
                <w:rFonts w:ascii="Calibri" w:eastAsia="Times New Roman" w:hAnsi="Calibri" w:cs="Calibri"/>
                <w:b/>
                <w:bCs/>
                <w:kern w:val="0"/>
                <w:sz w:val="24"/>
                <w:szCs w:val="24"/>
                <w:lang w:eastAsia="pt-BR"/>
                <w14:ligatures w14:val="none"/>
              </w:rPr>
              <w:t>R</w:t>
            </w:r>
            <w:r w:rsidRPr="0010524E">
              <w:rPr>
                <w:rFonts w:ascii="Calibri" w:eastAsia="Times New Roman" w:hAnsi="Calibri" w:cs="Calibri"/>
                <w:b/>
                <w:bCs/>
                <w:kern w:val="0"/>
                <w:sz w:val="24"/>
                <w:szCs w:val="24"/>
                <w:lang w:eastAsia="pt-BR"/>
                <w14:ligatures w14:val="none"/>
              </w:rPr>
              <w:t xml:space="preserve">egime </w:t>
            </w:r>
            <w:r>
              <w:rPr>
                <w:rFonts w:ascii="Calibri" w:eastAsia="Times New Roman" w:hAnsi="Calibri" w:cs="Calibri"/>
                <w:b/>
                <w:bCs/>
                <w:kern w:val="0"/>
                <w:sz w:val="24"/>
                <w:szCs w:val="24"/>
                <w:lang w:eastAsia="pt-BR"/>
                <w14:ligatures w14:val="none"/>
              </w:rPr>
              <w:t>D</w:t>
            </w:r>
            <w:r w:rsidRPr="0010524E">
              <w:rPr>
                <w:rFonts w:ascii="Calibri" w:eastAsia="Times New Roman" w:hAnsi="Calibri" w:cs="Calibri"/>
                <w:b/>
                <w:bCs/>
                <w:kern w:val="0"/>
                <w:sz w:val="24"/>
                <w:szCs w:val="24"/>
                <w:lang w:eastAsia="pt-BR"/>
                <w14:ligatures w14:val="none"/>
              </w:rPr>
              <w:t>isciplinar</w:t>
            </w:r>
          </w:p>
        </w:tc>
        <w:tc>
          <w:tcPr>
            <w:tcW w:w="3741" w:type="dxa"/>
            <w:tcBorders>
              <w:top w:val="single" w:sz="4" w:space="0" w:color="auto"/>
              <w:left w:val="single" w:sz="4" w:space="0" w:color="auto"/>
              <w:bottom w:val="single" w:sz="4" w:space="0" w:color="auto"/>
              <w:right w:val="single" w:sz="4" w:space="0" w:color="auto"/>
            </w:tcBorders>
          </w:tcPr>
          <w:p w14:paraId="1079C08E" w14:textId="77777777" w:rsidR="00664E7F" w:rsidRPr="0010524E" w:rsidRDefault="00664E7F" w:rsidP="00664E7F">
            <w:pPr>
              <w:pStyle w:val="PargrafodaLista"/>
              <w:tabs>
                <w:tab w:val="left" w:pos="993"/>
              </w:tabs>
              <w:ind w:left="0"/>
              <w:jc w:val="center"/>
              <w:rPr>
                <w:rFonts w:ascii="Calibri" w:eastAsia="Times New Roman" w:hAnsi="Calibri" w:cs="Calibri"/>
                <w:b/>
                <w:bCs/>
                <w:kern w:val="0"/>
                <w:sz w:val="24"/>
                <w:szCs w:val="24"/>
                <w:lang w:eastAsia="pt-BR"/>
                <w14:ligatures w14:val="none"/>
              </w:rPr>
            </w:pPr>
          </w:p>
        </w:tc>
        <w:tc>
          <w:tcPr>
            <w:tcW w:w="3741" w:type="dxa"/>
            <w:tcBorders>
              <w:top w:val="single" w:sz="4" w:space="0" w:color="auto"/>
              <w:left w:val="single" w:sz="4" w:space="0" w:color="auto"/>
              <w:bottom w:val="single" w:sz="4" w:space="0" w:color="auto"/>
              <w:right w:val="single" w:sz="4" w:space="0" w:color="auto"/>
            </w:tcBorders>
          </w:tcPr>
          <w:p w14:paraId="24466EB4" w14:textId="77777777" w:rsidR="00664E7F" w:rsidRPr="0010524E" w:rsidRDefault="00664E7F" w:rsidP="00664E7F">
            <w:pPr>
              <w:pStyle w:val="PargrafodaLista"/>
              <w:tabs>
                <w:tab w:val="left" w:pos="993"/>
              </w:tabs>
              <w:ind w:left="0"/>
              <w:jc w:val="center"/>
              <w:rPr>
                <w:rFonts w:ascii="Calibri" w:eastAsia="Times New Roman" w:hAnsi="Calibri" w:cs="Calibri"/>
                <w:b/>
                <w:bCs/>
                <w:kern w:val="0"/>
                <w:sz w:val="24"/>
                <w:szCs w:val="24"/>
                <w:lang w:eastAsia="pt-BR"/>
                <w14:ligatures w14:val="none"/>
              </w:rPr>
            </w:pPr>
          </w:p>
        </w:tc>
        <w:tc>
          <w:tcPr>
            <w:tcW w:w="3279" w:type="dxa"/>
            <w:tcBorders>
              <w:top w:val="single" w:sz="4" w:space="0" w:color="auto"/>
              <w:left w:val="single" w:sz="4" w:space="0" w:color="auto"/>
              <w:bottom w:val="single" w:sz="4" w:space="0" w:color="auto"/>
              <w:right w:val="single" w:sz="4" w:space="0" w:color="auto"/>
            </w:tcBorders>
          </w:tcPr>
          <w:p w14:paraId="3AD35769" w14:textId="6EFE13B1" w:rsidR="00664E7F" w:rsidRPr="0010524E" w:rsidRDefault="00664E7F" w:rsidP="00664E7F">
            <w:pPr>
              <w:pStyle w:val="PargrafodaLista"/>
              <w:tabs>
                <w:tab w:val="left" w:pos="993"/>
              </w:tabs>
              <w:ind w:left="0"/>
              <w:jc w:val="center"/>
              <w:rPr>
                <w:rFonts w:ascii="Calibri" w:eastAsia="Times New Roman" w:hAnsi="Calibri" w:cs="Calibri"/>
                <w:b/>
                <w:bCs/>
                <w:kern w:val="0"/>
                <w:sz w:val="24"/>
                <w:szCs w:val="24"/>
                <w:lang w:eastAsia="pt-BR"/>
                <w14:ligatures w14:val="none"/>
              </w:rPr>
            </w:pPr>
          </w:p>
        </w:tc>
      </w:tr>
      <w:tr w:rsidR="00664E7F" w:rsidRPr="0010524E" w14:paraId="2764A3BB" w14:textId="58CD3A33"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5D6B55BF" w14:textId="1E24C69A"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Art. 2</w:t>
            </w:r>
            <w:r>
              <w:rPr>
                <w:rFonts w:ascii="Calibri" w:eastAsia="Calibri" w:hAnsi="Calibri" w:cs="Calibri"/>
                <w:sz w:val="24"/>
                <w:szCs w:val="24"/>
              </w:rPr>
              <w:t>93</w:t>
            </w:r>
            <w:r w:rsidRPr="0010524E">
              <w:rPr>
                <w:rFonts w:ascii="Calibri" w:eastAsia="Calibri" w:hAnsi="Calibri" w:cs="Calibri"/>
                <w:sz w:val="24"/>
                <w:szCs w:val="24"/>
              </w:rPr>
              <w:t>.  As quantias recolhidas a título de Taxa de Fiscalização e Controle da Previdência Complementar podem ser objeto de restituição ou de compensação, nas seguintes hipóteses:</w:t>
            </w:r>
          </w:p>
        </w:tc>
        <w:tc>
          <w:tcPr>
            <w:tcW w:w="3741" w:type="dxa"/>
            <w:tcBorders>
              <w:top w:val="single" w:sz="4" w:space="0" w:color="auto"/>
              <w:left w:val="single" w:sz="4" w:space="0" w:color="auto"/>
              <w:bottom w:val="single" w:sz="4" w:space="0" w:color="auto"/>
              <w:right w:val="single" w:sz="4" w:space="0" w:color="auto"/>
            </w:tcBorders>
          </w:tcPr>
          <w:p w14:paraId="16F52479"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6CA14247"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543E9550" w14:textId="3D11BD8B" w:rsidR="00664E7F" w:rsidRPr="0010524E" w:rsidRDefault="00664E7F" w:rsidP="00664E7F">
            <w:pPr>
              <w:spacing w:after="120"/>
              <w:jc w:val="both"/>
              <w:rPr>
                <w:rFonts w:ascii="Calibri" w:eastAsia="Calibri" w:hAnsi="Calibri" w:cs="Calibri"/>
                <w:sz w:val="24"/>
                <w:szCs w:val="24"/>
              </w:rPr>
            </w:pPr>
          </w:p>
        </w:tc>
      </w:tr>
      <w:tr w:rsidR="00664E7F" w:rsidRPr="0010524E" w14:paraId="47707272" w14:textId="7FF2EF48"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5D50EB73" w14:textId="4482D060"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I - cobrança ou pagamento espontâneo, indevido ou em valor maior que o devido; ou</w:t>
            </w:r>
          </w:p>
        </w:tc>
        <w:tc>
          <w:tcPr>
            <w:tcW w:w="3741" w:type="dxa"/>
            <w:tcBorders>
              <w:top w:val="single" w:sz="4" w:space="0" w:color="auto"/>
              <w:left w:val="single" w:sz="4" w:space="0" w:color="auto"/>
              <w:bottom w:val="single" w:sz="4" w:space="0" w:color="auto"/>
              <w:right w:val="single" w:sz="4" w:space="0" w:color="auto"/>
            </w:tcBorders>
          </w:tcPr>
          <w:p w14:paraId="6B37C83D"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09DC6233"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25D29977" w14:textId="01789442" w:rsidR="00664E7F" w:rsidRPr="0010524E" w:rsidRDefault="00664E7F" w:rsidP="00664E7F">
            <w:pPr>
              <w:spacing w:after="120"/>
              <w:jc w:val="both"/>
              <w:rPr>
                <w:rFonts w:ascii="Calibri" w:eastAsia="Calibri" w:hAnsi="Calibri" w:cs="Calibri"/>
                <w:sz w:val="24"/>
                <w:szCs w:val="24"/>
              </w:rPr>
            </w:pPr>
          </w:p>
        </w:tc>
      </w:tr>
      <w:tr w:rsidR="00664E7F" w:rsidRPr="0010524E" w14:paraId="2883381A" w14:textId="1B562AE5" w:rsidTr="0072174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474"/>
        </w:trPr>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0D93BEEE" w14:textId="0E7F2B8B"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erro na </w:t>
            </w:r>
            <w:proofErr w:type="spellStart"/>
            <w:r w:rsidRPr="0010524E">
              <w:rPr>
                <w:rFonts w:ascii="Calibri" w:eastAsia="Calibri" w:hAnsi="Calibri" w:cs="Calibri"/>
                <w:sz w:val="24"/>
                <w:szCs w:val="24"/>
              </w:rPr>
              <w:t>identiﬁcação</w:t>
            </w:r>
            <w:proofErr w:type="spellEnd"/>
            <w:r w:rsidRPr="0010524E">
              <w:rPr>
                <w:rFonts w:ascii="Calibri" w:eastAsia="Calibri" w:hAnsi="Calibri" w:cs="Calibri"/>
                <w:sz w:val="24"/>
                <w:szCs w:val="24"/>
              </w:rPr>
              <w:t xml:space="preserve"> do sujeito passivo, no cálculo do montante do débito ou na elaboração ou conferência de qualquer documento relativo ao pagamento.</w:t>
            </w:r>
          </w:p>
        </w:tc>
        <w:tc>
          <w:tcPr>
            <w:tcW w:w="3741" w:type="dxa"/>
            <w:tcBorders>
              <w:top w:val="single" w:sz="4" w:space="0" w:color="auto"/>
              <w:left w:val="single" w:sz="4" w:space="0" w:color="auto"/>
              <w:bottom w:val="single" w:sz="4" w:space="0" w:color="auto"/>
              <w:right w:val="single" w:sz="4" w:space="0" w:color="auto"/>
            </w:tcBorders>
          </w:tcPr>
          <w:p w14:paraId="4E039F5C"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07AA449E"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53B863AA" w14:textId="66AFF72C" w:rsidR="00664E7F" w:rsidRPr="0010524E" w:rsidRDefault="00664E7F" w:rsidP="00664E7F">
            <w:pPr>
              <w:spacing w:after="120"/>
              <w:jc w:val="both"/>
              <w:rPr>
                <w:rFonts w:ascii="Calibri" w:eastAsia="Calibri" w:hAnsi="Calibri" w:cs="Calibri"/>
                <w:sz w:val="24"/>
                <w:szCs w:val="24"/>
              </w:rPr>
            </w:pPr>
          </w:p>
        </w:tc>
      </w:tr>
      <w:tr w:rsidR="00664E7F" w:rsidRPr="0010524E" w14:paraId="699D08FB" w14:textId="63D44DBE"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614B3B31" w14:textId="43F082B2"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1º  Nas hipóteses mencionadas no caput deste artigo, a restituição deve contemplar as quantias recolhidas em razão dos acréscimos referidos no art. 2</w:t>
            </w:r>
            <w:r>
              <w:rPr>
                <w:rFonts w:ascii="Calibri" w:eastAsia="Calibri" w:hAnsi="Calibri" w:cs="Calibri"/>
                <w:sz w:val="24"/>
                <w:szCs w:val="24"/>
              </w:rPr>
              <w:t>86</w:t>
            </w:r>
            <w:r w:rsidRPr="0010524E">
              <w:rPr>
                <w:rFonts w:ascii="Calibri" w:eastAsia="Calibri" w:hAnsi="Calibri" w:cs="Calibri"/>
                <w:sz w:val="24"/>
                <w:szCs w:val="24"/>
              </w:rPr>
              <w:t>.</w:t>
            </w:r>
          </w:p>
        </w:tc>
        <w:tc>
          <w:tcPr>
            <w:tcW w:w="3741" w:type="dxa"/>
            <w:tcBorders>
              <w:top w:val="single" w:sz="4" w:space="0" w:color="auto"/>
              <w:left w:val="single" w:sz="4" w:space="0" w:color="auto"/>
              <w:bottom w:val="single" w:sz="4" w:space="0" w:color="auto"/>
              <w:right w:val="single" w:sz="4" w:space="0" w:color="auto"/>
            </w:tcBorders>
          </w:tcPr>
          <w:p w14:paraId="06BDFF13" w14:textId="77777777" w:rsidR="00721742" w:rsidRDefault="00721742" w:rsidP="00664E7F">
            <w:pPr>
              <w:spacing w:after="120"/>
              <w:jc w:val="both"/>
              <w:rPr>
                <w:rFonts w:ascii="Calibri" w:eastAsia="Calibri" w:hAnsi="Calibri" w:cs="Calibri"/>
                <w:sz w:val="24"/>
                <w:szCs w:val="24"/>
              </w:rPr>
            </w:pPr>
            <w:r>
              <w:rPr>
                <w:rFonts w:ascii="Calibri" w:eastAsia="Calibri" w:hAnsi="Calibri" w:cs="Calibri"/>
                <w:sz w:val="24"/>
                <w:szCs w:val="24"/>
              </w:rPr>
              <w:t>(ABRAPP)</w:t>
            </w:r>
          </w:p>
          <w:p w14:paraId="786CF046" w14:textId="36FC43B3" w:rsidR="00664E7F" w:rsidRPr="0010524E" w:rsidRDefault="00721742" w:rsidP="00664E7F">
            <w:pPr>
              <w:spacing w:after="120"/>
              <w:jc w:val="both"/>
              <w:rPr>
                <w:rFonts w:ascii="Calibri" w:eastAsia="Calibri" w:hAnsi="Calibri" w:cs="Calibri"/>
                <w:sz w:val="24"/>
                <w:szCs w:val="24"/>
              </w:rPr>
            </w:pPr>
            <w:r w:rsidRPr="00721742">
              <w:rPr>
                <w:rFonts w:ascii="Calibri" w:eastAsia="Calibri" w:hAnsi="Calibri" w:cs="Calibri"/>
                <w:sz w:val="24"/>
                <w:szCs w:val="24"/>
              </w:rPr>
              <w:t>§ 1º Nas hipóteses mencionadas no caput deste artigo, a restituição deve contemplar as quantias recolhidas em razão dos acréscimos referidos no art. 285.</w:t>
            </w:r>
          </w:p>
        </w:tc>
        <w:tc>
          <w:tcPr>
            <w:tcW w:w="3741" w:type="dxa"/>
            <w:tcBorders>
              <w:top w:val="single" w:sz="4" w:space="0" w:color="auto"/>
              <w:left w:val="single" w:sz="4" w:space="0" w:color="auto"/>
              <w:bottom w:val="single" w:sz="4" w:space="0" w:color="auto"/>
              <w:right w:val="single" w:sz="4" w:space="0" w:color="auto"/>
            </w:tcBorders>
          </w:tcPr>
          <w:p w14:paraId="2F385A80" w14:textId="77777777" w:rsidR="00721742" w:rsidRDefault="00721742" w:rsidP="00664E7F">
            <w:pPr>
              <w:spacing w:after="120"/>
              <w:jc w:val="both"/>
              <w:rPr>
                <w:rFonts w:ascii="Calibri" w:eastAsia="Calibri" w:hAnsi="Calibri" w:cs="Calibri"/>
                <w:sz w:val="24"/>
                <w:szCs w:val="24"/>
              </w:rPr>
            </w:pPr>
            <w:r>
              <w:rPr>
                <w:rFonts w:ascii="Calibri" w:eastAsia="Calibri" w:hAnsi="Calibri" w:cs="Calibri"/>
                <w:sz w:val="24"/>
                <w:szCs w:val="24"/>
              </w:rPr>
              <w:t>(ABRAPP)</w:t>
            </w:r>
          </w:p>
          <w:p w14:paraId="524C49C3" w14:textId="5348E9A6" w:rsidR="00664E7F" w:rsidRPr="0010524E" w:rsidRDefault="00721742" w:rsidP="00664E7F">
            <w:pPr>
              <w:spacing w:after="120"/>
              <w:jc w:val="both"/>
              <w:rPr>
                <w:rFonts w:ascii="Calibri" w:eastAsia="Calibri" w:hAnsi="Calibri" w:cs="Calibri"/>
                <w:sz w:val="24"/>
                <w:szCs w:val="24"/>
              </w:rPr>
            </w:pPr>
            <w:r>
              <w:rPr>
                <w:rFonts w:ascii="Calibri" w:eastAsia="Calibri" w:hAnsi="Calibri" w:cs="Calibri"/>
                <w:sz w:val="24"/>
                <w:szCs w:val="24"/>
              </w:rPr>
              <w:t>Ajuste de Remissão</w:t>
            </w:r>
          </w:p>
        </w:tc>
        <w:tc>
          <w:tcPr>
            <w:tcW w:w="3279" w:type="dxa"/>
            <w:tcBorders>
              <w:top w:val="single" w:sz="4" w:space="0" w:color="auto"/>
              <w:left w:val="single" w:sz="4" w:space="0" w:color="auto"/>
              <w:bottom w:val="single" w:sz="4" w:space="0" w:color="auto"/>
              <w:right w:val="single" w:sz="4" w:space="0" w:color="auto"/>
            </w:tcBorders>
          </w:tcPr>
          <w:p w14:paraId="62B75BD2" w14:textId="7446ED64" w:rsidR="00664E7F" w:rsidRPr="0010524E" w:rsidRDefault="00721742" w:rsidP="00664E7F">
            <w:pPr>
              <w:spacing w:after="120"/>
              <w:jc w:val="both"/>
              <w:rPr>
                <w:rFonts w:ascii="Calibri" w:eastAsia="Calibri" w:hAnsi="Calibri" w:cs="Calibri"/>
                <w:sz w:val="24"/>
                <w:szCs w:val="24"/>
              </w:rPr>
            </w:pPr>
            <w:r>
              <w:rPr>
                <w:rFonts w:ascii="Calibri" w:eastAsia="Calibri" w:hAnsi="Calibri" w:cs="Calibri"/>
                <w:sz w:val="24"/>
                <w:szCs w:val="24"/>
              </w:rPr>
              <w:t>Sugestão acatada</w:t>
            </w:r>
          </w:p>
        </w:tc>
      </w:tr>
      <w:tr w:rsidR="00664E7F" w:rsidRPr="0010524E" w14:paraId="3668E73C" w14:textId="2F4A7369"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52987D4B" w14:textId="307566DA"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2º  A compensação somente pode ser realizada entre créditos tributários da Taxa de Fiscalização e Controle da Previdência Complementar, não sendo admitida a compensação de crédito tributário com crédito não-tributário, nem a compensação entre créditos não-tributários.</w:t>
            </w:r>
          </w:p>
        </w:tc>
        <w:tc>
          <w:tcPr>
            <w:tcW w:w="3741" w:type="dxa"/>
            <w:tcBorders>
              <w:top w:val="single" w:sz="4" w:space="0" w:color="auto"/>
              <w:left w:val="single" w:sz="4" w:space="0" w:color="auto"/>
              <w:bottom w:val="single" w:sz="4" w:space="0" w:color="auto"/>
              <w:right w:val="single" w:sz="4" w:space="0" w:color="auto"/>
            </w:tcBorders>
          </w:tcPr>
          <w:p w14:paraId="77BACB34"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204D0FB8"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563A611B" w14:textId="53B6A10B" w:rsidR="00664E7F" w:rsidRPr="0010524E" w:rsidRDefault="00664E7F" w:rsidP="00664E7F">
            <w:pPr>
              <w:spacing w:after="120"/>
              <w:jc w:val="both"/>
              <w:rPr>
                <w:rFonts w:ascii="Calibri" w:eastAsia="Calibri" w:hAnsi="Calibri" w:cs="Calibri"/>
                <w:sz w:val="24"/>
                <w:szCs w:val="24"/>
              </w:rPr>
            </w:pPr>
          </w:p>
        </w:tc>
      </w:tr>
      <w:tr w:rsidR="00664E7F" w:rsidRPr="0010524E" w14:paraId="647C1A09" w14:textId="18AC1A1C"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338ABD07" w14:textId="0C6193F3"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Art. 2</w:t>
            </w:r>
            <w:r>
              <w:rPr>
                <w:rFonts w:ascii="Calibri" w:eastAsia="Calibri" w:hAnsi="Calibri" w:cs="Calibri"/>
                <w:sz w:val="24"/>
                <w:szCs w:val="24"/>
              </w:rPr>
              <w:t>94</w:t>
            </w:r>
            <w:r w:rsidRPr="0010524E">
              <w:rPr>
                <w:rFonts w:ascii="Calibri" w:eastAsia="Calibri" w:hAnsi="Calibri" w:cs="Calibri"/>
                <w:sz w:val="24"/>
                <w:szCs w:val="24"/>
              </w:rPr>
              <w:t>.  As quantias recolhidas a título de outras receitas arrecadadas, podem ser objeto de restituição, nas seguintes hipóteses:</w:t>
            </w:r>
          </w:p>
        </w:tc>
        <w:tc>
          <w:tcPr>
            <w:tcW w:w="3741" w:type="dxa"/>
            <w:tcBorders>
              <w:top w:val="single" w:sz="4" w:space="0" w:color="auto"/>
              <w:left w:val="single" w:sz="4" w:space="0" w:color="auto"/>
              <w:bottom w:val="single" w:sz="4" w:space="0" w:color="auto"/>
              <w:right w:val="single" w:sz="4" w:space="0" w:color="auto"/>
            </w:tcBorders>
          </w:tcPr>
          <w:p w14:paraId="630F9181"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67EB4B58"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1D725AB9" w14:textId="4760CED3" w:rsidR="00664E7F" w:rsidRPr="0010524E" w:rsidRDefault="00664E7F" w:rsidP="00664E7F">
            <w:pPr>
              <w:spacing w:after="120"/>
              <w:jc w:val="both"/>
              <w:rPr>
                <w:rFonts w:ascii="Calibri" w:eastAsia="Calibri" w:hAnsi="Calibri" w:cs="Calibri"/>
                <w:sz w:val="24"/>
                <w:szCs w:val="24"/>
              </w:rPr>
            </w:pPr>
          </w:p>
        </w:tc>
      </w:tr>
      <w:tr w:rsidR="00664E7F" w:rsidRPr="0010524E" w14:paraId="7C16FA87" w14:textId="470F27AD"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777EDD0B" w14:textId="13B133C1"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I - cobrança ou pagamento espontâneo, indevido ou em valor maior que o devido;</w:t>
            </w:r>
          </w:p>
        </w:tc>
        <w:tc>
          <w:tcPr>
            <w:tcW w:w="3741" w:type="dxa"/>
            <w:tcBorders>
              <w:top w:val="single" w:sz="4" w:space="0" w:color="auto"/>
              <w:left w:val="single" w:sz="4" w:space="0" w:color="auto"/>
              <w:bottom w:val="single" w:sz="4" w:space="0" w:color="auto"/>
              <w:right w:val="single" w:sz="4" w:space="0" w:color="auto"/>
            </w:tcBorders>
          </w:tcPr>
          <w:p w14:paraId="35A6C3E0"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14FCD466"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2B71E1BB" w14:textId="48B64EE0" w:rsidR="00664E7F" w:rsidRPr="0010524E" w:rsidRDefault="00664E7F" w:rsidP="00664E7F">
            <w:pPr>
              <w:spacing w:after="120"/>
              <w:jc w:val="both"/>
              <w:rPr>
                <w:rFonts w:ascii="Calibri" w:eastAsia="Calibri" w:hAnsi="Calibri" w:cs="Calibri"/>
                <w:sz w:val="24"/>
                <w:szCs w:val="24"/>
              </w:rPr>
            </w:pPr>
          </w:p>
        </w:tc>
      </w:tr>
      <w:tr w:rsidR="00664E7F" w:rsidRPr="0010524E" w14:paraId="69C17DEC" w14:textId="4AED7A28"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4F16E09A" w14:textId="0089B3A8"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erro na </w:t>
            </w:r>
            <w:proofErr w:type="spellStart"/>
            <w:r w:rsidRPr="0010524E">
              <w:rPr>
                <w:rFonts w:ascii="Calibri" w:eastAsia="Calibri" w:hAnsi="Calibri" w:cs="Calibri"/>
                <w:sz w:val="24"/>
                <w:szCs w:val="24"/>
              </w:rPr>
              <w:t>identiﬁcação</w:t>
            </w:r>
            <w:proofErr w:type="spellEnd"/>
            <w:r w:rsidRPr="0010524E">
              <w:rPr>
                <w:rFonts w:ascii="Calibri" w:eastAsia="Calibri" w:hAnsi="Calibri" w:cs="Calibri"/>
                <w:sz w:val="24"/>
                <w:szCs w:val="24"/>
              </w:rPr>
              <w:t xml:space="preserve"> do sujeito passivo, no cálculo do montante do débito ou na elaboração ou conferência de qualquer documento relativo ao pagamento; ou</w:t>
            </w:r>
          </w:p>
        </w:tc>
        <w:tc>
          <w:tcPr>
            <w:tcW w:w="3741" w:type="dxa"/>
            <w:tcBorders>
              <w:top w:val="single" w:sz="4" w:space="0" w:color="auto"/>
              <w:left w:val="single" w:sz="4" w:space="0" w:color="auto"/>
              <w:bottom w:val="single" w:sz="4" w:space="0" w:color="auto"/>
              <w:right w:val="single" w:sz="4" w:space="0" w:color="auto"/>
            </w:tcBorders>
          </w:tcPr>
          <w:p w14:paraId="199A6B14"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6C60C011"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1374255A" w14:textId="426D0B8C" w:rsidR="00664E7F" w:rsidRPr="0010524E" w:rsidRDefault="00664E7F" w:rsidP="00664E7F">
            <w:pPr>
              <w:spacing w:after="120"/>
              <w:jc w:val="both"/>
              <w:rPr>
                <w:rFonts w:ascii="Calibri" w:eastAsia="Calibri" w:hAnsi="Calibri" w:cs="Calibri"/>
                <w:sz w:val="24"/>
                <w:szCs w:val="24"/>
              </w:rPr>
            </w:pPr>
          </w:p>
        </w:tc>
      </w:tr>
      <w:tr w:rsidR="00664E7F" w:rsidRPr="0010524E" w14:paraId="73725C92" w14:textId="69C9B8D9"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4A3E4AFA" w14:textId="37C0AAE9"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III - reforma, anulação, revogação ou rescisão de decisão condenatória.</w:t>
            </w:r>
          </w:p>
        </w:tc>
        <w:tc>
          <w:tcPr>
            <w:tcW w:w="3741" w:type="dxa"/>
            <w:tcBorders>
              <w:top w:val="single" w:sz="4" w:space="0" w:color="auto"/>
              <w:left w:val="single" w:sz="4" w:space="0" w:color="auto"/>
              <w:bottom w:val="single" w:sz="4" w:space="0" w:color="auto"/>
              <w:right w:val="single" w:sz="4" w:space="0" w:color="auto"/>
            </w:tcBorders>
          </w:tcPr>
          <w:p w14:paraId="35800C72"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7FA28C0F"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7AC53DC9" w14:textId="56B52D95" w:rsidR="00664E7F" w:rsidRPr="0010524E" w:rsidRDefault="00664E7F" w:rsidP="00664E7F">
            <w:pPr>
              <w:spacing w:after="120"/>
              <w:jc w:val="both"/>
              <w:rPr>
                <w:rFonts w:ascii="Calibri" w:eastAsia="Calibri" w:hAnsi="Calibri" w:cs="Calibri"/>
                <w:sz w:val="24"/>
                <w:szCs w:val="24"/>
              </w:rPr>
            </w:pPr>
          </w:p>
        </w:tc>
      </w:tr>
      <w:tr w:rsidR="00664E7F" w:rsidRPr="0010524E" w14:paraId="795F5714" w14:textId="7BE049DE"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58B90DE5" w14:textId="3C020803"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Nas hipóteses mencionadas no </w:t>
            </w:r>
            <w:r w:rsidRPr="007A3B8B">
              <w:rPr>
                <w:rFonts w:ascii="Calibri" w:eastAsia="Calibri" w:hAnsi="Calibri" w:cs="Calibri"/>
                <w:b/>
                <w:bCs/>
                <w:sz w:val="24"/>
                <w:szCs w:val="24"/>
              </w:rPr>
              <w:t>caput</w:t>
            </w:r>
            <w:r w:rsidRPr="0010524E">
              <w:rPr>
                <w:rFonts w:ascii="Calibri" w:eastAsia="Calibri" w:hAnsi="Calibri" w:cs="Calibri"/>
                <w:sz w:val="24"/>
                <w:szCs w:val="24"/>
              </w:rPr>
              <w:t xml:space="preserve"> deste artigo, a restituição pode contemplar as quantias recolhidas em razão dos acréscimos referidos no art. 2</w:t>
            </w:r>
            <w:r>
              <w:rPr>
                <w:rFonts w:ascii="Calibri" w:eastAsia="Calibri" w:hAnsi="Calibri" w:cs="Calibri"/>
                <w:sz w:val="24"/>
                <w:szCs w:val="24"/>
              </w:rPr>
              <w:t>92</w:t>
            </w:r>
            <w:r w:rsidRPr="0010524E">
              <w:rPr>
                <w:rFonts w:ascii="Calibri" w:eastAsia="Calibri" w:hAnsi="Calibri" w:cs="Calibri"/>
                <w:sz w:val="24"/>
                <w:szCs w:val="24"/>
              </w:rPr>
              <w:t>.</w:t>
            </w:r>
          </w:p>
        </w:tc>
        <w:tc>
          <w:tcPr>
            <w:tcW w:w="3741" w:type="dxa"/>
            <w:tcBorders>
              <w:top w:val="single" w:sz="4" w:space="0" w:color="auto"/>
              <w:left w:val="single" w:sz="4" w:space="0" w:color="auto"/>
              <w:bottom w:val="single" w:sz="4" w:space="0" w:color="auto"/>
              <w:right w:val="single" w:sz="4" w:space="0" w:color="auto"/>
            </w:tcBorders>
          </w:tcPr>
          <w:p w14:paraId="62C7C5F3"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5FD1BE4E"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667EC19B" w14:textId="19E420F9" w:rsidR="00664E7F" w:rsidRPr="0010524E" w:rsidRDefault="00664E7F" w:rsidP="00664E7F">
            <w:pPr>
              <w:spacing w:after="120"/>
              <w:jc w:val="both"/>
              <w:rPr>
                <w:rFonts w:ascii="Calibri" w:eastAsia="Calibri" w:hAnsi="Calibri" w:cs="Calibri"/>
                <w:sz w:val="24"/>
                <w:szCs w:val="24"/>
              </w:rPr>
            </w:pPr>
          </w:p>
        </w:tc>
      </w:tr>
      <w:tr w:rsidR="00664E7F" w:rsidRPr="0010524E" w14:paraId="7828A12D" w14:textId="27D6502B"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68D31445" w14:textId="3A81B6A0"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Art. 2</w:t>
            </w:r>
            <w:r>
              <w:rPr>
                <w:rFonts w:ascii="Calibri" w:eastAsia="Calibri" w:hAnsi="Calibri" w:cs="Calibri"/>
                <w:sz w:val="24"/>
                <w:szCs w:val="24"/>
              </w:rPr>
              <w:t>95</w:t>
            </w:r>
            <w:r w:rsidRPr="0010524E">
              <w:rPr>
                <w:rFonts w:ascii="Calibri" w:eastAsia="Calibri" w:hAnsi="Calibri" w:cs="Calibri"/>
                <w:sz w:val="24"/>
                <w:szCs w:val="24"/>
              </w:rPr>
              <w:t>.  Os requerimentos de restituição ou de compensação de crédito tributário e de restituição de crédito não tributário devem indicar o plano de benefícios ao qual o valor correspondente deve ser restituído ou compensado.</w:t>
            </w:r>
          </w:p>
        </w:tc>
        <w:tc>
          <w:tcPr>
            <w:tcW w:w="3741" w:type="dxa"/>
            <w:tcBorders>
              <w:top w:val="single" w:sz="4" w:space="0" w:color="auto"/>
              <w:left w:val="single" w:sz="4" w:space="0" w:color="auto"/>
              <w:bottom w:val="single" w:sz="4" w:space="0" w:color="auto"/>
              <w:right w:val="single" w:sz="4" w:space="0" w:color="auto"/>
            </w:tcBorders>
          </w:tcPr>
          <w:p w14:paraId="561126C3"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72985009"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63CE5AEF" w14:textId="0C7EABFA" w:rsidR="00664E7F" w:rsidRPr="0010524E" w:rsidRDefault="00664E7F" w:rsidP="00664E7F">
            <w:pPr>
              <w:spacing w:after="120"/>
              <w:jc w:val="both"/>
              <w:rPr>
                <w:rFonts w:ascii="Calibri" w:eastAsia="Calibri" w:hAnsi="Calibri" w:cs="Calibri"/>
                <w:sz w:val="24"/>
                <w:szCs w:val="24"/>
              </w:rPr>
            </w:pPr>
          </w:p>
        </w:tc>
      </w:tr>
      <w:tr w:rsidR="00664E7F" w:rsidRPr="0010524E" w14:paraId="67A84BB6" w14:textId="7E837071"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544B4D25" w14:textId="34BB1C9C"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Art. 2</w:t>
            </w:r>
            <w:r>
              <w:rPr>
                <w:rFonts w:ascii="Calibri" w:eastAsia="Calibri" w:hAnsi="Calibri" w:cs="Calibri"/>
                <w:sz w:val="24"/>
                <w:szCs w:val="24"/>
              </w:rPr>
              <w:t>96</w:t>
            </w:r>
            <w:r w:rsidRPr="0010524E">
              <w:rPr>
                <w:rFonts w:ascii="Calibri" w:eastAsia="Calibri" w:hAnsi="Calibri" w:cs="Calibri"/>
                <w:sz w:val="24"/>
                <w:szCs w:val="24"/>
              </w:rPr>
              <w:t>.  O crédito tributário passível de restituição ou de compensação deve ser restituído ou compensado com os acréscimos de:</w:t>
            </w:r>
          </w:p>
        </w:tc>
        <w:tc>
          <w:tcPr>
            <w:tcW w:w="3741" w:type="dxa"/>
            <w:tcBorders>
              <w:top w:val="single" w:sz="4" w:space="0" w:color="auto"/>
              <w:left w:val="single" w:sz="4" w:space="0" w:color="auto"/>
              <w:bottom w:val="single" w:sz="4" w:space="0" w:color="auto"/>
              <w:right w:val="single" w:sz="4" w:space="0" w:color="auto"/>
            </w:tcBorders>
          </w:tcPr>
          <w:p w14:paraId="511B884D"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2DF86FB5"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137D954A" w14:textId="58436EA4" w:rsidR="00664E7F" w:rsidRPr="0010524E" w:rsidRDefault="00664E7F" w:rsidP="00664E7F">
            <w:pPr>
              <w:spacing w:after="120"/>
              <w:jc w:val="both"/>
              <w:rPr>
                <w:rFonts w:ascii="Calibri" w:eastAsia="Calibri" w:hAnsi="Calibri" w:cs="Calibri"/>
                <w:sz w:val="24"/>
                <w:szCs w:val="24"/>
              </w:rPr>
            </w:pPr>
          </w:p>
        </w:tc>
      </w:tr>
      <w:tr w:rsidR="00664E7F" w:rsidRPr="0010524E" w14:paraId="55EDCEA9" w14:textId="53D503A2"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086FE5AF" w14:textId="7B452BE2"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juros equivalentes à taxa referencial do Sistema Especial de Liquidação e Custódia, acumulados mensalmente, calculados a partir do mês subsequente ao do pagamento indevido da </w:t>
            </w:r>
            <w:proofErr w:type="spellStart"/>
            <w:r w:rsidRPr="0010524E">
              <w:rPr>
                <w:rFonts w:ascii="Calibri" w:eastAsia="Calibri" w:hAnsi="Calibri" w:cs="Calibri"/>
                <w:sz w:val="24"/>
                <w:szCs w:val="24"/>
              </w:rPr>
              <w:t>Tafic</w:t>
            </w:r>
            <w:proofErr w:type="spellEnd"/>
            <w:r w:rsidRPr="0010524E">
              <w:rPr>
                <w:rFonts w:ascii="Calibri" w:eastAsia="Calibri" w:hAnsi="Calibri" w:cs="Calibri"/>
                <w:sz w:val="24"/>
                <w:szCs w:val="24"/>
              </w:rPr>
              <w:t xml:space="preserve"> ou a maior que o devido, até o mês anterior ao da efetivação da restituição ou da compensação; e</w:t>
            </w:r>
          </w:p>
        </w:tc>
        <w:tc>
          <w:tcPr>
            <w:tcW w:w="3741" w:type="dxa"/>
            <w:tcBorders>
              <w:top w:val="single" w:sz="4" w:space="0" w:color="auto"/>
              <w:left w:val="single" w:sz="4" w:space="0" w:color="auto"/>
              <w:bottom w:val="single" w:sz="4" w:space="0" w:color="auto"/>
              <w:right w:val="single" w:sz="4" w:space="0" w:color="auto"/>
            </w:tcBorders>
          </w:tcPr>
          <w:p w14:paraId="0D2FABAF"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383170F5"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2DF95032" w14:textId="2EE23C56" w:rsidR="00664E7F" w:rsidRPr="0010524E" w:rsidRDefault="00664E7F" w:rsidP="00664E7F">
            <w:pPr>
              <w:spacing w:after="120"/>
              <w:jc w:val="both"/>
              <w:rPr>
                <w:rFonts w:ascii="Calibri" w:eastAsia="Calibri" w:hAnsi="Calibri" w:cs="Calibri"/>
                <w:sz w:val="24"/>
                <w:szCs w:val="24"/>
              </w:rPr>
            </w:pPr>
          </w:p>
        </w:tc>
      </w:tr>
      <w:tr w:rsidR="00664E7F" w:rsidRPr="0010524E" w14:paraId="631FB320" w14:textId="508648AF"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607FA329" w14:textId="77777777" w:rsidR="00664E7F" w:rsidRPr="0010524E" w:rsidRDefault="00664E7F" w:rsidP="00664E7F">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3741" w:type="dxa"/>
            <w:tcBorders>
              <w:top w:val="single" w:sz="4" w:space="0" w:color="auto"/>
              <w:left w:val="single" w:sz="4" w:space="0" w:color="auto"/>
              <w:bottom w:val="single" w:sz="4" w:space="0" w:color="auto"/>
              <w:right w:val="single" w:sz="4" w:space="0" w:color="auto"/>
            </w:tcBorders>
          </w:tcPr>
          <w:p w14:paraId="616BD09D" w14:textId="77777777" w:rsidR="00664E7F" w:rsidRPr="0010524E" w:rsidRDefault="00664E7F" w:rsidP="00664E7F">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3741" w:type="dxa"/>
            <w:tcBorders>
              <w:top w:val="single" w:sz="4" w:space="0" w:color="auto"/>
              <w:left w:val="single" w:sz="4" w:space="0" w:color="auto"/>
              <w:bottom w:val="single" w:sz="4" w:space="0" w:color="auto"/>
              <w:right w:val="single" w:sz="4" w:space="0" w:color="auto"/>
            </w:tcBorders>
          </w:tcPr>
          <w:p w14:paraId="02077E93" w14:textId="77777777" w:rsidR="00664E7F" w:rsidRPr="0010524E" w:rsidRDefault="00664E7F" w:rsidP="00664E7F">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3279" w:type="dxa"/>
            <w:tcBorders>
              <w:top w:val="single" w:sz="4" w:space="0" w:color="auto"/>
              <w:left w:val="single" w:sz="4" w:space="0" w:color="auto"/>
              <w:bottom w:val="single" w:sz="4" w:space="0" w:color="auto"/>
              <w:right w:val="single" w:sz="4" w:space="0" w:color="auto"/>
            </w:tcBorders>
          </w:tcPr>
          <w:p w14:paraId="4A9F3618" w14:textId="5BC725F1" w:rsidR="00664E7F" w:rsidRPr="0010524E" w:rsidRDefault="00664E7F" w:rsidP="00664E7F">
            <w:pPr>
              <w:pStyle w:val="PargrafodaLista"/>
              <w:tabs>
                <w:tab w:val="left" w:pos="993"/>
              </w:tabs>
              <w:spacing w:after="120"/>
              <w:jc w:val="both"/>
              <w:rPr>
                <w:rFonts w:ascii="Calibri" w:eastAsia="Times New Roman" w:hAnsi="Calibri" w:cs="Calibri"/>
                <w:kern w:val="0"/>
                <w:sz w:val="24"/>
                <w:szCs w:val="24"/>
                <w:lang w:eastAsia="pt-BR"/>
                <w14:ligatures w14:val="none"/>
              </w:rPr>
            </w:pPr>
          </w:p>
        </w:tc>
      </w:tr>
      <w:tr w:rsidR="00664E7F" w:rsidRPr="0010524E" w14:paraId="701D5D55" w14:textId="58EB0C5C"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5A5A5D02" w14:textId="7B23FED1"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II - um por cento, no mês da efetivação da restituição ou da compensação.</w:t>
            </w:r>
          </w:p>
        </w:tc>
        <w:tc>
          <w:tcPr>
            <w:tcW w:w="3741" w:type="dxa"/>
            <w:tcBorders>
              <w:top w:val="single" w:sz="4" w:space="0" w:color="auto"/>
              <w:left w:val="single" w:sz="4" w:space="0" w:color="auto"/>
              <w:bottom w:val="single" w:sz="4" w:space="0" w:color="auto"/>
              <w:right w:val="single" w:sz="4" w:space="0" w:color="auto"/>
            </w:tcBorders>
          </w:tcPr>
          <w:p w14:paraId="28EED898"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3DBDC707"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4C4616DD" w14:textId="748F6FB7" w:rsidR="00664E7F" w:rsidRPr="0010524E" w:rsidRDefault="00664E7F" w:rsidP="00664E7F">
            <w:pPr>
              <w:spacing w:after="120"/>
              <w:jc w:val="both"/>
              <w:rPr>
                <w:rFonts w:ascii="Calibri" w:eastAsia="Calibri" w:hAnsi="Calibri" w:cs="Calibri"/>
                <w:sz w:val="24"/>
                <w:szCs w:val="24"/>
              </w:rPr>
            </w:pPr>
          </w:p>
        </w:tc>
      </w:tr>
      <w:tr w:rsidR="00664E7F" w:rsidRPr="0010524E" w14:paraId="08DAF6A4" w14:textId="37E7F646"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5BAA96C2" w14:textId="52FA71E8"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O disposto no </w:t>
            </w:r>
            <w:r w:rsidRPr="00C07AED">
              <w:rPr>
                <w:rFonts w:ascii="Calibri" w:eastAsia="Calibri" w:hAnsi="Calibri" w:cs="Calibri"/>
                <w:b/>
                <w:bCs/>
                <w:sz w:val="24"/>
                <w:szCs w:val="24"/>
              </w:rPr>
              <w:t>caput</w:t>
            </w:r>
            <w:r w:rsidRPr="0010524E">
              <w:rPr>
                <w:rFonts w:ascii="Calibri" w:eastAsia="Calibri" w:hAnsi="Calibri" w:cs="Calibri"/>
                <w:sz w:val="24"/>
                <w:szCs w:val="24"/>
              </w:rPr>
              <w:t xml:space="preserve"> aplica-se ao crédito não tributário passível de restituição.</w:t>
            </w:r>
          </w:p>
        </w:tc>
        <w:tc>
          <w:tcPr>
            <w:tcW w:w="3741" w:type="dxa"/>
            <w:tcBorders>
              <w:top w:val="single" w:sz="4" w:space="0" w:color="auto"/>
              <w:left w:val="single" w:sz="4" w:space="0" w:color="auto"/>
              <w:bottom w:val="single" w:sz="4" w:space="0" w:color="auto"/>
              <w:right w:val="single" w:sz="4" w:space="0" w:color="auto"/>
            </w:tcBorders>
          </w:tcPr>
          <w:p w14:paraId="5EA49A03"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0F4C41DD"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58DFBB09" w14:textId="34893893" w:rsidR="00664E7F" w:rsidRPr="0010524E" w:rsidRDefault="00664E7F" w:rsidP="00664E7F">
            <w:pPr>
              <w:spacing w:after="120"/>
              <w:jc w:val="both"/>
              <w:rPr>
                <w:rFonts w:ascii="Calibri" w:eastAsia="Calibri" w:hAnsi="Calibri" w:cs="Calibri"/>
                <w:sz w:val="24"/>
                <w:szCs w:val="24"/>
              </w:rPr>
            </w:pPr>
          </w:p>
        </w:tc>
      </w:tr>
      <w:tr w:rsidR="00664E7F" w:rsidRPr="0010524E" w14:paraId="74917782" w14:textId="1A173FC8"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25D23A14" w14:textId="10B86334"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Art. 2</w:t>
            </w:r>
            <w:r>
              <w:rPr>
                <w:rFonts w:ascii="Calibri" w:eastAsia="Calibri" w:hAnsi="Calibri" w:cs="Calibri"/>
                <w:sz w:val="24"/>
                <w:szCs w:val="24"/>
              </w:rPr>
              <w:t>97</w:t>
            </w:r>
            <w:r w:rsidRPr="0010524E">
              <w:rPr>
                <w:rFonts w:ascii="Calibri" w:eastAsia="Calibri" w:hAnsi="Calibri" w:cs="Calibri"/>
                <w:sz w:val="24"/>
                <w:szCs w:val="24"/>
              </w:rPr>
              <w:t>.  A restituição é realizada exclusivamente mediante crédito em conta corrente, devendo o requerente, no momento da solicitação, indicar o banco, a agência e o número da conta bancária de sua titularidade em que pretende seja efetuado o crédito.</w:t>
            </w:r>
          </w:p>
        </w:tc>
        <w:tc>
          <w:tcPr>
            <w:tcW w:w="3741" w:type="dxa"/>
            <w:tcBorders>
              <w:top w:val="single" w:sz="4" w:space="0" w:color="auto"/>
              <w:left w:val="single" w:sz="4" w:space="0" w:color="auto"/>
              <w:bottom w:val="single" w:sz="4" w:space="0" w:color="auto"/>
              <w:right w:val="single" w:sz="4" w:space="0" w:color="auto"/>
            </w:tcBorders>
          </w:tcPr>
          <w:p w14:paraId="2353011A"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13D3D5FC"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08F6AAA2" w14:textId="7B876252" w:rsidR="00664E7F" w:rsidRPr="0010524E" w:rsidRDefault="00664E7F" w:rsidP="00664E7F">
            <w:pPr>
              <w:spacing w:after="120"/>
              <w:jc w:val="both"/>
              <w:rPr>
                <w:rFonts w:ascii="Calibri" w:eastAsia="Calibri" w:hAnsi="Calibri" w:cs="Calibri"/>
                <w:sz w:val="24"/>
                <w:szCs w:val="24"/>
              </w:rPr>
            </w:pPr>
          </w:p>
        </w:tc>
      </w:tr>
      <w:tr w:rsidR="00664E7F" w:rsidRPr="0010524E" w14:paraId="00FCD1B5" w14:textId="79FCCD8F"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790470BF" w14:textId="0312C510"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298</w:t>
            </w:r>
            <w:r w:rsidRPr="0010524E">
              <w:rPr>
                <w:rFonts w:ascii="Calibri" w:eastAsia="Calibri" w:hAnsi="Calibri" w:cs="Calibri"/>
                <w:sz w:val="24"/>
                <w:szCs w:val="24"/>
              </w:rPr>
              <w:t xml:space="preserve">.  Antes de proceder à restituição de créditos tributários, a </w:t>
            </w:r>
            <w:proofErr w:type="spellStart"/>
            <w:r w:rsidRPr="0010524E">
              <w:rPr>
                <w:rFonts w:ascii="Calibri" w:eastAsia="Calibri" w:hAnsi="Calibri" w:cs="Calibri"/>
                <w:sz w:val="24"/>
                <w:szCs w:val="24"/>
              </w:rPr>
              <w:t>Previc</w:t>
            </w:r>
            <w:proofErr w:type="spellEnd"/>
            <w:r w:rsidRPr="0010524E">
              <w:rPr>
                <w:rFonts w:ascii="Calibri" w:eastAsia="Calibri" w:hAnsi="Calibri" w:cs="Calibri"/>
                <w:sz w:val="24"/>
                <w:szCs w:val="24"/>
              </w:rPr>
              <w:t xml:space="preserve"> deve </w:t>
            </w:r>
            <w:proofErr w:type="spellStart"/>
            <w:r w:rsidRPr="0010524E">
              <w:rPr>
                <w:rFonts w:ascii="Calibri" w:eastAsia="Calibri" w:hAnsi="Calibri" w:cs="Calibri"/>
                <w:sz w:val="24"/>
                <w:szCs w:val="24"/>
              </w:rPr>
              <w:t>veriﬁcar</w:t>
            </w:r>
            <w:proofErr w:type="spellEnd"/>
            <w:r w:rsidRPr="0010524E">
              <w:rPr>
                <w:rFonts w:ascii="Calibri" w:eastAsia="Calibri" w:hAnsi="Calibri" w:cs="Calibri"/>
                <w:sz w:val="24"/>
                <w:szCs w:val="24"/>
              </w:rPr>
              <w:t xml:space="preserve"> a existência de débitos de mesma natureza em nome do requerente.</w:t>
            </w:r>
          </w:p>
        </w:tc>
        <w:tc>
          <w:tcPr>
            <w:tcW w:w="3741" w:type="dxa"/>
            <w:tcBorders>
              <w:top w:val="single" w:sz="4" w:space="0" w:color="auto"/>
              <w:left w:val="single" w:sz="4" w:space="0" w:color="auto"/>
              <w:bottom w:val="single" w:sz="4" w:space="0" w:color="auto"/>
              <w:right w:val="single" w:sz="4" w:space="0" w:color="auto"/>
            </w:tcBorders>
          </w:tcPr>
          <w:p w14:paraId="2A73A79D"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5997BBC0"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7266D671" w14:textId="40C4D121" w:rsidR="00664E7F" w:rsidRPr="0010524E" w:rsidRDefault="00664E7F" w:rsidP="00664E7F">
            <w:pPr>
              <w:spacing w:after="120"/>
              <w:jc w:val="both"/>
              <w:rPr>
                <w:rFonts w:ascii="Calibri" w:eastAsia="Calibri" w:hAnsi="Calibri" w:cs="Calibri"/>
                <w:sz w:val="24"/>
                <w:szCs w:val="24"/>
              </w:rPr>
            </w:pPr>
          </w:p>
        </w:tc>
      </w:tr>
      <w:tr w:rsidR="00664E7F" w:rsidRPr="0010524E" w14:paraId="42017431" w14:textId="6E3D91AD"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3FA3727A" w14:textId="00663DA1"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A </w:t>
            </w:r>
            <w:proofErr w:type="spellStart"/>
            <w:r w:rsidRPr="0010524E">
              <w:rPr>
                <w:rFonts w:ascii="Calibri" w:eastAsia="Calibri" w:hAnsi="Calibri" w:cs="Calibri"/>
                <w:sz w:val="24"/>
                <w:szCs w:val="24"/>
              </w:rPr>
              <w:t>Previc</w:t>
            </w:r>
            <w:proofErr w:type="spellEnd"/>
            <w:r w:rsidRPr="0010524E">
              <w:rPr>
                <w:rFonts w:ascii="Calibri" w:eastAsia="Calibri" w:hAnsi="Calibri" w:cs="Calibri"/>
                <w:sz w:val="24"/>
                <w:szCs w:val="24"/>
              </w:rPr>
              <w:t xml:space="preserve">, </w:t>
            </w:r>
            <w:proofErr w:type="spellStart"/>
            <w:r w:rsidRPr="0010524E">
              <w:rPr>
                <w:rFonts w:ascii="Calibri" w:eastAsia="Calibri" w:hAnsi="Calibri" w:cs="Calibri"/>
                <w:sz w:val="24"/>
                <w:szCs w:val="24"/>
              </w:rPr>
              <w:t>veriﬁcada</w:t>
            </w:r>
            <w:proofErr w:type="spellEnd"/>
            <w:r w:rsidRPr="0010524E">
              <w:rPr>
                <w:rFonts w:ascii="Calibri" w:eastAsia="Calibri" w:hAnsi="Calibri" w:cs="Calibri"/>
                <w:sz w:val="24"/>
                <w:szCs w:val="24"/>
              </w:rPr>
              <w:t xml:space="preserve"> a existência dos débitos referidos no </w:t>
            </w:r>
            <w:r w:rsidRPr="00C07AED">
              <w:rPr>
                <w:rFonts w:ascii="Calibri" w:eastAsia="Calibri" w:hAnsi="Calibri" w:cs="Calibri"/>
                <w:b/>
                <w:bCs/>
                <w:sz w:val="24"/>
                <w:szCs w:val="24"/>
              </w:rPr>
              <w:t>caput</w:t>
            </w:r>
            <w:r w:rsidRPr="0010524E">
              <w:rPr>
                <w:rFonts w:ascii="Calibri" w:eastAsia="Calibri" w:hAnsi="Calibri" w:cs="Calibri"/>
                <w:sz w:val="24"/>
                <w:szCs w:val="24"/>
              </w:rPr>
              <w:t>, deve realizar a sua compensação total com o crédito a ser restituído.</w:t>
            </w:r>
          </w:p>
        </w:tc>
        <w:tc>
          <w:tcPr>
            <w:tcW w:w="3741" w:type="dxa"/>
            <w:tcBorders>
              <w:top w:val="single" w:sz="4" w:space="0" w:color="auto"/>
              <w:left w:val="single" w:sz="4" w:space="0" w:color="auto"/>
              <w:bottom w:val="single" w:sz="4" w:space="0" w:color="auto"/>
              <w:right w:val="single" w:sz="4" w:space="0" w:color="auto"/>
            </w:tcBorders>
          </w:tcPr>
          <w:p w14:paraId="2BECB700"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084F5111"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4B0A97F4" w14:textId="2D0A89A5" w:rsidR="00664E7F" w:rsidRPr="0010524E" w:rsidRDefault="00664E7F" w:rsidP="00664E7F">
            <w:pPr>
              <w:spacing w:after="120"/>
              <w:jc w:val="both"/>
              <w:rPr>
                <w:rFonts w:ascii="Calibri" w:eastAsia="Calibri" w:hAnsi="Calibri" w:cs="Calibri"/>
                <w:sz w:val="24"/>
                <w:szCs w:val="24"/>
              </w:rPr>
            </w:pPr>
          </w:p>
        </w:tc>
      </w:tr>
      <w:tr w:rsidR="00664E7F" w:rsidRPr="0010524E" w14:paraId="33757FB2" w14:textId="70743A17"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62164B6C" w14:textId="6E256C81"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Art. 2</w:t>
            </w:r>
            <w:r>
              <w:rPr>
                <w:rFonts w:ascii="Calibri" w:eastAsia="Calibri" w:hAnsi="Calibri" w:cs="Calibri"/>
                <w:sz w:val="24"/>
                <w:szCs w:val="24"/>
              </w:rPr>
              <w:t>99</w:t>
            </w:r>
            <w:r w:rsidRPr="0010524E">
              <w:rPr>
                <w:rFonts w:ascii="Calibri" w:eastAsia="Calibri" w:hAnsi="Calibri" w:cs="Calibri"/>
                <w:sz w:val="24"/>
                <w:szCs w:val="24"/>
              </w:rPr>
              <w:t>.  O direito de pleitear a restituição ou a compensação de créditos tributários ou de créditos não tributários extingue-se após cinco anos, contados:</w:t>
            </w:r>
          </w:p>
        </w:tc>
        <w:tc>
          <w:tcPr>
            <w:tcW w:w="3741" w:type="dxa"/>
            <w:tcBorders>
              <w:top w:val="single" w:sz="4" w:space="0" w:color="auto"/>
              <w:left w:val="single" w:sz="4" w:space="0" w:color="auto"/>
              <w:bottom w:val="single" w:sz="4" w:space="0" w:color="auto"/>
              <w:right w:val="single" w:sz="4" w:space="0" w:color="auto"/>
            </w:tcBorders>
          </w:tcPr>
          <w:p w14:paraId="1C83B621"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37904F2B"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35E56504" w14:textId="65E5AFA6" w:rsidR="00664E7F" w:rsidRPr="0010524E" w:rsidRDefault="00664E7F" w:rsidP="00664E7F">
            <w:pPr>
              <w:spacing w:after="120"/>
              <w:jc w:val="both"/>
              <w:rPr>
                <w:rFonts w:ascii="Calibri" w:eastAsia="Calibri" w:hAnsi="Calibri" w:cs="Calibri"/>
                <w:sz w:val="24"/>
                <w:szCs w:val="24"/>
              </w:rPr>
            </w:pPr>
          </w:p>
        </w:tc>
      </w:tr>
      <w:tr w:rsidR="00664E7F" w:rsidRPr="0010524E" w14:paraId="3A40CAEF" w14:textId="3C610A38"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39643993" w14:textId="18592E70"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I - nas hipóteses do art. 2</w:t>
            </w:r>
            <w:r>
              <w:rPr>
                <w:rFonts w:ascii="Calibri" w:eastAsia="Calibri" w:hAnsi="Calibri" w:cs="Calibri"/>
                <w:sz w:val="24"/>
                <w:szCs w:val="24"/>
              </w:rPr>
              <w:t>93</w:t>
            </w:r>
            <w:r w:rsidRPr="0010524E">
              <w:rPr>
                <w:rFonts w:ascii="Calibri" w:eastAsia="Calibri" w:hAnsi="Calibri" w:cs="Calibri"/>
                <w:sz w:val="24"/>
                <w:szCs w:val="24"/>
              </w:rPr>
              <w:t xml:space="preserve"> e dos incisos I e II do art. 2</w:t>
            </w:r>
            <w:r>
              <w:rPr>
                <w:rFonts w:ascii="Calibri" w:eastAsia="Calibri" w:hAnsi="Calibri" w:cs="Calibri"/>
                <w:sz w:val="24"/>
                <w:szCs w:val="24"/>
              </w:rPr>
              <w:t>94</w:t>
            </w:r>
            <w:r w:rsidRPr="0010524E">
              <w:rPr>
                <w:rFonts w:ascii="Calibri" w:eastAsia="Calibri" w:hAnsi="Calibri" w:cs="Calibri"/>
                <w:sz w:val="24"/>
                <w:szCs w:val="24"/>
              </w:rPr>
              <w:t>, da data da extinção do crédito tributário; e</w:t>
            </w:r>
          </w:p>
        </w:tc>
        <w:tc>
          <w:tcPr>
            <w:tcW w:w="3741" w:type="dxa"/>
            <w:tcBorders>
              <w:top w:val="single" w:sz="4" w:space="0" w:color="auto"/>
              <w:left w:val="single" w:sz="4" w:space="0" w:color="auto"/>
              <w:bottom w:val="single" w:sz="4" w:space="0" w:color="auto"/>
              <w:right w:val="single" w:sz="4" w:space="0" w:color="auto"/>
            </w:tcBorders>
          </w:tcPr>
          <w:p w14:paraId="7CB31C88"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681D9AF8"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71D1CFEC" w14:textId="3639F29F" w:rsidR="00664E7F" w:rsidRPr="0010524E" w:rsidRDefault="00664E7F" w:rsidP="00664E7F">
            <w:pPr>
              <w:spacing w:after="120"/>
              <w:jc w:val="both"/>
              <w:rPr>
                <w:rFonts w:ascii="Calibri" w:eastAsia="Calibri" w:hAnsi="Calibri" w:cs="Calibri"/>
                <w:sz w:val="24"/>
                <w:szCs w:val="24"/>
              </w:rPr>
            </w:pPr>
          </w:p>
        </w:tc>
      </w:tr>
      <w:tr w:rsidR="00664E7F" w:rsidRPr="0010524E" w14:paraId="75706B6F" w14:textId="192278D0"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7EDC92BC" w14:textId="7659FA45"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II - nas hipóteses do inciso III do art. 2</w:t>
            </w:r>
            <w:r>
              <w:rPr>
                <w:rFonts w:ascii="Calibri" w:eastAsia="Calibri" w:hAnsi="Calibri" w:cs="Calibri"/>
                <w:sz w:val="24"/>
                <w:szCs w:val="24"/>
              </w:rPr>
              <w:t>94</w:t>
            </w:r>
            <w:r w:rsidRPr="0010524E">
              <w:rPr>
                <w:rFonts w:ascii="Calibri" w:eastAsia="Calibri" w:hAnsi="Calibri" w:cs="Calibri"/>
                <w:sz w:val="24"/>
                <w:szCs w:val="24"/>
              </w:rPr>
              <w:t xml:space="preserve">, da data em que se tornar </w:t>
            </w:r>
            <w:proofErr w:type="spellStart"/>
            <w:r w:rsidRPr="0010524E">
              <w:rPr>
                <w:rFonts w:ascii="Calibri" w:eastAsia="Calibri" w:hAnsi="Calibri" w:cs="Calibri"/>
                <w:sz w:val="24"/>
                <w:szCs w:val="24"/>
              </w:rPr>
              <w:t>deﬁnitiva</w:t>
            </w:r>
            <w:proofErr w:type="spellEnd"/>
            <w:r w:rsidRPr="0010524E">
              <w:rPr>
                <w:rFonts w:ascii="Calibri" w:eastAsia="Calibri" w:hAnsi="Calibri" w:cs="Calibri"/>
                <w:sz w:val="24"/>
                <w:szCs w:val="24"/>
              </w:rPr>
              <w:t xml:space="preserve"> a decisão administrativa ou transitar em julgado a decisão judicial que tenha reformado, anulado, revogado ou rescindido a decisão condenatória.</w:t>
            </w:r>
          </w:p>
        </w:tc>
        <w:tc>
          <w:tcPr>
            <w:tcW w:w="3741" w:type="dxa"/>
            <w:tcBorders>
              <w:top w:val="single" w:sz="4" w:space="0" w:color="auto"/>
              <w:left w:val="single" w:sz="4" w:space="0" w:color="auto"/>
              <w:bottom w:val="single" w:sz="4" w:space="0" w:color="auto"/>
              <w:right w:val="single" w:sz="4" w:space="0" w:color="auto"/>
            </w:tcBorders>
          </w:tcPr>
          <w:p w14:paraId="7489D94F"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6E43E3DD"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5A818293" w14:textId="52CF1ACC" w:rsidR="00664E7F" w:rsidRPr="0010524E" w:rsidRDefault="00664E7F" w:rsidP="00664E7F">
            <w:pPr>
              <w:spacing w:after="120"/>
              <w:jc w:val="both"/>
              <w:rPr>
                <w:rFonts w:ascii="Calibri" w:eastAsia="Calibri" w:hAnsi="Calibri" w:cs="Calibri"/>
                <w:sz w:val="24"/>
                <w:szCs w:val="24"/>
              </w:rPr>
            </w:pPr>
          </w:p>
        </w:tc>
      </w:tr>
      <w:tr w:rsidR="00664E7F" w:rsidRPr="0010524E" w14:paraId="11CA3262" w14:textId="357B3864"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64F1A141" w14:textId="305C4911"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300</w:t>
            </w:r>
            <w:r w:rsidRPr="0010524E">
              <w:rPr>
                <w:rFonts w:ascii="Calibri" w:eastAsia="Calibri" w:hAnsi="Calibri" w:cs="Calibri"/>
                <w:sz w:val="24"/>
                <w:szCs w:val="24"/>
              </w:rPr>
              <w:t>.  Prescreve em dois anos a ação anulatória da decisão administrativa que denegar a restituição.</w:t>
            </w:r>
          </w:p>
        </w:tc>
        <w:tc>
          <w:tcPr>
            <w:tcW w:w="3741" w:type="dxa"/>
            <w:tcBorders>
              <w:top w:val="single" w:sz="4" w:space="0" w:color="auto"/>
              <w:left w:val="single" w:sz="4" w:space="0" w:color="auto"/>
              <w:bottom w:val="single" w:sz="4" w:space="0" w:color="auto"/>
              <w:right w:val="single" w:sz="4" w:space="0" w:color="auto"/>
            </w:tcBorders>
          </w:tcPr>
          <w:p w14:paraId="502D05DF"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6301E51A"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532F18E3" w14:textId="3D899ABC" w:rsidR="00664E7F" w:rsidRPr="0010524E" w:rsidRDefault="00664E7F" w:rsidP="00664E7F">
            <w:pPr>
              <w:spacing w:after="120"/>
              <w:jc w:val="both"/>
              <w:rPr>
                <w:rFonts w:ascii="Calibri" w:eastAsia="Calibri" w:hAnsi="Calibri" w:cs="Calibri"/>
                <w:sz w:val="24"/>
                <w:szCs w:val="24"/>
              </w:rPr>
            </w:pPr>
          </w:p>
        </w:tc>
      </w:tr>
      <w:tr w:rsidR="00664E7F" w:rsidRPr="0010524E" w14:paraId="21870E78" w14:textId="50DA9E05"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141D6A63" w14:textId="3128A485"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O prazo de prescrição referido no </w:t>
            </w:r>
            <w:r w:rsidRPr="00C07AED">
              <w:rPr>
                <w:rFonts w:ascii="Calibri" w:eastAsia="Calibri" w:hAnsi="Calibri" w:cs="Calibri"/>
                <w:b/>
                <w:bCs/>
                <w:sz w:val="24"/>
                <w:szCs w:val="24"/>
              </w:rPr>
              <w:t>caput</w:t>
            </w:r>
            <w:r w:rsidRPr="0010524E">
              <w:rPr>
                <w:rFonts w:ascii="Calibri" w:eastAsia="Calibri" w:hAnsi="Calibri" w:cs="Calibri"/>
                <w:sz w:val="24"/>
                <w:szCs w:val="24"/>
              </w:rPr>
              <w:t xml:space="preserve"> é interrompido pelo início da ação judicial, recomeçando o seu curso, por metade, a partir da data da intimação validamente feita ao representante judicial da </w:t>
            </w:r>
            <w:proofErr w:type="spellStart"/>
            <w:r w:rsidRPr="0010524E">
              <w:rPr>
                <w:rFonts w:ascii="Calibri" w:eastAsia="Calibri" w:hAnsi="Calibri" w:cs="Calibri"/>
                <w:sz w:val="24"/>
                <w:szCs w:val="24"/>
              </w:rPr>
              <w:t>Previc</w:t>
            </w:r>
            <w:proofErr w:type="spellEnd"/>
            <w:r w:rsidRPr="0010524E">
              <w:rPr>
                <w:rFonts w:ascii="Calibri" w:eastAsia="Calibri" w:hAnsi="Calibri" w:cs="Calibri"/>
                <w:sz w:val="24"/>
                <w:szCs w:val="24"/>
              </w:rPr>
              <w:t>.</w:t>
            </w:r>
          </w:p>
        </w:tc>
        <w:tc>
          <w:tcPr>
            <w:tcW w:w="3741" w:type="dxa"/>
            <w:tcBorders>
              <w:top w:val="single" w:sz="4" w:space="0" w:color="auto"/>
              <w:left w:val="single" w:sz="4" w:space="0" w:color="auto"/>
              <w:bottom w:val="single" w:sz="4" w:space="0" w:color="auto"/>
              <w:right w:val="single" w:sz="4" w:space="0" w:color="auto"/>
            </w:tcBorders>
          </w:tcPr>
          <w:p w14:paraId="4357C6CA"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6DD22720"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6DED12AF" w14:textId="5ABF093C" w:rsidR="00664E7F" w:rsidRPr="0010524E" w:rsidRDefault="00664E7F" w:rsidP="00664E7F">
            <w:pPr>
              <w:spacing w:after="120"/>
              <w:jc w:val="both"/>
              <w:rPr>
                <w:rFonts w:ascii="Calibri" w:eastAsia="Calibri" w:hAnsi="Calibri" w:cs="Calibri"/>
                <w:sz w:val="24"/>
                <w:szCs w:val="24"/>
              </w:rPr>
            </w:pPr>
          </w:p>
        </w:tc>
      </w:tr>
      <w:tr w:rsidR="00664E7F" w:rsidRPr="0010524E" w14:paraId="37576555" w14:textId="3AF2C0DB"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262F34E3" w14:textId="4A9AEADE" w:rsidR="00664E7F" w:rsidRPr="0010524E" w:rsidRDefault="00664E7F" w:rsidP="00664E7F">
            <w:pPr>
              <w:pStyle w:val="PargrafodaLista"/>
              <w:tabs>
                <w:tab w:val="left" w:pos="993"/>
              </w:tabs>
              <w:ind w:left="11"/>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IV</w:t>
            </w:r>
          </w:p>
          <w:p w14:paraId="7C0CBD5B" w14:textId="58E49D79" w:rsidR="00664E7F" w:rsidRPr="0010524E" w:rsidRDefault="00664E7F" w:rsidP="00664E7F">
            <w:pPr>
              <w:pStyle w:val="PargrafodaLista"/>
              <w:tabs>
                <w:tab w:val="left" w:pos="993"/>
              </w:tabs>
              <w:ind w:left="11"/>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Processo </w:t>
            </w:r>
            <w:r>
              <w:rPr>
                <w:rFonts w:ascii="Calibri" w:eastAsia="Times New Roman" w:hAnsi="Calibri" w:cs="Calibri"/>
                <w:b/>
                <w:bCs/>
                <w:kern w:val="0"/>
                <w:sz w:val="24"/>
                <w:szCs w:val="24"/>
                <w:lang w:eastAsia="pt-BR"/>
                <w14:ligatures w14:val="none"/>
              </w:rPr>
              <w:t>A</w:t>
            </w:r>
            <w:r w:rsidRPr="0010524E">
              <w:rPr>
                <w:rFonts w:ascii="Calibri" w:eastAsia="Times New Roman" w:hAnsi="Calibri" w:cs="Calibri"/>
                <w:b/>
                <w:bCs/>
                <w:kern w:val="0"/>
                <w:sz w:val="24"/>
                <w:szCs w:val="24"/>
                <w:lang w:eastAsia="pt-BR"/>
                <w14:ligatures w14:val="none"/>
              </w:rPr>
              <w:t>dministrativo-</w:t>
            </w:r>
            <w:r>
              <w:rPr>
                <w:rFonts w:ascii="Calibri" w:eastAsia="Times New Roman" w:hAnsi="Calibri" w:cs="Calibri"/>
                <w:b/>
                <w:bCs/>
                <w:kern w:val="0"/>
                <w:sz w:val="24"/>
                <w:szCs w:val="24"/>
                <w:lang w:eastAsia="pt-BR"/>
                <w14:ligatures w14:val="none"/>
              </w:rPr>
              <w:t>F</w:t>
            </w:r>
            <w:r w:rsidRPr="0010524E">
              <w:rPr>
                <w:rFonts w:ascii="Calibri" w:eastAsia="Times New Roman" w:hAnsi="Calibri" w:cs="Calibri"/>
                <w:b/>
                <w:bCs/>
                <w:kern w:val="0"/>
                <w:sz w:val="24"/>
                <w:szCs w:val="24"/>
                <w:lang w:eastAsia="pt-BR"/>
                <w14:ligatures w14:val="none"/>
              </w:rPr>
              <w:t xml:space="preserve">iscal de </w:t>
            </w:r>
            <w:r>
              <w:rPr>
                <w:rFonts w:ascii="Calibri" w:eastAsia="Times New Roman" w:hAnsi="Calibri" w:cs="Calibri"/>
                <w:b/>
                <w:bCs/>
                <w:kern w:val="0"/>
                <w:sz w:val="24"/>
                <w:szCs w:val="24"/>
                <w:lang w:eastAsia="pt-BR"/>
                <w14:ligatures w14:val="none"/>
              </w:rPr>
              <w:t>L</w:t>
            </w:r>
            <w:r w:rsidRPr="0010524E">
              <w:rPr>
                <w:rFonts w:ascii="Calibri" w:eastAsia="Times New Roman" w:hAnsi="Calibri" w:cs="Calibri"/>
                <w:b/>
                <w:bCs/>
                <w:kern w:val="0"/>
                <w:sz w:val="24"/>
                <w:szCs w:val="24"/>
                <w:lang w:eastAsia="pt-BR"/>
                <w14:ligatures w14:val="none"/>
              </w:rPr>
              <w:t xml:space="preserve">ançamento de </w:t>
            </w:r>
            <w:r>
              <w:rPr>
                <w:rFonts w:ascii="Calibri" w:eastAsia="Times New Roman" w:hAnsi="Calibri" w:cs="Calibri"/>
                <w:b/>
                <w:bCs/>
                <w:kern w:val="0"/>
                <w:sz w:val="24"/>
                <w:szCs w:val="24"/>
                <w:lang w:eastAsia="pt-BR"/>
                <w14:ligatures w14:val="none"/>
              </w:rPr>
              <w:t>C</w:t>
            </w:r>
            <w:r w:rsidRPr="0010524E">
              <w:rPr>
                <w:rFonts w:ascii="Calibri" w:eastAsia="Times New Roman" w:hAnsi="Calibri" w:cs="Calibri"/>
                <w:b/>
                <w:bCs/>
                <w:kern w:val="0"/>
                <w:sz w:val="24"/>
                <w:szCs w:val="24"/>
                <w:lang w:eastAsia="pt-BR"/>
                <w14:ligatures w14:val="none"/>
              </w:rPr>
              <w:t>rédito</w:t>
            </w:r>
          </w:p>
        </w:tc>
        <w:tc>
          <w:tcPr>
            <w:tcW w:w="3741" w:type="dxa"/>
            <w:tcBorders>
              <w:top w:val="single" w:sz="4" w:space="0" w:color="auto"/>
              <w:left w:val="single" w:sz="4" w:space="0" w:color="auto"/>
              <w:bottom w:val="single" w:sz="4" w:space="0" w:color="auto"/>
              <w:right w:val="single" w:sz="4" w:space="0" w:color="auto"/>
            </w:tcBorders>
          </w:tcPr>
          <w:p w14:paraId="49BF5ADE" w14:textId="77777777" w:rsidR="00664E7F" w:rsidRPr="0010524E" w:rsidRDefault="00664E7F" w:rsidP="00664E7F">
            <w:pPr>
              <w:pStyle w:val="PargrafodaLista"/>
              <w:tabs>
                <w:tab w:val="left" w:pos="993"/>
              </w:tabs>
              <w:ind w:left="11"/>
              <w:jc w:val="center"/>
              <w:rPr>
                <w:rFonts w:ascii="Calibri" w:eastAsia="Times New Roman" w:hAnsi="Calibri" w:cs="Calibri"/>
                <w:b/>
                <w:bCs/>
                <w:kern w:val="0"/>
                <w:sz w:val="24"/>
                <w:szCs w:val="24"/>
                <w:lang w:eastAsia="pt-BR"/>
                <w14:ligatures w14:val="none"/>
              </w:rPr>
            </w:pPr>
          </w:p>
        </w:tc>
        <w:tc>
          <w:tcPr>
            <w:tcW w:w="3741" w:type="dxa"/>
            <w:tcBorders>
              <w:top w:val="single" w:sz="4" w:space="0" w:color="auto"/>
              <w:left w:val="single" w:sz="4" w:space="0" w:color="auto"/>
              <w:bottom w:val="single" w:sz="4" w:space="0" w:color="auto"/>
              <w:right w:val="single" w:sz="4" w:space="0" w:color="auto"/>
            </w:tcBorders>
          </w:tcPr>
          <w:p w14:paraId="0A1048B3" w14:textId="77777777" w:rsidR="00664E7F" w:rsidRPr="0010524E" w:rsidRDefault="00664E7F" w:rsidP="00664E7F">
            <w:pPr>
              <w:pStyle w:val="PargrafodaLista"/>
              <w:tabs>
                <w:tab w:val="left" w:pos="993"/>
              </w:tabs>
              <w:ind w:left="11"/>
              <w:jc w:val="center"/>
              <w:rPr>
                <w:rFonts w:ascii="Calibri" w:eastAsia="Times New Roman" w:hAnsi="Calibri" w:cs="Calibri"/>
                <w:b/>
                <w:bCs/>
                <w:kern w:val="0"/>
                <w:sz w:val="24"/>
                <w:szCs w:val="24"/>
                <w:lang w:eastAsia="pt-BR"/>
                <w14:ligatures w14:val="none"/>
              </w:rPr>
            </w:pPr>
          </w:p>
        </w:tc>
        <w:tc>
          <w:tcPr>
            <w:tcW w:w="3279" w:type="dxa"/>
            <w:tcBorders>
              <w:top w:val="single" w:sz="4" w:space="0" w:color="auto"/>
              <w:left w:val="single" w:sz="4" w:space="0" w:color="auto"/>
              <w:bottom w:val="single" w:sz="4" w:space="0" w:color="auto"/>
              <w:right w:val="single" w:sz="4" w:space="0" w:color="auto"/>
            </w:tcBorders>
          </w:tcPr>
          <w:p w14:paraId="0DDD6003" w14:textId="3233D8C8" w:rsidR="00664E7F" w:rsidRPr="0010524E" w:rsidRDefault="00664E7F" w:rsidP="00664E7F">
            <w:pPr>
              <w:pStyle w:val="PargrafodaLista"/>
              <w:tabs>
                <w:tab w:val="left" w:pos="993"/>
              </w:tabs>
              <w:ind w:left="11"/>
              <w:jc w:val="center"/>
              <w:rPr>
                <w:rFonts w:ascii="Calibri" w:eastAsia="Times New Roman" w:hAnsi="Calibri" w:cs="Calibri"/>
                <w:b/>
                <w:bCs/>
                <w:kern w:val="0"/>
                <w:sz w:val="24"/>
                <w:szCs w:val="24"/>
                <w:lang w:eastAsia="pt-BR"/>
                <w14:ligatures w14:val="none"/>
              </w:rPr>
            </w:pPr>
          </w:p>
        </w:tc>
      </w:tr>
      <w:tr w:rsidR="00664E7F" w:rsidRPr="0010524E" w14:paraId="41E79AE1" w14:textId="00B90D63"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4883DF64" w14:textId="77777777" w:rsidR="00664E7F" w:rsidRPr="0010524E" w:rsidRDefault="00664E7F" w:rsidP="00664E7F">
            <w:pPr>
              <w:pStyle w:val="PargrafodaLista"/>
              <w:tabs>
                <w:tab w:val="left" w:pos="993"/>
              </w:tabs>
              <w:jc w:val="both"/>
              <w:rPr>
                <w:rFonts w:ascii="Calibri" w:eastAsia="Times New Roman" w:hAnsi="Calibri" w:cs="Calibri"/>
                <w:kern w:val="0"/>
                <w:sz w:val="24"/>
                <w:szCs w:val="24"/>
                <w:lang w:eastAsia="pt-BR"/>
                <w14:ligatures w14:val="none"/>
              </w:rPr>
            </w:pPr>
          </w:p>
        </w:tc>
        <w:tc>
          <w:tcPr>
            <w:tcW w:w="3741" w:type="dxa"/>
            <w:tcBorders>
              <w:top w:val="single" w:sz="4" w:space="0" w:color="auto"/>
              <w:left w:val="single" w:sz="4" w:space="0" w:color="auto"/>
              <w:bottom w:val="single" w:sz="4" w:space="0" w:color="auto"/>
              <w:right w:val="single" w:sz="4" w:space="0" w:color="auto"/>
            </w:tcBorders>
          </w:tcPr>
          <w:p w14:paraId="25D33F48" w14:textId="77777777" w:rsidR="00664E7F" w:rsidRPr="0010524E" w:rsidRDefault="00664E7F" w:rsidP="00664E7F">
            <w:pPr>
              <w:pStyle w:val="PargrafodaLista"/>
              <w:tabs>
                <w:tab w:val="left" w:pos="993"/>
              </w:tabs>
              <w:jc w:val="both"/>
              <w:rPr>
                <w:rFonts w:ascii="Calibri" w:eastAsia="Times New Roman" w:hAnsi="Calibri" w:cs="Calibri"/>
                <w:kern w:val="0"/>
                <w:sz w:val="24"/>
                <w:szCs w:val="24"/>
                <w:lang w:eastAsia="pt-BR"/>
                <w14:ligatures w14:val="none"/>
              </w:rPr>
            </w:pPr>
          </w:p>
        </w:tc>
        <w:tc>
          <w:tcPr>
            <w:tcW w:w="3741" w:type="dxa"/>
            <w:tcBorders>
              <w:top w:val="single" w:sz="4" w:space="0" w:color="auto"/>
              <w:left w:val="single" w:sz="4" w:space="0" w:color="auto"/>
              <w:bottom w:val="single" w:sz="4" w:space="0" w:color="auto"/>
              <w:right w:val="single" w:sz="4" w:space="0" w:color="auto"/>
            </w:tcBorders>
          </w:tcPr>
          <w:p w14:paraId="7CC5E036" w14:textId="77777777" w:rsidR="00664E7F" w:rsidRPr="0010524E" w:rsidRDefault="00664E7F" w:rsidP="00664E7F">
            <w:pPr>
              <w:pStyle w:val="PargrafodaLista"/>
              <w:tabs>
                <w:tab w:val="left" w:pos="993"/>
              </w:tabs>
              <w:jc w:val="both"/>
              <w:rPr>
                <w:rFonts w:ascii="Calibri" w:eastAsia="Times New Roman" w:hAnsi="Calibri" w:cs="Calibri"/>
                <w:kern w:val="0"/>
                <w:sz w:val="24"/>
                <w:szCs w:val="24"/>
                <w:lang w:eastAsia="pt-BR"/>
                <w14:ligatures w14:val="none"/>
              </w:rPr>
            </w:pPr>
          </w:p>
        </w:tc>
        <w:tc>
          <w:tcPr>
            <w:tcW w:w="3279" w:type="dxa"/>
            <w:tcBorders>
              <w:top w:val="single" w:sz="4" w:space="0" w:color="auto"/>
              <w:left w:val="single" w:sz="4" w:space="0" w:color="auto"/>
              <w:bottom w:val="single" w:sz="4" w:space="0" w:color="auto"/>
              <w:right w:val="single" w:sz="4" w:space="0" w:color="auto"/>
            </w:tcBorders>
          </w:tcPr>
          <w:p w14:paraId="56434E94" w14:textId="2DC1BEEA" w:rsidR="00664E7F" w:rsidRPr="0010524E" w:rsidRDefault="00664E7F" w:rsidP="00664E7F">
            <w:pPr>
              <w:pStyle w:val="PargrafodaLista"/>
              <w:tabs>
                <w:tab w:val="left" w:pos="993"/>
              </w:tabs>
              <w:jc w:val="both"/>
              <w:rPr>
                <w:rFonts w:ascii="Calibri" w:eastAsia="Times New Roman" w:hAnsi="Calibri" w:cs="Calibri"/>
                <w:kern w:val="0"/>
                <w:sz w:val="24"/>
                <w:szCs w:val="24"/>
                <w:lang w:eastAsia="pt-BR"/>
                <w14:ligatures w14:val="none"/>
              </w:rPr>
            </w:pPr>
          </w:p>
        </w:tc>
      </w:tr>
      <w:tr w:rsidR="00664E7F" w:rsidRPr="0010524E" w14:paraId="50B65BAF" w14:textId="6F2A65C5"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06E6CD63" w14:textId="3B506096"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301</w:t>
            </w:r>
            <w:r w:rsidRPr="0010524E">
              <w:rPr>
                <w:rFonts w:ascii="Calibri" w:eastAsia="Calibri" w:hAnsi="Calibri" w:cs="Calibri"/>
                <w:sz w:val="24"/>
                <w:szCs w:val="24"/>
              </w:rPr>
              <w:t>.  O processo administrativo-</w:t>
            </w:r>
            <w:proofErr w:type="spellStart"/>
            <w:r w:rsidRPr="0010524E">
              <w:rPr>
                <w:rFonts w:ascii="Calibri" w:eastAsia="Calibri" w:hAnsi="Calibri" w:cs="Calibri"/>
                <w:sz w:val="24"/>
                <w:szCs w:val="24"/>
              </w:rPr>
              <w:t>ﬁscal</w:t>
            </w:r>
            <w:proofErr w:type="spellEnd"/>
            <w:r w:rsidRPr="0010524E">
              <w:rPr>
                <w:rFonts w:ascii="Calibri" w:eastAsia="Calibri" w:hAnsi="Calibri" w:cs="Calibri"/>
                <w:sz w:val="24"/>
                <w:szCs w:val="24"/>
              </w:rPr>
              <w:t xml:space="preserve"> de lançamento da Taxa de Fiscalização e Controle da Previdência Complementar e da multa prevista no regime disciplinar aplicável ao autuado deve ser iniciado com a emissão da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de Lançamento de Crédito pela </w:t>
            </w:r>
            <w:proofErr w:type="spellStart"/>
            <w:r w:rsidRPr="0010524E">
              <w:rPr>
                <w:rFonts w:ascii="Calibri" w:eastAsia="Calibri" w:hAnsi="Calibri" w:cs="Calibri"/>
                <w:sz w:val="24"/>
                <w:szCs w:val="24"/>
              </w:rPr>
              <w:t>Previc</w:t>
            </w:r>
            <w:proofErr w:type="spellEnd"/>
            <w:r w:rsidRPr="0010524E">
              <w:rPr>
                <w:rFonts w:ascii="Calibri" w:eastAsia="Calibri" w:hAnsi="Calibri" w:cs="Calibri"/>
                <w:sz w:val="24"/>
                <w:szCs w:val="24"/>
              </w:rPr>
              <w:t>.</w:t>
            </w:r>
          </w:p>
        </w:tc>
        <w:tc>
          <w:tcPr>
            <w:tcW w:w="3741" w:type="dxa"/>
            <w:tcBorders>
              <w:top w:val="single" w:sz="4" w:space="0" w:color="auto"/>
              <w:left w:val="single" w:sz="4" w:space="0" w:color="auto"/>
              <w:bottom w:val="single" w:sz="4" w:space="0" w:color="auto"/>
              <w:right w:val="single" w:sz="4" w:space="0" w:color="auto"/>
            </w:tcBorders>
          </w:tcPr>
          <w:p w14:paraId="1D49A299"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3DE60887"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488F3259" w14:textId="4E376337" w:rsidR="00664E7F" w:rsidRPr="0010524E" w:rsidRDefault="00664E7F" w:rsidP="00664E7F">
            <w:pPr>
              <w:spacing w:after="120"/>
              <w:jc w:val="both"/>
              <w:rPr>
                <w:rFonts w:ascii="Calibri" w:eastAsia="Calibri" w:hAnsi="Calibri" w:cs="Calibri"/>
                <w:sz w:val="24"/>
                <w:szCs w:val="24"/>
              </w:rPr>
            </w:pPr>
          </w:p>
        </w:tc>
      </w:tr>
      <w:tr w:rsidR="00664E7F" w:rsidRPr="0010524E" w14:paraId="5E8FED2A" w14:textId="388B5CDF"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2BADC079" w14:textId="61272458"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 1º  O lançamento a que se refere o </w:t>
            </w:r>
            <w:r w:rsidRPr="00C07AED">
              <w:rPr>
                <w:rFonts w:ascii="Calibri" w:eastAsia="Calibri" w:hAnsi="Calibri" w:cs="Calibri"/>
                <w:b/>
                <w:bCs/>
                <w:sz w:val="24"/>
                <w:szCs w:val="24"/>
              </w:rPr>
              <w:t>caput</w:t>
            </w:r>
            <w:r w:rsidRPr="0010524E">
              <w:rPr>
                <w:rFonts w:ascii="Calibri" w:eastAsia="Calibri" w:hAnsi="Calibri" w:cs="Calibri"/>
                <w:sz w:val="24"/>
                <w:szCs w:val="24"/>
              </w:rPr>
              <w:t xml:space="preserve"> deve ser realizado em relação:</w:t>
            </w:r>
          </w:p>
        </w:tc>
        <w:tc>
          <w:tcPr>
            <w:tcW w:w="3741" w:type="dxa"/>
            <w:tcBorders>
              <w:top w:val="single" w:sz="4" w:space="0" w:color="auto"/>
              <w:left w:val="single" w:sz="4" w:space="0" w:color="auto"/>
              <w:bottom w:val="single" w:sz="4" w:space="0" w:color="auto"/>
              <w:right w:val="single" w:sz="4" w:space="0" w:color="auto"/>
            </w:tcBorders>
          </w:tcPr>
          <w:p w14:paraId="7B6D5351"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41FA7AF1"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55769700" w14:textId="3CE1EAD3" w:rsidR="00664E7F" w:rsidRPr="0010524E" w:rsidRDefault="00664E7F" w:rsidP="00664E7F">
            <w:pPr>
              <w:spacing w:after="120"/>
              <w:jc w:val="both"/>
              <w:rPr>
                <w:rFonts w:ascii="Calibri" w:eastAsia="Calibri" w:hAnsi="Calibri" w:cs="Calibri"/>
                <w:sz w:val="24"/>
                <w:szCs w:val="24"/>
              </w:rPr>
            </w:pPr>
          </w:p>
        </w:tc>
      </w:tr>
      <w:tr w:rsidR="00664E7F" w:rsidRPr="0010524E" w14:paraId="29174FF4" w14:textId="418BB97C"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1BED5D39" w14:textId="5F9322D4"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à EFPC, considerando o plano de benefícios por ela administrado como inadimplente; ou </w:t>
            </w:r>
          </w:p>
        </w:tc>
        <w:tc>
          <w:tcPr>
            <w:tcW w:w="3741" w:type="dxa"/>
            <w:tcBorders>
              <w:top w:val="single" w:sz="4" w:space="0" w:color="auto"/>
              <w:left w:val="single" w:sz="4" w:space="0" w:color="auto"/>
              <w:bottom w:val="single" w:sz="4" w:space="0" w:color="auto"/>
              <w:right w:val="single" w:sz="4" w:space="0" w:color="auto"/>
            </w:tcBorders>
          </w:tcPr>
          <w:p w14:paraId="36DE5EF8"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7F963B25"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2857A5C3" w14:textId="414B44AB" w:rsidR="00664E7F" w:rsidRPr="0010524E" w:rsidRDefault="00664E7F" w:rsidP="00664E7F">
            <w:pPr>
              <w:spacing w:after="120"/>
              <w:jc w:val="both"/>
              <w:rPr>
                <w:rFonts w:ascii="Calibri" w:eastAsia="Calibri" w:hAnsi="Calibri" w:cs="Calibri"/>
                <w:sz w:val="24"/>
                <w:szCs w:val="24"/>
              </w:rPr>
            </w:pPr>
          </w:p>
        </w:tc>
      </w:tr>
      <w:tr w:rsidR="00664E7F" w:rsidRPr="0010524E" w14:paraId="337F9673" w14:textId="457EE9E7"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36FC7C92" w14:textId="241A685A"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II - ao autuado.</w:t>
            </w:r>
          </w:p>
        </w:tc>
        <w:tc>
          <w:tcPr>
            <w:tcW w:w="3741" w:type="dxa"/>
            <w:tcBorders>
              <w:top w:val="single" w:sz="4" w:space="0" w:color="auto"/>
              <w:left w:val="single" w:sz="4" w:space="0" w:color="auto"/>
              <w:bottom w:val="single" w:sz="4" w:space="0" w:color="auto"/>
              <w:right w:val="single" w:sz="4" w:space="0" w:color="auto"/>
            </w:tcBorders>
          </w:tcPr>
          <w:p w14:paraId="482DC5A1"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4BA00DEE"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30E0285F" w14:textId="4167F147" w:rsidR="00664E7F" w:rsidRPr="0010524E" w:rsidRDefault="00664E7F" w:rsidP="00664E7F">
            <w:pPr>
              <w:spacing w:after="120"/>
              <w:jc w:val="both"/>
              <w:rPr>
                <w:rFonts w:ascii="Calibri" w:eastAsia="Calibri" w:hAnsi="Calibri" w:cs="Calibri"/>
                <w:sz w:val="24"/>
                <w:szCs w:val="24"/>
              </w:rPr>
            </w:pPr>
          </w:p>
        </w:tc>
      </w:tr>
      <w:tr w:rsidR="00664E7F" w:rsidRPr="0010524E" w14:paraId="333795D6" w14:textId="22799C1B"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75C7B554" w14:textId="47FAED7B"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 2º  Devem ser lavradas </w:t>
            </w:r>
            <w:proofErr w:type="spellStart"/>
            <w:r w:rsidRPr="0010524E">
              <w:rPr>
                <w:rFonts w:ascii="Calibri" w:eastAsia="Calibri" w:hAnsi="Calibri" w:cs="Calibri"/>
                <w:sz w:val="24"/>
                <w:szCs w:val="24"/>
              </w:rPr>
              <w:t>Notiﬁcações</w:t>
            </w:r>
            <w:proofErr w:type="spellEnd"/>
            <w:r w:rsidRPr="0010524E">
              <w:rPr>
                <w:rFonts w:ascii="Calibri" w:eastAsia="Calibri" w:hAnsi="Calibri" w:cs="Calibri"/>
                <w:sz w:val="24"/>
                <w:szCs w:val="24"/>
              </w:rPr>
              <w:t xml:space="preserve"> de Lançamento de Crédito </w:t>
            </w:r>
            <w:proofErr w:type="spellStart"/>
            <w:r w:rsidRPr="0010524E">
              <w:rPr>
                <w:rFonts w:ascii="Calibri" w:eastAsia="Calibri" w:hAnsi="Calibri" w:cs="Calibri"/>
                <w:sz w:val="24"/>
                <w:szCs w:val="24"/>
              </w:rPr>
              <w:t>especíﬁcas</w:t>
            </w:r>
            <w:proofErr w:type="spellEnd"/>
            <w:r w:rsidRPr="0010524E">
              <w:rPr>
                <w:rFonts w:ascii="Calibri" w:eastAsia="Calibri" w:hAnsi="Calibri" w:cs="Calibri"/>
                <w:sz w:val="24"/>
                <w:szCs w:val="24"/>
              </w:rPr>
              <w:t>, para cada plano de benefícios ou o autuado inadimplente.</w:t>
            </w:r>
          </w:p>
        </w:tc>
        <w:tc>
          <w:tcPr>
            <w:tcW w:w="3741" w:type="dxa"/>
            <w:tcBorders>
              <w:top w:val="single" w:sz="4" w:space="0" w:color="auto"/>
              <w:left w:val="single" w:sz="4" w:space="0" w:color="auto"/>
              <w:bottom w:val="single" w:sz="4" w:space="0" w:color="auto"/>
              <w:right w:val="single" w:sz="4" w:space="0" w:color="auto"/>
            </w:tcBorders>
          </w:tcPr>
          <w:p w14:paraId="661EC606"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6B4EB342"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2E667840" w14:textId="564334D5" w:rsidR="00664E7F" w:rsidRPr="0010524E" w:rsidRDefault="00664E7F" w:rsidP="00664E7F">
            <w:pPr>
              <w:spacing w:after="120"/>
              <w:jc w:val="both"/>
              <w:rPr>
                <w:rFonts w:ascii="Calibri" w:eastAsia="Calibri" w:hAnsi="Calibri" w:cs="Calibri"/>
                <w:sz w:val="24"/>
                <w:szCs w:val="24"/>
              </w:rPr>
            </w:pPr>
          </w:p>
        </w:tc>
      </w:tr>
      <w:tr w:rsidR="00664E7F" w:rsidRPr="0010524E" w14:paraId="164B0DAF" w14:textId="2C1FEAD2"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0DF33936" w14:textId="14199801"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302</w:t>
            </w:r>
            <w:r w:rsidRPr="0010524E">
              <w:rPr>
                <w:rFonts w:ascii="Calibri" w:eastAsia="Calibri" w:hAnsi="Calibri" w:cs="Calibri"/>
                <w:sz w:val="24"/>
                <w:szCs w:val="24"/>
              </w:rPr>
              <w:t xml:space="preserve">.  Durante a vigência de medida judicial que determine a suspensão da exigibilidade do crédito tributário ou do crédito não tributário, a autoridade competente deve expedir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de Lançamento de Crédito ao sujeito passivo favorecido pela decisão, a </w:t>
            </w:r>
            <w:proofErr w:type="spellStart"/>
            <w:r w:rsidRPr="0010524E">
              <w:rPr>
                <w:rFonts w:ascii="Calibri" w:eastAsia="Calibri" w:hAnsi="Calibri" w:cs="Calibri"/>
                <w:sz w:val="24"/>
                <w:szCs w:val="24"/>
              </w:rPr>
              <w:t>ﬁm</w:t>
            </w:r>
            <w:proofErr w:type="spellEnd"/>
            <w:r w:rsidRPr="0010524E">
              <w:rPr>
                <w:rFonts w:ascii="Calibri" w:eastAsia="Calibri" w:hAnsi="Calibri" w:cs="Calibri"/>
                <w:sz w:val="24"/>
                <w:szCs w:val="24"/>
              </w:rPr>
              <w:t xml:space="preserve"> de evitar a consumação do prazo decadencial.</w:t>
            </w:r>
          </w:p>
        </w:tc>
        <w:tc>
          <w:tcPr>
            <w:tcW w:w="3741" w:type="dxa"/>
            <w:tcBorders>
              <w:top w:val="single" w:sz="4" w:space="0" w:color="auto"/>
              <w:left w:val="single" w:sz="4" w:space="0" w:color="auto"/>
              <w:bottom w:val="single" w:sz="4" w:space="0" w:color="auto"/>
              <w:right w:val="single" w:sz="4" w:space="0" w:color="auto"/>
            </w:tcBorders>
          </w:tcPr>
          <w:p w14:paraId="1A036611"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3B292F31"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5F803D46" w14:textId="453FC9B0" w:rsidR="00664E7F" w:rsidRPr="0010524E" w:rsidRDefault="00664E7F" w:rsidP="00664E7F">
            <w:pPr>
              <w:spacing w:after="120"/>
              <w:jc w:val="both"/>
              <w:rPr>
                <w:rFonts w:ascii="Calibri" w:eastAsia="Calibri" w:hAnsi="Calibri" w:cs="Calibri"/>
                <w:sz w:val="24"/>
                <w:szCs w:val="24"/>
              </w:rPr>
            </w:pPr>
          </w:p>
        </w:tc>
      </w:tr>
      <w:tr w:rsidR="00664E7F" w:rsidRPr="0010524E" w14:paraId="37D03074" w14:textId="55BB8F1A"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5CB60915" w14:textId="3B47D6A5"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Efetuado o lançamento do crédito tributário ou do crédito não tributário correspondente à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de Lançamento de Crédito referida no caput:</w:t>
            </w:r>
          </w:p>
        </w:tc>
        <w:tc>
          <w:tcPr>
            <w:tcW w:w="3741" w:type="dxa"/>
            <w:tcBorders>
              <w:top w:val="single" w:sz="4" w:space="0" w:color="auto"/>
              <w:left w:val="single" w:sz="4" w:space="0" w:color="auto"/>
              <w:bottom w:val="single" w:sz="4" w:space="0" w:color="auto"/>
              <w:right w:val="single" w:sz="4" w:space="0" w:color="auto"/>
            </w:tcBorders>
          </w:tcPr>
          <w:p w14:paraId="40A5FBEE"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5CD2B8DC"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176DCF22" w14:textId="360444DE" w:rsidR="00664E7F" w:rsidRPr="0010524E" w:rsidRDefault="00664E7F" w:rsidP="00664E7F">
            <w:pPr>
              <w:spacing w:after="120"/>
              <w:jc w:val="both"/>
              <w:rPr>
                <w:rFonts w:ascii="Calibri" w:eastAsia="Calibri" w:hAnsi="Calibri" w:cs="Calibri"/>
                <w:sz w:val="24"/>
                <w:szCs w:val="24"/>
              </w:rPr>
            </w:pPr>
          </w:p>
        </w:tc>
      </w:tr>
      <w:tr w:rsidR="00664E7F" w:rsidRPr="0010524E" w14:paraId="2C5C71F0" w14:textId="6AB01A66"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47F80C4E" w14:textId="4B14FB46"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o sujeito passivo deve ser devidamente </w:t>
            </w:r>
            <w:proofErr w:type="spellStart"/>
            <w:r w:rsidRPr="0010524E">
              <w:rPr>
                <w:rFonts w:ascii="Calibri" w:eastAsia="Calibri" w:hAnsi="Calibri" w:cs="Calibri"/>
                <w:sz w:val="24"/>
                <w:szCs w:val="24"/>
              </w:rPr>
              <w:t>notiﬁcado</w:t>
            </w:r>
            <w:proofErr w:type="spellEnd"/>
            <w:r w:rsidRPr="0010524E">
              <w:rPr>
                <w:rFonts w:ascii="Calibri" w:eastAsia="Calibri" w:hAnsi="Calibri" w:cs="Calibri"/>
                <w:sz w:val="24"/>
                <w:szCs w:val="24"/>
              </w:rPr>
              <w:t>, com o esclarecimento de que a exigibilidade do crédito tributário permanecerá suspensa durante a vigência da medida judicial; e</w:t>
            </w:r>
          </w:p>
        </w:tc>
        <w:tc>
          <w:tcPr>
            <w:tcW w:w="3741" w:type="dxa"/>
            <w:tcBorders>
              <w:top w:val="single" w:sz="4" w:space="0" w:color="auto"/>
              <w:left w:val="single" w:sz="4" w:space="0" w:color="auto"/>
              <w:bottom w:val="single" w:sz="4" w:space="0" w:color="auto"/>
              <w:right w:val="single" w:sz="4" w:space="0" w:color="auto"/>
            </w:tcBorders>
          </w:tcPr>
          <w:p w14:paraId="3EC69B9B"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06F3A36A"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00F1AD1A" w14:textId="1B0AC350" w:rsidR="00664E7F" w:rsidRPr="0010524E" w:rsidRDefault="00664E7F" w:rsidP="00664E7F">
            <w:pPr>
              <w:spacing w:after="120"/>
              <w:jc w:val="both"/>
              <w:rPr>
                <w:rFonts w:ascii="Calibri" w:eastAsia="Calibri" w:hAnsi="Calibri" w:cs="Calibri"/>
                <w:sz w:val="24"/>
                <w:szCs w:val="24"/>
              </w:rPr>
            </w:pPr>
          </w:p>
        </w:tc>
      </w:tr>
      <w:tr w:rsidR="00664E7F" w:rsidRPr="0010524E" w14:paraId="0F9D98D1" w14:textId="528A5D17"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1B1FA341" w14:textId="1F77946A"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o processo administrativo </w:t>
            </w:r>
            <w:proofErr w:type="spellStart"/>
            <w:r w:rsidRPr="0010524E">
              <w:rPr>
                <w:rFonts w:ascii="Calibri" w:eastAsia="Calibri" w:hAnsi="Calibri" w:cs="Calibri"/>
                <w:sz w:val="24"/>
                <w:szCs w:val="24"/>
              </w:rPr>
              <w:t>ﬁscal</w:t>
            </w:r>
            <w:proofErr w:type="spellEnd"/>
            <w:r w:rsidRPr="0010524E">
              <w:rPr>
                <w:rFonts w:ascii="Calibri" w:eastAsia="Calibri" w:hAnsi="Calibri" w:cs="Calibri"/>
                <w:sz w:val="24"/>
                <w:szCs w:val="24"/>
              </w:rPr>
              <w:t xml:space="preserve"> deve prosseguir até a decisão </w:t>
            </w:r>
            <w:proofErr w:type="spellStart"/>
            <w:r w:rsidRPr="0010524E">
              <w:rPr>
                <w:rFonts w:ascii="Calibri" w:eastAsia="Calibri" w:hAnsi="Calibri" w:cs="Calibri"/>
                <w:sz w:val="24"/>
                <w:szCs w:val="24"/>
              </w:rPr>
              <w:t>ﬁnal</w:t>
            </w:r>
            <w:proofErr w:type="spellEnd"/>
            <w:r w:rsidRPr="0010524E">
              <w:rPr>
                <w:rFonts w:ascii="Calibri" w:eastAsia="Calibri" w:hAnsi="Calibri" w:cs="Calibri"/>
                <w:sz w:val="24"/>
                <w:szCs w:val="24"/>
              </w:rPr>
              <w:t xml:space="preserve">, </w:t>
            </w:r>
            <w:proofErr w:type="spellStart"/>
            <w:r w:rsidRPr="0010524E">
              <w:rPr>
                <w:rFonts w:ascii="Calibri" w:eastAsia="Calibri" w:hAnsi="Calibri" w:cs="Calibri"/>
                <w:sz w:val="24"/>
                <w:szCs w:val="24"/>
              </w:rPr>
              <w:t>ﬁcando</w:t>
            </w:r>
            <w:proofErr w:type="spellEnd"/>
            <w:r w:rsidRPr="0010524E">
              <w:rPr>
                <w:rFonts w:ascii="Calibri" w:eastAsia="Calibri" w:hAnsi="Calibri" w:cs="Calibri"/>
                <w:sz w:val="24"/>
                <w:szCs w:val="24"/>
              </w:rPr>
              <w:t xml:space="preserve"> a eventual inscrição em dívida ativa e o ajuizamento da execução </w:t>
            </w:r>
            <w:proofErr w:type="spellStart"/>
            <w:r w:rsidRPr="0010524E">
              <w:rPr>
                <w:rFonts w:ascii="Calibri" w:eastAsia="Calibri" w:hAnsi="Calibri" w:cs="Calibri"/>
                <w:sz w:val="24"/>
                <w:szCs w:val="24"/>
              </w:rPr>
              <w:t>ﬁscal</w:t>
            </w:r>
            <w:proofErr w:type="spellEnd"/>
            <w:r w:rsidRPr="0010524E">
              <w:rPr>
                <w:rFonts w:ascii="Calibri" w:eastAsia="Calibri" w:hAnsi="Calibri" w:cs="Calibri"/>
                <w:sz w:val="24"/>
                <w:szCs w:val="24"/>
              </w:rPr>
              <w:t xml:space="preserve"> sobrestados até a cessação dos efeitos da decisão que tiver determinado a suspensão da exigibilidade do crédito tributário.</w:t>
            </w:r>
          </w:p>
        </w:tc>
        <w:tc>
          <w:tcPr>
            <w:tcW w:w="3741" w:type="dxa"/>
            <w:tcBorders>
              <w:top w:val="single" w:sz="4" w:space="0" w:color="auto"/>
              <w:left w:val="single" w:sz="4" w:space="0" w:color="auto"/>
              <w:bottom w:val="single" w:sz="4" w:space="0" w:color="auto"/>
              <w:right w:val="single" w:sz="4" w:space="0" w:color="auto"/>
            </w:tcBorders>
          </w:tcPr>
          <w:p w14:paraId="5FE96CF8"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2662B98E"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2122205D" w14:textId="4BD0DAB2" w:rsidR="00664E7F" w:rsidRPr="0010524E" w:rsidRDefault="00664E7F" w:rsidP="00664E7F">
            <w:pPr>
              <w:spacing w:after="120"/>
              <w:jc w:val="both"/>
              <w:rPr>
                <w:rFonts w:ascii="Calibri" w:eastAsia="Calibri" w:hAnsi="Calibri" w:cs="Calibri"/>
                <w:sz w:val="24"/>
                <w:szCs w:val="24"/>
              </w:rPr>
            </w:pPr>
          </w:p>
        </w:tc>
      </w:tr>
      <w:tr w:rsidR="00664E7F" w:rsidRPr="0010524E" w14:paraId="2887F540" w14:textId="35404908"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09618C59" w14:textId="3E623284"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303</w:t>
            </w:r>
            <w:r w:rsidRPr="0010524E">
              <w:rPr>
                <w:rFonts w:ascii="Calibri" w:eastAsia="Calibri" w:hAnsi="Calibri" w:cs="Calibri"/>
                <w:sz w:val="24"/>
                <w:szCs w:val="24"/>
              </w:rPr>
              <w:t xml:space="preserve">.  Para dar cumprimento à decisão judicial de que trata o art. </w:t>
            </w:r>
            <w:r>
              <w:rPr>
                <w:rFonts w:ascii="Calibri" w:eastAsia="Calibri" w:hAnsi="Calibri" w:cs="Calibri"/>
                <w:sz w:val="24"/>
                <w:szCs w:val="24"/>
              </w:rPr>
              <w:t>300</w:t>
            </w:r>
            <w:r w:rsidRPr="0010524E">
              <w:rPr>
                <w:rFonts w:ascii="Calibri" w:eastAsia="Calibri" w:hAnsi="Calibri" w:cs="Calibri"/>
                <w:sz w:val="24"/>
                <w:szCs w:val="24"/>
              </w:rPr>
              <w:t xml:space="preserve"> e como condição para a efetivação da restituição ou compensação, a autoridade competente pode exigir do sujeito passivo cópia do inteiro teor da decisão.</w:t>
            </w:r>
          </w:p>
        </w:tc>
        <w:tc>
          <w:tcPr>
            <w:tcW w:w="3741" w:type="dxa"/>
            <w:tcBorders>
              <w:top w:val="single" w:sz="4" w:space="0" w:color="auto"/>
              <w:left w:val="single" w:sz="4" w:space="0" w:color="auto"/>
              <w:bottom w:val="single" w:sz="4" w:space="0" w:color="auto"/>
              <w:right w:val="single" w:sz="4" w:space="0" w:color="auto"/>
            </w:tcBorders>
          </w:tcPr>
          <w:p w14:paraId="21D20E59"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10A771A2"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7E3E890D" w14:textId="34753CBA" w:rsidR="00664E7F" w:rsidRPr="0010524E" w:rsidRDefault="00664E7F" w:rsidP="00664E7F">
            <w:pPr>
              <w:spacing w:after="120"/>
              <w:jc w:val="both"/>
              <w:rPr>
                <w:rFonts w:ascii="Calibri" w:eastAsia="Calibri" w:hAnsi="Calibri" w:cs="Calibri"/>
                <w:sz w:val="24"/>
                <w:szCs w:val="24"/>
              </w:rPr>
            </w:pPr>
          </w:p>
        </w:tc>
      </w:tr>
      <w:tr w:rsidR="00664E7F" w:rsidRPr="0010524E" w14:paraId="1321AFB6" w14:textId="401CAD10"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550D2E9D" w14:textId="3638F550" w:rsidR="00664E7F" w:rsidRPr="0010524E" w:rsidRDefault="00664E7F" w:rsidP="00664E7F">
            <w:pPr>
              <w:pStyle w:val="PargrafodaLista"/>
              <w:tabs>
                <w:tab w:val="left" w:pos="993"/>
              </w:tabs>
              <w:ind w:left="11"/>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w:t>
            </w:r>
          </w:p>
          <w:p w14:paraId="75C21393" w14:textId="77777777" w:rsidR="00664E7F" w:rsidRPr="0010524E" w:rsidRDefault="00664E7F" w:rsidP="00664E7F">
            <w:pPr>
              <w:pStyle w:val="PargrafodaLista"/>
              <w:tabs>
                <w:tab w:val="left" w:pos="993"/>
              </w:tabs>
              <w:ind w:left="11"/>
              <w:jc w:val="center"/>
              <w:rPr>
                <w:rFonts w:ascii="Calibri" w:eastAsia="Times New Roman" w:hAnsi="Calibri" w:cs="Calibri"/>
                <w:kern w:val="0"/>
                <w:sz w:val="24"/>
                <w:szCs w:val="24"/>
                <w:lang w:eastAsia="pt-BR"/>
                <w14:ligatures w14:val="none"/>
              </w:rPr>
            </w:pPr>
            <w:proofErr w:type="spellStart"/>
            <w:r w:rsidRPr="0010524E">
              <w:rPr>
                <w:rFonts w:ascii="Calibri" w:eastAsia="Times New Roman" w:hAnsi="Calibri" w:cs="Calibri"/>
                <w:b/>
                <w:bCs/>
                <w:kern w:val="0"/>
                <w:sz w:val="24"/>
                <w:szCs w:val="24"/>
                <w:lang w:eastAsia="pt-BR"/>
                <w14:ligatures w14:val="none"/>
              </w:rPr>
              <w:t>Notiﬁcação</w:t>
            </w:r>
            <w:proofErr w:type="spellEnd"/>
            <w:r w:rsidRPr="0010524E">
              <w:rPr>
                <w:rFonts w:ascii="Calibri" w:eastAsia="Times New Roman" w:hAnsi="Calibri" w:cs="Calibri"/>
                <w:b/>
                <w:bCs/>
                <w:kern w:val="0"/>
                <w:sz w:val="24"/>
                <w:szCs w:val="24"/>
                <w:lang w:eastAsia="pt-BR"/>
                <w14:ligatures w14:val="none"/>
              </w:rPr>
              <w:t xml:space="preserve"> de Lançamento de Crédito</w:t>
            </w:r>
          </w:p>
        </w:tc>
        <w:tc>
          <w:tcPr>
            <w:tcW w:w="3741" w:type="dxa"/>
            <w:tcBorders>
              <w:top w:val="single" w:sz="4" w:space="0" w:color="auto"/>
              <w:left w:val="single" w:sz="4" w:space="0" w:color="auto"/>
              <w:bottom w:val="single" w:sz="4" w:space="0" w:color="auto"/>
              <w:right w:val="single" w:sz="4" w:space="0" w:color="auto"/>
            </w:tcBorders>
          </w:tcPr>
          <w:p w14:paraId="69984790" w14:textId="77777777" w:rsidR="00664E7F" w:rsidRPr="0010524E" w:rsidRDefault="00664E7F" w:rsidP="00664E7F">
            <w:pPr>
              <w:pStyle w:val="PargrafodaLista"/>
              <w:tabs>
                <w:tab w:val="left" w:pos="993"/>
              </w:tabs>
              <w:ind w:left="11"/>
              <w:jc w:val="center"/>
              <w:rPr>
                <w:rFonts w:ascii="Calibri" w:eastAsia="Times New Roman" w:hAnsi="Calibri" w:cs="Calibri"/>
                <w:b/>
                <w:bCs/>
                <w:kern w:val="0"/>
                <w:sz w:val="24"/>
                <w:szCs w:val="24"/>
                <w:lang w:eastAsia="pt-BR"/>
                <w14:ligatures w14:val="none"/>
              </w:rPr>
            </w:pPr>
          </w:p>
        </w:tc>
        <w:tc>
          <w:tcPr>
            <w:tcW w:w="3741" w:type="dxa"/>
            <w:tcBorders>
              <w:top w:val="single" w:sz="4" w:space="0" w:color="auto"/>
              <w:left w:val="single" w:sz="4" w:space="0" w:color="auto"/>
              <w:bottom w:val="single" w:sz="4" w:space="0" w:color="auto"/>
              <w:right w:val="single" w:sz="4" w:space="0" w:color="auto"/>
            </w:tcBorders>
          </w:tcPr>
          <w:p w14:paraId="74949E2D" w14:textId="77777777" w:rsidR="00664E7F" w:rsidRPr="0010524E" w:rsidRDefault="00664E7F" w:rsidP="00664E7F">
            <w:pPr>
              <w:pStyle w:val="PargrafodaLista"/>
              <w:tabs>
                <w:tab w:val="left" w:pos="993"/>
              </w:tabs>
              <w:ind w:left="11"/>
              <w:jc w:val="center"/>
              <w:rPr>
                <w:rFonts w:ascii="Calibri" w:eastAsia="Times New Roman" w:hAnsi="Calibri" w:cs="Calibri"/>
                <w:b/>
                <w:bCs/>
                <w:kern w:val="0"/>
                <w:sz w:val="24"/>
                <w:szCs w:val="24"/>
                <w:lang w:eastAsia="pt-BR"/>
                <w14:ligatures w14:val="none"/>
              </w:rPr>
            </w:pPr>
          </w:p>
        </w:tc>
        <w:tc>
          <w:tcPr>
            <w:tcW w:w="3279" w:type="dxa"/>
            <w:tcBorders>
              <w:top w:val="single" w:sz="4" w:space="0" w:color="auto"/>
              <w:left w:val="single" w:sz="4" w:space="0" w:color="auto"/>
              <w:bottom w:val="single" w:sz="4" w:space="0" w:color="auto"/>
              <w:right w:val="single" w:sz="4" w:space="0" w:color="auto"/>
            </w:tcBorders>
          </w:tcPr>
          <w:p w14:paraId="272803AC" w14:textId="02BF00F6" w:rsidR="00664E7F" w:rsidRPr="0010524E" w:rsidRDefault="00664E7F" w:rsidP="00664E7F">
            <w:pPr>
              <w:pStyle w:val="PargrafodaLista"/>
              <w:tabs>
                <w:tab w:val="left" w:pos="993"/>
              </w:tabs>
              <w:ind w:left="11"/>
              <w:jc w:val="center"/>
              <w:rPr>
                <w:rFonts w:ascii="Calibri" w:eastAsia="Times New Roman" w:hAnsi="Calibri" w:cs="Calibri"/>
                <w:b/>
                <w:bCs/>
                <w:kern w:val="0"/>
                <w:sz w:val="24"/>
                <w:szCs w:val="24"/>
                <w:lang w:eastAsia="pt-BR"/>
                <w14:ligatures w14:val="none"/>
              </w:rPr>
            </w:pPr>
          </w:p>
        </w:tc>
      </w:tr>
      <w:tr w:rsidR="00664E7F" w:rsidRPr="0010524E" w14:paraId="266DEC10" w14:textId="4521B48D"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5FE4EB1E" w14:textId="3D3D2861"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304</w:t>
            </w:r>
            <w:r w:rsidRPr="0010524E">
              <w:rPr>
                <w:rFonts w:ascii="Calibri" w:eastAsia="Calibri" w:hAnsi="Calibri" w:cs="Calibri"/>
                <w:sz w:val="24"/>
                <w:szCs w:val="24"/>
              </w:rPr>
              <w:t xml:space="preserve">.  A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de Lançamento de Crédito deve conter as seguintes informações: </w:t>
            </w:r>
          </w:p>
        </w:tc>
        <w:tc>
          <w:tcPr>
            <w:tcW w:w="3741" w:type="dxa"/>
            <w:tcBorders>
              <w:top w:val="single" w:sz="4" w:space="0" w:color="auto"/>
              <w:left w:val="single" w:sz="4" w:space="0" w:color="auto"/>
              <w:bottom w:val="single" w:sz="4" w:space="0" w:color="auto"/>
              <w:right w:val="single" w:sz="4" w:space="0" w:color="auto"/>
            </w:tcBorders>
          </w:tcPr>
          <w:p w14:paraId="620B7184"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03877616"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3918619C" w14:textId="04852920" w:rsidR="00664E7F" w:rsidRPr="0010524E" w:rsidRDefault="00664E7F" w:rsidP="00664E7F">
            <w:pPr>
              <w:spacing w:after="120"/>
              <w:jc w:val="both"/>
              <w:rPr>
                <w:rFonts w:ascii="Calibri" w:eastAsia="Calibri" w:hAnsi="Calibri" w:cs="Calibri"/>
                <w:sz w:val="24"/>
                <w:szCs w:val="24"/>
              </w:rPr>
            </w:pPr>
          </w:p>
        </w:tc>
      </w:tr>
      <w:tr w:rsidR="00664E7F" w:rsidRPr="0010524E" w14:paraId="11281C3E" w14:textId="77657616"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1A7D0861" w14:textId="564C9BC4"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a </w:t>
            </w:r>
            <w:proofErr w:type="spellStart"/>
            <w:r w:rsidRPr="0010524E">
              <w:rPr>
                <w:rFonts w:ascii="Calibri" w:eastAsia="Calibri" w:hAnsi="Calibri" w:cs="Calibri"/>
                <w:sz w:val="24"/>
                <w:szCs w:val="24"/>
              </w:rPr>
              <w:t>qualiﬁcação</w:t>
            </w:r>
            <w:proofErr w:type="spellEnd"/>
            <w:r w:rsidRPr="0010524E">
              <w:rPr>
                <w:rFonts w:ascii="Calibri" w:eastAsia="Calibri" w:hAnsi="Calibri" w:cs="Calibri"/>
                <w:sz w:val="24"/>
                <w:szCs w:val="24"/>
              </w:rPr>
              <w:t xml:space="preserve"> do sujeito passivo;</w:t>
            </w:r>
          </w:p>
        </w:tc>
        <w:tc>
          <w:tcPr>
            <w:tcW w:w="3741" w:type="dxa"/>
            <w:tcBorders>
              <w:top w:val="single" w:sz="4" w:space="0" w:color="auto"/>
              <w:left w:val="single" w:sz="4" w:space="0" w:color="auto"/>
              <w:bottom w:val="single" w:sz="4" w:space="0" w:color="auto"/>
              <w:right w:val="single" w:sz="4" w:space="0" w:color="auto"/>
            </w:tcBorders>
          </w:tcPr>
          <w:p w14:paraId="0FA41640"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23729D0D"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0A7010B9" w14:textId="7EC9EC13" w:rsidR="00664E7F" w:rsidRPr="0010524E" w:rsidRDefault="00664E7F" w:rsidP="00664E7F">
            <w:pPr>
              <w:spacing w:after="120"/>
              <w:jc w:val="both"/>
              <w:rPr>
                <w:rFonts w:ascii="Calibri" w:eastAsia="Calibri" w:hAnsi="Calibri" w:cs="Calibri"/>
                <w:sz w:val="24"/>
                <w:szCs w:val="24"/>
              </w:rPr>
            </w:pPr>
          </w:p>
        </w:tc>
      </w:tr>
      <w:tr w:rsidR="00664E7F" w:rsidRPr="0010524E" w14:paraId="7718F3B8" w14:textId="083E3DE3"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31047B5C" w14:textId="7C06206A"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o valor do crédito tributário ou do crédito não tributário, com discriminação do principal, multa e juros moratórios, em moeda corrente, nos termos dos </w:t>
            </w:r>
            <w:proofErr w:type="spellStart"/>
            <w:r w:rsidRPr="0010524E">
              <w:rPr>
                <w:rFonts w:ascii="Calibri" w:eastAsia="Calibri" w:hAnsi="Calibri" w:cs="Calibri"/>
                <w:sz w:val="24"/>
                <w:szCs w:val="24"/>
              </w:rPr>
              <w:t>arts</w:t>
            </w:r>
            <w:proofErr w:type="spellEnd"/>
            <w:r w:rsidRPr="0010524E">
              <w:rPr>
                <w:rFonts w:ascii="Calibri" w:eastAsia="Calibri" w:hAnsi="Calibri" w:cs="Calibri"/>
                <w:sz w:val="24"/>
                <w:szCs w:val="24"/>
              </w:rPr>
              <w:t>. 25</w:t>
            </w:r>
            <w:r>
              <w:rPr>
                <w:rFonts w:ascii="Calibri" w:eastAsia="Calibri" w:hAnsi="Calibri" w:cs="Calibri"/>
                <w:sz w:val="24"/>
                <w:szCs w:val="24"/>
              </w:rPr>
              <w:t>85</w:t>
            </w:r>
            <w:r w:rsidRPr="0010524E">
              <w:rPr>
                <w:rFonts w:ascii="Calibri" w:eastAsia="Calibri" w:hAnsi="Calibri" w:cs="Calibri"/>
                <w:sz w:val="24"/>
                <w:szCs w:val="24"/>
              </w:rPr>
              <w:t xml:space="preserve"> e 2</w:t>
            </w:r>
            <w:r>
              <w:rPr>
                <w:rFonts w:ascii="Calibri" w:eastAsia="Calibri" w:hAnsi="Calibri" w:cs="Calibri"/>
                <w:sz w:val="24"/>
                <w:szCs w:val="24"/>
              </w:rPr>
              <w:t>92</w:t>
            </w:r>
            <w:r w:rsidRPr="0010524E">
              <w:rPr>
                <w:rFonts w:ascii="Calibri" w:eastAsia="Calibri" w:hAnsi="Calibri" w:cs="Calibri"/>
                <w:sz w:val="24"/>
                <w:szCs w:val="24"/>
              </w:rPr>
              <w:t>;</w:t>
            </w:r>
          </w:p>
        </w:tc>
        <w:tc>
          <w:tcPr>
            <w:tcW w:w="3741" w:type="dxa"/>
            <w:tcBorders>
              <w:top w:val="single" w:sz="4" w:space="0" w:color="auto"/>
              <w:left w:val="single" w:sz="4" w:space="0" w:color="auto"/>
              <w:bottom w:val="single" w:sz="4" w:space="0" w:color="auto"/>
              <w:right w:val="single" w:sz="4" w:space="0" w:color="auto"/>
            </w:tcBorders>
          </w:tcPr>
          <w:p w14:paraId="18594D59"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3230465B"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56D8D52D" w14:textId="7EFFB0D8" w:rsidR="00664E7F" w:rsidRPr="0010524E" w:rsidRDefault="00664E7F" w:rsidP="00664E7F">
            <w:pPr>
              <w:spacing w:after="120"/>
              <w:jc w:val="both"/>
              <w:rPr>
                <w:rFonts w:ascii="Calibri" w:eastAsia="Calibri" w:hAnsi="Calibri" w:cs="Calibri"/>
                <w:sz w:val="24"/>
                <w:szCs w:val="24"/>
              </w:rPr>
            </w:pPr>
          </w:p>
        </w:tc>
      </w:tr>
      <w:tr w:rsidR="00664E7F" w:rsidRPr="0010524E" w14:paraId="47C306D7" w14:textId="57770387"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3603F97E" w14:textId="608A10E7"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III - os dispositivos legais que embasaram a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de Lançamento de Crédito;</w:t>
            </w:r>
          </w:p>
        </w:tc>
        <w:tc>
          <w:tcPr>
            <w:tcW w:w="3741" w:type="dxa"/>
            <w:tcBorders>
              <w:top w:val="single" w:sz="4" w:space="0" w:color="auto"/>
              <w:left w:val="single" w:sz="4" w:space="0" w:color="auto"/>
              <w:bottom w:val="single" w:sz="4" w:space="0" w:color="auto"/>
              <w:right w:val="single" w:sz="4" w:space="0" w:color="auto"/>
            </w:tcBorders>
          </w:tcPr>
          <w:p w14:paraId="5088C9E3"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25A3640F"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0BCF2644" w14:textId="0107DC84" w:rsidR="00664E7F" w:rsidRPr="0010524E" w:rsidRDefault="00664E7F" w:rsidP="00664E7F">
            <w:pPr>
              <w:spacing w:after="120"/>
              <w:jc w:val="both"/>
              <w:rPr>
                <w:rFonts w:ascii="Calibri" w:eastAsia="Calibri" w:hAnsi="Calibri" w:cs="Calibri"/>
                <w:sz w:val="24"/>
                <w:szCs w:val="24"/>
              </w:rPr>
            </w:pPr>
          </w:p>
        </w:tc>
      </w:tr>
      <w:tr w:rsidR="00664E7F" w:rsidRPr="0010524E" w14:paraId="21DA5D4E" w14:textId="24FBB87A"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78BDD76B" w14:textId="31C72976"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IV - o prazo e o modo por meio dos quais pode o devedor realizar o pagamento do crédito tributário ou do crédito não tributário </w:t>
            </w:r>
            <w:proofErr w:type="spellStart"/>
            <w:r w:rsidRPr="0010524E">
              <w:rPr>
                <w:rFonts w:ascii="Calibri" w:eastAsia="Calibri" w:hAnsi="Calibri" w:cs="Calibri"/>
                <w:sz w:val="24"/>
                <w:szCs w:val="24"/>
              </w:rPr>
              <w:t>notiﬁcado</w:t>
            </w:r>
            <w:proofErr w:type="spellEnd"/>
            <w:r w:rsidRPr="0010524E">
              <w:rPr>
                <w:rFonts w:ascii="Calibri" w:eastAsia="Calibri" w:hAnsi="Calibri" w:cs="Calibri"/>
                <w:sz w:val="24"/>
                <w:szCs w:val="24"/>
              </w:rPr>
              <w:t xml:space="preserve"> ou apresentar impugnação do lançamento correspondente;</w:t>
            </w:r>
          </w:p>
        </w:tc>
        <w:tc>
          <w:tcPr>
            <w:tcW w:w="3741" w:type="dxa"/>
            <w:tcBorders>
              <w:top w:val="single" w:sz="4" w:space="0" w:color="auto"/>
              <w:left w:val="single" w:sz="4" w:space="0" w:color="auto"/>
              <w:bottom w:val="single" w:sz="4" w:space="0" w:color="auto"/>
              <w:right w:val="single" w:sz="4" w:space="0" w:color="auto"/>
            </w:tcBorders>
          </w:tcPr>
          <w:p w14:paraId="1FF1EC98"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752E66A9"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67E0D584" w14:textId="08425E75" w:rsidR="00664E7F" w:rsidRPr="0010524E" w:rsidRDefault="00664E7F" w:rsidP="00664E7F">
            <w:pPr>
              <w:spacing w:after="120"/>
              <w:jc w:val="both"/>
              <w:rPr>
                <w:rFonts w:ascii="Calibri" w:eastAsia="Calibri" w:hAnsi="Calibri" w:cs="Calibri"/>
                <w:sz w:val="24"/>
                <w:szCs w:val="24"/>
              </w:rPr>
            </w:pPr>
          </w:p>
        </w:tc>
      </w:tr>
      <w:tr w:rsidR="00664E7F" w:rsidRPr="0010524E" w14:paraId="2DB1DD4E" w14:textId="376C27CF"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40D00DFC" w14:textId="2ED4FB50"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V - o número de série da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de Lançamento de Crédito; e</w:t>
            </w:r>
          </w:p>
        </w:tc>
        <w:tc>
          <w:tcPr>
            <w:tcW w:w="3741" w:type="dxa"/>
            <w:tcBorders>
              <w:top w:val="single" w:sz="4" w:space="0" w:color="auto"/>
              <w:left w:val="single" w:sz="4" w:space="0" w:color="auto"/>
              <w:bottom w:val="single" w:sz="4" w:space="0" w:color="auto"/>
              <w:right w:val="single" w:sz="4" w:space="0" w:color="auto"/>
            </w:tcBorders>
          </w:tcPr>
          <w:p w14:paraId="0337AF98"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030BA43B"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4B3FF788" w14:textId="102553C7" w:rsidR="00664E7F" w:rsidRPr="0010524E" w:rsidRDefault="00664E7F" w:rsidP="00664E7F">
            <w:pPr>
              <w:spacing w:after="120"/>
              <w:jc w:val="both"/>
              <w:rPr>
                <w:rFonts w:ascii="Calibri" w:eastAsia="Calibri" w:hAnsi="Calibri" w:cs="Calibri"/>
                <w:sz w:val="24"/>
                <w:szCs w:val="24"/>
              </w:rPr>
            </w:pPr>
          </w:p>
        </w:tc>
      </w:tr>
      <w:tr w:rsidR="00664E7F" w:rsidRPr="0010524E" w14:paraId="31DDCEC8" w14:textId="7007F33F"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2940EE6E" w14:textId="682B5B7D"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VI - o nome, a assinatura e a matrícula da autoridade administrativa responsável pelo lançamento do crédito.</w:t>
            </w:r>
          </w:p>
        </w:tc>
        <w:tc>
          <w:tcPr>
            <w:tcW w:w="3741" w:type="dxa"/>
            <w:tcBorders>
              <w:top w:val="single" w:sz="4" w:space="0" w:color="auto"/>
              <w:left w:val="single" w:sz="4" w:space="0" w:color="auto"/>
              <w:bottom w:val="single" w:sz="4" w:space="0" w:color="auto"/>
              <w:right w:val="single" w:sz="4" w:space="0" w:color="auto"/>
            </w:tcBorders>
          </w:tcPr>
          <w:p w14:paraId="6E09C33C"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7D2C7D03"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7C0BA5BA" w14:textId="70A821FB" w:rsidR="00664E7F" w:rsidRPr="0010524E" w:rsidRDefault="00664E7F" w:rsidP="00664E7F">
            <w:pPr>
              <w:spacing w:after="120"/>
              <w:jc w:val="both"/>
              <w:rPr>
                <w:rFonts w:ascii="Calibri" w:eastAsia="Calibri" w:hAnsi="Calibri" w:cs="Calibri"/>
                <w:sz w:val="24"/>
                <w:szCs w:val="24"/>
              </w:rPr>
            </w:pPr>
          </w:p>
        </w:tc>
      </w:tr>
      <w:tr w:rsidR="00664E7F" w:rsidRPr="0010524E" w14:paraId="03562005" w14:textId="65E1DBDC"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6AC43399" w14:textId="58CFA6EF"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 1º  A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de Lançamento de Crédito emitida por processo eletrônico prescinde de assinatura.</w:t>
            </w:r>
          </w:p>
        </w:tc>
        <w:tc>
          <w:tcPr>
            <w:tcW w:w="3741" w:type="dxa"/>
            <w:tcBorders>
              <w:top w:val="single" w:sz="4" w:space="0" w:color="auto"/>
              <w:left w:val="single" w:sz="4" w:space="0" w:color="auto"/>
              <w:bottom w:val="single" w:sz="4" w:space="0" w:color="auto"/>
              <w:right w:val="single" w:sz="4" w:space="0" w:color="auto"/>
            </w:tcBorders>
          </w:tcPr>
          <w:p w14:paraId="4A53D9DB"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52522ED6"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24BC7A8A" w14:textId="2EC4E356" w:rsidR="00664E7F" w:rsidRPr="0010524E" w:rsidRDefault="00664E7F" w:rsidP="00664E7F">
            <w:pPr>
              <w:spacing w:after="120"/>
              <w:jc w:val="both"/>
              <w:rPr>
                <w:rFonts w:ascii="Calibri" w:eastAsia="Calibri" w:hAnsi="Calibri" w:cs="Calibri"/>
                <w:sz w:val="24"/>
                <w:szCs w:val="24"/>
              </w:rPr>
            </w:pPr>
          </w:p>
        </w:tc>
      </w:tr>
      <w:tr w:rsidR="00664E7F" w:rsidRPr="0010524E" w14:paraId="1FA4216F" w14:textId="6DB5BE05"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0226979A" w14:textId="1BD4B353"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 2º  Quando o fato gerador do lançamento do crédito for a cobrança da Taxa de Fiscalização e Controle da Previdência Complementar, a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de Lançamento de Crédito deve conter também:</w:t>
            </w:r>
          </w:p>
        </w:tc>
        <w:tc>
          <w:tcPr>
            <w:tcW w:w="3741" w:type="dxa"/>
            <w:tcBorders>
              <w:top w:val="single" w:sz="4" w:space="0" w:color="auto"/>
              <w:left w:val="single" w:sz="4" w:space="0" w:color="auto"/>
              <w:bottom w:val="single" w:sz="4" w:space="0" w:color="auto"/>
              <w:right w:val="single" w:sz="4" w:space="0" w:color="auto"/>
            </w:tcBorders>
          </w:tcPr>
          <w:p w14:paraId="6E785FB2"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463CFE04"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7047C75D" w14:textId="35DBA45B" w:rsidR="00664E7F" w:rsidRPr="0010524E" w:rsidRDefault="00664E7F" w:rsidP="00664E7F">
            <w:pPr>
              <w:spacing w:after="120"/>
              <w:jc w:val="both"/>
              <w:rPr>
                <w:rFonts w:ascii="Calibri" w:eastAsia="Calibri" w:hAnsi="Calibri" w:cs="Calibri"/>
                <w:sz w:val="24"/>
                <w:szCs w:val="24"/>
              </w:rPr>
            </w:pPr>
          </w:p>
        </w:tc>
      </w:tr>
      <w:tr w:rsidR="00664E7F" w:rsidRPr="0010524E" w14:paraId="6A014DE1" w14:textId="0CB83D3D"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751EF7F3" w14:textId="1DC8725A"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I - a indicação do plano de benefícios inadimplente, em acréscimo à referida no inciso I do caput; e</w:t>
            </w:r>
          </w:p>
        </w:tc>
        <w:tc>
          <w:tcPr>
            <w:tcW w:w="3741" w:type="dxa"/>
            <w:tcBorders>
              <w:top w:val="single" w:sz="4" w:space="0" w:color="auto"/>
              <w:left w:val="single" w:sz="4" w:space="0" w:color="auto"/>
              <w:bottom w:val="single" w:sz="4" w:space="0" w:color="auto"/>
              <w:right w:val="single" w:sz="4" w:space="0" w:color="auto"/>
            </w:tcBorders>
          </w:tcPr>
          <w:p w14:paraId="551BE81F"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1D8A6304"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131209C8" w14:textId="2CE9B9D1" w:rsidR="00664E7F" w:rsidRPr="0010524E" w:rsidRDefault="00664E7F" w:rsidP="00664E7F">
            <w:pPr>
              <w:spacing w:after="120"/>
              <w:jc w:val="both"/>
              <w:rPr>
                <w:rFonts w:ascii="Calibri" w:eastAsia="Calibri" w:hAnsi="Calibri" w:cs="Calibri"/>
                <w:sz w:val="24"/>
                <w:szCs w:val="24"/>
              </w:rPr>
            </w:pPr>
          </w:p>
        </w:tc>
      </w:tr>
      <w:tr w:rsidR="00664E7F" w:rsidRPr="0010524E" w14:paraId="295D53D4" w14:textId="360DEF1C"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0D0F8C4A" w14:textId="460B3B95"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a discriminação do valor referido no inciso II do caput, por quadrimestre e respectivo exercício. </w:t>
            </w:r>
          </w:p>
        </w:tc>
        <w:tc>
          <w:tcPr>
            <w:tcW w:w="3741" w:type="dxa"/>
            <w:tcBorders>
              <w:top w:val="single" w:sz="4" w:space="0" w:color="auto"/>
              <w:left w:val="single" w:sz="4" w:space="0" w:color="auto"/>
              <w:bottom w:val="single" w:sz="4" w:space="0" w:color="auto"/>
              <w:right w:val="single" w:sz="4" w:space="0" w:color="auto"/>
            </w:tcBorders>
          </w:tcPr>
          <w:p w14:paraId="0D602EAA"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2367A37D"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4F9ADA84" w14:textId="61054CFE" w:rsidR="00664E7F" w:rsidRPr="0010524E" w:rsidRDefault="00664E7F" w:rsidP="00664E7F">
            <w:pPr>
              <w:spacing w:after="120"/>
              <w:jc w:val="both"/>
              <w:rPr>
                <w:rFonts w:ascii="Calibri" w:eastAsia="Calibri" w:hAnsi="Calibri" w:cs="Calibri"/>
                <w:sz w:val="24"/>
                <w:szCs w:val="24"/>
              </w:rPr>
            </w:pPr>
          </w:p>
        </w:tc>
      </w:tr>
      <w:tr w:rsidR="00664E7F" w:rsidRPr="0010524E" w14:paraId="7CA5B6CF" w14:textId="02BDCF86"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66D75A91" w14:textId="0DD29D94"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 Art. </w:t>
            </w:r>
            <w:r>
              <w:rPr>
                <w:rFonts w:ascii="Calibri" w:eastAsia="Calibri" w:hAnsi="Calibri" w:cs="Calibri"/>
                <w:sz w:val="24"/>
                <w:szCs w:val="24"/>
              </w:rPr>
              <w:t>305</w:t>
            </w:r>
            <w:r w:rsidRPr="0010524E">
              <w:rPr>
                <w:rFonts w:ascii="Calibri" w:eastAsia="Calibri" w:hAnsi="Calibri" w:cs="Calibri"/>
                <w:sz w:val="24"/>
                <w:szCs w:val="24"/>
              </w:rPr>
              <w:t xml:space="preserve">.  A </w:t>
            </w:r>
            <w:proofErr w:type="spellStart"/>
            <w:r w:rsidRPr="0010524E">
              <w:rPr>
                <w:rFonts w:ascii="Calibri" w:eastAsia="Calibri" w:hAnsi="Calibri" w:cs="Calibri"/>
                <w:sz w:val="24"/>
                <w:szCs w:val="24"/>
              </w:rPr>
              <w:t>Previc</w:t>
            </w:r>
            <w:proofErr w:type="spellEnd"/>
            <w:r w:rsidRPr="0010524E">
              <w:rPr>
                <w:rFonts w:ascii="Calibri" w:eastAsia="Calibri" w:hAnsi="Calibri" w:cs="Calibri"/>
                <w:sz w:val="24"/>
                <w:szCs w:val="24"/>
              </w:rPr>
              <w:t xml:space="preserve">, quando do não pagamento do crédito tributário ou do crédito não tributário, depois de </w:t>
            </w:r>
            <w:proofErr w:type="spellStart"/>
            <w:r w:rsidRPr="0010524E">
              <w:rPr>
                <w:rFonts w:ascii="Calibri" w:eastAsia="Calibri" w:hAnsi="Calibri" w:cs="Calibri"/>
                <w:sz w:val="24"/>
                <w:szCs w:val="24"/>
              </w:rPr>
              <w:t>conﬁrmado</w:t>
            </w:r>
            <w:proofErr w:type="spellEnd"/>
            <w:r w:rsidRPr="0010524E">
              <w:rPr>
                <w:rFonts w:ascii="Calibri" w:eastAsia="Calibri" w:hAnsi="Calibri" w:cs="Calibri"/>
                <w:sz w:val="24"/>
                <w:szCs w:val="24"/>
              </w:rPr>
              <w:t xml:space="preserve"> por decisão administrativa </w:t>
            </w:r>
            <w:proofErr w:type="spellStart"/>
            <w:r w:rsidRPr="0010524E">
              <w:rPr>
                <w:rFonts w:ascii="Calibri" w:eastAsia="Calibri" w:hAnsi="Calibri" w:cs="Calibri"/>
                <w:sz w:val="24"/>
                <w:szCs w:val="24"/>
              </w:rPr>
              <w:t>deﬁnitiva</w:t>
            </w:r>
            <w:proofErr w:type="spellEnd"/>
            <w:r w:rsidRPr="0010524E">
              <w:rPr>
                <w:rFonts w:ascii="Calibri" w:eastAsia="Calibri" w:hAnsi="Calibri" w:cs="Calibri"/>
                <w:sz w:val="24"/>
                <w:szCs w:val="24"/>
              </w:rPr>
              <w:t xml:space="preserve"> ou quando transcorrido o prazo para impugnação sem que essa tenha sido apresentada, deve:</w:t>
            </w:r>
          </w:p>
        </w:tc>
        <w:tc>
          <w:tcPr>
            <w:tcW w:w="3741" w:type="dxa"/>
            <w:tcBorders>
              <w:top w:val="single" w:sz="4" w:space="0" w:color="auto"/>
              <w:left w:val="single" w:sz="4" w:space="0" w:color="auto"/>
              <w:bottom w:val="single" w:sz="4" w:space="0" w:color="auto"/>
              <w:right w:val="single" w:sz="4" w:space="0" w:color="auto"/>
            </w:tcBorders>
          </w:tcPr>
          <w:p w14:paraId="79750B70"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0C9567C9"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46CF0BCA" w14:textId="59F7A583" w:rsidR="00664E7F" w:rsidRPr="0010524E" w:rsidRDefault="00664E7F" w:rsidP="00664E7F">
            <w:pPr>
              <w:spacing w:after="120"/>
              <w:jc w:val="both"/>
              <w:rPr>
                <w:rFonts w:ascii="Calibri" w:eastAsia="Calibri" w:hAnsi="Calibri" w:cs="Calibri"/>
                <w:sz w:val="24"/>
                <w:szCs w:val="24"/>
              </w:rPr>
            </w:pPr>
          </w:p>
        </w:tc>
      </w:tr>
      <w:tr w:rsidR="00664E7F" w:rsidRPr="0010524E" w14:paraId="4F8770CF" w14:textId="10042280"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0274769E" w14:textId="3C26D08A"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I - promover a inscrição do devedor:</w:t>
            </w:r>
          </w:p>
        </w:tc>
        <w:tc>
          <w:tcPr>
            <w:tcW w:w="3741" w:type="dxa"/>
            <w:tcBorders>
              <w:top w:val="single" w:sz="4" w:space="0" w:color="auto"/>
              <w:left w:val="single" w:sz="4" w:space="0" w:color="auto"/>
              <w:bottom w:val="single" w:sz="4" w:space="0" w:color="auto"/>
              <w:right w:val="single" w:sz="4" w:space="0" w:color="auto"/>
            </w:tcBorders>
          </w:tcPr>
          <w:p w14:paraId="590C064D"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5F384005"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09AC3204" w14:textId="5ABB51A6" w:rsidR="00664E7F" w:rsidRPr="0010524E" w:rsidRDefault="00664E7F" w:rsidP="00664E7F">
            <w:pPr>
              <w:spacing w:after="120"/>
              <w:jc w:val="both"/>
              <w:rPr>
                <w:rFonts w:ascii="Calibri" w:eastAsia="Calibri" w:hAnsi="Calibri" w:cs="Calibri"/>
                <w:sz w:val="24"/>
                <w:szCs w:val="24"/>
              </w:rPr>
            </w:pPr>
          </w:p>
        </w:tc>
      </w:tr>
      <w:tr w:rsidR="00664E7F" w:rsidRPr="0010524E" w14:paraId="153A2A65" w14:textId="2E0768B2"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7C50221A" w14:textId="006E1469"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a) no Cadastro Informativo de Créditos não Quitados do Setor Público Federal;</w:t>
            </w:r>
          </w:p>
        </w:tc>
        <w:tc>
          <w:tcPr>
            <w:tcW w:w="3741" w:type="dxa"/>
            <w:tcBorders>
              <w:top w:val="single" w:sz="4" w:space="0" w:color="auto"/>
              <w:left w:val="single" w:sz="4" w:space="0" w:color="auto"/>
              <w:bottom w:val="single" w:sz="4" w:space="0" w:color="auto"/>
              <w:right w:val="single" w:sz="4" w:space="0" w:color="auto"/>
            </w:tcBorders>
          </w:tcPr>
          <w:p w14:paraId="5581D6C7"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7EBDED9F"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6D4832B4" w14:textId="0BFCDD2E" w:rsidR="00664E7F" w:rsidRPr="0010524E" w:rsidRDefault="00664E7F" w:rsidP="00664E7F">
            <w:pPr>
              <w:spacing w:after="120"/>
              <w:jc w:val="both"/>
              <w:rPr>
                <w:rFonts w:ascii="Calibri" w:eastAsia="Calibri" w:hAnsi="Calibri" w:cs="Calibri"/>
                <w:sz w:val="24"/>
                <w:szCs w:val="24"/>
              </w:rPr>
            </w:pPr>
          </w:p>
        </w:tc>
      </w:tr>
      <w:tr w:rsidR="00664E7F" w:rsidRPr="0010524E" w14:paraId="015A0988" w14:textId="05CE0C85"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0A21FE75" w14:textId="3601D6F8"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b) nos serviços de proteção ao crédito; e</w:t>
            </w:r>
          </w:p>
        </w:tc>
        <w:tc>
          <w:tcPr>
            <w:tcW w:w="3741" w:type="dxa"/>
            <w:tcBorders>
              <w:top w:val="single" w:sz="4" w:space="0" w:color="auto"/>
              <w:left w:val="single" w:sz="4" w:space="0" w:color="auto"/>
              <w:bottom w:val="single" w:sz="4" w:space="0" w:color="auto"/>
              <w:right w:val="single" w:sz="4" w:space="0" w:color="auto"/>
            </w:tcBorders>
          </w:tcPr>
          <w:p w14:paraId="796230FE"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7CA37568"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4CC2F7CC" w14:textId="5751EAA4" w:rsidR="00664E7F" w:rsidRPr="0010524E" w:rsidRDefault="00664E7F" w:rsidP="00664E7F">
            <w:pPr>
              <w:spacing w:after="120"/>
              <w:jc w:val="both"/>
              <w:rPr>
                <w:rFonts w:ascii="Calibri" w:eastAsia="Calibri" w:hAnsi="Calibri" w:cs="Calibri"/>
                <w:sz w:val="24"/>
                <w:szCs w:val="24"/>
              </w:rPr>
            </w:pPr>
          </w:p>
        </w:tc>
      </w:tr>
      <w:tr w:rsidR="00664E7F" w:rsidRPr="0010524E" w14:paraId="569CFEC6" w14:textId="6EA930C3"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1ED18128" w14:textId="521C338D"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realizar o encaminhamento do processo e apensos à Procuradoria Federal junto à </w:t>
            </w:r>
            <w:proofErr w:type="spellStart"/>
            <w:r w:rsidRPr="0010524E">
              <w:rPr>
                <w:rFonts w:ascii="Calibri" w:eastAsia="Calibri" w:hAnsi="Calibri" w:cs="Calibri"/>
                <w:sz w:val="24"/>
                <w:szCs w:val="24"/>
              </w:rPr>
              <w:t>Previc</w:t>
            </w:r>
            <w:proofErr w:type="spellEnd"/>
            <w:r w:rsidRPr="0010524E">
              <w:rPr>
                <w:rFonts w:ascii="Calibri" w:eastAsia="Calibri" w:hAnsi="Calibri" w:cs="Calibri"/>
                <w:sz w:val="24"/>
                <w:szCs w:val="24"/>
              </w:rPr>
              <w:t>, para inscrição em Dívida Ativa, nos termos da legislação aplicável.</w:t>
            </w:r>
          </w:p>
        </w:tc>
        <w:tc>
          <w:tcPr>
            <w:tcW w:w="3741" w:type="dxa"/>
            <w:tcBorders>
              <w:top w:val="single" w:sz="4" w:space="0" w:color="auto"/>
              <w:left w:val="single" w:sz="4" w:space="0" w:color="auto"/>
              <w:bottom w:val="single" w:sz="4" w:space="0" w:color="auto"/>
              <w:right w:val="single" w:sz="4" w:space="0" w:color="auto"/>
            </w:tcBorders>
          </w:tcPr>
          <w:p w14:paraId="29ED3897"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093F1E4B"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6BC09901" w14:textId="25DC2333" w:rsidR="00664E7F" w:rsidRPr="0010524E" w:rsidRDefault="00664E7F" w:rsidP="00664E7F">
            <w:pPr>
              <w:spacing w:after="120"/>
              <w:jc w:val="both"/>
              <w:rPr>
                <w:rFonts w:ascii="Calibri" w:eastAsia="Calibri" w:hAnsi="Calibri" w:cs="Calibri"/>
                <w:sz w:val="24"/>
                <w:szCs w:val="24"/>
              </w:rPr>
            </w:pPr>
          </w:p>
        </w:tc>
      </w:tr>
      <w:tr w:rsidR="00664E7F" w:rsidRPr="0010524E" w14:paraId="218B7463" w14:textId="56BAB86B"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3720B3D7" w14:textId="52CB7DB0"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306</w:t>
            </w:r>
            <w:r w:rsidRPr="0010524E">
              <w:rPr>
                <w:rFonts w:ascii="Calibri" w:eastAsia="Calibri" w:hAnsi="Calibri" w:cs="Calibri"/>
                <w:sz w:val="24"/>
                <w:szCs w:val="24"/>
              </w:rPr>
              <w:t xml:space="preserve">.  O sujeito passivo, </w:t>
            </w:r>
            <w:proofErr w:type="spellStart"/>
            <w:r w:rsidRPr="0010524E">
              <w:rPr>
                <w:rFonts w:ascii="Calibri" w:eastAsia="Calibri" w:hAnsi="Calibri" w:cs="Calibri"/>
                <w:sz w:val="24"/>
                <w:szCs w:val="24"/>
              </w:rPr>
              <w:t>qualiﬁcado</w:t>
            </w:r>
            <w:proofErr w:type="spellEnd"/>
            <w:r w:rsidRPr="0010524E">
              <w:rPr>
                <w:rFonts w:ascii="Calibri" w:eastAsia="Calibri" w:hAnsi="Calibri" w:cs="Calibri"/>
                <w:sz w:val="24"/>
                <w:szCs w:val="24"/>
              </w:rPr>
              <w:t xml:space="preserve"> na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de Lançamento de Crédito, deve ser </w:t>
            </w:r>
            <w:proofErr w:type="spellStart"/>
            <w:r w:rsidRPr="0010524E">
              <w:rPr>
                <w:rFonts w:ascii="Calibri" w:eastAsia="Calibri" w:hAnsi="Calibri" w:cs="Calibri"/>
                <w:sz w:val="24"/>
                <w:szCs w:val="24"/>
              </w:rPr>
              <w:t>notiﬁcado</w:t>
            </w:r>
            <w:proofErr w:type="spellEnd"/>
            <w:r w:rsidRPr="0010524E">
              <w:rPr>
                <w:rFonts w:ascii="Calibri" w:eastAsia="Calibri" w:hAnsi="Calibri" w:cs="Calibri"/>
                <w:sz w:val="24"/>
                <w:szCs w:val="24"/>
              </w:rPr>
              <w:t>:</w:t>
            </w:r>
          </w:p>
        </w:tc>
        <w:tc>
          <w:tcPr>
            <w:tcW w:w="3741" w:type="dxa"/>
            <w:tcBorders>
              <w:top w:val="single" w:sz="4" w:space="0" w:color="auto"/>
              <w:left w:val="single" w:sz="4" w:space="0" w:color="auto"/>
              <w:bottom w:val="single" w:sz="4" w:space="0" w:color="auto"/>
              <w:right w:val="single" w:sz="4" w:space="0" w:color="auto"/>
            </w:tcBorders>
          </w:tcPr>
          <w:p w14:paraId="0DFF8806"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3D46735B"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5441C0DA" w14:textId="5579D0A7" w:rsidR="00664E7F" w:rsidRPr="0010524E" w:rsidRDefault="00664E7F" w:rsidP="00664E7F">
            <w:pPr>
              <w:spacing w:after="120"/>
              <w:jc w:val="both"/>
              <w:rPr>
                <w:rFonts w:ascii="Calibri" w:eastAsia="Calibri" w:hAnsi="Calibri" w:cs="Calibri"/>
                <w:sz w:val="24"/>
                <w:szCs w:val="24"/>
              </w:rPr>
            </w:pPr>
          </w:p>
        </w:tc>
      </w:tr>
      <w:tr w:rsidR="00664E7F" w:rsidRPr="0010524E" w14:paraId="6528BD42" w14:textId="79905F2E"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62D88B3D" w14:textId="59B645E9"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I -  por meio eletrônico, na forma da legislação aplicável;</w:t>
            </w:r>
          </w:p>
        </w:tc>
        <w:tc>
          <w:tcPr>
            <w:tcW w:w="3741" w:type="dxa"/>
            <w:tcBorders>
              <w:top w:val="single" w:sz="4" w:space="0" w:color="auto"/>
              <w:left w:val="single" w:sz="4" w:space="0" w:color="auto"/>
              <w:bottom w:val="single" w:sz="4" w:space="0" w:color="auto"/>
              <w:right w:val="single" w:sz="4" w:space="0" w:color="auto"/>
            </w:tcBorders>
          </w:tcPr>
          <w:p w14:paraId="1299A767"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4CA494CA"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32A06ECF" w14:textId="52C437FC" w:rsidR="00664E7F" w:rsidRPr="0010524E" w:rsidRDefault="00664E7F" w:rsidP="00664E7F">
            <w:pPr>
              <w:spacing w:after="120"/>
              <w:jc w:val="both"/>
              <w:rPr>
                <w:rFonts w:ascii="Calibri" w:eastAsia="Calibri" w:hAnsi="Calibri" w:cs="Calibri"/>
                <w:sz w:val="24"/>
                <w:szCs w:val="24"/>
              </w:rPr>
            </w:pPr>
          </w:p>
        </w:tc>
      </w:tr>
      <w:tr w:rsidR="00664E7F" w:rsidRPr="0010524E" w14:paraId="625873E0" w14:textId="4FC7C1DB"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56CB688B" w14:textId="12421DD2"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por via postal, comprovando-se sua entrega pelo aviso de recebimento ou documento similar com mesma </w:t>
            </w:r>
            <w:proofErr w:type="spellStart"/>
            <w:r w:rsidRPr="0010524E">
              <w:rPr>
                <w:rFonts w:ascii="Calibri" w:eastAsia="Calibri" w:hAnsi="Calibri" w:cs="Calibri"/>
                <w:sz w:val="24"/>
                <w:szCs w:val="24"/>
              </w:rPr>
              <w:t>ﬁnalidade</w:t>
            </w:r>
            <w:proofErr w:type="spellEnd"/>
            <w:r w:rsidRPr="0010524E">
              <w:rPr>
                <w:rFonts w:ascii="Calibri" w:eastAsia="Calibri" w:hAnsi="Calibri" w:cs="Calibri"/>
                <w:sz w:val="24"/>
                <w:szCs w:val="24"/>
              </w:rPr>
              <w:t>, emitido pelo serviço postal;</w:t>
            </w:r>
          </w:p>
        </w:tc>
        <w:tc>
          <w:tcPr>
            <w:tcW w:w="3741" w:type="dxa"/>
            <w:tcBorders>
              <w:top w:val="single" w:sz="4" w:space="0" w:color="auto"/>
              <w:left w:val="single" w:sz="4" w:space="0" w:color="auto"/>
              <w:bottom w:val="single" w:sz="4" w:space="0" w:color="auto"/>
              <w:right w:val="single" w:sz="4" w:space="0" w:color="auto"/>
            </w:tcBorders>
          </w:tcPr>
          <w:p w14:paraId="19051557" w14:textId="77777777" w:rsidR="00721742" w:rsidRDefault="00721742" w:rsidP="00664E7F">
            <w:pPr>
              <w:spacing w:after="120"/>
              <w:jc w:val="both"/>
              <w:rPr>
                <w:rFonts w:ascii="Calibri" w:eastAsia="Calibri" w:hAnsi="Calibri" w:cs="Calibri"/>
                <w:sz w:val="24"/>
                <w:szCs w:val="24"/>
              </w:rPr>
            </w:pPr>
            <w:r>
              <w:rPr>
                <w:rFonts w:ascii="Calibri" w:eastAsia="Calibri" w:hAnsi="Calibri" w:cs="Calibri"/>
                <w:sz w:val="24"/>
                <w:szCs w:val="24"/>
              </w:rPr>
              <w:t>(ABRAPP)</w:t>
            </w:r>
          </w:p>
          <w:p w14:paraId="4617B3B7" w14:textId="4B9472CE" w:rsidR="00664E7F" w:rsidRPr="0010524E" w:rsidRDefault="00721742" w:rsidP="00664E7F">
            <w:pPr>
              <w:spacing w:after="120"/>
              <w:jc w:val="both"/>
              <w:rPr>
                <w:rFonts w:ascii="Calibri" w:eastAsia="Calibri" w:hAnsi="Calibri" w:cs="Calibri"/>
                <w:sz w:val="24"/>
                <w:szCs w:val="24"/>
              </w:rPr>
            </w:pPr>
            <w:r w:rsidRPr="00721742">
              <w:rPr>
                <w:rFonts w:ascii="Calibri" w:eastAsia="Calibri" w:hAnsi="Calibri" w:cs="Calibri"/>
                <w:sz w:val="24"/>
                <w:szCs w:val="24"/>
              </w:rPr>
              <w:t>II - por via postal, comprovando-se sua entrega pessoal pelo aviso de recebimento ou documento similar com mesma finalidade, emitido pelo serviço postal;</w:t>
            </w:r>
          </w:p>
        </w:tc>
        <w:tc>
          <w:tcPr>
            <w:tcW w:w="3741" w:type="dxa"/>
            <w:tcBorders>
              <w:top w:val="single" w:sz="4" w:space="0" w:color="auto"/>
              <w:left w:val="single" w:sz="4" w:space="0" w:color="auto"/>
              <w:bottom w:val="single" w:sz="4" w:space="0" w:color="auto"/>
              <w:right w:val="single" w:sz="4" w:space="0" w:color="auto"/>
            </w:tcBorders>
          </w:tcPr>
          <w:p w14:paraId="4ABC84A0" w14:textId="77777777" w:rsidR="00664E7F" w:rsidRDefault="00721742" w:rsidP="00664E7F">
            <w:pPr>
              <w:spacing w:after="120"/>
              <w:jc w:val="both"/>
              <w:rPr>
                <w:rFonts w:ascii="Calibri" w:eastAsia="Calibri" w:hAnsi="Calibri" w:cs="Calibri"/>
                <w:sz w:val="24"/>
                <w:szCs w:val="24"/>
              </w:rPr>
            </w:pPr>
            <w:r>
              <w:rPr>
                <w:rFonts w:ascii="Calibri" w:eastAsia="Calibri" w:hAnsi="Calibri" w:cs="Calibri"/>
                <w:sz w:val="24"/>
                <w:szCs w:val="24"/>
              </w:rPr>
              <w:t>(ABRAPP)</w:t>
            </w:r>
          </w:p>
          <w:p w14:paraId="7B3A6ED9" w14:textId="7AA9FF68" w:rsidR="00721742" w:rsidRPr="0010524E" w:rsidRDefault="00721742" w:rsidP="00664E7F">
            <w:pPr>
              <w:spacing w:after="120"/>
              <w:jc w:val="both"/>
              <w:rPr>
                <w:rFonts w:ascii="Calibri" w:eastAsia="Calibri" w:hAnsi="Calibri" w:cs="Calibri"/>
                <w:sz w:val="24"/>
                <w:szCs w:val="24"/>
              </w:rPr>
            </w:pPr>
            <w:r w:rsidRPr="00721742">
              <w:rPr>
                <w:rFonts w:ascii="Calibri" w:eastAsia="Calibri" w:hAnsi="Calibri" w:cs="Calibri"/>
                <w:sz w:val="24"/>
                <w:szCs w:val="24"/>
              </w:rPr>
              <w:t>Pessoalidade da entrega.</w:t>
            </w:r>
          </w:p>
        </w:tc>
        <w:tc>
          <w:tcPr>
            <w:tcW w:w="3279" w:type="dxa"/>
            <w:tcBorders>
              <w:top w:val="single" w:sz="4" w:space="0" w:color="auto"/>
              <w:left w:val="single" w:sz="4" w:space="0" w:color="auto"/>
              <w:bottom w:val="single" w:sz="4" w:space="0" w:color="auto"/>
              <w:right w:val="single" w:sz="4" w:space="0" w:color="auto"/>
            </w:tcBorders>
          </w:tcPr>
          <w:p w14:paraId="3D64D36A" w14:textId="3C7EC0FA" w:rsidR="00664E7F" w:rsidRPr="0010524E" w:rsidRDefault="00721742" w:rsidP="00664E7F">
            <w:pPr>
              <w:spacing w:after="120"/>
              <w:jc w:val="both"/>
              <w:rPr>
                <w:rFonts w:ascii="Calibri" w:eastAsia="Calibri" w:hAnsi="Calibri" w:cs="Calibri"/>
                <w:sz w:val="24"/>
                <w:szCs w:val="24"/>
              </w:rPr>
            </w:pPr>
            <w:r w:rsidRPr="00721742">
              <w:rPr>
                <w:rFonts w:ascii="Calibri" w:eastAsia="Calibri" w:hAnsi="Calibri" w:cs="Calibri"/>
                <w:sz w:val="24"/>
                <w:szCs w:val="24"/>
              </w:rPr>
              <w:t>Não acatar. O aviso de recebimento já é um comprovante de entrega.</w:t>
            </w:r>
          </w:p>
        </w:tc>
      </w:tr>
      <w:tr w:rsidR="00664E7F" w:rsidRPr="0010524E" w14:paraId="3241642B" w14:textId="600F4FB7"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315DEBF2" w14:textId="51F7C8B8"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III - mediante ciência do </w:t>
            </w:r>
            <w:proofErr w:type="spellStart"/>
            <w:r w:rsidRPr="0010524E">
              <w:rPr>
                <w:rFonts w:ascii="Calibri" w:eastAsia="Calibri" w:hAnsi="Calibri" w:cs="Calibri"/>
                <w:sz w:val="24"/>
                <w:szCs w:val="24"/>
              </w:rPr>
              <w:t>notiﬁcado</w:t>
            </w:r>
            <w:proofErr w:type="spellEnd"/>
            <w:r w:rsidRPr="0010524E">
              <w:rPr>
                <w:rFonts w:ascii="Calibri" w:eastAsia="Calibri" w:hAnsi="Calibri" w:cs="Calibri"/>
                <w:sz w:val="24"/>
                <w:szCs w:val="24"/>
              </w:rPr>
              <w:t xml:space="preserve"> ou do seu procurador, efetivada por servidor designado, ou, no caso de recusa daquele, de aposição de assinatura desse em declaração expressa; ou</w:t>
            </w:r>
          </w:p>
        </w:tc>
        <w:tc>
          <w:tcPr>
            <w:tcW w:w="3741" w:type="dxa"/>
            <w:tcBorders>
              <w:top w:val="single" w:sz="4" w:space="0" w:color="auto"/>
              <w:left w:val="single" w:sz="4" w:space="0" w:color="auto"/>
              <w:bottom w:val="single" w:sz="4" w:space="0" w:color="auto"/>
              <w:right w:val="single" w:sz="4" w:space="0" w:color="auto"/>
            </w:tcBorders>
          </w:tcPr>
          <w:p w14:paraId="0925E5DA"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33BC2AD0"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467200E3" w14:textId="0BBB83CE" w:rsidR="00664E7F" w:rsidRPr="0010524E" w:rsidRDefault="00664E7F" w:rsidP="00664E7F">
            <w:pPr>
              <w:spacing w:after="120"/>
              <w:jc w:val="both"/>
              <w:rPr>
                <w:rFonts w:ascii="Calibri" w:eastAsia="Calibri" w:hAnsi="Calibri" w:cs="Calibri"/>
                <w:sz w:val="24"/>
                <w:szCs w:val="24"/>
              </w:rPr>
            </w:pPr>
          </w:p>
        </w:tc>
      </w:tr>
      <w:tr w:rsidR="00664E7F" w:rsidRPr="0010524E" w14:paraId="63137F2C" w14:textId="1E98E367"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25E449C0" w14:textId="7A71567C"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IV - por edital, publicado uma única vez no Diário </w:t>
            </w:r>
            <w:proofErr w:type="spellStart"/>
            <w:r w:rsidRPr="0010524E">
              <w:rPr>
                <w:rFonts w:ascii="Calibri" w:eastAsia="Calibri" w:hAnsi="Calibri" w:cs="Calibri"/>
                <w:sz w:val="24"/>
                <w:szCs w:val="24"/>
              </w:rPr>
              <w:t>Oﬁcial</w:t>
            </w:r>
            <w:proofErr w:type="spellEnd"/>
            <w:r w:rsidRPr="0010524E">
              <w:rPr>
                <w:rFonts w:ascii="Calibri" w:eastAsia="Calibri" w:hAnsi="Calibri" w:cs="Calibri"/>
                <w:sz w:val="24"/>
                <w:szCs w:val="24"/>
              </w:rPr>
              <w:t xml:space="preserve"> da União, se frustradas as tentativas de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previstas nos incisos I, II e III, ou pela constatação de estar o </w:t>
            </w:r>
            <w:proofErr w:type="spellStart"/>
            <w:r w:rsidRPr="0010524E">
              <w:rPr>
                <w:rFonts w:ascii="Calibri" w:eastAsia="Calibri" w:hAnsi="Calibri" w:cs="Calibri"/>
                <w:sz w:val="24"/>
                <w:szCs w:val="24"/>
              </w:rPr>
              <w:t>notiﬁcado</w:t>
            </w:r>
            <w:proofErr w:type="spellEnd"/>
            <w:r w:rsidRPr="0010524E">
              <w:rPr>
                <w:rFonts w:ascii="Calibri" w:eastAsia="Calibri" w:hAnsi="Calibri" w:cs="Calibri"/>
                <w:sz w:val="24"/>
                <w:szCs w:val="24"/>
              </w:rPr>
              <w:t xml:space="preserve"> em lugar inacessível, incerto ou</w:t>
            </w:r>
            <w:bookmarkStart w:id="0" w:name="_GoBack"/>
            <w:bookmarkEnd w:id="0"/>
            <w:r w:rsidRPr="0010524E">
              <w:rPr>
                <w:rFonts w:ascii="Calibri" w:eastAsia="Calibri" w:hAnsi="Calibri" w:cs="Calibri"/>
                <w:sz w:val="24"/>
                <w:szCs w:val="24"/>
              </w:rPr>
              <w:t xml:space="preserve"> ignorado, devendo constar do edital o termo inicial para contagem do prazo para impugnação.</w:t>
            </w:r>
          </w:p>
        </w:tc>
        <w:tc>
          <w:tcPr>
            <w:tcW w:w="3741" w:type="dxa"/>
            <w:tcBorders>
              <w:top w:val="single" w:sz="4" w:space="0" w:color="auto"/>
              <w:left w:val="single" w:sz="4" w:space="0" w:color="auto"/>
              <w:bottom w:val="single" w:sz="4" w:space="0" w:color="auto"/>
              <w:right w:val="single" w:sz="4" w:space="0" w:color="auto"/>
            </w:tcBorders>
          </w:tcPr>
          <w:p w14:paraId="398A351D"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5F41527F"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6A589F36" w14:textId="54C33126" w:rsidR="00664E7F" w:rsidRPr="0010524E" w:rsidRDefault="00664E7F" w:rsidP="00664E7F">
            <w:pPr>
              <w:spacing w:after="120"/>
              <w:jc w:val="both"/>
              <w:rPr>
                <w:rFonts w:ascii="Calibri" w:eastAsia="Calibri" w:hAnsi="Calibri" w:cs="Calibri"/>
                <w:sz w:val="24"/>
                <w:szCs w:val="24"/>
              </w:rPr>
            </w:pPr>
          </w:p>
        </w:tc>
      </w:tr>
      <w:tr w:rsidR="00664E7F" w:rsidRPr="0010524E" w14:paraId="2063FF85" w14:textId="64E0CEAE"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444DB1BD" w14:textId="1F2DCFBE"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Os meios de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previstos nos incisos I a III do </w:t>
            </w:r>
            <w:r w:rsidRPr="00C07AED">
              <w:rPr>
                <w:rFonts w:ascii="Calibri" w:eastAsia="Calibri" w:hAnsi="Calibri" w:cs="Calibri"/>
                <w:b/>
                <w:bCs/>
                <w:sz w:val="24"/>
                <w:szCs w:val="24"/>
              </w:rPr>
              <w:t>caput</w:t>
            </w:r>
            <w:r w:rsidRPr="0010524E">
              <w:rPr>
                <w:rFonts w:ascii="Calibri" w:eastAsia="Calibri" w:hAnsi="Calibri" w:cs="Calibri"/>
                <w:sz w:val="24"/>
                <w:szCs w:val="24"/>
              </w:rPr>
              <w:t xml:space="preserve"> não estão sujeitos a ordem de preferência.</w:t>
            </w:r>
          </w:p>
        </w:tc>
        <w:tc>
          <w:tcPr>
            <w:tcW w:w="3741" w:type="dxa"/>
            <w:tcBorders>
              <w:top w:val="single" w:sz="4" w:space="0" w:color="auto"/>
              <w:left w:val="single" w:sz="4" w:space="0" w:color="auto"/>
              <w:bottom w:val="single" w:sz="4" w:space="0" w:color="auto"/>
              <w:right w:val="single" w:sz="4" w:space="0" w:color="auto"/>
            </w:tcBorders>
          </w:tcPr>
          <w:p w14:paraId="40E94A59"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68220C63"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1F65D0EA" w14:textId="6806CE37" w:rsidR="00664E7F" w:rsidRPr="0010524E" w:rsidRDefault="00664E7F" w:rsidP="00664E7F">
            <w:pPr>
              <w:spacing w:after="120"/>
              <w:jc w:val="both"/>
              <w:rPr>
                <w:rFonts w:ascii="Calibri" w:eastAsia="Calibri" w:hAnsi="Calibri" w:cs="Calibri"/>
                <w:sz w:val="24"/>
                <w:szCs w:val="24"/>
              </w:rPr>
            </w:pPr>
          </w:p>
        </w:tc>
      </w:tr>
      <w:tr w:rsidR="00664E7F" w:rsidRPr="0010524E" w14:paraId="302720DF" w14:textId="200C6379"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0B8676" w14:textId="290FF52D" w:rsidR="00664E7F" w:rsidRPr="0010524E" w:rsidRDefault="00664E7F" w:rsidP="00664E7F">
            <w:pPr>
              <w:pStyle w:val="PargrafodaLista"/>
              <w:tabs>
                <w:tab w:val="left" w:pos="993"/>
              </w:tabs>
              <w:ind w:left="0"/>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VI</w:t>
            </w:r>
          </w:p>
          <w:p w14:paraId="25322866" w14:textId="77777777" w:rsidR="00664E7F" w:rsidRPr="0010524E" w:rsidRDefault="00664E7F" w:rsidP="00664E7F">
            <w:pPr>
              <w:pStyle w:val="PargrafodaLista"/>
              <w:tabs>
                <w:tab w:val="left" w:pos="993"/>
              </w:tabs>
              <w:ind w:left="0"/>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Procedimento Administrativo Contencioso Fiscal</w:t>
            </w:r>
          </w:p>
        </w:tc>
        <w:tc>
          <w:tcPr>
            <w:tcW w:w="3741" w:type="dxa"/>
            <w:tcBorders>
              <w:top w:val="single" w:sz="4" w:space="0" w:color="auto"/>
              <w:left w:val="single" w:sz="4" w:space="0" w:color="auto"/>
              <w:bottom w:val="single" w:sz="4" w:space="0" w:color="auto"/>
              <w:right w:val="single" w:sz="4" w:space="0" w:color="auto"/>
            </w:tcBorders>
          </w:tcPr>
          <w:p w14:paraId="3DCC2772" w14:textId="77777777" w:rsidR="00664E7F" w:rsidRPr="0010524E" w:rsidRDefault="00664E7F" w:rsidP="00664E7F">
            <w:pPr>
              <w:pStyle w:val="PargrafodaLista"/>
              <w:tabs>
                <w:tab w:val="left" w:pos="993"/>
              </w:tabs>
              <w:ind w:left="0"/>
              <w:jc w:val="center"/>
              <w:rPr>
                <w:rFonts w:ascii="Calibri" w:eastAsia="Times New Roman" w:hAnsi="Calibri" w:cs="Calibri"/>
                <w:b/>
                <w:bCs/>
                <w:kern w:val="0"/>
                <w:sz w:val="24"/>
                <w:szCs w:val="24"/>
                <w:lang w:eastAsia="pt-BR"/>
                <w14:ligatures w14:val="none"/>
              </w:rPr>
            </w:pPr>
          </w:p>
        </w:tc>
        <w:tc>
          <w:tcPr>
            <w:tcW w:w="3741" w:type="dxa"/>
            <w:tcBorders>
              <w:top w:val="single" w:sz="4" w:space="0" w:color="auto"/>
              <w:left w:val="single" w:sz="4" w:space="0" w:color="auto"/>
              <w:bottom w:val="single" w:sz="4" w:space="0" w:color="auto"/>
              <w:right w:val="single" w:sz="4" w:space="0" w:color="auto"/>
            </w:tcBorders>
          </w:tcPr>
          <w:p w14:paraId="6EF31425" w14:textId="77777777" w:rsidR="00664E7F" w:rsidRPr="0010524E" w:rsidRDefault="00664E7F" w:rsidP="00664E7F">
            <w:pPr>
              <w:pStyle w:val="PargrafodaLista"/>
              <w:tabs>
                <w:tab w:val="left" w:pos="993"/>
              </w:tabs>
              <w:ind w:left="0"/>
              <w:jc w:val="center"/>
              <w:rPr>
                <w:rFonts w:ascii="Calibri" w:eastAsia="Times New Roman" w:hAnsi="Calibri" w:cs="Calibri"/>
                <w:b/>
                <w:bCs/>
                <w:kern w:val="0"/>
                <w:sz w:val="24"/>
                <w:szCs w:val="24"/>
                <w:lang w:eastAsia="pt-BR"/>
                <w14:ligatures w14:val="none"/>
              </w:rPr>
            </w:pPr>
          </w:p>
        </w:tc>
        <w:tc>
          <w:tcPr>
            <w:tcW w:w="3279" w:type="dxa"/>
            <w:tcBorders>
              <w:top w:val="single" w:sz="4" w:space="0" w:color="auto"/>
              <w:left w:val="single" w:sz="4" w:space="0" w:color="auto"/>
              <w:bottom w:val="single" w:sz="4" w:space="0" w:color="auto"/>
              <w:right w:val="single" w:sz="4" w:space="0" w:color="auto"/>
            </w:tcBorders>
          </w:tcPr>
          <w:p w14:paraId="1650D0DB" w14:textId="7D422E31" w:rsidR="00664E7F" w:rsidRPr="0010524E" w:rsidRDefault="00664E7F" w:rsidP="00664E7F">
            <w:pPr>
              <w:pStyle w:val="PargrafodaLista"/>
              <w:tabs>
                <w:tab w:val="left" w:pos="993"/>
              </w:tabs>
              <w:ind w:left="0"/>
              <w:jc w:val="center"/>
              <w:rPr>
                <w:rFonts w:ascii="Calibri" w:eastAsia="Times New Roman" w:hAnsi="Calibri" w:cs="Calibri"/>
                <w:b/>
                <w:bCs/>
                <w:kern w:val="0"/>
                <w:sz w:val="24"/>
                <w:szCs w:val="24"/>
                <w:lang w:eastAsia="pt-BR"/>
                <w14:ligatures w14:val="none"/>
              </w:rPr>
            </w:pPr>
          </w:p>
        </w:tc>
      </w:tr>
      <w:tr w:rsidR="00664E7F" w:rsidRPr="0010524E" w14:paraId="6DBB126B" w14:textId="3569285E"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69751BFD" w14:textId="75983569"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307</w:t>
            </w:r>
            <w:r w:rsidRPr="0010524E">
              <w:rPr>
                <w:rFonts w:ascii="Calibri" w:eastAsia="Calibri" w:hAnsi="Calibri" w:cs="Calibri"/>
                <w:sz w:val="24"/>
                <w:szCs w:val="24"/>
              </w:rPr>
              <w:t xml:space="preserve">.  Compete à Diretoria Colegiada da </w:t>
            </w:r>
            <w:proofErr w:type="spellStart"/>
            <w:r w:rsidRPr="0010524E">
              <w:rPr>
                <w:rFonts w:ascii="Calibri" w:eastAsia="Calibri" w:hAnsi="Calibri" w:cs="Calibri"/>
                <w:sz w:val="24"/>
                <w:szCs w:val="24"/>
              </w:rPr>
              <w:t>Previc</w:t>
            </w:r>
            <w:proofErr w:type="spellEnd"/>
            <w:r w:rsidRPr="0010524E">
              <w:rPr>
                <w:rFonts w:ascii="Calibri" w:eastAsia="Calibri" w:hAnsi="Calibri" w:cs="Calibri"/>
                <w:sz w:val="24"/>
                <w:szCs w:val="24"/>
              </w:rPr>
              <w:t xml:space="preserve"> apreciar e julgar, em primeira instância, as impugnações apresentadas pelo sujeito passivo, referentes às </w:t>
            </w:r>
            <w:proofErr w:type="spellStart"/>
            <w:r w:rsidRPr="0010524E">
              <w:rPr>
                <w:rFonts w:ascii="Calibri" w:eastAsia="Calibri" w:hAnsi="Calibri" w:cs="Calibri"/>
                <w:sz w:val="24"/>
                <w:szCs w:val="24"/>
              </w:rPr>
              <w:t>Notiﬁcações</w:t>
            </w:r>
            <w:proofErr w:type="spellEnd"/>
            <w:r w:rsidRPr="0010524E">
              <w:rPr>
                <w:rFonts w:ascii="Calibri" w:eastAsia="Calibri" w:hAnsi="Calibri" w:cs="Calibri"/>
                <w:sz w:val="24"/>
                <w:szCs w:val="24"/>
              </w:rPr>
              <w:t xml:space="preserve"> de Lançamento de Crédito da Taxa de Fiscalização e Controle da Previdência Complementar.</w:t>
            </w:r>
          </w:p>
        </w:tc>
        <w:tc>
          <w:tcPr>
            <w:tcW w:w="3741" w:type="dxa"/>
            <w:tcBorders>
              <w:top w:val="single" w:sz="4" w:space="0" w:color="auto"/>
              <w:left w:val="single" w:sz="4" w:space="0" w:color="auto"/>
              <w:bottom w:val="single" w:sz="4" w:space="0" w:color="auto"/>
              <w:right w:val="single" w:sz="4" w:space="0" w:color="auto"/>
            </w:tcBorders>
          </w:tcPr>
          <w:p w14:paraId="3A360770"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2E5113A4"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1E3E6A94" w14:textId="7E58C380" w:rsidR="00664E7F" w:rsidRPr="0010524E" w:rsidRDefault="00664E7F" w:rsidP="00664E7F">
            <w:pPr>
              <w:spacing w:after="120"/>
              <w:jc w:val="both"/>
              <w:rPr>
                <w:rFonts w:ascii="Calibri" w:eastAsia="Calibri" w:hAnsi="Calibri" w:cs="Calibri"/>
                <w:sz w:val="24"/>
                <w:szCs w:val="24"/>
              </w:rPr>
            </w:pPr>
          </w:p>
        </w:tc>
      </w:tr>
      <w:tr w:rsidR="00664E7F" w:rsidRPr="0010524E" w14:paraId="55988BCB" w14:textId="5B8B6DBB"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736570F1" w14:textId="1DA8ECFA"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O prazo para impugnação do lançamento do crédito é de trinta dias úteis, contados do recebimento da respectiva </w:t>
            </w:r>
            <w:proofErr w:type="spellStart"/>
            <w:r w:rsidRPr="0010524E">
              <w:rPr>
                <w:rFonts w:ascii="Calibri" w:eastAsia="Calibri" w:hAnsi="Calibri" w:cs="Calibri"/>
                <w:sz w:val="24"/>
                <w:szCs w:val="24"/>
              </w:rPr>
              <w:t>Notiﬁcação</w:t>
            </w:r>
            <w:proofErr w:type="spellEnd"/>
            <w:r w:rsidRPr="0010524E">
              <w:rPr>
                <w:rFonts w:ascii="Calibri" w:eastAsia="Calibri" w:hAnsi="Calibri" w:cs="Calibri"/>
                <w:sz w:val="24"/>
                <w:szCs w:val="24"/>
              </w:rPr>
              <w:t xml:space="preserve"> de Lançamento de Crédito.</w:t>
            </w:r>
          </w:p>
        </w:tc>
        <w:tc>
          <w:tcPr>
            <w:tcW w:w="3741" w:type="dxa"/>
            <w:tcBorders>
              <w:top w:val="single" w:sz="4" w:space="0" w:color="auto"/>
              <w:left w:val="single" w:sz="4" w:space="0" w:color="auto"/>
              <w:bottom w:val="single" w:sz="4" w:space="0" w:color="auto"/>
              <w:right w:val="single" w:sz="4" w:space="0" w:color="auto"/>
            </w:tcBorders>
          </w:tcPr>
          <w:p w14:paraId="29AD1B0E"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691FBABC"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0EFD8118" w14:textId="776B4414" w:rsidR="00664E7F" w:rsidRPr="0010524E" w:rsidRDefault="00664E7F" w:rsidP="00664E7F">
            <w:pPr>
              <w:spacing w:after="120"/>
              <w:jc w:val="both"/>
              <w:rPr>
                <w:rFonts w:ascii="Calibri" w:eastAsia="Calibri" w:hAnsi="Calibri" w:cs="Calibri"/>
                <w:sz w:val="24"/>
                <w:szCs w:val="24"/>
              </w:rPr>
            </w:pPr>
          </w:p>
        </w:tc>
      </w:tr>
      <w:tr w:rsidR="00664E7F" w:rsidRPr="0010524E" w14:paraId="3FB863BA" w14:textId="2E4E273F"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6DABA99A" w14:textId="392783EB"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308</w:t>
            </w:r>
            <w:r w:rsidRPr="0010524E">
              <w:rPr>
                <w:rFonts w:ascii="Calibri" w:eastAsia="Calibri" w:hAnsi="Calibri" w:cs="Calibri"/>
                <w:sz w:val="24"/>
                <w:szCs w:val="24"/>
              </w:rPr>
              <w:t>.  A decisão de primeira instância deve conter:</w:t>
            </w:r>
          </w:p>
        </w:tc>
        <w:tc>
          <w:tcPr>
            <w:tcW w:w="3741" w:type="dxa"/>
            <w:tcBorders>
              <w:top w:val="single" w:sz="4" w:space="0" w:color="auto"/>
              <w:left w:val="single" w:sz="4" w:space="0" w:color="auto"/>
              <w:bottom w:val="single" w:sz="4" w:space="0" w:color="auto"/>
              <w:right w:val="single" w:sz="4" w:space="0" w:color="auto"/>
            </w:tcBorders>
          </w:tcPr>
          <w:p w14:paraId="50BCE5C8"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4E6E2D7D"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07447834" w14:textId="014BA7BA" w:rsidR="00664E7F" w:rsidRPr="0010524E" w:rsidRDefault="00664E7F" w:rsidP="00664E7F">
            <w:pPr>
              <w:spacing w:after="120"/>
              <w:jc w:val="both"/>
              <w:rPr>
                <w:rFonts w:ascii="Calibri" w:eastAsia="Calibri" w:hAnsi="Calibri" w:cs="Calibri"/>
                <w:sz w:val="24"/>
                <w:szCs w:val="24"/>
              </w:rPr>
            </w:pPr>
          </w:p>
        </w:tc>
      </w:tr>
      <w:tr w:rsidR="00664E7F" w:rsidRPr="0010524E" w14:paraId="39019887" w14:textId="68C40DF9"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0C28E793" w14:textId="7FB3280D"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I - relatório resumido do processo; </w:t>
            </w:r>
          </w:p>
        </w:tc>
        <w:tc>
          <w:tcPr>
            <w:tcW w:w="3741" w:type="dxa"/>
            <w:tcBorders>
              <w:top w:val="single" w:sz="4" w:space="0" w:color="auto"/>
              <w:left w:val="single" w:sz="4" w:space="0" w:color="auto"/>
              <w:bottom w:val="single" w:sz="4" w:space="0" w:color="auto"/>
              <w:right w:val="single" w:sz="4" w:space="0" w:color="auto"/>
            </w:tcBorders>
          </w:tcPr>
          <w:p w14:paraId="07F8FF4C"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225CC1ED"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4458F44E" w14:textId="73D3E09C" w:rsidR="00664E7F" w:rsidRPr="0010524E" w:rsidRDefault="00664E7F" w:rsidP="00664E7F">
            <w:pPr>
              <w:spacing w:after="120"/>
              <w:jc w:val="both"/>
              <w:rPr>
                <w:rFonts w:ascii="Calibri" w:eastAsia="Calibri" w:hAnsi="Calibri" w:cs="Calibri"/>
                <w:sz w:val="24"/>
                <w:szCs w:val="24"/>
              </w:rPr>
            </w:pPr>
          </w:p>
        </w:tc>
      </w:tr>
      <w:tr w:rsidR="00664E7F" w:rsidRPr="0010524E" w14:paraId="2B053BCB" w14:textId="23A12EED"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35BD561F" w14:textId="04D14979"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II - os fundamentos legais;</w:t>
            </w:r>
          </w:p>
        </w:tc>
        <w:tc>
          <w:tcPr>
            <w:tcW w:w="3741" w:type="dxa"/>
            <w:tcBorders>
              <w:top w:val="single" w:sz="4" w:space="0" w:color="auto"/>
              <w:left w:val="single" w:sz="4" w:space="0" w:color="auto"/>
              <w:bottom w:val="single" w:sz="4" w:space="0" w:color="auto"/>
              <w:right w:val="single" w:sz="4" w:space="0" w:color="auto"/>
            </w:tcBorders>
          </w:tcPr>
          <w:p w14:paraId="5E202E1C"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1A0A0717"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799204B9" w14:textId="5B88614F" w:rsidR="00664E7F" w:rsidRPr="0010524E" w:rsidRDefault="00664E7F" w:rsidP="00664E7F">
            <w:pPr>
              <w:spacing w:after="120"/>
              <w:jc w:val="both"/>
              <w:rPr>
                <w:rFonts w:ascii="Calibri" w:eastAsia="Calibri" w:hAnsi="Calibri" w:cs="Calibri"/>
                <w:sz w:val="24"/>
                <w:szCs w:val="24"/>
              </w:rPr>
            </w:pPr>
          </w:p>
        </w:tc>
      </w:tr>
      <w:tr w:rsidR="00664E7F" w:rsidRPr="0010524E" w14:paraId="0173471B" w14:textId="71CC2A1C"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0EA131B8" w14:textId="4BB8BF66"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III - a conclusão; e</w:t>
            </w:r>
          </w:p>
        </w:tc>
        <w:tc>
          <w:tcPr>
            <w:tcW w:w="3741" w:type="dxa"/>
            <w:tcBorders>
              <w:top w:val="single" w:sz="4" w:space="0" w:color="auto"/>
              <w:left w:val="single" w:sz="4" w:space="0" w:color="auto"/>
              <w:bottom w:val="single" w:sz="4" w:space="0" w:color="auto"/>
              <w:right w:val="single" w:sz="4" w:space="0" w:color="auto"/>
            </w:tcBorders>
          </w:tcPr>
          <w:p w14:paraId="774B9034"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6BBFFCF0"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40786C95" w14:textId="0DBECCB5" w:rsidR="00664E7F" w:rsidRPr="0010524E" w:rsidRDefault="00664E7F" w:rsidP="00664E7F">
            <w:pPr>
              <w:spacing w:after="120"/>
              <w:jc w:val="both"/>
              <w:rPr>
                <w:rFonts w:ascii="Calibri" w:eastAsia="Calibri" w:hAnsi="Calibri" w:cs="Calibri"/>
                <w:sz w:val="24"/>
                <w:szCs w:val="24"/>
              </w:rPr>
            </w:pPr>
          </w:p>
        </w:tc>
      </w:tr>
      <w:tr w:rsidR="00664E7F" w:rsidRPr="0010524E" w14:paraId="2AE63F21" w14:textId="66EA6612"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2192256E" w14:textId="7E7591FA"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IV - a ordem de intimação.</w:t>
            </w:r>
          </w:p>
        </w:tc>
        <w:tc>
          <w:tcPr>
            <w:tcW w:w="3741" w:type="dxa"/>
            <w:tcBorders>
              <w:top w:val="single" w:sz="4" w:space="0" w:color="auto"/>
              <w:left w:val="single" w:sz="4" w:space="0" w:color="auto"/>
              <w:bottom w:val="single" w:sz="4" w:space="0" w:color="auto"/>
              <w:right w:val="single" w:sz="4" w:space="0" w:color="auto"/>
            </w:tcBorders>
          </w:tcPr>
          <w:p w14:paraId="677626BA"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1B80A344"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495AA77E" w14:textId="3F578470" w:rsidR="00664E7F" w:rsidRPr="0010524E" w:rsidRDefault="00664E7F" w:rsidP="00664E7F">
            <w:pPr>
              <w:spacing w:after="120"/>
              <w:jc w:val="both"/>
              <w:rPr>
                <w:rFonts w:ascii="Calibri" w:eastAsia="Calibri" w:hAnsi="Calibri" w:cs="Calibri"/>
                <w:sz w:val="24"/>
                <w:szCs w:val="24"/>
              </w:rPr>
            </w:pPr>
          </w:p>
        </w:tc>
      </w:tr>
      <w:tr w:rsidR="00664E7F" w:rsidRPr="0010524E" w14:paraId="59A06FD7" w14:textId="35D85647"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3FD95AA8" w14:textId="3E82D646"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Parágrafo único.  A decisão deve fazer referência expressa a todas as </w:t>
            </w:r>
            <w:proofErr w:type="spellStart"/>
            <w:r w:rsidRPr="0010524E">
              <w:rPr>
                <w:rFonts w:ascii="Calibri" w:eastAsia="Calibri" w:hAnsi="Calibri" w:cs="Calibri"/>
                <w:sz w:val="24"/>
                <w:szCs w:val="24"/>
              </w:rPr>
              <w:t>Notiﬁcações</w:t>
            </w:r>
            <w:proofErr w:type="spellEnd"/>
            <w:r w:rsidRPr="0010524E">
              <w:rPr>
                <w:rFonts w:ascii="Calibri" w:eastAsia="Calibri" w:hAnsi="Calibri" w:cs="Calibri"/>
                <w:sz w:val="24"/>
                <w:szCs w:val="24"/>
              </w:rPr>
              <w:t xml:space="preserve"> de Lançamento de Crédito emitidas, bem como às razões de defesa suscitadas pelo impugnante contra todas as exigências.</w:t>
            </w:r>
          </w:p>
        </w:tc>
        <w:tc>
          <w:tcPr>
            <w:tcW w:w="3741" w:type="dxa"/>
            <w:tcBorders>
              <w:top w:val="single" w:sz="4" w:space="0" w:color="auto"/>
              <w:left w:val="single" w:sz="4" w:space="0" w:color="auto"/>
              <w:bottom w:val="single" w:sz="4" w:space="0" w:color="auto"/>
              <w:right w:val="single" w:sz="4" w:space="0" w:color="auto"/>
            </w:tcBorders>
          </w:tcPr>
          <w:p w14:paraId="589945FD"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0967B949"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4772C2E6" w14:textId="310434BB" w:rsidR="00664E7F" w:rsidRPr="0010524E" w:rsidRDefault="00664E7F" w:rsidP="00664E7F">
            <w:pPr>
              <w:spacing w:after="120"/>
              <w:jc w:val="both"/>
              <w:rPr>
                <w:rFonts w:ascii="Calibri" w:eastAsia="Calibri" w:hAnsi="Calibri" w:cs="Calibri"/>
                <w:sz w:val="24"/>
                <w:szCs w:val="24"/>
              </w:rPr>
            </w:pPr>
          </w:p>
        </w:tc>
      </w:tr>
      <w:tr w:rsidR="00664E7F" w:rsidRPr="0010524E" w14:paraId="6AAABCD7" w14:textId="18ABDAFB"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50254560" w14:textId="3B04892A"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Art. </w:t>
            </w:r>
            <w:r>
              <w:rPr>
                <w:rFonts w:ascii="Calibri" w:eastAsia="Calibri" w:hAnsi="Calibri" w:cs="Calibri"/>
                <w:sz w:val="24"/>
                <w:szCs w:val="24"/>
              </w:rPr>
              <w:t>309</w:t>
            </w:r>
            <w:r w:rsidRPr="0010524E">
              <w:rPr>
                <w:rFonts w:ascii="Calibri" w:eastAsia="Calibri" w:hAnsi="Calibri" w:cs="Calibri"/>
                <w:sz w:val="24"/>
                <w:szCs w:val="24"/>
              </w:rPr>
              <w:t>.  A impugnação apresentada deve conter:</w:t>
            </w:r>
          </w:p>
        </w:tc>
        <w:tc>
          <w:tcPr>
            <w:tcW w:w="3741" w:type="dxa"/>
            <w:tcBorders>
              <w:top w:val="single" w:sz="4" w:space="0" w:color="auto"/>
              <w:left w:val="single" w:sz="4" w:space="0" w:color="auto"/>
              <w:bottom w:val="single" w:sz="4" w:space="0" w:color="auto"/>
              <w:right w:val="single" w:sz="4" w:space="0" w:color="auto"/>
            </w:tcBorders>
          </w:tcPr>
          <w:p w14:paraId="3D440857"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740E88A4"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13FC9877" w14:textId="6B3BE6B4" w:rsidR="00664E7F" w:rsidRPr="0010524E" w:rsidRDefault="00664E7F" w:rsidP="00664E7F">
            <w:pPr>
              <w:spacing w:after="120"/>
              <w:jc w:val="both"/>
              <w:rPr>
                <w:rFonts w:ascii="Calibri" w:eastAsia="Calibri" w:hAnsi="Calibri" w:cs="Calibri"/>
                <w:sz w:val="24"/>
                <w:szCs w:val="24"/>
              </w:rPr>
            </w:pPr>
          </w:p>
        </w:tc>
      </w:tr>
      <w:tr w:rsidR="00664E7F" w:rsidRPr="0010524E" w14:paraId="34ABCB8A" w14:textId="5C71D96E"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400BEF41" w14:textId="24D3F59E"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I - a autoridade julgadora a quem é dirigida;</w:t>
            </w:r>
          </w:p>
        </w:tc>
        <w:tc>
          <w:tcPr>
            <w:tcW w:w="3741" w:type="dxa"/>
            <w:tcBorders>
              <w:top w:val="single" w:sz="4" w:space="0" w:color="auto"/>
              <w:left w:val="single" w:sz="4" w:space="0" w:color="auto"/>
              <w:bottom w:val="single" w:sz="4" w:space="0" w:color="auto"/>
              <w:right w:val="single" w:sz="4" w:space="0" w:color="auto"/>
            </w:tcBorders>
          </w:tcPr>
          <w:p w14:paraId="14FD2372"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599CE5A2"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16AF46C0" w14:textId="6C9CE227" w:rsidR="00664E7F" w:rsidRPr="0010524E" w:rsidRDefault="00664E7F" w:rsidP="00664E7F">
            <w:pPr>
              <w:spacing w:after="120"/>
              <w:jc w:val="both"/>
              <w:rPr>
                <w:rFonts w:ascii="Calibri" w:eastAsia="Calibri" w:hAnsi="Calibri" w:cs="Calibri"/>
                <w:sz w:val="24"/>
                <w:szCs w:val="24"/>
              </w:rPr>
            </w:pPr>
          </w:p>
        </w:tc>
      </w:tr>
      <w:tr w:rsidR="00664E7F" w:rsidRPr="0010524E" w14:paraId="0895CA1E" w14:textId="5D39FBE8"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155F4DCE" w14:textId="12ABF51D"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 xml:space="preserve">II - a </w:t>
            </w:r>
            <w:proofErr w:type="spellStart"/>
            <w:r w:rsidRPr="0010524E">
              <w:rPr>
                <w:rFonts w:ascii="Calibri" w:eastAsia="Calibri" w:hAnsi="Calibri" w:cs="Calibri"/>
                <w:sz w:val="24"/>
                <w:szCs w:val="24"/>
              </w:rPr>
              <w:t>qualiﬁcação</w:t>
            </w:r>
            <w:proofErr w:type="spellEnd"/>
            <w:r w:rsidRPr="0010524E">
              <w:rPr>
                <w:rFonts w:ascii="Calibri" w:eastAsia="Calibri" w:hAnsi="Calibri" w:cs="Calibri"/>
                <w:sz w:val="24"/>
                <w:szCs w:val="24"/>
              </w:rPr>
              <w:t xml:space="preserve"> do impugnante; e</w:t>
            </w:r>
          </w:p>
        </w:tc>
        <w:tc>
          <w:tcPr>
            <w:tcW w:w="3741" w:type="dxa"/>
            <w:tcBorders>
              <w:top w:val="single" w:sz="4" w:space="0" w:color="auto"/>
              <w:left w:val="single" w:sz="4" w:space="0" w:color="auto"/>
              <w:bottom w:val="single" w:sz="4" w:space="0" w:color="auto"/>
              <w:right w:val="single" w:sz="4" w:space="0" w:color="auto"/>
            </w:tcBorders>
          </w:tcPr>
          <w:p w14:paraId="5D7006AB"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06208AED"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1481CA0D" w14:textId="73224E3E" w:rsidR="00664E7F" w:rsidRPr="0010524E" w:rsidRDefault="00664E7F" w:rsidP="00664E7F">
            <w:pPr>
              <w:spacing w:after="120"/>
              <w:jc w:val="both"/>
              <w:rPr>
                <w:rFonts w:ascii="Calibri" w:eastAsia="Calibri" w:hAnsi="Calibri" w:cs="Calibri"/>
                <w:sz w:val="24"/>
                <w:szCs w:val="24"/>
              </w:rPr>
            </w:pPr>
          </w:p>
        </w:tc>
      </w:tr>
      <w:tr w:rsidR="00664E7F" w:rsidRPr="0010524E" w14:paraId="3792FF73" w14:textId="5231153C"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076739D8" w14:textId="61CDE808" w:rsidR="00664E7F" w:rsidRPr="0010524E" w:rsidRDefault="00664E7F" w:rsidP="00664E7F">
            <w:pPr>
              <w:spacing w:after="120"/>
              <w:jc w:val="both"/>
              <w:rPr>
                <w:rFonts w:ascii="Calibri" w:eastAsia="Calibri" w:hAnsi="Calibri" w:cs="Calibri"/>
                <w:sz w:val="24"/>
                <w:szCs w:val="24"/>
              </w:rPr>
            </w:pPr>
            <w:r w:rsidRPr="0010524E">
              <w:rPr>
                <w:rFonts w:ascii="Calibri" w:eastAsia="Calibri" w:hAnsi="Calibri" w:cs="Calibri"/>
                <w:sz w:val="24"/>
                <w:szCs w:val="24"/>
              </w:rPr>
              <w:t>III - os motivos de fato e de direito em que se fundamenta a peça contestatória, os pontos de discordância e as provas que possuir.</w:t>
            </w:r>
          </w:p>
        </w:tc>
        <w:tc>
          <w:tcPr>
            <w:tcW w:w="3741" w:type="dxa"/>
            <w:tcBorders>
              <w:top w:val="single" w:sz="4" w:space="0" w:color="auto"/>
              <w:left w:val="single" w:sz="4" w:space="0" w:color="auto"/>
              <w:bottom w:val="single" w:sz="4" w:space="0" w:color="auto"/>
              <w:right w:val="single" w:sz="4" w:space="0" w:color="auto"/>
            </w:tcBorders>
          </w:tcPr>
          <w:p w14:paraId="3B9B01FC"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6ED7B2BA"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400887B2" w14:textId="297E56E1" w:rsidR="00664E7F" w:rsidRPr="0010524E" w:rsidRDefault="00664E7F" w:rsidP="00664E7F">
            <w:pPr>
              <w:spacing w:after="120"/>
              <w:jc w:val="both"/>
              <w:rPr>
                <w:rFonts w:ascii="Calibri" w:eastAsia="Calibri" w:hAnsi="Calibri" w:cs="Calibri"/>
                <w:sz w:val="24"/>
                <w:szCs w:val="24"/>
              </w:rPr>
            </w:pPr>
          </w:p>
        </w:tc>
      </w:tr>
      <w:tr w:rsidR="00664E7F" w:rsidRPr="0010524E" w14:paraId="2B24CACC" w14:textId="224A9CE5"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1F0414" w14:textId="5491BA51" w:rsidR="00664E7F" w:rsidRPr="0010524E" w:rsidRDefault="00664E7F" w:rsidP="00664E7F">
            <w:pPr>
              <w:pStyle w:val="PargrafodaLista"/>
              <w:tabs>
                <w:tab w:val="left" w:pos="993"/>
              </w:tabs>
              <w:ind w:left="11"/>
              <w:jc w:val="center"/>
              <w:rPr>
                <w:rFonts w:ascii="Calibri" w:eastAsia="Times New Roman" w:hAnsi="Calibri" w:cs="Calibri"/>
                <w:b/>
                <w:bCs/>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Seção VII</w:t>
            </w:r>
          </w:p>
          <w:p w14:paraId="04EC380E" w14:textId="323570D7" w:rsidR="00664E7F" w:rsidRPr="0010524E" w:rsidRDefault="00664E7F" w:rsidP="00664E7F">
            <w:pPr>
              <w:pStyle w:val="PargrafodaLista"/>
              <w:tabs>
                <w:tab w:val="left" w:pos="993"/>
              </w:tabs>
              <w:ind w:left="11"/>
              <w:jc w:val="center"/>
              <w:rPr>
                <w:rFonts w:ascii="Calibri" w:eastAsia="Times New Roman" w:hAnsi="Calibri" w:cs="Calibri"/>
                <w:kern w:val="0"/>
                <w:sz w:val="24"/>
                <w:szCs w:val="24"/>
                <w:lang w:eastAsia="pt-BR"/>
                <w14:ligatures w14:val="none"/>
              </w:rPr>
            </w:pPr>
            <w:r w:rsidRPr="0010524E">
              <w:rPr>
                <w:rFonts w:ascii="Calibri" w:eastAsia="Times New Roman" w:hAnsi="Calibri" w:cs="Calibri"/>
                <w:b/>
                <w:bCs/>
                <w:kern w:val="0"/>
                <w:sz w:val="24"/>
                <w:szCs w:val="24"/>
                <w:lang w:eastAsia="pt-BR"/>
                <w14:ligatures w14:val="none"/>
              </w:rPr>
              <w:t xml:space="preserve">Recolhimento, </w:t>
            </w:r>
            <w:r>
              <w:rPr>
                <w:rFonts w:ascii="Calibri" w:eastAsia="Times New Roman" w:hAnsi="Calibri" w:cs="Calibri"/>
                <w:b/>
                <w:bCs/>
                <w:kern w:val="0"/>
                <w:sz w:val="24"/>
                <w:szCs w:val="24"/>
                <w:lang w:eastAsia="pt-BR"/>
                <w14:ligatures w14:val="none"/>
              </w:rPr>
              <w:t>R</w:t>
            </w:r>
            <w:r w:rsidRPr="0010524E">
              <w:rPr>
                <w:rFonts w:ascii="Calibri" w:eastAsia="Times New Roman" w:hAnsi="Calibri" w:cs="Calibri"/>
                <w:b/>
                <w:bCs/>
                <w:kern w:val="0"/>
                <w:sz w:val="24"/>
                <w:szCs w:val="24"/>
                <w:lang w:eastAsia="pt-BR"/>
                <w14:ligatures w14:val="none"/>
              </w:rPr>
              <w:t xml:space="preserve">estituições e </w:t>
            </w:r>
            <w:r>
              <w:rPr>
                <w:rFonts w:ascii="Calibri" w:eastAsia="Times New Roman" w:hAnsi="Calibri" w:cs="Calibri"/>
                <w:b/>
                <w:bCs/>
                <w:kern w:val="0"/>
                <w:sz w:val="24"/>
                <w:szCs w:val="24"/>
                <w:lang w:eastAsia="pt-BR"/>
                <w14:ligatures w14:val="none"/>
              </w:rPr>
              <w:t>I</w:t>
            </w:r>
            <w:r w:rsidRPr="0010524E">
              <w:rPr>
                <w:rFonts w:ascii="Calibri" w:eastAsia="Times New Roman" w:hAnsi="Calibri" w:cs="Calibri"/>
                <w:b/>
                <w:bCs/>
                <w:kern w:val="0"/>
                <w:sz w:val="24"/>
                <w:szCs w:val="24"/>
                <w:lang w:eastAsia="pt-BR"/>
                <w14:ligatures w14:val="none"/>
              </w:rPr>
              <w:t xml:space="preserve">nformações </w:t>
            </w:r>
            <w:r>
              <w:rPr>
                <w:rFonts w:ascii="Calibri" w:eastAsia="Times New Roman" w:hAnsi="Calibri" w:cs="Calibri"/>
                <w:b/>
                <w:bCs/>
                <w:kern w:val="0"/>
                <w:sz w:val="24"/>
                <w:szCs w:val="24"/>
                <w:lang w:eastAsia="pt-BR"/>
                <w14:ligatures w14:val="none"/>
              </w:rPr>
              <w:t>C</w:t>
            </w:r>
            <w:r w:rsidRPr="0010524E">
              <w:rPr>
                <w:rFonts w:ascii="Calibri" w:eastAsia="Times New Roman" w:hAnsi="Calibri" w:cs="Calibri"/>
                <w:b/>
                <w:bCs/>
                <w:kern w:val="0"/>
                <w:sz w:val="24"/>
                <w:szCs w:val="24"/>
                <w:lang w:eastAsia="pt-BR"/>
                <w14:ligatures w14:val="none"/>
              </w:rPr>
              <w:t>omplementares</w:t>
            </w:r>
          </w:p>
        </w:tc>
        <w:tc>
          <w:tcPr>
            <w:tcW w:w="3741" w:type="dxa"/>
            <w:tcBorders>
              <w:top w:val="single" w:sz="4" w:space="0" w:color="auto"/>
              <w:left w:val="single" w:sz="4" w:space="0" w:color="auto"/>
              <w:bottom w:val="single" w:sz="4" w:space="0" w:color="auto"/>
              <w:right w:val="single" w:sz="4" w:space="0" w:color="auto"/>
            </w:tcBorders>
          </w:tcPr>
          <w:p w14:paraId="7B48F91E" w14:textId="77777777" w:rsidR="00664E7F" w:rsidRPr="0010524E" w:rsidRDefault="00664E7F" w:rsidP="00664E7F">
            <w:pPr>
              <w:pStyle w:val="PargrafodaLista"/>
              <w:tabs>
                <w:tab w:val="left" w:pos="993"/>
              </w:tabs>
              <w:ind w:left="11"/>
              <w:jc w:val="center"/>
              <w:rPr>
                <w:rFonts w:ascii="Calibri" w:eastAsia="Times New Roman" w:hAnsi="Calibri" w:cs="Calibri"/>
                <w:b/>
                <w:bCs/>
                <w:kern w:val="0"/>
                <w:sz w:val="24"/>
                <w:szCs w:val="24"/>
                <w:lang w:eastAsia="pt-BR"/>
                <w14:ligatures w14:val="none"/>
              </w:rPr>
            </w:pPr>
          </w:p>
        </w:tc>
        <w:tc>
          <w:tcPr>
            <w:tcW w:w="3741" w:type="dxa"/>
            <w:tcBorders>
              <w:top w:val="single" w:sz="4" w:space="0" w:color="auto"/>
              <w:left w:val="single" w:sz="4" w:space="0" w:color="auto"/>
              <w:bottom w:val="single" w:sz="4" w:space="0" w:color="auto"/>
              <w:right w:val="single" w:sz="4" w:space="0" w:color="auto"/>
            </w:tcBorders>
          </w:tcPr>
          <w:p w14:paraId="1D0D8C40" w14:textId="77777777" w:rsidR="00664E7F" w:rsidRPr="0010524E" w:rsidRDefault="00664E7F" w:rsidP="00664E7F">
            <w:pPr>
              <w:pStyle w:val="PargrafodaLista"/>
              <w:tabs>
                <w:tab w:val="left" w:pos="993"/>
              </w:tabs>
              <w:ind w:left="11"/>
              <w:jc w:val="center"/>
              <w:rPr>
                <w:rFonts w:ascii="Calibri" w:eastAsia="Times New Roman" w:hAnsi="Calibri" w:cs="Calibri"/>
                <w:b/>
                <w:bCs/>
                <w:kern w:val="0"/>
                <w:sz w:val="24"/>
                <w:szCs w:val="24"/>
                <w:lang w:eastAsia="pt-BR"/>
                <w14:ligatures w14:val="none"/>
              </w:rPr>
            </w:pPr>
          </w:p>
        </w:tc>
        <w:tc>
          <w:tcPr>
            <w:tcW w:w="3279" w:type="dxa"/>
            <w:tcBorders>
              <w:top w:val="single" w:sz="4" w:space="0" w:color="auto"/>
              <w:left w:val="single" w:sz="4" w:space="0" w:color="auto"/>
              <w:bottom w:val="single" w:sz="4" w:space="0" w:color="auto"/>
              <w:right w:val="single" w:sz="4" w:space="0" w:color="auto"/>
            </w:tcBorders>
          </w:tcPr>
          <w:p w14:paraId="2371BFE1" w14:textId="63F0843A" w:rsidR="00664E7F" w:rsidRPr="0010524E" w:rsidRDefault="00664E7F" w:rsidP="00664E7F">
            <w:pPr>
              <w:pStyle w:val="PargrafodaLista"/>
              <w:tabs>
                <w:tab w:val="left" w:pos="993"/>
              </w:tabs>
              <w:ind w:left="11"/>
              <w:jc w:val="center"/>
              <w:rPr>
                <w:rFonts w:ascii="Calibri" w:eastAsia="Times New Roman" w:hAnsi="Calibri" w:cs="Calibri"/>
                <w:b/>
                <w:bCs/>
                <w:kern w:val="0"/>
                <w:sz w:val="24"/>
                <w:szCs w:val="24"/>
                <w:lang w:eastAsia="pt-BR"/>
                <w14:ligatures w14:val="none"/>
              </w:rPr>
            </w:pPr>
          </w:p>
        </w:tc>
      </w:tr>
      <w:tr w:rsidR="00664E7F" w:rsidRPr="0010524E" w14:paraId="1ECC947B" w14:textId="5DDAE78A" w:rsidTr="00664E7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827" w:type="dxa"/>
            <w:tcBorders>
              <w:top w:val="single" w:sz="4" w:space="0" w:color="auto"/>
              <w:left w:val="single" w:sz="4" w:space="0" w:color="auto"/>
              <w:bottom w:val="single" w:sz="4" w:space="0" w:color="auto"/>
              <w:right w:val="single" w:sz="4" w:space="0" w:color="auto"/>
            </w:tcBorders>
            <w:shd w:val="clear" w:color="auto" w:fill="auto"/>
            <w:noWrap/>
          </w:tcPr>
          <w:p w14:paraId="2A98B80E" w14:textId="6E29F7FB" w:rsidR="00664E7F" w:rsidRPr="0010524E" w:rsidRDefault="00664E7F" w:rsidP="00664E7F">
            <w:pPr>
              <w:spacing w:after="120"/>
              <w:jc w:val="both"/>
              <w:rPr>
                <w:rFonts w:ascii="Calibri" w:eastAsia="Times New Roman" w:hAnsi="Calibri" w:cs="Calibri"/>
                <w:kern w:val="0"/>
                <w:sz w:val="24"/>
                <w:szCs w:val="24"/>
                <w:lang w:eastAsia="pt-BR"/>
                <w14:ligatures w14:val="none"/>
              </w:rPr>
            </w:pPr>
            <w:r w:rsidRPr="0010524E">
              <w:rPr>
                <w:rFonts w:ascii="Calibri" w:eastAsia="Calibri" w:hAnsi="Calibri" w:cs="Calibri"/>
                <w:sz w:val="24"/>
                <w:szCs w:val="24"/>
              </w:rPr>
              <w:t xml:space="preserve">Art. </w:t>
            </w:r>
            <w:r>
              <w:rPr>
                <w:rFonts w:ascii="Calibri" w:eastAsia="Calibri" w:hAnsi="Calibri" w:cs="Calibri"/>
                <w:sz w:val="24"/>
                <w:szCs w:val="24"/>
              </w:rPr>
              <w:t>310</w:t>
            </w:r>
            <w:r w:rsidRPr="0010524E">
              <w:rPr>
                <w:rFonts w:ascii="Calibri" w:eastAsia="Calibri" w:hAnsi="Calibri" w:cs="Calibri"/>
                <w:sz w:val="24"/>
                <w:szCs w:val="24"/>
              </w:rPr>
              <w:t xml:space="preserve">.  A operacionalização do recolhimento, as solicitações de restituições e as informações complementares devem ser efetuadas de acordo com as instruções disponíveis no sítio eletrônico da </w:t>
            </w:r>
            <w:proofErr w:type="spellStart"/>
            <w:r w:rsidRPr="0010524E">
              <w:rPr>
                <w:rFonts w:ascii="Calibri" w:eastAsia="Calibri" w:hAnsi="Calibri" w:cs="Calibri"/>
                <w:sz w:val="24"/>
                <w:szCs w:val="24"/>
              </w:rPr>
              <w:t>Previc</w:t>
            </w:r>
            <w:proofErr w:type="spellEnd"/>
            <w:r w:rsidRPr="0010524E">
              <w:rPr>
                <w:rFonts w:ascii="Calibri" w:eastAsia="Calibri" w:hAnsi="Calibri" w:cs="Calibri"/>
                <w:sz w:val="24"/>
                <w:szCs w:val="24"/>
              </w:rPr>
              <w:t xml:space="preserve"> na internet.</w:t>
            </w:r>
          </w:p>
        </w:tc>
        <w:tc>
          <w:tcPr>
            <w:tcW w:w="3741" w:type="dxa"/>
            <w:tcBorders>
              <w:top w:val="single" w:sz="4" w:space="0" w:color="auto"/>
              <w:left w:val="single" w:sz="4" w:space="0" w:color="auto"/>
              <w:bottom w:val="single" w:sz="4" w:space="0" w:color="auto"/>
              <w:right w:val="single" w:sz="4" w:space="0" w:color="auto"/>
            </w:tcBorders>
          </w:tcPr>
          <w:p w14:paraId="79DCB86B" w14:textId="77777777" w:rsidR="00664E7F" w:rsidRPr="0010524E" w:rsidRDefault="00664E7F" w:rsidP="00664E7F">
            <w:pPr>
              <w:spacing w:after="120"/>
              <w:jc w:val="both"/>
              <w:rPr>
                <w:rFonts w:ascii="Calibri" w:eastAsia="Calibri" w:hAnsi="Calibri" w:cs="Calibri"/>
                <w:sz w:val="24"/>
                <w:szCs w:val="24"/>
              </w:rPr>
            </w:pPr>
          </w:p>
        </w:tc>
        <w:tc>
          <w:tcPr>
            <w:tcW w:w="3741" w:type="dxa"/>
            <w:tcBorders>
              <w:top w:val="single" w:sz="4" w:space="0" w:color="auto"/>
              <w:left w:val="single" w:sz="4" w:space="0" w:color="auto"/>
              <w:bottom w:val="single" w:sz="4" w:space="0" w:color="auto"/>
              <w:right w:val="single" w:sz="4" w:space="0" w:color="auto"/>
            </w:tcBorders>
          </w:tcPr>
          <w:p w14:paraId="05EBD75B" w14:textId="77777777" w:rsidR="00664E7F" w:rsidRPr="0010524E" w:rsidRDefault="00664E7F" w:rsidP="00664E7F">
            <w:pPr>
              <w:spacing w:after="120"/>
              <w:jc w:val="both"/>
              <w:rPr>
                <w:rFonts w:ascii="Calibri" w:eastAsia="Calibri" w:hAnsi="Calibri" w:cs="Calibri"/>
                <w:sz w:val="24"/>
                <w:szCs w:val="24"/>
              </w:rPr>
            </w:pPr>
          </w:p>
        </w:tc>
        <w:tc>
          <w:tcPr>
            <w:tcW w:w="3279" w:type="dxa"/>
            <w:tcBorders>
              <w:top w:val="single" w:sz="4" w:space="0" w:color="auto"/>
              <w:left w:val="single" w:sz="4" w:space="0" w:color="auto"/>
              <w:bottom w:val="single" w:sz="4" w:space="0" w:color="auto"/>
              <w:right w:val="single" w:sz="4" w:space="0" w:color="auto"/>
            </w:tcBorders>
          </w:tcPr>
          <w:p w14:paraId="31F179F1" w14:textId="2BCA2B4C" w:rsidR="00664E7F" w:rsidRPr="0010524E" w:rsidRDefault="00664E7F" w:rsidP="00664E7F">
            <w:pPr>
              <w:spacing w:after="120"/>
              <w:jc w:val="both"/>
              <w:rPr>
                <w:rFonts w:ascii="Calibri" w:eastAsia="Calibri" w:hAnsi="Calibri" w:cs="Calibri"/>
                <w:sz w:val="24"/>
                <w:szCs w:val="24"/>
              </w:rPr>
            </w:pPr>
          </w:p>
        </w:tc>
      </w:tr>
    </w:tbl>
    <w:p w14:paraId="6D256B59" w14:textId="77777777" w:rsidR="00A36EE3" w:rsidRDefault="00A36EE3">
      <w:r>
        <w:br w:type="page"/>
      </w:r>
    </w:p>
    <w:p w14:paraId="185AB774" w14:textId="550F4E73" w:rsidR="00302289" w:rsidRPr="0010524E" w:rsidRDefault="00302289" w:rsidP="00834245">
      <w:pPr>
        <w:rPr>
          <w:sz w:val="24"/>
          <w:szCs w:val="24"/>
        </w:rPr>
      </w:pPr>
    </w:p>
    <w:sectPr w:rsidR="00302289" w:rsidRPr="0010524E" w:rsidSect="00664E7F">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2AEF" w:usb1="4000207B" w:usb2="00000000" w:usb3="00000000" w:csb0="000001FF" w:csb1="00000000"/>
  </w:font>
  <w:font w:name="Calibri Light">
    <w:panose1 w:val="020F0302020204030204"/>
    <w:charset w:val="00"/>
    <w:family w:val="swiss"/>
    <w:pitch w:val="variable"/>
    <w:sig w:usb0="A0002AEF" w:usb1="4000207B" w:usb2="00000000" w:usb3="00000000" w:csb0="000001FF" w:csb1="00000000"/>
  </w:font>
  <w:font w:name="DejaVu Serif Condensed">
    <w:altName w:val="Cambria"/>
    <w:charset w:val="00"/>
    <w:family w:val="roman"/>
    <w:pitch w:val="variable"/>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F655B"/>
    <w:multiLevelType w:val="hybridMultilevel"/>
    <w:tmpl w:val="54DA882C"/>
    <w:lvl w:ilvl="0" w:tplc="978EBE7E">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8689450">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5A8F1C4">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5C05A40">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E98572A">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2E8D8F8">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4CE46EE">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7A430FC">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CC4BA70">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18D22A1"/>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19905E9"/>
    <w:multiLevelType w:val="hybridMultilevel"/>
    <w:tmpl w:val="EF3A058C"/>
    <w:lvl w:ilvl="0" w:tplc="79D2F324">
      <w:start w:val="1"/>
      <w:numFmt w:val="upperRoman"/>
      <w:lvlText w:val="%1 -"/>
      <w:lvlJc w:val="left"/>
      <w:pPr>
        <w:ind w:left="1287" w:hanging="360"/>
      </w:pPr>
      <w:rPr>
        <w:rFonts w:hint="default"/>
      </w:rPr>
    </w:lvl>
    <w:lvl w:ilvl="1" w:tplc="04160019" w:tentative="1">
      <w:start w:val="1"/>
      <w:numFmt w:val="lowerLetter"/>
      <w:lvlText w:val="%2."/>
      <w:lvlJc w:val="left"/>
      <w:pPr>
        <w:ind w:left="2007" w:hanging="360"/>
      </w:pPr>
    </w:lvl>
    <w:lvl w:ilvl="2" w:tplc="0416001B" w:tentative="1">
      <w:start w:val="1"/>
      <w:numFmt w:val="lowerRoman"/>
      <w:lvlText w:val="%3."/>
      <w:lvlJc w:val="right"/>
      <w:pPr>
        <w:ind w:left="2727" w:hanging="180"/>
      </w:pPr>
    </w:lvl>
    <w:lvl w:ilvl="3" w:tplc="0416000F" w:tentative="1">
      <w:start w:val="1"/>
      <w:numFmt w:val="decimal"/>
      <w:lvlText w:val="%4."/>
      <w:lvlJc w:val="left"/>
      <w:pPr>
        <w:ind w:left="3447" w:hanging="360"/>
      </w:pPr>
    </w:lvl>
    <w:lvl w:ilvl="4" w:tplc="04160019" w:tentative="1">
      <w:start w:val="1"/>
      <w:numFmt w:val="lowerLetter"/>
      <w:lvlText w:val="%5."/>
      <w:lvlJc w:val="left"/>
      <w:pPr>
        <w:ind w:left="4167" w:hanging="360"/>
      </w:pPr>
    </w:lvl>
    <w:lvl w:ilvl="5" w:tplc="0416001B" w:tentative="1">
      <w:start w:val="1"/>
      <w:numFmt w:val="lowerRoman"/>
      <w:lvlText w:val="%6."/>
      <w:lvlJc w:val="right"/>
      <w:pPr>
        <w:ind w:left="4887" w:hanging="180"/>
      </w:pPr>
    </w:lvl>
    <w:lvl w:ilvl="6" w:tplc="0416000F" w:tentative="1">
      <w:start w:val="1"/>
      <w:numFmt w:val="decimal"/>
      <w:lvlText w:val="%7."/>
      <w:lvlJc w:val="left"/>
      <w:pPr>
        <w:ind w:left="5607" w:hanging="360"/>
      </w:pPr>
    </w:lvl>
    <w:lvl w:ilvl="7" w:tplc="04160019" w:tentative="1">
      <w:start w:val="1"/>
      <w:numFmt w:val="lowerLetter"/>
      <w:lvlText w:val="%8."/>
      <w:lvlJc w:val="left"/>
      <w:pPr>
        <w:ind w:left="6327" w:hanging="360"/>
      </w:pPr>
    </w:lvl>
    <w:lvl w:ilvl="8" w:tplc="0416001B" w:tentative="1">
      <w:start w:val="1"/>
      <w:numFmt w:val="lowerRoman"/>
      <w:lvlText w:val="%9."/>
      <w:lvlJc w:val="right"/>
      <w:pPr>
        <w:ind w:left="7047" w:hanging="180"/>
      </w:pPr>
    </w:lvl>
  </w:abstractNum>
  <w:abstractNum w:abstractNumId="3" w15:restartNumberingAfterBreak="0">
    <w:nsid w:val="034A6258"/>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E1A288A"/>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2F4543D"/>
    <w:multiLevelType w:val="hybridMultilevel"/>
    <w:tmpl w:val="F0BE5702"/>
    <w:lvl w:ilvl="0" w:tplc="4B880198">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FC451EE">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7961D2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5344918">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DE855CE">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432966E">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56E77CC">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92E671A">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FC42456">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351383B"/>
    <w:multiLevelType w:val="hybridMultilevel"/>
    <w:tmpl w:val="D5B63F40"/>
    <w:lvl w:ilvl="0" w:tplc="B9BE3B86">
      <w:start w:val="100"/>
      <w:numFmt w:val="upperRoman"/>
      <w:lvlText w:val="Anexo %1"/>
      <w:lvlJc w:val="center"/>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16BC54B2"/>
    <w:multiLevelType w:val="hybridMultilevel"/>
    <w:tmpl w:val="FA2E6FAC"/>
    <w:lvl w:ilvl="0" w:tplc="73200D2A">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24C634E">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A78996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D1A0692">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9E61BA4">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3095C2">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CB496F4">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3AAE3AC">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6EE8AEC">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17C05BC3"/>
    <w:multiLevelType w:val="hybridMultilevel"/>
    <w:tmpl w:val="6486FBA6"/>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20A761AC"/>
    <w:multiLevelType w:val="hybridMultilevel"/>
    <w:tmpl w:val="FA2E6FAC"/>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216F6237"/>
    <w:multiLevelType w:val="hybridMultilevel"/>
    <w:tmpl w:val="97D40DAA"/>
    <w:lvl w:ilvl="0" w:tplc="FFFFFFFF">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FFFFFFFF">
      <w:numFmt w:val="bullet"/>
      <w:lvlText w:val="•"/>
      <w:lvlJc w:val="left"/>
      <w:pPr>
        <w:ind w:left="1718" w:hanging="140"/>
      </w:pPr>
      <w:rPr>
        <w:rFonts w:hint="default"/>
        <w:lang w:val="pt-PT" w:eastAsia="en-US" w:bidi="ar-SA"/>
      </w:rPr>
    </w:lvl>
    <w:lvl w:ilvl="2" w:tplc="FFFFFFFF">
      <w:numFmt w:val="bullet"/>
      <w:lvlText w:val="•"/>
      <w:lvlJc w:val="left"/>
      <w:pPr>
        <w:ind w:left="2497" w:hanging="140"/>
      </w:pPr>
      <w:rPr>
        <w:rFonts w:hint="default"/>
        <w:lang w:val="pt-PT" w:eastAsia="en-US" w:bidi="ar-SA"/>
      </w:rPr>
    </w:lvl>
    <w:lvl w:ilvl="3" w:tplc="FFFFFFFF">
      <w:numFmt w:val="bullet"/>
      <w:lvlText w:val="•"/>
      <w:lvlJc w:val="left"/>
      <w:pPr>
        <w:ind w:left="3275" w:hanging="140"/>
      </w:pPr>
      <w:rPr>
        <w:rFonts w:hint="default"/>
        <w:lang w:val="pt-PT" w:eastAsia="en-US" w:bidi="ar-SA"/>
      </w:rPr>
    </w:lvl>
    <w:lvl w:ilvl="4" w:tplc="FFFFFFFF">
      <w:numFmt w:val="bullet"/>
      <w:lvlText w:val="•"/>
      <w:lvlJc w:val="left"/>
      <w:pPr>
        <w:ind w:left="4054" w:hanging="140"/>
      </w:pPr>
      <w:rPr>
        <w:rFonts w:hint="default"/>
        <w:lang w:val="pt-PT" w:eastAsia="en-US" w:bidi="ar-SA"/>
      </w:rPr>
    </w:lvl>
    <w:lvl w:ilvl="5" w:tplc="FFFFFFFF">
      <w:numFmt w:val="bullet"/>
      <w:lvlText w:val="•"/>
      <w:lvlJc w:val="left"/>
      <w:pPr>
        <w:ind w:left="4833" w:hanging="140"/>
      </w:pPr>
      <w:rPr>
        <w:rFonts w:hint="default"/>
        <w:lang w:val="pt-PT" w:eastAsia="en-US" w:bidi="ar-SA"/>
      </w:rPr>
    </w:lvl>
    <w:lvl w:ilvl="6" w:tplc="FFFFFFFF">
      <w:numFmt w:val="bullet"/>
      <w:lvlText w:val="•"/>
      <w:lvlJc w:val="left"/>
      <w:pPr>
        <w:ind w:left="5611" w:hanging="140"/>
      </w:pPr>
      <w:rPr>
        <w:rFonts w:hint="default"/>
        <w:lang w:val="pt-PT" w:eastAsia="en-US" w:bidi="ar-SA"/>
      </w:rPr>
    </w:lvl>
    <w:lvl w:ilvl="7" w:tplc="FFFFFFFF">
      <w:numFmt w:val="bullet"/>
      <w:lvlText w:val="•"/>
      <w:lvlJc w:val="left"/>
      <w:pPr>
        <w:ind w:left="6390" w:hanging="140"/>
      </w:pPr>
      <w:rPr>
        <w:rFonts w:hint="default"/>
        <w:lang w:val="pt-PT" w:eastAsia="en-US" w:bidi="ar-SA"/>
      </w:rPr>
    </w:lvl>
    <w:lvl w:ilvl="8" w:tplc="FFFFFFFF">
      <w:numFmt w:val="bullet"/>
      <w:lvlText w:val="•"/>
      <w:lvlJc w:val="left"/>
      <w:pPr>
        <w:ind w:left="7169" w:hanging="140"/>
      </w:pPr>
      <w:rPr>
        <w:rFonts w:hint="default"/>
        <w:lang w:val="pt-PT" w:eastAsia="en-US" w:bidi="ar-SA"/>
      </w:rPr>
    </w:lvl>
  </w:abstractNum>
  <w:abstractNum w:abstractNumId="11" w15:restartNumberingAfterBreak="0">
    <w:nsid w:val="21B67865"/>
    <w:multiLevelType w:val="hybridMultilevel"/>
    <w:tmpl w:val="F5C8A19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2C4A586A"/>
    <w:multiLevelType w:val="hybridMultilevel"/>
    <w:tmpl w:val="3606055C"/>
    <w:lvl w:ilvl="0" w:tplc="19DA01AC">
      <w:start w:val="1"/>
      <w:numFmt w:val="upperRoman"/>
      <w:lvlText w:val="%1"/>
      <w:lvlJc w:val="left"/>
      <w:pPr>
        <w:ind w:left="102" w:hanging="188"/>
      </w:pPr>
      <w:rPr>
        <w:rFonts w:ascii="Times New Roman" w:eastAsia="Times New Roman" w:hAnsi="Times New Roman" w:cs="Times New Roman" w:hint="default"/>
        <w:w w:val="99"/>
        <w:sz w:val="24"/>
        <w:szCs w:val="24"/>
        <w:lang w:val="pt-PT" w:eastAsia="en-US" w:bidi="ar-SA"/>
      </w:rPr>
    </w:lvl>
    <w:lvl w:ilvl="1" w:tplc="962EE89E">
      <w:numFmt w:val="bullet"/>
      <w:lvlText w:val="•"/>
      <w:lvlJc w:val="left"/>
      <w:pPr>
        <w:ind w:left="962" w:hanging="188"/>
      </w:pPr>
      <w:rPr>
        <w:rFonts w:hint="default"/>
        <w:lang w:val="pt-PT" w:eastAsia="en-US" w:bidi="ar-SA"/>
      </w:rPr>
    </w:lvl>
    <w:lvl w:ilvl="2" w:tplc="A932654A">
      <w:numFmt w:val="bullet"/>
      <w:lvlText w:val="•"/>
      <w:lvlJc w:val="left"/>
      <w:pPr>
        <w:ind w:left="1825" w:hanging="188"/>
      </w:pPr>
      <w:rPr>
        <w:rFonts w:hint="default"/>
        <w:lang w:val="pt-PT" w:eastAsia="en-US" w:bidi="ar-SA"/>
      </w:rPr>
    </w:lvl>
    <w:lvl w:ilvl="3" w:tplc="53766E20">
      <w:numFmt w:val="bullet"/>
      <w:lvlText w:val="•"/>
      <w:lvlJc w:val="left"/>
      <w:pPr>
        <w:ind w:left="2687" w:hanging="188"/>
      </w:pPr>
      <w:rPr>
        <w:rFonts w:hint="default"/>
        <w:lang w:val="pt-PT" w:eastAsia="en-US" w:bidi="ar-SA"/>
      </w:rPr>
    </w:lvl>
    <w:lvl w:ilvl="4" w:tplc="511897AA">
      <w:numFmt w:val="bullet"/>
      <w:lvlText w:val="•"/>
      <w:lvlJc w:val="left"/>
      <w:pPr>
        <w:ind w:left="3550" w:hanging="188"/>
      </w:pPr>
      <w:rPr>
        <w:rFonts w:hint="default"/>
        <w:lang w:val="pt-PT" w:eastAsia="en-US" w:bidi="ar-SA"/>
      </w:rPr>
    </w:lvl>
    <w:lvl w:ilvl="5" w:tplc="FECA5762">
      <w:numFmt w:val="bullet"/>
      <w:lvlText w:val="•"/>
      <w:lvlJc w:val="left"/>
      <w:pPr>
        <w:ind w:left="4413" w:hanging="188"/>
      </w:pPr>
      <w:rPr>
        <w:rFonts w:hint="default"/>
        <w:lang w:val="pt-PT" w:eastAsia="en-US" w:bidi="ar-SA"/>
      </w:rPr>
    </w:lvl>
    <w:lvl w:ilvl="6" w:tplc="AC86366A">
      <w:numFmt w:val="bullet"/>
      <w:lvlText w:val="•"/>
      <w:lvlJc w:val="left"/>
      <w:pPr>
        <w:ind w:left="5275" w:hanging="188"/>
      </w:pPr>
      <w:rPr>
        <w:rFonts w:hint="default"/>
        <w:lang w:val="pt-PT" w:eastAsia="en-US" w:bidi="ar-SA"/>
      </w:rPr>
    </w:lvl>
    <w:lvl w:ilvl="7" w:tplc="02DAD6CC">
      <w:numFmt w:val="bullet"/>
      <w:lvlText w:val="•"/>
      <w:lvlJc w:val="left"/>
      <w:pPr>
        <w:ind w:left="6138" w:hanging="188"/>
      </w:pPr>
      <w:rPr>
        <w:rFonts w:hint="default"/>
        <w:lang w:val="pt-PT" w:eastAsia="en-US" w:bidi="ar-SA"/>
      </w:rPr>
    </w:lvl>
    <w:lvl w:ilvl="8" w:tplc="D5B04542">
      <w:numFmt w:val="bullet"/>
      <w:lvlText w:val="•"/>
      <w:lvlJc w:val="left"/>
      <w:pPr>
        <w:ind w:left="7001" w:hanging="188"/>
      </w:pPr>
      <w:rPr>
        <w:rFonts w:hint="default"/>
        <w:lang w:val="pt-PT" w:eastAsia="en-US" w:bidi="ar-SA"/>
      </w:rPr>
    </w:lvl>
  </w:abstractNum>
  <w:abstractNum w:abstractNumId="13" w15:restartNumberingAfterBreak="0">
    <w:nsid w:val="2D874CE7"/>
    <w:multiLevelType w:val="hybridMultilevel"/>
    <w:tmpl w:val="F5FA0A84"/>
    <w:lvl w:ilvl="0" w:tplc="E66EBF50">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1AE7B86">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6E8AD18">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7B44F24">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B4AFB32">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82C5824">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9042F6C">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D7C9C0C">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5BA1E66">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2F1858F3"/>
    <w:multiLevelType w:val="hybridMultilevel"/>
    <w:tmpl w:val="7894520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3A947219"/>
    <w:multiLevelType w:val="hybridMultilevel"/>
    <w:tmpl w:val="33AC9F92"/>
    <w:lvl w:ilvl="0" w:tplc="B016B382">
      <w:start w:val="1"/>
      <w:numFmt w:val="upperRoman"/>
      <w:lvlText w:val="%1 -"/>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0832AB2"/>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460B52DB"/>
    <w:multiLevelType w:val="hybridMultilevel"/>
    <w:tmpl w:val="1B34F1CA"/>
    <w:lvl w:ilvl="0" w:tplc="41664624">
      <w:start w:val="1"/>
      <w:numFmt w:val="upperRoman"/>
      <w:lvlText w:val="%1 -"/>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71F36F5"/>
    <w:multiLevelType w:val="hybridMultilevel"/>
    <w:tmpl w:val="408E055A"/>
    <w:lvl w:ilvl="0" w:tplc="01C8B706">
      <w:start w:val="58"/>
      <w:numFmt w:val="decimal"/>
      <w:suff w:val="nothing"/>
      <w:lvlText w:val="Art. %1.  "/>
      <w:lvlJc w:val="left"/>
      <w:pPr>
        <w:ind w:left="644"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15:restartNumberingAfterBreak="0">
    <w:nsid w:val="47E855CB"/>
    <w:multiLevelType w:val="hybridMultilevel"/>
    <w:tmpl w:val="2838648E"/>
    <w:lvl w:ilvl="0" w:tplc="FFFFFFFF">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FFFFFFFF">
      <w:numFmt w:val="bullet"/>
      <w:lvlText w:val="•"/>
      <w:lvlJc w:val="left"/>
      <w:pPr>
        <w:ind w:left="962" w:hanging="303"/>
      </w:pPr>
      <w:rPr>
        <w:rFonts w:hint="default"/>
        <w:lang w:val="pt-PT" w:eastAsia="en-US" w:bidi="ar-SA"/>
      </w:rPr>
    </w:lvl>
    <w:lvl w:ilvl="2" w:tplc="FFFFFFFF">
      <w:numFmt w:val="bullet"/>
      <w:lvlText w:val="•"/>
      <w:lvlJc w:val="left"/>
      <w:pPr>
        <w:ind w:left="1825" w:hanging="303"/>
      </w:pPr>
      <w:rPr>
        <w:rFonts w:hint="default"/>
        <w:lang w:val="pt-PT" w:eastAsia="en-US" w:bidi="ar-SA"/>
      </w:rPr>
    </w:lvl>
    <w:lvl w:ilvl="3" w:tplc="FFFFFFFF">
      <w:numFmt w:val="bullet"/>
      <w:lvlText w:val="•"/>
      <w:lvlJc w:val="left"/>
      <w:pPr>
        <w:ind w:left="2687" w:hanging="303"/>
      </w:pPr>
      <w:rPr>
        <w:rFonts w:hint="default"/>
        <w:lang w:val="pt-PT" w:eastAsia="en-US" w:bidi="ar-SA"/>
      </w:rPr>
    </w:lvl>
    <w:lvl w:ilvl="4" w:tplc="FFFFFFFF">
      <w:numFmt w:val="bullet"/>
      <w:lvlText w:val="•"/>
      <w:lvlJc w:val="left"/>
      <w:pPr>
        <w:ind w:left="3550" w:hanging="303"/>
      </w:pPr>
      <w:rPr>
        <w:rFonts w:hint="default"/>
        <w:lang w:val="pt-PT" w:eastAsia="en-US" w:bidi="ar-SA"/>
      </w:rPr>
    </w:lvl>
    <w:lvl w:ilvl="5" w:tplc="FFFFFFFF">
      <w:numFmt w:val="bullet"/>
      <w:lvlText w:val="•"/>
      <w:lvlJc w:val="left"/>
      <w:pPr>
        <w:ind w:left="4413" w:hanging="303"/>
      </w:pPr>
      <w:rPr>
        <w:rFonts w:hint="default"/>
        <w:lang w:val="pt-PT" w:eastAsia="en-US" w:bidi="ar-SA"/>
      </w:rPr>
    </w:lvl>
    <w:lvl w:ilvl="6" w:tplc="FFFFFFFF">
      <w:numFmt w:val="bullet"/>
      <w:lvlText w:val="•"/>
      <w:lvlJc w:val="left"/>
      <w:pPr>
        <w:ind w:left="5275" w:hanging="303"/>
      </w:pPr>
      <w:rPr>
        <w:rFonts w:hint="default"/>
        <w:lang w:val="pt-PT" w:eastAsia="en-US" w:bidi="ar-SA"/>
      </w:rPr>
    </w:lvl>
    <w:lvl w:ilvl="7" w:tplc="FFFFFFFF">
      <w:numFmt w:val="bullet"/>
      <w:lvlText w:val="•"/>
      <w:lvlJc w:val="left"/>
      <w:pPr>
        <w:ind w:left="6138" w:hanging="303"/>
      </w:pPr>
      <w:rPr>
        <w:rFonts w:hint="default"/>
        <w:lang w:val="pt-PT" w:eastAsia="en-US" w:bidi="ar-SA"/>
      </w:rPr>
    </w:lvl>
    <w:lvl w:ilvl="8" w:tplc="FFFFFFFF">
      <w:numFmt w:val="bullet"/>
      <w:lvlText w:val="•"/>
      <w:lvlJc w:val="left"/>
      <w:pPr>
        <w:ind w:left="7001" w:hanging="303"/>
      </w:pPr>
      <w:rPr>
        <w:rFonts w:hint="default"/>
        <w:lang w:val="pt-PT" w:eastAsia="en-US" w:bidi="ar-SA"/>
      </w:rPr>
    </w:lvl>
  </w:abstractNum>
  <w:abstractNum w:abstractNumId="20" w15:restartNumberingAfterBreak="0">
    <w:nsid w:val="48663F55"/>
    <w:multiLevelType w:val="hybridMultilevel"/>
    <w:tmpl w:val="FA2E6FAC"/>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48AD6BAC"/>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48F77379"/>
    <w:multiLevelType w:val="hybridMultilevel"/>
    <w:tmpl w:val="C00E6026"/>
    <w:lvl w:ilvl="0" w:tplc="1C486944">
      <w:start w:val="1"/>
      <w:numFmt w:val="upperRoman"/>
      <w:lvlText w:val="Anexo %1"/>
      <w:lvlJc w:val="center"/>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15:restartNumberingAfterBreak="0">
    <w:nsid w:val="49B726A8"/>
    <w:multiLevelType w:val="hybridMultilevel"/>
    <w:tmpl w:val="6486FBA6"/>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4A526EB3"/>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4F3743C0"/>
    <w:multiLevelType w:val="hybridMultilevel"/>
    <w:tmpl w:val="BAACF45E"/>
    <w:lvl w:ilvl="0" w:tplc="7EE0D18C">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F4CD7EC">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4463C2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D44386A">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0B20F88">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9AE411C">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C68BE74">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95A2504">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96A406A">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526E044D"/>
    <w:multiLevelType w:val="hybridMultilevel"/>
    <w:tmpl w:val="6486FBA6"/>
    <w:lvl w:ilvl="0" w:tplc="AE580CE8">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5A7684">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25E4442">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F8A6506">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88AB710">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80286D6">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222D6A">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6C0085A">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A6EF92">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54F3373C"/>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561B22A3"/>
    <w:multiLevelType w:val="hybridMultilevel"/>
    <w:tmpl w:val="D4BA7AD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574127A2"/>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583B0632"/>
    <w:multiLevelType w:val="hybridMultilevel"/>
    <w:tmpl w:val="2160D74A"/>
    <w:lvl w:ilvl="0" w:tplc="4B009876">
      <w:start w:val="1"/>
      <w:numFmt w:val="upperRoman"/>
      <w:lvlText w:val="ANEXO %1"/>
      <w:lvlJc w:val="center"/>
      <w:pPr>
        <w:ind w:left="108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15:restartNumberingAfterBreak="0">
    <w:nsid w:val="5B8E210A"/>
    <w:multiLevelType w:val="hybridMultilevel"/>
    <w:tmpl w:val="18864D48"/>
    <w:lvl w:ilvl="0" w:tplc="13727934">
      <w:start w:val="1"/>
      <w:numFmt w:val="upperRoman"/>
      <w:lvlText w:val="%1 -"/>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5DE55EA5"/>
    <w:multiLevelType w:val="hybridMultilevel"/>
    <w:tmpl w:val="6C348A04"/>
    <w:lvl w:ilvl="0" w:tplc="4766814E">
      <w:start w:val="1"/>
      <w:numFmt w:val="upperRoman"/>
      <w:lvlText w:val="%1"/>
      <w:lvlJc w:val="left"/>
      <w:pPr>
        <w:ind w:left="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762A336">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11245AE">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59EEC3A">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64AAC78">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466CBC8">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3367156">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F8A90CE">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E6021C2">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68402ABC"/>
    <w:multiLevelType w:val="hybridMultilevel"/>
    <w:tmpl w:val="C222341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4" w15:restartNumberingAfterBreak="0">
    <w:nsid w:val="689E4CB0"/>
    <w:multiLevelType w:val="hybridMultilevel"/>
    <w:tmpl w:val="7578DD54"/>
    <w:lvl w:ilvl="0" w:tplc="7AEC5542">
      <w:start w:val="9"/>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1688790">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CA0959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4DE25C2">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0108224">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CAED966">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1C688DE">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EBAD9C0">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6840128">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6A8A7BF1"/>
    <w:multiLevelType w:val="hybridMultilevel"/>
    <w:tmpl w:val="2838648E"/>
    <w:lvl w:ilvl="0" w:tplc="3BF6B07A">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CD6EA4F8">
      <w:numFmt w:val="bullet"/>
      <w:lvlText w:val="•"/>
      <w:lvlJc w:val="left"/>
      <w:pPr>
        <w:ind w:left="962" w:hanging="303"/>
      </w:pPr>
      <w:rPr>
        <w:rFonts w:hint="default"/>
        <w:lang w:val="pt-PT" w:eastAsia="en-US" w:bidi="ar-SA"/>
      </w:rPr>
    </w:lvl>
    <w:lvl w:ilvl="2" w:tplc="4DAE6272">
      <w:numFmt w:val="bullet"/>
      <w:lvlText w:val="•"/>
      <w:lvlJc w:val="left"/>
      <w:pPr>
        <w:ind w:left="1825" w:hanging="303"/>
      </w:pPr>
      <w:rPr>
        <w:rFonts w:hint="default"/>
        <w:lang w:val="pt-PT" w:eastAsia="en-US" w:bidi="ar-SA"/>
      </w:rPr>
    </w:lvl>
    <w:lvl w:ilvl="3" w:tplc="42B202F8">
      <w:numFmt w:val="bullet"/>
      <w:lvlText w:val="•"/>
      <w:lvlJc w:val="left"/>
      <w:pPr>
        <w:ind w:left="2687" w:hanging="303"/>
      </w:pPr>
      <w:rPr>
        <w:rFonts w:hint="default"/>
        <w:lang w:val="pt-PT" w:eastAsia="en-US" w:bidi="ar-SA"/>
      </w:rPr>
    </w:lvl>
    <w:lvl w:ilvl="4" w:tplc="3B5C94DA">
      <w:numFmt w:val="bullet"/>
      <w:lvlText w:val="•"/>
      <w:lvlJc w:val="left"/>
      <w:pPr>
        <w:ind w:left="3550" w:hanging="303"/>
      </w:pPr>
      <w:rPr>
        <w:rFonts w:hint="default"/>
        <w:lang w:val="pt-PT" w:eastAsia="en-US" w:bidi="ar-SA"/>
      </w:rPr>
    </w:lvl>
    <w:lvl w:ilvl="5" w:tplc="0726840E">
      <w:numFmt w:val="bullet"/>
      <w:lvlText w:val="•"/>
      <w:lvlJc w:val="left"/>
      <w:pPr>
        <w:ind w:left="4413" w:hanging="303"/>
      </w:pPr>
      <w:rPr>
        <w:rFonts w:hint="default"/>
        <w:lang w:val="pt-PT" w:eastAsia="en-US" w:bidi="ar-SA"/>
      </w:rPr>
    </w:lvl>
    <w:lvl w:ilvl="6" w:tplc="6F2682F4">
      <w:numFmt w:val="bullet"/>
      <w:lvlText w:val="•"/>
      <w:lvlJc w:val="left"/>
      <w:pPr>
        <w:ind w:left="5275" w:hanging="303"/>
      </w:pPr>
      <w:rPr>
        <w:rFonts w:hint="default"/>
        <w:lang w:val="pt-PT" w:eastAsia="en-US" w:bidi="ar-SA"/>
      </w:rPr>
    </w:lvl>
    <w:lvl w:ilvl="7" w:tplc="3F60B1AE">
      <w:numFmt w:val="bullet"/>
      <w:lvlText w:val="•"/>
      <w:lvlJc w:val="left"/>
      <w:pPr>
        <w:ind w:left="6138" w:hanging="303"/>
      </w:pPr>
      <w:rPr>
        <w:rFonts w:hint="default"/>
        <w:lang w:val="pt-PT" w:eastAsia="en-US" w:bidi="ar-SA"/>
      </w:rPr>
    </w:lvl>
    <w:lvl w:ilvl="8" w:tplc="D78A4E26">
      <w:numFmt w:val="bullet"/>
      <w:lvlText w:val="•"/>
      <w:lvlJc w:val="left"/>
      <w:pPr>
        <w:ind w:left="7001" w:hanging="303"/>
      </w:pPr>
      <w:rPr>
        <w:rFonts w:hint="default"/>
        <w:lang w:val="pt-PT" w:eastAsia="en-US" w:bidi="ar-SA"/>
      </w:rPr>
    </w:lvl>
  </w:abstractNum>
  <w:abstractNum w:abstractNumId="36" w15:restartNumberingAfterBreak="0">
    <w:nsid w:val="6CA70FDA"/>
    <w:multiLevelType w:val="hybridMultilevel"/>
    <w:tmpl w:val="97D40DAA"/>
    <w:lvl w:ilvl="0" w:tplc="824C3A6C">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ADEA9AD2">
      <w:numFmt w:val="bullet"/>
      <w:lvlText w:val="•"/>
      <w:lvlJc w:val="left"/>
      <w:pPr>
        <w:ind w:left="1718" w:hanging="140"/>
      </w:pPr>
      <w:rPr>
        <w:rFonts w:hint="default"/>
        <w:lang w:val="pt-PT" w:eastAsia="en-US" w:bidi="ar-SA"/>
      </w:rPr>
    </w:lvl>
    <w:lvl w:ilvl="2" w:tplc="F0DE0844">
      <w:numFmt w:val="bullet"/>
      <w:lvlText w:val="•"/>
      <w:lvlJc w:val="left"/>
      <w:pPr>
        <w:ind w:left="2497" w:hanging="140"/>
      </w:pPr>
      <w:rPr>
        <w:rFonts w:hint="default"/>
        <w:lang w:val="pt-PT" w:eastAsia="en-US" w:bidi="ar-SA"/>
      </w:rPr>
    </w:lvl>
    <w:lvl w:ilvl="3" w:tplc="8ABE4252">
      <w:numFmt w:val="bullet"/>
      <w:lvlText w:val="•"/>
      <w:lvlJc w:val="left"/>
      <w:pPr>
        <w:ind w:left="3275" w:hanging="140"/>
      </w:pPr>
      <w:rPr>
        <w:rFonts w:hint="default"/>
        <w:lang w:val="pt-PT" w:eastAsia="en-US" w:bidi="ar-SA"/>
      </w:rPr>
    </w:lvl>
    <w:lvl w:ilvl="4" w:tplc="B1EA0998">
      <w:numFmt w:val="bullet"/>
      <w:lvlText w:val="•"/>
      <w:lvlJc w:val="left"/>
      <w:pPr>
        <w:ind w:left="4054" w:hanging="140"/>
      </w:pPr>
      <w:rPr>
        <w:rFonts w:hint="default"/>
        <w:lang w:val="pt-PT" w:eastAsia="en-US" w:bidi="ar-SA"/>
      </w:rPr>
    </w:lvl>
    <w:lvl w:ilvl="5" w:tplc="4A923556">
      <w:numFmt w:val="bullet"/>
      <w:lvlText w:val="•"/>
      <w:lvlJc w:val="left"/>
      <w:pPr>
        <w:ind w:left="4833" w:hanging="140"/>
      </w:pPr>
      <w:rPr>
        <w:rFonts w:hint="default"/>
        <w:lang w:val="pt-PT" w:eastAsia="en-US" w:bidi="ar-SA"/>
      </w:rPr>
    </w:lvl>
    <w:lvl w:ilvl="6" w:tplc="88F499CA">
      <w:numFmt w:val="bullet"/>
      <w:lvlText w:val="•"/>
      <w:lvlJc w:val="left"/>
      <w:pPr>
        <w:ind w:left="5611" w:hanging="140"/>
      </w:pPr>
      <w:rPr>
        <w:rFonts w:hint="default"/>
        <w:lang w:val="pt-PT" w:eastAsia="en-US" w:bidi="ar-SA"/>
      </w:rPr>
    </w:lvl>
    <w:lvl w:ilvl="7" w:tplc="43A0E714">
      <w:numFmt w:val="bullet"/>
      <w:lvlText w:val="•"/>
      <w:lvlJc w:val="left"/>
      <w:pPr>
        <w:ind w:left="6390" w:hanging="140"/>
      </w:pPr>
      <w:rPr>
        <w:rFonts w:hint="default"/>
        <w:lang w:val="pt-PT" w:eastAsia="en-US" w:bidi="ar-SA"/>
      </w:rPr>
    </w:lvl>
    <w:lvl w:ilvl="8" w:tplc="9A702ABA">
      <w:numFmt w:val="bullet"/>
      <w:lvlText w:val="•"/>
      <w:lvlJc w:val="left"/>
      <w:pPr>
        <w:ind w:left="7169" w:hanging="140"/>
      </w:pPr>
      <w:rPr>
        <w:rFonts w:hint="default"/>
        <w:lang w:val="pt-PT" w:eastAsia="en-US" w:bidi="ar-SA"/>
      </w:rPr>
    </w:lvl>
  </w:abstractNum>
  <w:abstractNum w:abstractNumId="37" w15:restartNumberingAfterBreak="0">
    <w:nsid w:val="6D2031DA"/>
    <w:multiLevelType w:val="hybridMultilevel"/>
    <w:tmpl w:val="3CF28B3A"/>
    <w:lvl w:ilvl="0" w:tplc="D99E1CEA">
      <w:start w:val="1"/>
      <w:numFmt w:val="upperRoman"/>
      <w:lvlText w:val="%1 -"/>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8" w15:restartNumberingAfterBreak="0">
    <w:nsid w:val="6E36589E"/>
    <w:multiLevelType w:val="hybridMultilevel"/>
    <w:tmpl w:val="D3DE90B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9" w15:restartNumberingAfterBreak="0">
    <w:nsid w:val="717B50BD"/>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38"/>
  </w:num>
  <w:num w:numId="2">
    <w:abstractNumId w:val="37"/>
  </w:num>
  <w:num w:numId="3">
    <w:abstractNumId w:val="28"/>
  </w:num>
  <w:num w:numId="4">
    <w:abstractNumId w:val="2"/>
  </w:num>
  <w:num w:numId="5">
    <w:abstractNumId w:val="15"/>
  </w:num>
  <w:num w:numId="6">
    <w:abstractNumId w:val="31"/>
  </w:num>
  <w:num w:numId="7">
    <w:abstractNumId w:val="17"/>
  </w:num>
  <w:num w:numId="8">
    <w:abstractNumId w:val="18"/>
  </w:num>
  <w:num w:numId="9">
    <w:abstractNumId w:val="6"/>
  </w:num>
  <w:num w:numId="10">
    <w:abstractNumId w:val="22"/>
  </w:num>
  <w:num w:numId="11">
    <w:abstractNumId w:val="30"/>
  </w:num>
  <w:num w:numId="12">
    <w:abstractNumId w:val="11"/>
  </w:num>
  <w:num w:numId="13">
    <w:abstractNumId w:val="14"/>
  </w:num>
  <w:num w:numId="14">
    <w:abstractNumId w:val="12"/>
  </w:num>
  <w:num w:numId="15">
    <w:abstractNumId w:val="36"/>
  </w:num>
  <w:num w:numId="16">
    <w:abstractNumId w:val="10"/>
  </w:num>
  <w:num w:numId="17">
    <w:abstractNumId w:val="35"/>
  </w:num>
  <w:num w:numId="18">
    <w:abstractNumId w:val="19"/>
  </w:num>
  <w:num w:numId="19">
    <w:abstractNumId w:val="33"/>
  </w:num>
  <w:num w:numId="20">
    <w:abstractNumId w:val="25"/>
  </w:num>
  <w:num w:numId="21">
    <w:abstractNumId w:val="5"/>
  </w:num>
  <w:num w:numId="22">
    <w:abstractNumId w:val="21"/>
  </w:num>
  <w:num w:numId="23">
    <w:abstractNumId w:val="29"/>
  </w:num>
  <w:num w:numId="24">
    <w:abstractNumId w:val="24"/>
  </w:num>
  <w:num w:numId="25">
    <w:abstractNumId w:val="16"/>
  </w:num>
  <w:num w:numId="26">
    <w:abstractNumId w:val="39"/>
  </w:num>
  <w:num w:numId="27">
    <w:abstractNumId w:val="4"/>
  </w:num>
  <w:num w:numId="28">
    <w:abstractNumId w:val="27"/>
  </w:num>
  <w:num w:numId="29">
    <w:abstractNumId w:val="3"/>
  </w:num>
  <w:num w:numId="30">
    <w:abstractNumId w:val="1"/>
  </w:num>
  <w:num w:numId="31">
    <w:abstractNumId w:val="7"/>
  </w:num>
  <w:num w:numId="32">
    <w:abstractNumId w:val="20"/>
  </w:num>
  <w:num w:numId="33">
    <w:abstractNumId w:val="9"/>
  </w:num>
  <w:num w:numId="34">
    <w:abstractNumId w:val="13"/>
  </w:num>
  <w:num w:numId="35">
    <w:abstractNumId w:val="34"/>
  </w:num>
  <w:num w:numId="36">
    <w:abstractNumId w:val="32"/>
  </w:num>
  <w:num w:numId="37">
    <w:abstractNumId w:val="26"/>
  </w:num>
  <w:num w:numId="38">
    <w:abstractNumId w:val="23"/>
  </w:num>
  <w:num w:numId="39">
    <w:abstractNumId w:val="8"/>
  </w:num>
  <w:num w:numId="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2B08"/>
    <w:rsid w:val="00000DDD"/>
    <w:rsid w:val="000053DA"/>
    <w:rsid w:val="00022AC2"/>
    <w:rsid w:val="0002337A"/>
    <w:rsid w:val="000234E6"/>
    <w:rsid w:val="000276E5"/>
    <w:rsid w:val="000323B8"/>
    <w:rsid w:val="00032400"/>
    <w:rsid w:val="0003534F"/>
    <w:rsid w:val="000441B9"/>
    <w:rsid w:val="00045188"/>
    <w:rsid w:val="00047394"/>
    <w:rsid w:val="00052B22"/>
    <w:rsid w:val="00054806"/>
    <w:rsid w:val="000558FB"/>
    <w:rsid w:val="000629C5"/>
    <w:rsid w:val="00065348"/>
    <w:rsid w:val="000707BA"/>
    <w:rsid w:val="000721AD"/>
    <w:rsid w:val="0007653E"/>
    <w:rsid w:val="00076A65"/>
    <w:rsid w:val="00082638"/>
    <w:rsid w:val="00093B42"/>
    <w:rsid w:val="00094D22"/>
    <w:rsid w:val="00096688"/>
    <w:rsid w:val="000C5C6E"/>
    <w:rsid w:val="000D6B79"/>
    <w:rsid w:val="000D715E"/>
    <w:rsid w:val="000D7196"/>
    <w:rsid w:val="000D7438"/>
    <w:rsid w:val="000E0431"/>
    <w:rsid w:val="000E18EE"/>
    <w:rsid w:val="000E1B34"/>
    <w:rsid w:val="000E4F34"/>
    <w:rsid w:val="000F7568"/>
    <w:rsid w:val="00102B08"/>
    <w:rsid w:val="00104C43"/>
    <w:rsid w:val="0010524E"/>
    <w:rsid w:val="0011223B"/>
    <w:rsid w:val="0011498C"/>
    <w:rsid w:val="00116AD8"/>
    <w:rsid w:val="00121E2D"/>
    <w:rsid w:val="0012386E"/>
    <w:rsid w:val="0012568F"/>
    <w:rsid w:val="0013072A"/>
    <w:rsid w:val="00132430"/>
    <w:rsid w:val="00132AAD"/>
    <w:rsid w:val="00135E1F"/>
    <w:rsid w:val="00143074"/>
    <w:rsid w:val="001432CF"/>
    <w:rsid w:val="00144083"/>
    <w:rsid w:val="00152A71"/>
    <w:rsid w:val="00153168"/>
    <w:rsid w:val="00155EEB"/>
    <w:rsid w:val="00163CC6"/>
    <w:rsid w:val="0017266A"/>
    <w:rsid w:val="00175DBF"/>
    <w:rsid w:val="001835E5"/>
    <w:rsid w:val="001A7F25"/>
    <w:rsid w:val="001B0527"/>
    <w:rsid w:val="001C137A"/>
    <w:rsid w:val="001D34B9"/>
    <w:rsid w:val="001D43FE"/>
    <w:rsid w:val="001D7A5F"/>
    <w:rsid w:val="001E0B9A"/>
    <w:rsid w:val="001E1620"/>
    <w:rsid w:val="001E3CC6"/>
    <w:rsid w:val="001E5561"/>
    <w:rsid w:val="001F0BE2"/>
    <w:rsid w:val="001F2A25"/>
    <w:rsid w:val="00206027"/>
    <w:rsid w:val="00207DDA"/>
    <w:rsid w:val="0021024D"/>
    <w:rsid w:val="00212FF6"/>
    <w:rsid w:val="00213224"/>
    <w:rsid w:val="00213500"/>
    <w:rsid w:val="00213C79"/>
    <w:rsid w:val="00220FDA"/>
    <w:rsid w:val="002248E8"/>
    <w:rsid w:val="00225EB1"/>
    <w:rsid w:val="00232753"/>
    <w:rsid w:val="00233C43"/>
    <w:rsid w:val="002343D8"/>
    <w:rsid w:val="00235F5C"/>
    <w:rsid w:val="00236C38"/>
    <w:rsid w:val="002373E5"/>
    <w:rsid w:val="00242B55"/>
    <w:rsid w:val="002471F7"/>
    <w:rsid w:val="00250A56"/>
    <w:rsid w:val="00252346"/>
    <w:rsid w:val="002529A4"/>
    <w:rsid w:val="00257251"/>
    <w:rsid w:val="002713BF"/>
    <w:rsid w:val="002739A1"/>
    <w:rsid w:val="00273B8E"/>
    <w:rsid w:val="002800D7"/>
    <w:rsid w:val="002827E0"/>
    <w:rsid w:val="00285ADC"/>
    <w:rsid w:val="00286849"/>
    <w:rsid w:val="00291C40"/>
    <w:rsid w:val="002963A7"/>
    <w:rsid w:val="002A49F6"/>
    <w:rsid w:val="002B0652"/>
    <w:rsid w:val="002C5E50"/>
    <w:rsid w:val="002C7659"/>
    <w:rsid w:val="002E284E"/>
    <w:rsid w:val="002F0AE6"/>
    <w:rsid w:val="002F28C3"/>
    <w:rsid w:val="002F2906"/>
    <w:rsid w:val="002F44DC"/>
    <w:rsid w:val="002F5AEB"/>
    <w:rsid w:val="00300D41"/>
    <w:rsid w:val="00302289"/>
    <w:rsid w:val="003075FC"/>
    <w:rsid w:val="0031202C"/>
    <w:rsid w:val="0031506B"/>
    <w:rsid w:val="003166E7"/>
    <w:rsid w:val="00317856"/>
    <w:rsid w:val="00317E4D"/>
    <w:rsid w:val="003203D9"/>
    <w:rsid w:val="00322F88"/>
    <w:rsid w:val="00326D73"/>
    <w:rsid w:val="00334E93"/>
    <w:rsid w:val="00336D9A"/>
    <w:rsid w:val="0034074B"/>
    <w:rsid w:val="003437B8"/>
    <w:rsid w:val="00350AAA"/>
    <w:rsid w:val="00361862"/>
    <w:rsid w:val="00362C6C"/>
    <w:rsid w:val="0036438E"/>
    <w:rsid w:val="0036747C"/>
    <w:rsid w:val="003700FF"/>
    <w:rsid w:val="003716CF"/>
    <w:rsid w:val="00375DFD"/>
    <w:rsid w:val="003828E4"/>
    <w:rsid w:val="00384346"/>
    <w:rsid w:val="003853DB"/>
    <w:rsid w:val="003872D3"/>
    <w:rsid w:val="00390051"/>
    <w:rsid w:val="00391447"/>
    <w:rsid w:val="00395B15"/>
    <w:rsid w:val="003A3110"/>
    <w:rsid w:val="003A4CEB"/>
    <w:rsid w:val="003A4F44"/>
    <w:rsid w:val="003A5209"/>
    <w:rsid w:val="003A5225"/>
    <w:rsid w:val="003A5C64"/>
    <w:rsid w:val="003A69CB"/>
    <w:rsid w:val="003B2C82"/>
    <w:rsid w:val="003C0C11"/>
    <w:rsid w:val="003C460A"/>
    <w:rsid w:val="003E55B1"/>
    <w:rsid w:val="003E761D"/>
    <w:rsid w:val="00401D1F"/>
    <w:rsid w:val="00407128"/>
    <w:rsid w:val="0041308E"/>
    <w:rsid w:val="0041594E"/>
    <w:rsid w:val="00421B5E"/>
    <w:rsid w:val="00422F3F"/>
    <w:rsid w:val="00432CB7"/>
    <w:rsid w:val="0043526C"/>
    <w:rsid w:val="00441305"/>
    <w:rsid w:val="00447B5E"/>
    <w:rsid w:val="00454073"/>
    <w:rsid w:val="004545D4"/>
    <w:rsid w:val="00455980"/>
    <w:rsid w:val="0046516B"/>
    <w:rsid w:val="00466C99"/>
    <w:rsid w:val="004738B5"/>
    <w:rsid w:val="00473D5A"/>
    <w:rsid w:val="00475C32"/>
    <w:rsid w:val="004765E0"/>
    <w:rsid w:val="004811C0"/>
    <w:rsid w:val="00497B56"/>
    <w:rsid w:val="004A1279"/>
    <w:rsid w:val="004B5D38"/>
    <w:rsid w:val="004C13EE"/>
    <w:rsid w:val="004C3991"/>
    <w:rsid w:val="004C5F6B"/>
    <w:rsid w:val="004D08B9"/>
    <w:rsid w:val="004E309B"/>
    <w:rsid w:val="004F02B7"/>
    <w:rsid w:val="00501B7F"/>
    <w:rsid w:val="00505151"/>
    <w:rsid w:val="00507194"/>
    <w:rsid w:val="00512036"/>
    <w:rsid w:val="00512EC1"/>
    <w:rsid w:val="00512F76"/>
    <w:rsid w:val="00515FF4"/>
    <w:rsid w:val="005222CD"/>
    <w:rsid w:val="00544560"/>
    <w:rsid w:val="0055641D"/>
    <w:rsid w:val="00557891"/>
    <w:rsid w:val="00563A3E"/>
    <w:rsid w:val="005664D3"/>
    <w:rsid w:val="00567908"/>
    <w:rsid w:val="00570253"/>
    <w:rsid w:val="0057353C"/>
    <w:rsid w:val="005744DA"/>
    <w:rsid w:val="00576BDF"/>
    <w:rsid w:val="00577B9D"/>
    <w:rsid w:val="005816F7"/>
    <w:rsid w:val="005819E7"/>
    <w:rsid w:val="005850BC"/>
    <w:rsid w:val="005A3A64"/>
    <w:rsid w:val="005B2C1B"/>
    <w:rsid w:val="005B6AC3"/>
    <w:rsid w:val="005C215E"/>
    <w:rsid w:val="005C27CC"/>
    <w:rsid w:val="005C49B0"/>
    <w:rsid w:val="005C4CEF"/>
    <w:rsid w:val="005D694E"/>
    <w:rsid w:val="005F2AE8"/>
    <w:rsid w:val="0060532A"/>
    <w:rsid w:val="00610D87"/>
    <w:rsid w:val="0062427C"/>
    <w:rsid w:val="006304AB"/>
    <w:rsid w:val="00632184"/>
    <w:rsid w:val="00637FD8"/>
    <w:rsid w:val="006408E6"/>
    <w:rsid w:val="00645006"/>
    <w:rsid w:val="0065119B"/>
    <w:rsid w:val="0066053A"/>
    <w:rsid w:val="0066386E"/>
    <w:rsid w:val="00664E7F"/>
    <w:rsid w:val="00676780"/>
    <w:rsid w:val="00680945"/>
    <w:rsid w:val="00695DCB"/>
    <w:rsid w:val="006A77E5"/>
    <w:rsid w:val="006C0774"/>
    <w:rsid w:val="006C684F"/>
    <w:rsid w:val="006D1F21"/>
    <w:rsid w:val="006E1B96"/>
    <w:rsid w:val="006E4562"/>
    <w:rsid w:val="006E4751"/>
    <w:rsid w:val="006E777A"/>
    <w:rsid w:val="006F29A5"/>
    <w:rsid w:val="006F2FC1"/>
    <w:rsid w:val="0071363D"/>
    <w:rsid w:val="00713D44"/>
    <w:rsid w:val="00721742"/>
    <w:rsid w:val="00726C61"/>
    <w:rsid w:val="00732C5A"/>
    <w:rsid w:val="007379C4"/>
    <w:rsid w:val="00750039"/>
    <w:rsid w:val="007563C7"/>
    <w:rsid w:val="00761DDF"/>
    <w:rsid w:val="007637F6"/>
    <w:rsid w:val="00763EA4"/>
    <w:rsid w:val="0076544C"/>
    <w:rsid w:val="00766CEE"/>
    <w:rsid w:val="0077023A"/>
    <w:rsid w:val="00770A20"/>
    <w:rsid w:val="007716BA"/>
    <w:rsid w:val="00771D10"/>
    <w:rsid w:val="00787956"/>
    <w:rsid w:val="00793262"/>
    <w:rsid w:val="007936BA"/>
    <w:rsid w:val="00795F6A"/>
    <w:rsid w:val="007A047D"/>
    <w:rsid w:val="007A3B8B"/>
    <w:rsid w:val="007A6538"/>
    <w:rsid w:val="007C1192"/>
    <w:rsid w:val="007D73FB"/>
    <w:rsid w:val="007D7CB9"/>
    <w:rsid w:val="007E1A49"/>
    <w:rsid w:val="007E2D54"/>
    <w:rsid w:val="007F319D"/>
    <w:rsid w:val="007F63DA"/>
    <w:rsid w:val="007F7396"/>
    <w:rsid w:val="0080581C"/>
    <w:rsid w:val="00810ABA"/>
    <w:rsid w:val="00810E2E"/>
    <w:rsid w:val="00813D6B"/>
    <w:rsid w:val="008154D4"/>
    <w:rsid w:val="0081692F"/>
    <w:rsid w:val="00821CBD"/>
    <w:rsid w:val="00823270"/>
    <w:rsid w:val="00834245"/>
    <w:rsid w:val="008344C3"/>
    <w:rsid w:val="00843426"/>
    <w:rsid w:val="00846A7A"/>
    <w:rsid w:val="00850267"/>
    <w:rsid w:val="008514E5"/>
    <w:rsid w:val="0085289B"/>
    <w:rsid w:val="00857030"/>
    <w:rsid w:val="00864A1F"/>
    <w:rsid w:val="0087673D"/>
    <w:rsid w:val="00876894"/>
    <w:rsid w:val="00880215"/>
    <w:rsid w:val="008A244D"/>
    <w:rsid w:val="008A4B25"/>
    <w:rsid w:val="008B6179"/>
    <w:rsid w:val="008C0891"/>
    <w:rsid w:val="008C193C"/>
    <w:rsid w:val="008C2353"/>
    <w:rsid w:val="008E2823"/>
    <w:rsid w:val="008E340F"/>
    <w:rsid w:val="00900FB5"/>
    <w:rsid w:val="009012B4"/>
    <w:rsid w:val="009014B5"/>
    <w:rsid w:val="0090245C"/>
    <w:rsid w:val="00905CEC"/>
    <w:rsid w:val="009063C7"/>
    <w:rsid w:val="009068E9"/>
    <w:rsid w:val="00907809"/>
    <w:rsid w:val="00915A9C"/>
    <w:rsid w:val="00916F5D"/>
    <w:rsid w:val="00923963"/>
    <w:rsid w:val="00925DE4"/>
    <w:rsid w:val="00931728"/>
    <w:rsid w:val="00940514"/>
    <w:rsid w:val="009443F4"/>
    <w:rsid w:val="0094794C"/>
    <w:rsid w:val="0095227C"/>
    <w:rsid w:val="009569BF"/>
    <w:rsid w:val="00972221"/>
    <w:rsid w:val="00986634"/>
    <w:rsid w:val="00991D17"/>
    <w:rsid w:val="00995A43"/>
    <w:rsid w:val="009A095B"/>
    <w:rsid w:val="009A0EFA"/>
    <w:rsid w:val="009A6713"/>
    <w:rsid w:val="009A70E3"/>
    <w:rsid w:val="009A7D3B"/>
    <w:rsid w:val="009B1987"/>
    <w:rsid w:val="009B687A"/>
    <w:rsid w:val="009C51F0"/>
    <w:rsid w:val="009C5A35"/>
    <w:rsid w:val="009C5A6E"/>
    <w:rsid w:val="009D0125"/>
    <w:rsid w:val="009E5362"/>
    <w:rsid w:val="009E66DB"/>
    <w:rsid w:val="009F01A7"/>
    <w:rsid w:val="009F34B3"/>
    <w:rsid w:val="009F55BA"/>
    <w:rsid w:val="009F5E5E"/>
    <w:rsid w:val="00A10EBD"/>
    <w:rsid w:val="00A157C6"/>
    <w:rsid w:val="00A16B0B"/>
    <w:rsid w:val="00A24E18"/>
    <w:rsid w:val="00A26C21"/>
    <w:rsid w:val="00A27DB2"/>
    <w:rsid w:val="00A36EE3"/>
    <w:rsid w:val="00A408DB"/>
    <w:rsid w:val="00A42A70"/>
    <w:rsid w:val="00A550C3"/>
    <w:rsid w:val="00A555DC"/>
    <w:rsid w:val="00A571B7"/>
    <w:rsid w:val="00A64B2B"/>
    <w:rsid w:val="00A6584C"/>
    <w:rsid w:val="00A70D16"/>
    <w:rsid w:val="00A72E5B"/>
    <w:rsid w:val="00A81AC2"/>
    <w:rsid w:val="00A8734C"/>
    <w:rsid w:val="00A9071B"/>
    <w:rsid w:val="00A92A85"/>
    <w:rsid w:val="00A92F83"/>
    <w:rsid w:val="00A943CF"/>
    <w:rsid w:val="00A95720"/>
    <w:rsid w:val="00A95FA0"/>
    <w:rsid w:val="00A974C3"/>
    <w:rsid w:val="00AA2CB0"/>
    <w:rsid w:val="00AB0F36"/>
    <w:rsid w:val="00AB10EC"/>
    <w:rsid w:val="00AB31DD"/>
    <w:rsid w:val="00AC4555"/>
    <w:rsid w:val="00AC62C5"/>
    <w:rsid w:val="00AE0FD8"/>
    <w:rsid w:val="00AF1AA4"/>
    <w:rsid w:val="00AF2884"/>
    <w:rsid w:val="00AF38B1"/>
    <w:rsid w:val="00AF69CA"/>
    <w:rsid w:val="00B06E16"/>
    <w:rsid w:val="00B1001F"/>
    <w:rsid w:val="00B12600"/>
    <w:rsid w:val="00B14FDC"/>
    <w:rsid w:val="00B3077C"/>
    <w:rsid w:val="00B53025"/>
    <w:rsid w:val="00B55DE8"/>
    <w:rsid w:val="00B61B89"/>
    <w:rsid w:val="00B61D5D"/>
    <w:rsid w:val="00B632AE"/>
    <w:rsid w:val="00B65766"/>
    <w:rsid w:val="00B72B56"/>
    <w:rsid w:val="00B74C19"/>
    <w:rsid w:val="00B765B8"/>
    <w:rsid w:val="00B77036"/>
    <w:rsid w:val="00B80D50"/>
    <w:rsid w:val="00B82058"/>
    <w:rsid w:val="00B90477"/>
    <w:rsid w:val="00B93BCC"/>
    <w:rsid w:val="00B97247"/>
    <w:rsid w:val="00BA3CDC"/>
    <w:rsid w:val="00BC2200"/>
    <w:rsid w:val="00BC2E71"/>
    <w:rsid w:val="00BC4F90"/>
    <w:rsid w:val="00BD11C2"/>
    <w:rsid w:val="00BD3927"/>
    <w:rsid w:val="00BD68E5"/>
    <w:rsid w:val="00BE61B0"/>
    <w:rsid w:val="00BE7865"/>
    <w:rsid w:val="00BF5F95"/>
    <w:rsid w:val="00C032CE"/>
    <w:rsid w:val="00C03897"/>
    <w:rsid w:val="00C067D3"/>
    <w:rsid w:val="00C07AED"/>
    <w:rsid w:val="00C115B1"/>
    <w:rsid w:val="00C176D2"/>
    <w:rsid w:val="00C21F6F"/>
    <w:rsid w:val="00C30A20"/>
    <w:rsid w:val="00C3118D"/>
    <w:rsid w:val="00C41C08"/>
    <w:rsid w:val="00C43435"/>
    <w:rsid w:val="00C46984"/>
    <w:rsid w:val="00C47D85"/>
    <w:rsid w:val="00C63842"/>
    <w:rsid w:val="00C70B0C"/>
    <w:rsid w:val="00C71C12"/>
    <w:rsid w:val="00C7634E"/>
    <w:rsid w:val="00C767CA"/>
    <w:rsid w:val="00C77459"/>
    <w:rsid w:val="00C9484F"/>
    <w:rsid w:val="00C9778E"/>
    <w:rsid w:val="00CA11AA"/>
    <w:rsid w:val="00CA4202"/>
    <w:rsid w:val="00CA6243"/>
    <w:rsid w:val="00CB01E9"/>
    <w:rsid w:val="00CB0504"/>
    <w:rsid w:val="00CD0033"/>
    <w:rsid w:val="00CD4393"/>
    <w:rsid w:val="00CD4CFD"/>
    <w:rsid w:val="00CD4D33"/>
    <w:rsid w:val="00CD5BE3"/>
    <w:rsid w:val="00CD6CD3"/>
    <w:rsid w:val="00CE3D4F"/>
    <w:rsid w:val="00CF2DBF"/>
    <w:rsid w:val="00D04E54"/>
    <w:rsid w:val="00D06E1F"/>
    <w:rsid w:val="00D109F0"/>
    <w:rsid w:val="00D15E26"/>
    <w:rsid w:val="00D20DF1"/>
    <w:rsid w:val="00D24295"/>
    <w:rsid w:val="00D30B33"/>
    <w:rsid w:val="00D30DC8"/>
    <w:rsid w:val="00D37FDF"/>
    <w:rsid w:val="00D402C2"/>
    <w:rsid w:val="00D417D8"/>
    <w:rsid w:val="00D444C1"/>
    <w:rsid w:val="00D45E82"/>
    <w:rsid w:val="00D543AD"/>
    <w:rsid w:val="00D54579"/>
    <w:rsid w:val="00D662BB"/>
    <w:rsid w:val="00D721F8"/>
    <w:rsid w:val="00D902B2"/>
    <w:rsid w:val="00D91BD2"/>
    <w:rsid w:val="00D95318"/>
    <w:rsid w:val="00D95D68"/>
    <w:rsid w:val="00DA5A7D"/>
    <w:rsid w:val="00DB2195"/>
    <w:rsid w:val="00DC5F56"/>
    <w:rsid w:val="00DD4BDB"/>
    <w:rsid w:val="00DE3164"/>
    <w:rsid w:val="00DE649A"/>
    <w:rsid w:val="00DF43BE"/>
    <w:rsid w:val="00DF6F43"/>
    <w:rsid w:val="00DF754E"/>
    <w:rsid w:val="00E065F4"/>
    <w:rsid w:val="00E06D4E"/>
    <w:rsid w:val="00E159E8"/>
    <w:rsid w:val="00E162D4"/>
    <w:rsid w:val="00E178AB"/>
    <w:rsid w:val="00E262A7"/>
    <w:rsid w:val="00E31838"/>
    <w:rsid w:val="00E31AEF"/>
    <w:rsid w:val="00E32897"/>
    <w:rsid w:val="00E33299"/>
    <w:rsid w:val="00E3685D"/>
    <w:rsid w:val="00E4192F"/>
    <w:rsid w:val="00E4351F"/>
    <w:rsid w:val="00E476A1"/>
    <w:rsid w:val="00E51F8B"/>
    <w:rsid w:val="00E555C5"/>
    <w:rsid w:val="00E5641A"/>
    <w:rsid w:val="00E63C7E"/>
    <w:rsid w:val="00E70B4C"/>
    <w:rsid w:val="00E745B8"/>
    <w:rsid w:val="00E74725"/>
    <w:rsid w:val="00E75946"/>
    <w:rsid w:val="00E75B46"/>
    <w:rsid w:val="00E80A19"/>
    <w:rsid w:val="00E86BD3"/>
    <w:rsid w:val="00E86BE2"/>
    <w:rsid w:val="00E87140"/>
    <w:rsid w:val="00E90989"/>
    <w:rsid w:val="00E91393"/>
    <w:rsid w:val="00E921E3"/>
    <w:rsid w:val="00E950CB"/>
    <w:rsid w:val="00E9572F"/>
    <w:rsid w:val="00EA4173"/>
    <w:rsid w:val="00EA6E74"/>
    <w:rsid w:val="00EA7F9B"/>
    <w:rsid w:val="00EB16A6"/>
    <w:rsid w:val="00EB70D1"/>
    <w:rsid w:val="00EB77BF"/>
    <w:rsid w:val="00EC189B"/>
    <w:rsid w:val="00ED37C9"/>
    <w:rsid w:val="00ED547B"/>
    <w:rsid w:val="00ED63AC"/>
    <w:rsid w:val="00ED6956"/>
    <w:rsid w:val="00ED799B"/>
    <w:rsid w:val="00ED7D87"/>
    <w:rsid w:val="00EE4393"/>
    <w:rsid w:val="00EE7FAC"/>
    <w:rsid w:val="00EF3611"/>
    <w:rsid w:val="00EF3A20"/>
    <w:rsid w:val="00EF7B2C"/>
    <w:rsid w:val="00F004B4"/>
    <w:rsid w:val="00F02E2F"/>
    <w:rsid w:val="00F05C6E"/>
    <w:rsid w:val="00F06F63"/>
    <w:rsid w:val="00F1732E"/>
    <w:rsid w:val="00F258BB"/>
    <w:rsid w:val="00F323FA"/>
    <w:rsid w:val="00F32880"/>
    <w:rsid w:val="00F341B9"/>
    <w:rsid w:val="00F373F7"/>
    <w:rsid w:val="00F40972"/>
    <w:rsid w:val="00F4471B"/>
    <w:rsid w:val="00F44ABF"/>
    <w:rsid w:val="00F47D20"/>
    <w:rsid w:val="00F567BB"/>
    <w:rsid w:val="00F60584"/>
    <w:rsid w:val="00F66347"/>
    <w:rsid w:val="00F87FC8"/>
    <w:rsid w:val="00F90430"/>
    <w:rsid w:val="00F9060B"/>
    <w:rsid w:val="00F93F44"/>
    <w:rsid w:val="00FA0FF7"/>
    <w:rsid w:val="00FA73D5"/>
    <w:rsid w:val="00FB183D"/>
    <w:rsid w:val="00FB2F63"/>
    <w:rsid w:val="00FC2BF5"/>
    <w:rsid w:val="00FE1BA4"/>
    <w:rsid w:val="00FF2278"/>
    <w:rsid w:val="00FF6BC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C3D479"/>
  <w15:docId w15:val="{121CBB1C-415E-4CA7-9466-2DA856363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har"/>
    <w:uiPriority w:val="9"/>
    <w:qFormat/>
    <w:rsid w:val="00302289"/>
    <w:pPr>
      <w:widowControl w:val="0"/>
      <w:autoSpaceDE w:val="0"/>
      <w:autoSpaceDN w:val="0"/>
      <w:spacing w:before="120" w:after="0" w:line="240" w:lineRule="auto"/>
      <w:jc w:val="center"/>
      <w:outlineLvl w:val="0"/>
    </w:pPr>
    <w:rPr>
      <w:rFonts w:ascii="Calibri" w:eastAsia="Calibri" w:hAnsi="Calibri" w:cs="Calibri"/>
      <w:b/>
      <w:bCs/>
      <w:kern w:val="0"/>
      <w:sz w:val="24"/>
      <w:szCs w:val="24"/>
      <w14:ligatures w14:val="none"/>
    </w:rPr>
  </w:style>
  <w:style w:type="paragraph" w:styleId="Ttulo3">
    <w:name w:val="heading 3"/>
    <w:basedOn w:val="Normal"/>
    <w:next w:val="Normal"/>
    <w:link w:val="Ttulo3Char"/>
    <w:uiPriority w:val="9"/>
    <w:semiHidden/>
    <w:unhideWhenUsed/>
    <w:qFormat/>
    <w:rsid w:val="00B1001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102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unhideWhenUsed/>
    <w:rsid w:val="00843426"/>
    <w:rPr>
      <w:color w:val="0563C1"/>
      <w:u w:val="single"/>
    </w:rPr>
  </w:style>
  <w:style w:type="character" w:styleId="HiperlinkVisitado">
    <w:name w:val="FollowedHyperlink"/>
    <w:basedOn w:val="Fontepargpadro"/>
    <w:uiPriority w:val="99"/>
    <w:semiHidden/>
    <w:unhideWhenUsed/>
    <w:rsid w:val="00843426"/>
    <w:rPr>
      <w:color w:val="954F72"/>
      <w:u w:val="single"/>
    </w:rPr>
  </w:style>
  <w:style w:type="paragraph" w:customStyle="1" w:styleId="msonormal0">
    <w:name w:val="msonormal"/>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font5">
    <w:name w:val="font5"/>
    <w:basedOn w:val="Normal"/>
    <w:rsid w:val="00843426"/>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6">
    <w:name w:val="font6"/>
    <w:basedOn w:val="Normal"/>
    <w:rsid w:val="00843426"/>
    <w:pPr>
      <w:spacing w:before="100" w:beforeAutospacing="1" w:after="100" w:afterAutospacing="1" w:line="240" w:lineRule="auto"/>
    </w:pPr>
    <w:rPr>
      <w:rFonts w:ascii="Times New Roman" w:eastAsia="Times New Roman" w:hAnsi="Times New Roman" w:cs="Times New Roman"/>
      <w:color w:val="162937"/>
      <w:kern w:val="0"/>
      <w:sz w:val="24"/>
      <w:szCs w:val="24"/>
      <w:lang w:eastAsia="pt-BR"/>
      <w14:ligatures w14:val="none"/>
    </w:rPr>
  </w:style>
  <w:style w:type="paragraph" w:customStyle="1" w:styleId="font7">
    <w:name w:val="font7"/>
    <w:basedOn w:val="Normal"/>
    <w:rsid w:val="00843426"/>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8">
    <w:name w:val="font8"/>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9">
    <w:name w:val="font9"/>
    <w:basedOn w:val="Normal"/>
    <w:rsid w:val="00843426"/>
    <w:pPr>
      <w:spacing w:before="100" w:beforeAutospacing="1" w:after="100" w:afterAutospacing="1" w:line="240" w:lineRule="auto"/>
    </w:pPr>
    <w:rPr>
      <w:rFonts w:ascii="Calibri" w:eastAsia="Times New Roman" w:hAnsi="Calibri" w:cs="Calibri"/>
      <w:color w:val="333333"/>
      <w:kern w:val="0"/>
      <w:sz w:val="24"/>
      <w:szCs w:val="24"/>
      <w:lang w:eastAsia="pt-BR"/>
      <w14:ligatures w14:val="none"/>
    </w:rPr>
  </w:style>
  <w:style w:type="paragraph" w:customStyle="1" w:styleId="font10">
    <w:name w:val="font10"/>
    <w:basedOn w:val="Normal"/>
    <w:rsid w:val="00843426"/>
    <w:pPr>
      <w:spacing w:before="100" w:beforeAutospacing="1" w:after="100" w:afterAutospacing="1" w:line="240" w:lineRule="auto"/>
    </w:pPr>
    <w:rPr>
      <w:rFonts w:ascii="Calibri" w:eastAsia="Times New Roman" w:hAnsi="Calibri" w:cs="Calibri"/>
      <w:kern w:val="0"/>
      <w:sz w:val="24"/>
      <w:szCs w:val="24"/>
      <w:lang w:eastAsia="pt-BR"/>
      <w14:ligatures w14:val="none"/>
    </w:rPr>
  </w:style>
  <w:style w:type="paragraph" w:customStyle="1" w:styleId="font11">
    <w:name w:val="font11"/>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2">
    <w:name w:val="font12"/>
    <w:basedOn w:val="Normal"/>
    <w:rsid w:val="00843426"/>
    <w:pPr>
      <w:spacing w:before="100" w:beforeAutospacing="1" w:after="100" w:afterAutospacing="1" w:line="240" w:lineRule="auto"/>
    </w:pPr>
    <w:rPr>
      <w:rFonts w:ascii="Calibri" w:eastAsia="Times New Roman" w:hAnsi="Calibri" w:cs="Calibri"/>
      <w:b/>
      <w:bCs/>
      <w:color w:val="162937"/>
      <w:kern w:val="0"/>
      <w:sz w:val="24"/>
      <w:szCs w:val="24"/>
      <w:lang w:eastAsia="pt-BR"/>
      <w14:ligatures w14:val="none"/>
    </w:rPr>
  </w:style>
  <w:style w:type="paragraph" w:customStyle="1" w:styleId="font13">
    <w:name w:val="font13"/>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4">
    <w:name w:val="font14"/>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5">
    <w:name w:val="font15"/>
    <w:basedOn w:val="Normal"/>
    <w:rsid w:val="00843426"/>
    <w:pPr>
      <w:spacing w:before="100" w:beforeAutospacing="1" w:after="100" w:afterAutospacing="1" w:line="240" w:lineRule="auto"/>
    </w:pPr>
    <w:rPr>
      <w:rFonts w:ascii="Calibri" w:eastAsia="Times New Roman" w:hAnsi="Calibri" w:cs="Calibri"/>
      <w:b/>
      <w:bCs/>
      <w:color w:val="333333"/>
      <w:kern w:val="0"/>
      <w:sz w:val="24"/>
      <w:szCs w:val="24"/>
      <w:lang w:eastAsia="pt-BR"/>
      <w14:ligatures w14:val="none"/>
    </w:rPr>
  </w:style>
  <w:style w:type="paragraph" w:customStyle="1" w:styleId="font16">
    <w:name w:val="font16"/>
    <w:basedOn w:val="Normal"/>
    <w:rsid w:val="00843426"/>
    <w:pPr>
      <w:spacing w:before="100" w:beforeAutospacing="1" w:after="100" w:afterAutospacing="1" w:line="240" w:lineRule="auto"/>
    </w:pPr>
    <w:rPr>
      <w:rFonts w:ascii="Calibri" w:eastAsia="Times New Roman" w:hAnsi="Calibri" w:cs="Calibri"/>
      <w:b/>
      <w:bCs/>
      <w:color w:val="FF0000"/>
      <w:kern w:val="0"/>
      <w:sz w:val="24"/>
      <w:szCs w:val="24"/>
      <w:lang w:eastAsia="pt-BR"/>
      <w14:ligatures w14:val="none"/>
    </w:rPr>
  </w:style>
  <w:style w:type="paragraph" w:customStyle="1" w:styleId="xl65">
    <w:name w:val="xl65"/>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6">
    <w:name w:val="xl66"/>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7">
    <w:name w:val="xl67"/>
    <w:basedOn w:val="Normal"/>
    <w:rsid w:val="00843426"/>
    <w:pPr>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68">
    <w:name w:val="xl68"/>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69">
    <w:name w:val="xl69"/>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0">
    <w:name w:val="xl70"/>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1">
    <w:name w:val="xl71"/>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72">
    <w:name w:val="xl72"/>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3">
    <w:name w:val="xl73"/>
    <w:basedOn w:val="Normal"/>
    <w:rsid w:val="00843426"/>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74">
    <w:name w:val="xl74"/>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75">
    <w:name w:val="xl75"/>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333333"/>
      <w:kern w:val="0"/>
      <w:sz w:val="24"/>
      <w:szCs w:val="24"/>
      <w:lang w:eastAsia="pt-BR"/>
      <w14:ligatures w14:val="none"/>
    </w:rPr>
  </w:style>
  <w:style w:type="paragraph" w:customStyle="1" w:styleId="xl76">
    <w:name w:val="xl76"/>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7">
    <w:name w:val="xl77"/>
    <w:basedOn w:val="Normal"/>
    <w:rsid w:val="00843426"/>
    <w:pPr>
      <w:shd w:val="clear" w:color="000000" w:fill="auto"/>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8">
    <w:name w:val="xl78"/>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9">
    <w:name w:val="xl79"/>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0">
    <w:name w:val="xl80"/>
    <w:basedOn w:val="Normal"/>
    <w:rsid w:val="00843426"/>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1">
    <w:name w:val="xl81"/>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82">
    <w:name w:val="xl82"/>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83">
    <w:name w:val="xl83"/>
    <w:basedOn w:val="Normal"/>
    <w:rsid w:val="00843426"/>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4">
    <w:name w:val="xl84"/>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5">
    <w:name w:val="xl85"/>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6">
    <w:name w:val="xl86"/>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7">
    <w:name w:val="xl87"/>
    <w:basedOn w:val="Normal"/>
    <w:rsid w:val="00843426"/>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8">
    <w:name w:val="xl88"/>
    <w:basedOn w:val="Normal"/>
    <w:rsid w:val="00843426"/>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9">
    <w:name w:val="xl89"/>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i/>
      <w:iCs/>
      <w:color w:val="333333"/>
      <w:kern w:val="0"/>
      <w:sz w:val="24"/>
      <w:szCs w:val="24"/>
      <w:lang w:eastAsia="pt-BR"/>
      <w14:ligatures w14:val="none"/>
    </w:rPr>
  </w:style>
  <w:style w:type="paragraph" w:customStyle="1" w:styleId="xl90">
    <w:name w:val="xl90"/>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91">
    <w:name w:val="xl91"/>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color w:val="333333"/>
      <w:kern w:val="0"/>
      <w:sz w:val="24"/>
      <w:szCs w:val="24"/>
      <w:lang w:eastAsia="pt-BR"/>
      <w14:ligatures w14:val="none"/>
    </w:rPr>
  </w:style>
  <w:style w:type="paragraph" w:customStyle="1" w:styleId="xl92">
    <w:name w:val="xl92"/>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93">
    <w:name w:val="xl93"/>
    <w:basedOn w:val="Normal"/>
    <w:rsid w:val="00843426"/>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94">
    <w:name w:val="xl94"/>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95">
    <w:name w:val="xl95"/>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96">
    <w:name w:val="xl96"/>
    <w:basedOn w:val="Normal"/>
    <w:rsid w:val="00843426"/>
    <w:pPr>
      <w:spacing w:before="100" w:beforeAutospacing="1" w:after="100" w:afterAutospacing="1" w:line="240" w:lineRule="auto"/>
      <w:jc w:val="both"/>
    </w:pPr>
    <w:rPr>
      <w:rFonts w:ascii="Times New Roman" w:eastAsia="Times New Roman" w:hAnsi="Times New Roman" w:cs="Times New Roman"/>
      <w:kern w:val="0"/>
      <w:sz w:val="24"/>
      <w:szCs w:val="24"/>
      <w:lang w:eastAsia="pt-BR"/>
      <w14:ligatures w14:val="none"/>
    </w:rPr>
  </w:style>
  <w:style w:type="paragraph" w:styleId="PargrafodaLista">
    <w:name w:val="List Paragraph"/>
    <w:basedOn w:val="Normal"/>
    <w:uiPriority w:val="34"/>
    <w:qFormat/>
    <w:rsid w:val="000E4F34"/>
    <w:pPr>
      <w:ind w:left="720"/>
      <w:contextualSpacing/>
    </w:pPr>
  </w:style>
  <w:style w:type="paragraph" w:styleId="Reviso">
    <w:name w:val="Revision"/>
    <w:hidden/>
    <w:uiPriority w:val="99"/>
    <w:semiHidden/>
    <w:rsid w:val="001E1620"/>
    <w:pPr>
      <w:spacing w:after="0" w:line="240" w:lineRule="auto"/>
    </w:pPr>
  </w:style>
  <w:style w:type="character" w:styleId="Refdecomentrio">
    <w:name w:val="annotation reference"/>
    <w:basedOn w:val="Fontepargpadro"/>
    <w:uiPriority w:val="99"/>
    <w:semiHidden/>
    <w:unhideWhenUsed/>
    <w:rsid w:val="000D7438"/>
    <w:rPr>
      <w:sz w:val="16"/>
      <w:szCs w:val="16"/>
    </w:rPr>
  </w:style>
  <w:style w:type="paragraph" w:styleId="Textodecomentrio">
    <w:name w:val="annotation text"/>
    <w:basedOn w:val="Normal"/>
    <w:link w:val="TextodecomentrioChar"/>
    <w:uiPriority w:val="99"/>
    <w:unhideWhenUsed/>
    <w:rsid w:val="000D7438"/>
    <w:pPr>
      <w:spacing w:line="240" w:lineRule="auto"/>
    </w:pPr>
    <w:rPr>
      <w:kern w:val="0"/>
      <w:sz w:val="20"/>
      <w:szCs w:val="20"/>
      <w14:ligatures w14:val="none"/>
    </w:rPr>
  </w:style>
  <w:style w:type="character" w:customStyle="1" w:styleId="TextodecomentrioChar">
    <w:name w:val="Texto de comentário Char"/>
    <w:basedOn w:val="Fontepargpadro"/>
    <w:link w:val="Textodecomentrio"/>
    <w:uiPriority w:val="99"/>
    <w:rsid w:val="000D7438"/>
    <w:rPr>
      <w:kern w:val="0"/>
      <w:sz w:val="20"/>
      <w:szCs w:val="20"/>
      <w14:ligatures w14:val="none"/>
    </w:rPr>
  </w:style>
  <w:style w:type="paragraph" w:styleId="Assuntodocomentrio">
    <w:name w:val="annotation subject"/>
    <w:basedOn w:val="Textodecomentrio"/>
    <w:next w:val="Textodecomentrio"/>
    <w:link w:val="AssuntodocomentrioChar"/>
    <w:uiPriority w:val="99"/>
    <w:semiHidden/>
    <w:unhideWhenUsed/>
    <w:rsid w:val="000D7438"/>
    <w:rPr>
      <w:b/>
      <w:bCs/>
    </w:rPr>
  </w:style>
  <w:style w:type="character" w:customStyle="1" w:styleId="AssuntodocomentrioChar">
    <w:name w:val="Assunto do comentário Char"/>
    <w:basedOn w:val="TextodecomentrioChar"/>
    <w:link w:val="Assuntodocomentrio"/>
    <w:uiPriority w:val="99"/>
    <w:semiHidden/>
    <w:rsid w:val="000D7438"/>
    <w:rPr>
      <w:b/>
      <w:bCs/>
      <w:kern w:val="0"/>
      <w:sz w:val="20"/>
      <w:szCs w:val="20"/>
      <w14:ligatures w14:val="none"/>
    </w:rPr>
  </w:style>
  <w:style w:type="paragraph" w:styleId="Corpodetexto">
    <w:name w:val="Body Text"/>
    <w:basedOn w:val="Normal"/>
    <w:link w:val="CorpodetextoChar"/>
    <w:uiPriority w:val="99"/>
    <w:qFormat/>
    <w:rsid w:val="000D7438"/>
    <w:pPr>
      <w:widowControl w:val="0"/>
      <w:autoSpaceDE w:val="0"/>
      <w:autoSpaceDN w:val="0"/>
      <w:spacing w:after="0" w:line="240" w:lineRule="auto"/>
    </w:pPr>
    <w:rPr>
      <w:rFonts w:ascii="DejaVu Serif Condensed" w:eastAsia="DejaVu Serif Condensed" w:hAnsi="DejaVu Serif Condensed" w:cs="DejaVu Serif Condensed"/>
      <w:kern w:val="0"/>
      <w:lang w:val="pt-PT"/>
      <w14:ligatures w14:val="none"/>
    </w:rPr>
  </w:style>
  <w:style w:type="character" w:customStyle="1" w:styleId="CorpodetextoChar">
    <w:name w:val="Corpo de texto Char"/>
    <w:basedOn w:val="Fontepargpadro"/>
    <w:link w:val="Corpodetexto"/>
    <w:uiPriority w:val="99"/>
    <w:rsid w:val="000D7438"/>
    <w:rPr>
      <w:rFonts w:ascii="DejaVu Serif Condensed" w:eastAsia="DejaVu Serif Condensed" w:hAnsi="DejaVu Serif Condensed" w:cs="DejaVu Serif Condensed"/>
      <w:kern w:val="0"/>
      <w:lang w:val="pt-PT"/>
      <w14:ligatures w14:val="none"/>
    </w:rPr>
  </w:style>
  <w:style w:type="paragraph" w:styleId="Textodebalo">
    <w:name w:val="Balloon Text"/>
    <w:basedOn w:val="Normal"/>
    <w:link w:val="TextodebaloChar"/>
    <w:uiPriority w:val="99"/>
    <w:semiHidden/>
    <w:unhideWhenUsed/>
    <w:rsid w:val="000D7438"/>
    <w:pPr>
      <w:spacing w:after="0" w:line="240" w:lineRule="auto"/>
    </w:pPr>
    <w:rPr>
      <w:rFonts w:ascii="Tahoma" w:hAnsi="Tahoma" w:cs="Tahoma"/>
      <w:kern w:val="0"/>
      <w:sz w:val="16"/>
      <w:szCs w:val="16"/>
      <w14:ligatures w14:val="none"/>
    </w:rPr>
  </w:style>
  <w:style w:type="character" w:customStyle="1" w:styleId="TextodebaloChar">
    <w:name w:val="Texto de balão Char"/>
    <w:basedOn w:val="Fontepargpadro"/>
    <w:link w:val="Textodebalo"/>
    <w:uiPriority w:val="99"/>
    <w:semiHidden/>
    <w:rsid w:val="000D7438"/>
    <w:rPr>
      <w:rFonts w:ascii="Tahoma" w:hAnsi="Tahoma" w:cs="Tahoma"/>
      <w:kern w:val="0"/>
      <w:sz w:val="16"/>
      <w:szCs w:val="16"/>
      <w14:ligatures w14:val="none"/>
    </w:rPr>
  </w:style>
  <w:style w:type="paragraph" w:styleId="Cabealho">
    <w:name w:val="header"/>
    <w:basedOn w:val="Normal"/>
    <w:link w:val="CabealhoChar"/>
    <w:uiPriority w:val="99"/>
    <w:unhideWhenUsed/>
    <w:rsid w:val="000D7438"/>
    <w:pPr>
      <w:tabs>
        <w:tab w:val="center" w:pos="4252"/>
        <w:tab w:val="right" w:pos="8504"/>
      </w:tabs>
      <w:spacing w:after="0" w:line="240" w:lineRule="auto"/>
    </w:pPr>
    <w:rPr>
      <w:kern w:val="0"/>
      <w14:ligatures w14:val="none"/>
    </w:rPr>
  </w:style>
  <w:style w:type="character" w:customStyle="1" w:styleId="CabealhoChar">
    <w:name w:val="Cabeçalho Char"/>
    <w:basedOn w:val="Fontepargpadro"/>
    <w:link w:val="Cabealho"/>
    <w:uiPriority w:val="99"/>
    <w:rsid w:val="000D7438"/>
    <w:rPr>
      <w:kern w:val="0"/>
      <w14:ligatures w14:val="none"/>
    </w:rPr>
  </w:style>
  <w:style w:type="paragraph" w:styleId="Rodap">
    <w:name w:val="footer"/>
    <w:basedOn w:val="Normal"/>
    <w:link w:val="RodapChar"/>
    <w:uiPriority w:val="99"/>
    <w:unhideWhenUsed/>
    <w:rsid w:val="000D7438"/>
    <w:pPr>
      <w:tabs>
        <w:tab w:val="center" w:pos="4252"/>
        <w:tab w:val="right" w:pos="8504"/>
      </w:tabs>
      <w:spacing w:after="0" w:line="240" w:lineRule="auto"/>
    </w:pPr>
    <w:rPr>
      <w:kern w:val="0"/>
      <w14:ligatures w14:val="none"/>
    </w:rPr>
  </w:style>
  <w:style w:type="character" w:customStyle="1" w:styleId="RodapChar">
    <w:name w:val="Rodapé Char"/>
    <w:basedOn w:val="Fontepargpadro"/>
    <w:link w:val="Rodap"/>
    <w:uiPriority w:val="99"/>
    <w:rsid w:val="000D7438"/>
    <w:rPr>
      <w:kern w:val="0"/>
      <w14:ligatures w14:val="none"/>
    </w:rPr>
  </w:style>
  <w:style w:type="character" w:styleId="TextodoEspaoReservado">
    <w:name w:val="Placeholder Text"/>
    <w:basedOn w:val="Fontepargpadro"/>
    <w:uiPriority w:val="99"/>
    <w:semiHidden/>
    <w:rsid w:val="000D7438"/>
    <w:rPr>
      <w:color w:val="808080"/>
    </w:rPr>
  </w:style>
  <w:style w:type="paragraph" w:customStyle="1" w:styleId="font0">
    <w:name w:val="font0"/>
    <w:basedOn w:val="Normal"/>
    <w:rsid w:val="000D7438"/>
    <w:pPr>
      <w:spacing w:before="100" w:beforeAutospacing="1" w:after="100" w:afterAutospacing="1" w:line="240" w:lineRule="auto"/>
    </w:pPr>
    <w:rPr>
      <w:rFonts w:ascii="Calibri" w:eastAsia="Times New Roman" w:hAnsi="Calibri" w:cs="Calibri"/>
      <w:color w:val="000000"/>
      <w:kern w:val="0"/>
      <w:lang w:eastAsia="pt-BR"/>
      <w14:ligatures w14:val="none"/>
    </w:rPr>
  </w:style>
  <w:style w:type="paragraph" w:styleId="NormalWeb">
    <w:name w:val="Normal (Web)"/>
    <w:basedOn w:val="Normal"/>
    <w:uiPriority w:val="99"/>
    <w:unhideWhenUsed/>
    <w:rsid w:val="000D7438"/>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customStyle="1" w:styleId="cf01">
    <w:name w:val="cf01"/>
    <w:basedOn w:val="Fontepargpadro"/>
    <w:rsid w:val="000D7438"/>
    <w:rPr>
      <w:rFonts w:ascii="Segoe UI" w:hAnsi="Segoe UI" w:cs="Segoe UI" w:hint="default"/>
      <w:sz w:val="18"/>
      <w:szCs w:val="18"/>
    </w:rPr>
  </w:style>
  <w:style w:type="character" w:customStyle="1" w:styleId="Ttulo1Char">
    <w:name w:val="Título 1 Char"/>
    <w:basedOn w:val="Fontepargpadro"/>
    <w:link w:val="Ttulo1"/>
    <w:uiPriority w:val="9"/>
    <w:rsid w:val="00302289"/>
    <w:rPr>
      <w:rFonts w:ascii="Calibri" w:eastAsia="Calibri" w:hAnsi="Calibri" w:cs="Calibri"/>
      <w:b/>
      <w:bCs/>
      <w:kern w:val="0"/>
      <w:sz w:val="24"/>
      <w:szCs w:val="24"/>
      <w14:ligatures w14:val="none"/>
    </w:rPr>
  </w:style>
  <w:style w:type="paragraph" w:customStyle="1" w:styleId="Default">
    <w:name w:val="Default"/>
    <w:rsid w:val="00302289"/>
    <w:pPr>
      <w:autoSpaceDE w:val="0"/>
      <w:autoSpaceDN w:val="0"/>
      <w:adjustRightInd w:val="0"/>
      <w:spacing w:after="0" w:line="240" w:lineRule="auto"/>
    </w:pPr>
    <w:rPr>
      <w:rFonts w:ascii="Calibri" w:hAnsi="Calibri" w:cs="Calibri"/>
      <w:color w:val="000000"/>
      <w:kern w:val="0"/>
      <w:sz w:val="24"/>
      <w:szCs w:val="24"/>
      <w14:ligatures w14:val="none"/>
    </w:rPr>
  </w:style>
  <w:style w:type="paragraph" w:customStyle="1" w:styleId="Normal1">
    <w:name w:val="Normal1"/>
    <w:rsid w:val="009B1987"/>
    <w:rPr>
      <w:rFonts w:ascii="Calibri" w:eastAsia="Calibri" w:hAnsi="Calibri" w:cs="Calibri"/>
      <w:kern w:val="0"/>
      <w14:ligatures w14:val="none"/>
    </w:rPr>
  </w:style>
  <w:style w:type="paragraph" w:customStyle="1" w:styleId="textojustificado">
    <w:name w:val="texto_justificado"/>
    <w:basedOn w:val="Normal"/>
    <w:rsid w:val="005819E7"/>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styleId="Forte">
    <w:name w:val="Strong"/>
    <w:basedOn w:val="Fontepargpadro"/>
    <w:uiPriority w:val="22"/>
    <w:qFormat/>
    <w:rsid w:val="005819E7"/>
    <w:rPr>
      <w:b/>
      <w:bCs/>
    </w:rPr>
  </w:style>
  <w:style w:type="paragraph" w:customStyle="1" w:styleId="Normalalteradora">
    <w:name w:val="Normal alteradora"/>
    <w:basedOn w:val="Normal"/>
    <w:link w:val="NormalalteradoraChar"/>
    <w:qFormat/>
    <w:rsid w:val="005819E7"/>
    <w:pPr>
      <w:spacing w:before="120" w:after="120" w:line="312" w:lineRule="auto"/>
      <w:ind w:firstLine="567"/>
      <w:jc w:val="both"/>
    </w:pPr>
    <w:rPr>
      <w:rFonts w:eastAsia="Times New Roman"/>
      <w:kern w:val="0"/>
      <w:sz w:val="24"/>
      <w:szCs w:val="24"/>
      <w:lang w:eastAsia="pt-BR"/>
      <w14:ligatures w14:val="none"/>
    </w:rPr>
  </w:style>
  <w:style w:type="character" w:customStyle="1" w:styleId="NormalalteradoraChar">
    <w:name w:val="Normal alteradora Char"/>
    <w:basedOn w:val="Fontepargpadro"/>
    <w:link w:val="Normalalteradora"/>
    <w:rsid w:val="005819E7"/>
    <w:rPr>
      <w:rFonts w:eastAsia="Times New Roman"/>
      <w:kern w:val="0"/>
      <w:sz w:val="24"/>
      <w:szCs w:val="24"/>
      <w:lang w:eastAsia="pt-BR"/>
      <w14:ligatures w14:val="none"/>
    </w:rPr>
  </w:style>
  <w:style w:type="character" w:styleId="nfase">
    <w:name w:val="Emphasis"/>
    <w:basedOn w:val="Fontepargpadro"/>
    <w:uiPriority w:val="20"/>
    <w:qFormat/>
    <w:rsid w:val="00D95318"/>
    <w:rPr>
      <w:i/>
      <w:iCs/>
    </w:rPr>
  </w:style>
  <w:style w:type="paragraph" w:customStyle="1" w:styleId="legislacao-ementa">
    <w:name w:val="legislacao-ementa"/>
    <w:basedOn w:val="Normal"/>
    <w:rsid w:val="00E86BD3"/>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customStyle="1" w:styleId="Ttulo3Char">
    <w:name w:val="Título 3 Char"/>
    <w:basedOn w:val="Fontepargpadro"/>
    <w:link w:val="Ttulo3"/>
    <w:uiPriority w:val="9"/>
    <w:semiHidden/>
    <w:rsid w:val="00B1001F"/>
    <w:rPr>
      <w:rFonts w:asciiTheme="majorHAnsi" w:eastAsiaTheme="majorEastAsia" w:hAnsiTheme="majorHAnsi" w:cstheme="majorBidi"/>
      <w:color w:val="1F3763" w:themeColor="accent1" w:themeShade="7F"/>
      <w:sz w:val="24"/>
      <w:szCs w:val="24"/>
    </w:rPr>
  </w:style>
  <w:style w:type="character" w:customStyle="1" w:styleId="UnresolvedMention">
    <w:name w:val="Unresolved Mention"/>
    <w:basedOn w:val="Fontepargpadro"/>
    <w:uiPriority w:val="99"/>
    <w:semiHidden/>
    <w:unhideWhenUsed/>
    <w:rsid w:val="008C19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0640892">
      <w:bodyDiv w:val="1"/>
      <w:marLeft w:val="0"/>
      <w:marRight w:val="0"/>
      <w:marTop w:val="0"/>
      <w:marBottom w:val="0"/>
      <w:divBdr>
        <w:top w:val="none" w:sz="0" w:space="0" w:color="auto"/>
        <w:left w:val="none" w:sz="0" w:space="0" w:color="auto"/>
        <w:bottom w:val="none" w:sz="0" w:space="0" w:color="auto"/>
        <w:right w:val="none" w:sz="0" w:space="0" w:color="auto"/>
      </w:divBdr>
    </w:div>
    <w:div w:id="1028726686">
      <w:bodyDiv w:val="1"/>
      <w:marLeft w:val="0"/>
      <w:marRight w:val="0"/>
      <w:marTop w:val="0"/>
      <w:marBottom w:val="0"/>
      <w:divBdr>
        <w:top w:val="none" w:sz="0" w:space="0" w:color="auto"/>
        <w:left w:val="none" w:sz="0" w:space="0" w:color="auto"/>
        <w:bottom w:val="none" w:sz="0" w:space="0" w:color="auto"/>
        <w:right w:val="none" w:sz="0" w:space="0" w:color="auto"/>
      </w:divBdr>
    </w:div>
    <w:div w:id="1143501579">
      <w:bodyDiv w:val="1"/>
      <w:marLeft w:val="0"/>
      <w:marRight w:val="0"/>
      <w:marTop w:val="0"/>
      <w:marBottom w:val="0"/>
      <w:divBdr>
        <w:top w:val="none" w:sz="0" w:space="0" w:color="auto"/>
        <w:left w:val="none" w:sz="0" w:space="0" w:color="auto"/>
        <w:bottom w:val="none" w:sz="0" w:space="0" w:color="auto"/>
        <w:right w:val="none" w:sz="0" w:space="0" w:color="auto"/>
      </w:divBdr>
    </w:div>
    <w:div w:id="1185703890">
      <w:bodyDiv w:val="1"/>
      <w:marLeft w:val="0"/>
      <w:marRight w:val="0"/>
      <w:marTop w:val="0"/>
      <w:marBottom w:val="0"/>
      <w:divBdr>
        <w:top w:val="none" w:sz="0" w:space="0" w:color="auto"/>
        <w:left w:val="none" w:sz="0" w:space="0" w:color="auto"/>
        <w:bottom w:val="none" w:sz="0" w:space="0" w:color="auto"/>
        <w:right w:val="none" w:sz="0" w:space="0" w:color="auto"/>
      </w:divBdr>
    </w:div>
    <w:div w:id="1393113185">
      <w:bodyDiv w:val="1"/>
      <w:marLeft w:val="0"/>
      <w:marRight w:val="0"/>
      <w:marTop w:val="0"/>
      <w:marBottom w:val="0"/>
      <w:divBdr>
        <w:top w:val="none" w:sz="0" w:space="0" w:color="auto"/>
        <w:left w:val="none" w:sz="0" w:space="0" w:color="auto"/>
        <w:bottom w:val="none" w:sz="0" w:space="0" w:color="auto"/>
        <w:right w:val="none" w:sz="0" w:space="0" w:color="auto"/>
      </w:divBdr>
    </w:div>
    <w:div w:id="20072026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A74F59-D291-445C-906D-A2ABAE171C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3527</Words>
  <Characters>19046</Characters>
  <Application>Microsoft Office Word</Application>
  <DocSecurity>0</DocSecurity>
  <Lines>158</Lines>
  <Paragraphs>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Claudemiro Quintal Júnior</dc:creator>
  <cp:keywords/>
  <dc:description/>
  <cp:lastModifiedBy>Maurelio Coelho Barbosa - PREVICDF</cp:lastModifiedBy>
  <cp:revision>2</cp:revision>
  <dcterms:created xsi:type="dcterms:W3CDTF">2023-08-09T17:42:00Z</dcterms:created>
  <dcterms:modified xsi:type="dcterms:W3CDTF">2023-08-09T17:42:00Z</dcterms:modified>
</cp:coreProperties>
</file>