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F219C" w14:textId="77777777" w:rsidR="002F15CC" w:rsidRDefault="002F15CC"/>
    <w:p w14:paraId="087E42AB" w14:textId="7DFE6B1F" w:rsidR="002F15CC" w:rsidRDefault="002F15CC"/>
    <w:tbl>
      <w:tblPr>
        <w:tblStyle w:val="Tabelacomgrade"/>
        <w:tblW w:w="0" w:type="auto"/>
        <w:tblInd w:w="-289" w:type="dxa"/>
        <w:tblLook w:val="04A0" w:firstRow="1" w:lastRow="0" w:firstColumn="1" w:lastColumn="0" w:noHBand="0" w:noVBand="1"/>
      </w:tblPr>
      <w:tblGrid>
        <w:gridCol w:w="7252"/>
        <w:gridCol w:w="3107"/>
        <w:gridCol w:w="2552"/>
        <w:gridCol w:w="2505"/>
      </w:tblGrid>
      <w:tr w:rsidR="00F62F78" w:rsidRPr="00D511FC" w14:paraId="1BBA9780" w14:textId="55EEE088" w:rsidTr="00E6407C">
        <w:tc>
          <w:tcPr>
            <w:tcW w:w="7252" w:type="dxa"/>
          </w:tcPr>
          <w:p w14:paraId="1668181E" w14:textId="20B79BD5" w:rsidR="00F62F78" w:rsidRPr="008A2022" w:rsidRDefault="00F62F78" w:rsidP="005C38E7">
            <w:pPr>
              <w:spacing w:after="120"/>
              <w:jc w:val="center"/>
              <w:rPr>
                <w:rFonts w:cstheme="minorHAnsi"/>
                <w:b/>
                <w:bCs/>
                <w:sz w:val="24"/>
                <w:szCs w:val="24"/>
              </w:rPr>
            </w:pPr>
            <w:r w:rsidRPr="008A2022">
              <w:rPr>
                <w:rFonts w:cstheme="minorHAnsi"/>
                <w:b/>
                <w:bCs/>
                <w:sz w:val="24"/>
                <w:szCs w:val="24"/>
              </w:rPr>
              <w:t>REDAÇÃO PROPOSTA</w:t>
            </w:r>
          </w:p>
        </w:tc>
        <w:tc>
          <w:tcPr>
            <w:tcW w:w="3107" w:type="dxa"/>
          </w:tcPr>
          <w:p w14:paraId="3271E6C7" w14:textId="33493EED" w:rsidR="00F62F78" w:rsidRPr="008A2022" w:rsidRDefault="00F62F78" w:rsidP="005C38E7">
            <w:pPr>
              <w:spacing w:after="120"/>
              <w:jc w:val="center"/>
              <w:rPr>
                <w:rFonts w:cstheme="minorHAnsi"/>
                <w:b/>
                <w:bCs/>
                <w:sz w:val="24"/>
                <w:szCs w:val="24"/>
              </w:rPr>
            </w:pPr>
            <w:r w:rsidRPr="008A2022">
              <w:rPr>
                <w:rFonts w:cstheme="minorHAnsi"/>
                <w:b/>
                <w:bCs/>
                <w:sz w:val="24"/>
                <w:szCs w:val="24"/>
              </w:rPr>
              <w:t>SUGESTÃO</w:t>
            </w:r>
          </w:p>
        </w:tc>
        <w:tc>
          <w:tcPr>
            <w:tcW w:w="2552" w:type="dxa"/>
          </w:tcPr>
          <w:p w14:paraId="56AF3CC1" w14:textId="40E38AFD" w:rsidR="00F62F78" w:rsidRPr="008A2022" w:rsidRDefault="00F62F78" w:rsidP="005C38E7">
            <w:pPr>
              <w:spacing w:after="120"/>
              <w:jc w:val="center"/>
              <w:rPr>
                <w:rFonts w:cstheme="minorHAnsi"/>
                <w:b/>
                <w:bCs/>
                <w:sz w:val="24"/>
                <w:szCs w:val="24"/>
              </w:rPr>
            </w:pPr>
            <w:r w:rsidRPr="008A2022">
              <w:rPr>
                <w:rFonts w:cstheme="minorHAnsi"/>
                <w:b/>
                <w:bCs/>
                <w:sz w:val="24"/>
                <w:szCs w:val="24"/>
              </w:rPr>
              <w:t>JUSTIFICATIVA</w:t>
            </w:r>
          </w:p>
        </w:tc>
        <w:tc>
          <w:tcPr>
            <w:tcW w:w="2505" w:type="dxa"/>
          </w:tcPr>
          <w:p w14:paraId="4828B073" w14:textId="20F80C84" w:rsidR="00F62F78" w:rsidRPr="008A2022" w:rsidRDefault="00F62F78" w:rsidP="005C38E7">
            <w:pPr>
              <w:spacing w:after="120"/>
              <w:jc w:val="center"/>
              <w:rPr>
                <w:rFonts w:cstheme="minorHAnsi"/>
                <w:b/>
                <w:bCs/>
                <w:sz w:val="24"/>
                <w:szCs w:val="24"/>
              </w:rPr>
            </w:pPr>
            <w:r>
              <w:rPr>
                <w:rFonts w:cstheme="minorHAnsi"/>
                <w:b/>
                <w:bCs/>
                <w:sz w:val="24"/>
                <w:szCs w:val="24"/>
              </w:rPr>
              <w:t>SUGESTÃO CGO</w:t>
            </w:r>
            <w:r w:rsidR="002A3544">
              <w:rPr>
                <w:rFonts w:cstheme="minorHAnsi"/>
                <w:b/>
                <w:bCs/>
                <w:sz w:val="24"/>
                <w:szCs w:val="24"/>
              </w:rPr>
              <w:t>A</w:t>
            </w:r>
          </w:p>
        </w:tc>
      </w:tr>
      <w:tr w:rsidR="00F62F78" w:rsidRPr="00D511FC" w14:paraId="51A5830A" w14:textId="5C060CF5" w:rsidTr="00E6407C">
        <w:tc>
          <w:tcPr>
            <w:tcW w:w="7252" w:type="dxa"/>
          </w:tcPr>
          <w:p w14:paraId="36756B63" w14:textId="77777777" w:rsidR="00F62F78" w:rsidRPr="00D511FC" w:rsidRDefault="00F62F78" w:rsidP="005C38E7">
            <w:pPr>
              <w:spacing w:after="120"/>
              <w:jc w:val="center"/>
              <w:rPr>
                <w:rFonts w:cstheme="minorHAnsi"/>
                <w:sz w:val="24"/>
                <w:szCs w:val="24"/>
              </w:rPr>
            </w:pPr>
            <w:r w:rsidRPr="00D511FC">
              <w:rPr>
                <w:rFonts w:cstheme="minorHAnsi"/>
                <w:sz w:val="24"/>
                <w:szCs w:val="24"/>
              </w:rPr>
              <w:t>RESOLUÇÃO PREVIC Nº XX, DE XX DE XXXXXX DE 2023</w:t>
            </w:r>
          </w:p>
        </w:tc>
        <w:tc>
          <w:tcPr>
            <w:tcW w:w="3107" w:type="dxa"/>
          </w:tcPr>
          <w:p w14:paraId="62E315E3" w14:textId="77777777" w:rsidR="00F62F78" w:rsidRPr="00D511FC" w:rsidRDefault="00F62F78" w:rsidP="005C38E7">
            <w:pPr>
              <w:spacing w:after="120"/>
              <w:jc w:val="center"/>
              <w:rPr>
                <w:rFonts w:cstheme="minorHAnsi"/>
                <w:sz w:val="24"/>
                <w:szCs w:val="24"/>
              </w:rPr>
            </w:pPr>
          </w:p>
        </w:tc>
        <w:tc>
          <w:tcPr>
            <w:tcW w:w="2552" w:type="dxa"/>
          </w:tcPr>
          <w:p w14:paraId="4D41D57C" w14:textId="021B0D8A" w:rsidR="00F62F78" w:rsidRPr="00D511FC" w:rsidRDefault="00F62F78" w:rsidP="005C38E7">
            <w:pPr>
              <w:spacing w:after="120"/>
              <w:jc w:val="center"/>
              <w:rPr>
                <w:rFonts w:cstheme="minorHAnsi"/>
                <w:sz w:val="24"/>
                <w:szCs w:val="24"/>
              </w:rPr>
            </w:pPr>
          </w:p>
        </w:tc>
        <w:tc>
          <w:tcPr>
            <w:tcW w:w="2505" w:type="dxa"/>
          </w:tcPr>
          <w:p w14:paraId="6F2C0365" w14:textId="77777777" w:rsidR="00F62F78" w:rsidRPr="00D511FC" w:rsidRDefault="00F62F78" w:rsidP="005C38E7">
            <w:pPr>
              <w:spacing w:after="120"/>
              <w:jc w:val="center"/>
              <w:rPr>
                <w:rFonts w:cstheme="minorHAnsi"/>
                <w:sz w:val="24"/>
                <w:szCs w:val="24"/>
              </w:rPr>
            </w:pPr>
          </w:p>
        </w:tc>
      </w:tr>
      <w:tr w:rsidR="00F62F78" w:rsidRPr="00D511FC" w14:paraId="1B1A0273" w14:textId="57AC84B6" w:rsidTr="00E6407C">
        <w:tc>
          <w:tcPr>
            <w:tcW w:w="7252" w:type="dxa"/>
          </w:tcPr>
          <w:p w14:paraId="32484F61" w14:textId="77777777" w:rsidR="00F62F78" w:rsidRPr="00D511FC" w:rsidRDefault="00F62F78" w:rsidP="005C38E7">
            <w:pPr>
              <w:spacing w:after="120"/>
              <w:jc w:val="center"/>
              <w:rPr>
                <w:rFonts w:ascii="Calibri" w:hAnsi="Calibri"/>
                <w:sz w:val="24"/>
                <w:szCs w:val="24"/>
              </w:rPr>
            </w:pPr>
            <w:r w:rsidRPr="00D511FC">
              <w:rPr>
                <w:rFonts w:ascii="Calibri" w:hAnsi="Calibri"/>
                <w:sz w:val="24"/>
                <w:szCs w:val="24"/>
              </w:rPr>
              <w:t>CAPÍTULO III</w:t>
            </w:r>
          </w:p>
        </w:tc>
        <w:tc>
          <w:tcPr>
            <w:tcW w:w="3107" w:type="dxa"/>
          </w:tcPr>
          <w:p w14:paraId="2E824FEC" w14:textId="77777777" w:rsidR="00F62F78" w:rsidRPr="00D511FC" w:rsidRDefault="00F62F78" w:rsidP="005C38E7">
            <w:pPr>
              <w:spacing w:after="120"/>
              <w:jc w:val="center"/>
              <w:rPr>
                <w:rFonts w:ascii="Calibri" w:hAnsi="Calibri"/>
                <w:sz w:val="24"/>
                <w:szCs w:val="24"/>
              </w:rPr>
            </w:pPr>
          </w:p>
        </w:tc>
        <w:tc>
          <w:tcPr>
            <w:tcW w:w="2552" w:type="dxa"/>
          </w:tcPr>
          <w:p w14:paraId="627EA1E7" w14:textId="03249C06" w:rsidR="00F62F78" w:rsidRPr="00D511FC" w:rsidRDefault="00F62F78" w:rsidP="005C38E7">
            <w:pPr>
              <w:spacing w:after="120"/>
              <w:jc w:val="center"/>
              <w:rPr>
                <w:rFonts w:ascii="Calibri" w:hAnsi="Calibri"/>
                <w:sz w:val="24"/>
                <w:szCs w:val="24"/>
              </w:rPr>
            </w:pPr>
          </w:p>
        </w:tc>
        <w:tc>
          <w:tcPr>
            <w:tcW w:w="2505" w:type="dxa"/>
          </w:tcPr>
          <w:p w14:paraId="106C281D" w14:textId="77777777" w:rsidR="00F62F78" w:rsidRPr="00D511FC" w:rsidRDefault="00F62F78" w:rsidP="005C38E7">
            <w:pPr>
              <w:spacing w:after="120"/>
              <w:jc w:val="center"/>
              <w:rPr>
                <w:rFonts w:ascii="Calibri" w:hAnsi="Calibri"/>
                <w:sz w:val="24"/>
                <w:szCs w:val="24"/>
              </w:rPr>
            </w:pPr>
          </w:p>
        </w:tc>
      </w:tr>
      <w:tr w:rsidR="00F62F78" w:rsidRPr="00D511FC" w14:paraId="60784739" w14:textId="204BACE4" w:rsidTr="00E6407C">
        <w:tc>
          <w:tcPr>
            <w:tcW w:w="7252" w:type="dxa"/>
          </w:tcPr>
          <w:p w14:paraId="4FDCB0D2" w14:textId="77777777" w:rsidR="00F62F78" w:rsidRPr="00D511FC" w:rsidRDefault="00F62F78" w:rsidP="005C38E7">
            <w:pPr>
              <w:spacing w:after="120"/>
              <w:jc w:val="center"/>
              <w:rPr>
                <w:rFonts w:ascii="Calibri" w:hAnsi="Calibri"/>
                <w:sz w:val="24"/>
                <w:szCs w:val="24"/>
              </w:rPr>
            </w:pPr>
            <w:r w:rsidRPr="00D511FC">
              <w:rPr>
                <w:rFonts w:ascii="Calibri" w:hAnsi="Calibri"/>
                <w:sz w:val="24"/>
                <w:szCs w:val="24"/>
              </w:rPr>
              <w:t>DAS REGRAS ATUARIAIS</w:t>
            </w:r>
          </w:p>
        </w:tc>
        <w:tc>
          <w:tcPr>
            <w:tcW w:w="3107" w:type="dxa"/>
          </w:tcPr>
          <w:p w14:paraId="4DB864FE" w14:textId="11892588" w:rsidR="00FE47D8" w:rsidRPr="00D511FC" w:rsidRDefault="00FE47D8" w:rsidP="00FE47D8">
            <w:pPr>
              <w:spacing w:after="120"/>
              <w:jc w:val="both"/>
              <w:rPr>
                <w:rFonts w:ascii="Calibri" w:hAnsi="Calibri"/>
                <w:sz w:val="24"/>
                <w:szCs w:val="24"/>
              </w:rPr>
            </w:pPr>
          </w:p>
        </w:tc>
        <w:tc>
          <w:tcPr>
            <w:tcW w:w="2552" w:type="dxa"/>
          </w:tcPr>
          <w:p w14:paraId="73CF7B25" w14:textId="77777777" w:rsidR="007360E4" w:rsidRDefault="007360E4" w:rsidP="007360E4">
            <w:pPr>
              <w:spacing w:after="120"/>
              <w:jc w:val="both"/>
              <w:rPr>
                <w:rFonts w:ascii="Calibri" w:hAnsi="Calibri"/>
                <w:sz w:val="24"/>
                <w:szCs w:val="24"/>
              </w:rPr>
            </w:pPr>
            <w:r>
              <w:rPr>
                <w:rFonts w:ascii="Calibri" w:hAnsi="Calibri"/>
                <w:sz w:val="24"/>
                <w:szCs w:val="24"/>
              </w:rPr>
              <w:t xml:space="preserve">APEP/IPCOM: </w:t>
            </w:r>
          </w:p>
          <w:p w14:paraId="7BB9E159" w14:textId="79B42476" w:rsidR="00F62F78" w:rsidRPr="00D511FC" w:rsidRDefault="007360E4" w:rsidP="007360E4">
            <w:pPr>
              <w:spacing w:after="120"/>
              <w:jc w:val="both"/>
              <w:rPr>
                <w:rFonts w:ascii="Calibri" w:hAnsi="Calibri"/>
                <w:sz w:val="24"/>
                <w:szCs w:val="24"/>
              </w:rPr>
            </w:pPr>
            <w:r w:rsidRPr="00FE47D8">
              <w:rPr>
                <w:rFonts w:ascii="Calibri" w:hAnsi="Calibri"/>
                <w:color w:val="FF0000"/>
                <w:sz w:val="24"/>
                <w:szCs w:val="24"/>
              </w:rPr>
              <w:t>Entendemos que as regras atuariais, que estão atualmente  consolidadas na Resolução CNPC 30, não devem, neste momento, ser objeto de qualquer alteração/revisão pela PREVIC, uma vez que a revisão da mencionada norma do CNPC está na pauta ditada pelo Decreto 11.543/2023, e será objeto de adequações pelo GT/Subcomissão.</w:t>
            </w:r>
          </w:p>
        </w:tc>
        <w:tc>
          <w:tcPr>
            <w:tcW w:w="2505" w:type="dxa"/>
          </w:tcPr>
          <w:p w14:paraId="12345DD4" w14:textId="62DC83FA" w:rsidR="00F62F78" w:rsidRPr="00FE47D8" w:rsidRDefault="00FE47D8" w:rsidP="00FE47D8">
            <w:pPr>
              <w:spacing w:after="120"/>
              <w:jc w:val="both"/>
              <w:rPr>
                <w:rFonts w:ascii="Calibri" w:hAnsi="Calibri"/>
                <w:b/>
                <w:bCs/>
                <w:sz w:val="24"/>
                <w:szCs w:val="24"/>
              </w:rPr>
            </w:pPr>
            <w:r w:rsidRPr="00FE47D8">
              <w:rPr>
                <w:rFonts w:ascii="Calibri" w:hAnsi="Calibri"/>
                <w:b/>
                <w:bCs/>
                <w:sz w:val="24"/>
                <w:szCs w:val="24"/>
              </w:rPr>
              <w:t xml:space="preserve">NÃO ACATAR. </w:t>
            </w:r>
            <w:r>
              <w:rPr>
                <w:rFonts w:ascii="Calibri" w:hAnsi="Calibri"/>
                <w:sz w:val="24"/>
                <w:szCs w:val="24"/>
              </w:rPr>
              <w:t>A</w:t>
            </w:r>
            <w:r w:rsidRPr="00FE47D8">
              <w:rPr>
                <w:rFonts w:ascii="Calibri" w:hAnsi="Calibri"/>
                <w:sz w:val="24"/>
                <w:szCs w:val="24"/>
              </w:rPr>
              <w:t xml:space="preserve">lgumas </w:t>
            </w:r>
            <w:r>
              <w:rPr>
                <w:rFonts w:ascii="Calibri" w:hAnsi="Calibri"/>
                <w:sz w:val="24"/>
                <w:szCs w:val="24"/>
              </w:rPr>
              <w:t xml:space="preserve">alterações nas regras atuariais foram necessárias </w:t>
            </w:r>
            <w:r w:rsidRPr="00FE47D8">
              <w:rPr>
                <w:rFonts w:ascii="Calibri" w:hAnsi="Calibri"/>
                <w:sz w:val="24"/>
                <w:szCs w:val="24"/>
              </w:rPr>
              <w:t>antes mesmo da revisão das regras de solvência</w:t>
            </w:r>
            <w:r>
              <w:rPr>
                <w:rFonts w:ascii="Calibri" w:hAnsi="Calibri"/>
                <w:sz w:val="24"/>
                <w:szCs w:val="24"/>
              </w:rPr>
              <w:t xml:space="preserve">, com vistas à simplificação normativa e desoneração das EFPC. </w:t>
            </w:r>
          </w:p>
        </w:tc>
      </w:tr>
      <w:tr w:rsidR="00F62F78" w:rsidRPr="00D511FC" w14:paraId="2365F65A" w14:textId="7E004DED" w:rsidTr="00E6407C">
        <w:tc>
          <w:tcPr>
            <w:tcW w:w="7252" w:type="dxa"/>
          </w:tcPr>
          <w:p w14:paraId="015134DF"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I</w:t>
            </w:r>
          </w:p>
        </w:tc>
        <w:tc>
          <w:tcPr>
            <w:tcW w:w="3107" w:type="dxa"/>
          </w:tcPr>
          <w:p w14:paraId="4FF2042E"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1A26904C" w14:textId="36074515" w:rsidR="00F62F78" w:rsidRPr="00D511FC" w:rsidRDefault="00F62F78" w:rsidP="005C38E7">
            <w:pPr>
              <w:spacing w:after="120"/>
              <w:jc w:val="center"/>
              <w:rPr>
                <w:rFonts w:ascii="Calibri" w:eastAsia="Calibri" w:hAnsi="Calibri" w:cs="Calibri"/>
                <w:b/>
                <w:bCs/>
                <w:sz w:val="24"/>
                <w:szCs w:val="24"/>
              </w:rPr>
            </w:pPr>
          </w:p>
        </w:tc>
        <w:tc>
          <w:tcPr>
            <w:tcW w:w="2505" w:type="dxa"/>
          </w:tcPr>
          <w:p w14:paraId="6CBA7AFA"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476D33B" w14:textId="490CA8A7" w:rsidTr="00E6407C">
        <w:tc>
          <w:tcPr>
            <w:tcW w:w="7252" w:type="dxa"/>
          </w:tcPr>
          <w:p w14:paraId="19A89C09"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Parâmetros e Procedimentos Atuariais</w:t>
            </w:r>
          </w:p>
        </w:tc>
        <w:tc>
          <w:tcPr>
            <w:tcW w:w="3107" w:type="dxa"/>
          </w:tcPr>
          <w:p w14:paraId="4D783D06"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866D66D" w14:textId="1297327A" w:rsidR="00F62F78" w:rsidRPr="00D511FC" w:rsidRDefault="00F62F78" w:rsidP="005C38E7">
            <w:pPr>
              <w:spacing w:after="120"/>
              <w:jc w:val="center"/>
              <w:rPr>
                <w:rFonts w:ascii="Calibri" w:eastAsia="Calibri" w:hAnsi="Calibri" w:cs="Calibri"/>
                <w:b/>
                <w:bCs/>
                <w:sz w:val="24"/>
                <w:szCs w:val="24"/>
              </w:rPr>
            </w:pPr>
          </w:p>
        </w:tc>
        <w:tc>
          <w:tcPr>
            <w:tcW w:w="2505" w:type="dxa"/>
          </w:tcPr>
          <w:p w14:paraId="05AEF4CD"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52CD63A" w14:textId="23F1FFB1" w:rsidTr="00E6407C">
        <w:tc>
          <w:tcPr>
            <w:tcW w:w="7252" w:type="dxa"/>
          </w:tcPr>
          <w:p w14:paraId="0D926B58"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158A1027"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D449BC4" w14:textId="18C9ECB1" w:rsidR="00F62F78" w:rsidRPr="00D511FC" w:rsidRDefault="00F62F78" w:rsidP="005C38E7">
            <w:pPr>
              <w:spacing w:after="120"/>
              <w:jc w:val="center"/>
              <w:rPr>
                <w:rFonts w:ascii="Calibri" w:eastAsia="Calibri" w:hAnsi="Calibri" w:cs="Calibri"/>
                <w:b/>
                <w:bCs/>
                <w:sz w:val="24"/>
                <w:szCs w:val="24"/>
              </w:rPr>
            </w:pPr>
          </w:p>
        </w:tc>
        <w:tc>
          <w:tcPr>
            <w:tcW w:w="2505" w:type="dxa"/>
          </w:tcPr>
          <w:p w14:paraId="15EAEB04"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7329584" w14:textId="7046B764" w:rsidTr="00E6407C">
        <w:tc>
          <w:tcPr>
            <w:tcW w:w="7252" w:type="dxa"/>
          </w:tcPr>
          <w:p w14:paraId="64233EF1"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Apuração do Resultado</w:t>
            </w:r>
          </w:p>
        </w:tc>
        <w:tc>
          <w:tcPr>
            <w:tcW w:w="3107" w:type="dxa"/>
          </w:tcPr>
          <w:p w14:paraId="7CE50AA1"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A353A1C" w14:textId="6C9A7771" w:rsidR="00F62F78" w:rsidRPr="00D511FC" w:rsidRDefault="00F62F78" w:rsidP="005C38E7">
            <w:pPr>
              <w:spacing w:after="120"/>
              <w:jc w:val="center"/>
              <w:rPr>
                <w:rFonts w:ascii="Calibri" w:eastAsia="Calibri" w:hAnsi="Calibri" w:cs="Calibri"/>
                <w:b/>
                <w:bCs/>
                <w:sz w:val="24"/>
                <w:szCs w:val="24"/>
              </w:rPr>
            </w:pPr>
          </w:p>
        </w:tc>
        <w:tc>
          <w:tcPr>
            <w:tcW w:w="2505" w:type="dxa"/>
          </w:tcPr>
          <w:p w14:paraId="63F66758"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939052F" w14:textId="7EE78A15" w:rsidTr="00E6407C">
        <w:tc>
          <w:tcPr>
            <w:tcW w:w="7252" w:type="dxa"/>
          </w:tcPr>
          <w:p w14:paraId="2A9ECD5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46.  O resultado do plano de benefícios a ser registrado no balanço patrimonial deve ser apurado mediante avaliação atuarial posicionada no encerramento de cada exercício.</w:t>
            </w:r>
          </w:p>
        </w:tc>
        <w:tc>
          <w:tcPr>
            <w:tcW w:w="3107" w:type="dxa"/>
          </w:tcPr>
          <w:p w14:paraId="196408F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03E0CC2" w14:textId="79D5C7EF" w:rsidR="00F62F78" w:rsidRPr="00D511FC" w:rsidRDefault="00F62F78" w:rsidP="005C38E7">
            <w:pPr>
              <w:spacing w:after="120"/>
              <w:jc w:val="both"/>
              <w:rPr>
                <w:rFonts w:ascii="Calibri" w:eastAsia="Calibri" w:hAnsi="Calibri" w:cs="Calibri"/>
                <w:sz w:val="24"/>
                <w:szCs w:val="24"/>
              </w:rPr>
            </w:pPr>
          </w:p>
        </w:tc>
        <w:tc>
          <w:tcPr>
            <w:tcW w:w="2505" w:type="dxa"/>
          </w:tcPr>
          <w:p w14:paraId="13A9562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5CECE28" w14:textId="625A8F7F" w:rsidTr="00E6407C">
        <w:tc>
          <w:tcPr>
            <w:tcW w:w="7252" w:type="dxa"/>
          </w:tcPr>
          <w:p w14:paraId="0B88AFD9"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1º  A ocorrência de fato relevante enseja nova avaliação atuarial, a ser realizada com base na posição de fim do mês da data de efetivação do fato relevante.</w:t>
            </w:r>
          </w:p>
        </w:tc>
        <w:tc>
          <w:tcPr>
            <w:tcW w:w="3107" w:type="dxa"/>
          </w:tcPr>
          <w:p w14:paraId="507E890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650D8B4" w14:textId="2DB9EB24" w:rsidR="00F62F78" w:rsidRPr="00D511FC" w:rsidRDefault="00F62F78" w:rsidP="005C38E7">
            <w:pPr>
              <w:spacing w:after="120"/>
              <w:jc w:val="both"/>
              <w:rPr>
                <w:rFonts w:ascii="Calibri" w:eastAsia="Calibri" w:hAnsi="Calibri" w:cs="Calibri"/>
                <w:sz w:val="24"/>
                <w:szCs w:val="24"/>
              </w:rPr>
            </w:pPr>
          </w:p>
        </w:tc>
        <w:tc>
          <w:tcPr>
            <w:tcW w:w="2505" w:type="dxa"/>
          </w:tcPr>
          <w:p w14:paraId="473FF4F8"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AB038BF" w14:textId="7BA5B544" w:rsidTr="00E6407C">
        <w:tc>
          <w:tcPr>
            <w:tcW w:w="7252" w:type="dxa"/>
          </w:tcPr>
          <w:p w14:paraId="39C7A275" w14:textId="77777777" w:rsidR="00F62F78" w:rsidRPr="00D511FC" w:rsidRDefault="00F62F78" w:rsidP="005C38E7">
            <w:pPr>
              <w:spacing w:after="120"/>
              <w:jc w:val="both"/>
              <w:rPr>
                <w:sz w:val="24"/>
                <w:szCs w:val="24"/>
              </w:rPr>
            </w:pPr>
            <w:r w:rsidRPr="00D511FC">
              <w:rPr>
                <w:sz w:val="24"/>
                <w:szCs w:val="24"/>
              </w:rPr>
              <w:t>§ 2º  Considera-se fato relevante:</w:t>
            </w:r>
          </w:p>
        </w:tc>
        <w:tc>
          <w:tcPr>
            <w:tcW w:w="3107" w:type="dxa"/>
          </w:tcPr>
          <w:p w14:paraId="3E6CA1E4" w14:textId="77777777" w:rsidR="00F62F78" w:rsidRPr="00D511FC" w:rsidRDefault="00F62F78" w:rsidP="005C38E7">
            <w:pPr>
              <w:spacing w:after="120"/>
              <w:jc w:val="both"/>
              <w:rPr>
                <w:sz w:val="24"/>
                <w:szCs w:val="24"/>
              </w:rPr>
            </w:pPr>
          </w:p>
        </w:tc>
        <w:tc>
          <w:tcPr>
            <w:tcW w:w="2552" w:type="dxa"/>
          </w:tcPr>
          <w:p w14:paraId="2AFF9414" w14:textId="215B1621" w:rsidR="00F62F78" w:rsidRPr="00D511FC" w:rsidRDefault="00F62F78" w:rsidP="005C38E7">
            <w:pPr>
              <w:spacing w:after="120"/>
              <w:jc w:val="both"/>
              <w:rPr>
                <w:sz w:val="24"/>
                <w:szCs w:val="24"/>
              </w:rPr>
            </w:pPr>
          </w:p>
        </w:tc>
        <w:tc>
          <w:tcPr>
            <w:tcW w:w="2505" w:type="dxa"/>
          </w:tcPr>
          <w:p w14:paraId="1F27F67A" w14:textId="77777777" w:rsidR="00F62F78" w:rsidRPr="00D511FC" w:rsidRDefault="00F62F78" w:rsidP="005C38E7">
            <w:pPr>
              <w:spacing w:after="120"/>
              <w:jc w:val="both"/>
              <w:rPr>
                <w:sz w:val="24"/>
                <w:szCs w:val="24"/>
              </w:rPr>
            </w:pPr>
          </w:p>
        </w:tc>
      </w:tr>
      <w:tr w:rsidR="00F62F78" w:rsidRPr="00D511FC" w14:paraId="17350B38" w14:textId="5B277B10" w:rsidTr="00E6407C">
        <w:tc>
          <w:tcPr>
            <w:tcW w:w="7252" w:type="dxa"/>
          </w:tcPr>
          <w:p w14:paraId="157DD3DA" w14:textId="77777777" w:rsidR="00F62F78" w:rsidRPr="00D511FC" w:rsidRDefault="00F62F78" w:rsidP="005C38E7">
            <w:pPr>
              <w:spacing w:after="120"/>
              <w:jc w:val="both"/>
              <w:rPr>
                <w:sz w:val="24"/>
                <w:szCs w:val="24"/>
              </w:rPr>
            </w:pPr>
            <w:r w:rsidRPr="00D511FC">
              <w:rPr>
                <w:sz w:val="24"/>
                <w:szCs w:val="24"/>
              </w:rPr>
              <w:t>I - a alteração do regulamento com impacto no custo, no custeio ou no resultado do plano de benefícios;</w:t>
            </w:r>
          </w:p>
        </w:tc>
        <w:tc>
          <w:tcPr>
            <w:tcW w:w="3107" w:type="dxa"/>
          </w:tcPr>
          <w:p w14:paraId="4AD2109A" w14:textId="77777777" w:rsidR="00F62F78" w:rsidRPr="00D511FC" w:rsidRDefault="00F62F78" w:rsidP="005C38E7">
            <w:pPr>
              <w:spacing w:after="120"/>
              <w:jc w:val="both"/>
              <w:rPr>
                <w:sz w:val="24"/>
                <w:szCs w:val="24"/>
              </w:rPr>
            </w:pPr>
          </w:p>
        </w:tc>
        <w:tc>
          <w:tcPr>
            <w:tcW w:w="2552" w:type="dxa"/>
          </w:tcPr>
          <w:p w14:paraId="262946D0" w14:textId="688B809E" w:rsidR="00F62F78" w:rsidRPr="00D511FC" w:rsidRDefault="00F62F78" w:rsidP="005C38E7">
            <w:pPr>
              <w:spacing w:after="120"/>
              <w:jc w:val="both"/>
              <w:rPr>
                <w:sz w:val="24"/>
                <w:szCs w:val="24"/>
              </w:rPr>
            </w:pPr>
          </w:p>
        </w:tc>
        <w:tc>
          <w:tcPr>
            <w:tcW w:w="2505" w:type="dxa"/>
          </w:tcPr>
          <w:p w14:paraId="14A8FF5D" w14:textId="77777777" w:rsidR="00F62F78" w:rsidRPr="00D511FC" w:rsidRDefault="00F62F78" w:rsidP="005C38E7">
            <w:pPr>
              <w:spacing w:after="120"/>
              <w:jc w:val="both"/>
              <w:rPr>
                <w:sz w:val="24"/>
                <w:szCs w:val="24"/>
              </w:rPr>
            </w:pPr>
          </w:p>
        </w:tc>
      </w:tr>
      <w:tr w:rsidR="00F62F78" w:rsidRPr="00D511FC" w14:paraId="2B5498D5" w14:textId="32595180" w:rsidTr="00E6407C">
        <w:tc>
          <w:tcPr>
            <w:tcW w:w="7252" w:type="dxa"/>
          </w:tcPr>
          <w:p w14:paraId="68FC1F95" w14:textId="77777777" w:rsidR="00F62F78" w:rsidRPr="00D511FC" w:rsidRDefault="00F62F78" w:rsidP="005C38E7">
            <w:pPr>
              <w:spacing w:after="120"/>
              <w:jc w:val="both"/>
              <w:rPr>
                <w:sz w:val="24"/>
                <w:szCs w:val="24"/>
              </w:rPr>
            </w:pPr>
            <w:r w:rsidRPr="00D511FC">
              <w:rPr>
                <w:sz w:val="24"/>
                <w:szCs w:val="24"/>
              </w:rPr>
              <w:t>II - a cisão, fusão ou incorporação de planos de benefícios;</w:t>
            </w:r>
          </w:p>
        </w:tc>
        <w:tc>
          <w:tcPr>
            <w:tcW w:w="3107" w:type="dxa"/>
          </w:tcPr>
          <w:p w14:paraId="13F8F91B" w14:textId="77777777" w:rsidR="00F62F78" w:rsidRPr="00D511FC" w:rsidRDefault="00F62F78" w:rsidP="005C38E7">
            <w:pPr>
              <w:spacing w:after="120"/>
              <w:jc w:val="both"/>
              <w:rPr>
                <w:sz w:val="24"/>
                <w:szCs w:val="24"/>
              </w:rPr>
            </w:pPr>
          </w:p>
        </w:tc>
        <w:tc>
          <w:tcPr>
            <w:tcW w:w="2552" w:type="dxa"/>
          </w:tcPr>
          <w:p w14:paraId="2B081270" w14:textId="77D3D0AA" w:rsidR="00F62F78" w:rsidRPr="00D511FC" w:rsidRDefault="00F62F78" w:rsidP="005C38E7">
            <w:pPr>
              <w:spacing w:after="120"/>
              <w:jc w:val="both"/>
              <w:rPr>
                <w:sz w:val="24"/>
                <w:szCs w:val="24"/>
              </w:rPr>
            </w:pPr>
          </w:p>
        </w:tc>
        <w:tc>
          <w:tcPr>
            <w:tcW w:w="2505" w:type="dxa"/>
          </w:tcPr>
          <w:p w14:paraId="2798769D" w14:textId="77777777" w:rsidR="00F62F78" w:rsidRPr="00D511FC" w:rsidRDefault="00F62F78" w:rsidP="005C38E7">
            <w:pPr>
              <w:spacing w:after="120"/>
              <w:jc w:val="both"/>
              <w:rPr>
                <w:sz w:val="24"/>
                <w:szCs w:val="24"/>
              </w:rPr>
            </w:pPr>
          </w:p>
        </w:tc>
      </w:tr>
      <w:tr w:rsidR="00F62F78" w:rsidRPr="00D511FC" w14:paraId="7DE4656C" w14:textId="1F0B3A15" w:rsidTr="00E6407C">
        <w:tc>
          <w:tcPr>
            <w:tcW w:w="7252" w:type="dxa"/>
          </w:tcPr>
          <w:p w14:paraId="6777E6F6" w14:textId="77777777" w:rsidR="00F62F78" w:rsidRPr="00D511FC" w:rsidRDefault="00F62F78" w:rsidP="005C38E7">
            <w:pPr>
              <w:spacing w:after="120"/>
              <w:jc w:val="both"/>
              <w:rPr>
                <w:sz w:val="24"/>
                <w:szCs w:val="24"/>
              </w:rPr>
            </w:pPr>
            <w:r w:rsidRPr="00D511FC">
              <w:rPr>
                <w:sz w:val="24"/>
                <w:szCs w:val="24"/>
              </w:rPr>
              <w:t>III - a migração de participantes ou assistidos entre planos de benefícios;</w:t>
            </w:r>
          </w:p>
        </w:tc>
        <w:tc>
          <w:tcPr>
            <w:tcW w:w="3107" w:type="dxa"/>
          </w:tcPr>
          <w:p w14:paraId="3164AB5E" w14:textId="77777777" w:rsidR="00F62F78" w:rsidRPr="00D511FC" w:rsidRDefault="00F62F78" w:rsidP="005C38E7">
            <w:pPr>
              <w:spacing w:after="120"/>
              <w:jc w:val="both"/>
              <w:rPr>
                <w:sz w:val="24"/>
                <w:szCs w:val="24"/>
              </w:rPr>
            </w:pPr>
          </w:p>
        </w:tc>
        <w:tc>
          <w:tcPr>
            <w:tcW w:w="2552" w:type="dxa"/>
          </w:tcPr>
          <w:p w14:paraId="0529E465" w14:textId="51793149" w:rsidR="00F62F78" w:rsidRPr="00D511FC" w:rsidRDefault="00F62F78" w:rsidP="005C38E7">
            <w:pPr>
              <w:spacing w:after="120"/>
              <w:jc w:val="both"/>
              <w:rPr>
                <w:sz w:val="24"/>
                <w:szCs w:val="24"/>
              </w:rPr>
            </w:pPr>
          </w:p>
        </w:tc>
        <w:tc>
          <w:tcPr>
            <w:tcW w:w="2505" w:type="dxa"/>
          </w:tcPr>
          <w:p w14:paraId="0CBFF154" w14:textId="77777777" w:rsidR="00F62F78" w:rsidRPr="00D511FC" w:rsidRDefault="00F62F78" w:rsidP="005C38E7">
            <w:pPr>
              <w:spacing w:after="120"/>
              <w:jc w:val="both"/>
              <w:rPr>
                <w:sz w:val="24"/>
                <w:szCs w:val="24"/>
              </w:rPr>
            </w:pPr>
          </w:p>
        </w:tc>
      </w:tr>
      <w:tr w:rsidR="00F62F78" w:rsidRPr="00D511FC" w14:paraId="1AF7E17A" w14:textId="3A99D1BF" w:rsidTr="00E6407C">
        <w:tc>
          <w:tcPr>
            <w:tcW w:w="7252" w:type="dxa"/>
          </w:tcPr>
          <w:p w14:paraId="3E13DC51" w14:textId="77777777" w:rsidR="00F62F78" w:rsidRPr="00D511FC" w:rsidRDefault="00F62F78" w:rsidP="005C38E7">
            <w:pPr>
              <w:spacing w:after="120"/>
              <w:jc w:val="both"/>
              <w:rPr>
                <w:sz w:val="24"/>
                <w:szCs w:val="24"/>
              </w:rPr>
            </w:pPr>
            <w:r w:rsidRPr="00D511FC">
              <w:rPr>
                <w:sz w:val="24"/>
                <w:szCs w:val="24"/>
              </w:rPr>
              <w:t>IV - o saldamento de planos de benefícios;</w:t>
            </w:r>
          </w:p>
        </w:tc>
        <w:tc>
          <w:tcPr>
            <w:tcW w:w="3107" w:type="dxa"/>
          </w:tcPr>
          <w:p w14:paraId="1EA2C0EB" w14:textId="77777777" w:rsidR="00F62F78" w:rsidRPr="00D511FC" w:rsidRDefault="00F62F78" w:rsidP="005C38E7">
            <w:pPr>
              <w:spacing w:after="120"/>
              <w:jc w:val="both"/>
              <w:rPr>
                <w:sz w:val="24"/>
                <w:szCs w:val="24"/>
              </w:rPr>
            </w:pPr>
          </w:p>
        </w:tc>
        <w:tc>
          <w:tcPr>
            <w:tcW w:w="2552" w:type="dxa"/>
          </w:tcPr>
          <w:p w14:paraId="2D0986D9" w14:textId="7E0EF38F" w:rsidR="00F62F78" w:rsidRPr="00D511FC" w:rsidRDefault="00F62F78" w:rsidP="005C38E7">
            <w:pPr>
              <w:spacing w:after="120"/>
              <w:jc w:val="both"/>
              <w:rPr>
                <w:sz w:val="24"/>
                <w:szCs w:val="24"/>
              </w:rPr>
            </w:pPr>
          </w:p>
        </w:tc>
        <w:tc>
          <w:tcPr>
            <w:tcW w:w="2505" w:type="dxa"/>
          </w:tcPr>
          <w:p w14:paraId="3A106900" w14:textId="77777777" w:rsidR="00F62F78" w:rsidRPr="00D511FC" w:rsidRDefault="00F62F78" w:rsidP="005C38E7">
            <w:pPr>
              <w:spacing w:after="120"/>
              <w:jc w:val="both"/>
              <w:rPr>
                <w:sz w:val="24"/>
                <w:szCs w:val="24"/>
              </w:rPr>
            </w:pPr>
          </w:p>
        </w:tc>
      </w:tr>
      <w:tr w:rsidR="00F62F78" w:rsidRPr="00D511FC" w14:paraId="1AD2E2A3" w14:textId="2298EBF6" w:rsidTr="00E6407C">
        <w:tc>
          <w:tcPr>
            <w:tcW w:w="7252" w:type="dxa"/>
          </w:tcPr>
          <w:p w14:paraId="3291B4D3" w14:textId="77777777" w:rsidR="00F62F78" w:rsidRPr="00D511FC" w:rsidRDefault="00F62F78" w:rsidP="005C38E7">
            <w:pPr>
              <w:spacing w:after="120"/>
              <w:jc w:val="both"/>
              <w:rPr>
                <w:sz w:val="24"/>
                <w:szCs w:val="24"/>
              </w:rPr>
            </w:pPr>
            <w:r w:rsidRPr="00D511FC">
              <w:rPr>
                <w:sz w:val="24"/>
                <w:szCs w:val="24"/>
              </w:rPr>
              <w:t>V -  retirada parcial de patrocínio; e</w:t>
            </w:r>
          </w:p>
        </w:tc>
        <w:tc>
          <w:tcPr>
            <w:tcW w:w="3107" w:type="dxa"/>
          </w:tcPr>
          <w:p w14:paraId="0F9A8455" w14:textId="77777777" w:rsidR="00F62F78" w:rsidRPr="00D511FC" w:rsidRDefault="00F62F78" w:rsidP="005C38E7">
            <w:pPr>
              <w:spacing w:after="120"/>
              <w:jc w:val="both"/>
              <w:rPr>
                <w:sz w:val="24"/>
                <w:szCs w:val="24"/>
              </w:rPr>
            </w:pPr>
          </w:p>
        </w:tc>
        <w:tc>
          <w:tcPr>
            <w:tcW w:w="2552" w:type="dxa"/>
          </w:tcPr>
          <w:p w14:paraId="10D66403" w14:textId="64CFB689" w:rsidR="00F62F78" w:rsidRPr="00D511FC" w:rsidRDefault="00F62F78" w:rsidP="005C38E7">
            <w:pPr>
              <w:spacing w:after="120"/>
              <w:jc w:val="both"/>
              <w:rPr>
                <w:sz w:val="24"/>
                <w:szCs w:val="24"/>
              </w:rPr>
            </w:pPr>
          </w:p>
        </w:tc>
        <w:tc>
          <w:tcPr>
            <w:tcW w:w="2505" w:type="dxa"/>
          </w:tcPr>
          <w:p w14:paraId="5FA0F05E" w14:textId="77777777" w:rsidR="00F62F78" w:rsidRPr="00D511FC" w:rsidRDefault="00F62F78" w:rsidP="005C38E7">
            <w:pPr>
              <w:spacing w:after="120"/>
              <w:jc w:val="both"/>
              <w:rPr>
                <w:sz w:val="24"/>
                <w:szCs w:val="24"/>
              </w:rPr>
            </w:pPr>
          </w:p>
        </w:tc>
      </w:tr>
      <w:tr w:rsidR="00F62F78" w:rsidRPr="00D511FC" w14:paraId="5CBC9CD6" w14:textId="3C32223C" w:rsidTr="00E6407C">
        <w:tc>
          <w:tcPr>
            <w:tcW w:w="7252" w:type="dxa"/>
          </w:tcPr>
          <w:p w14:paraId="274D54D8" w14:textId="77777777" w:rsidR="00F62F78" w:rsidRPr="00D511FC" w:rsidRDefault="00F62F78" w:rsidP="005C38E7">
            <w:pPr>
              <w:spacing w:after="120"/>
              <w:jc w:val="both"/>
              <w:rPr>
                <w:sz w:val="24"/>
                <w:szCs w:val="24"/>
              </w:rPr>
            </w:pPr>
            <w:r w:rsidRPr="00D511FC">
              <w:rPr>
                <w:sz w:val="24"/>
                <w:szCs w:val="24"/>
              </w:rPr>
              <w:t>VI - outros eventos supervenientes com impacto significativo no custo, no custeio ou no resultado do plano de benefícios que necessitem de imediata resposta da EFPC, devidamente fundamentados.</w:t>
            </w:r>
          </w:p>
        </w:tc>
        <w:tc>
          <w:tcPr>
            <w:tcW w:w="3107" w:type="dxa"/>
          </w:tcPr>
          <w:p w14:paraId="0B10F979" w14:textId="77777777" w:rsidR="00F62F78" w:rsidRPr="00D511FC" w:rsidRDefault="00F62F78" w:rsidP="005C38E7">
            <w:pPr>
              <w:spacing w:after="120"/>
              <w:jc w:val="both"/>
              <w:rPr>
                <w:sz w:val="24"/>
                <w:szCs w:val="24"/>
              </w:rPr>
            </w:pPr>
          </w:p>
        </w:tc>
        <w:tc>
          <w:tcPr>
            <w:tcW w:w="2552" w:type="dxa"/>
          </w:tcPr>
          <w:p w14:paraId="7D2EEFEF" w14:textId="35D36D32" w:rsidR="00F62F78" w:rsidRPr="00D511FC" w:rsidRDefault="00F62F78" w:rsidP="005C38E7">
            <w:pPr>
              <w:spacing w:after="120"/>
              <w:jc w:val="both"/>
              <w:rPr>
                <w:sz w:val="24"/>
                <w:szCs w:val="24"/>
              </w:rPr>
            </w:pPr>
          </w:p>
        </w:tc>
        <w:tc>
          <w:tcPr>
            <w:tcW w:w="2505" w:type="dxa"/>
          </w:tcPr>
          <w:p w14:paraId="6A583AB3" w14:textId="77777777" w:rsidR="00F62F78" w:rsidRPr="00D511FC" w:rsidRDefault="00F62F78" w:rsidP="005C38E7">
            <w:pPr>
              <w:spacing w:after="120"/>
              <w:jc w:val="both"/>
              <w:rPr>
                <w:sz w:val="24"/>
                <w:szCs w:val="24"/>
              </w:rPr>
            </w:pPr>
          </w:p>
        </w:tc>
      </w:tr>
      <w:tr w:rsidR="00F62F78" w:rsidRPr="00D511FC" w14:paraId="1B75FFD3" w14:textId="55D0DC3D" w:rsidTr="00E6407C">
        <w:tc>
          <w:tcPr>
            <w:tcW w:w="7252" w:type="dxa"/>
          </w:tcPr>
          <w:p w14:paraId="4AD9AAB0"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09E3414F"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9CC4CED" w14:textId="253F566C" w:rsidR="00F62F78" w:rsidRPr="00D511FC" w:rsidRDefault="00F62F78" w:rsidP="005C38E7">
            <w:pPr>
              <w:spacing w:after="120"/>
              <w:jc w:val="center"/>
              <w:rPr>
                <w:rFonts w:ascii="Calibri" w:eastAsia="Calibri" w:hAnsi="Calibri" w:cs="Calibri"/>
                <w:b/>
                <w:bCs/>
                <w:sz w:val="24"/>
                <w:szCs w:val="24"/>
              </w:rPr>
            </w:pPr>
          </w:p>
        </w:tc>
        <w:tc>
          <w:tcPr>
            <w:tcW w:w="2505" w:type="dxa"/>
          </w:tcPr>
          <w:p w14:paraId="489DE9A0"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FAC7D36" w14:textId="6D187451" w:rsidTr="00E6407C">
        <w:tc>
          <w:tcPr>
            <w:tcW w:w="7252" w:type="dxa"/>
          </w:tcPr>
          <w:p w14:paraId="18E40BFC"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Duração do Passivo</w:t>
            </w:r>
          </w:p>
        </w:tc>
        <w:tc>
          <w:tcPr>
            <w:tcW w:w="3107" w:type="dxa"/>
          </w:tcPr>
          <w:p w14:paraId="1FBF8837"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A8BC7DB" w14:textId="6E4D1F88" w:rsidR="00F62F78" w:rsidRPr="00D511FC" w:rsidRDefault="00F62F78" w:rsidP="005C38E7">
            <w:pPr>
              <w:spacing w:after="120"/>
              <w:jc w:val="center"/>
              <w:rPr>
                <w:rFonts w:ascii="Calibri" w:eastAsia="Calibri" w:hAnsi="Calibri" w:cs="Calibri"/>
                <w:b/>
                <w:bCs/>
                <w:sz w:val="24"/>
                <w:szCs w:val="24"/>
              </w:rPr>
            </w:pPr>
          </w:p>
        </w:tc>
        <w:tc>
          <w:tcPr>
            <w:tcW w:w="2505" w:type="dxa"/>
          </w:tcPr>
          <w:p w14:paraId="5E33356B"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6E415B3C" w14:textId="6D953C95" w:rsidTr="00E6407C">
        <w:tc>
          <w:tcPr>
            <w:tcW w:w="7252" w:type="dxa"/>
          </w:tcPr>
          <w:p w14:paraId="174C897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47.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tc>
        <w:tc>
          <w:tcPr>
            <w:tcW w:w="3107" w:type="dxa"/>
          </w:tcPr>
          <w:p w14:paraId="59F932C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7ECF422" w14:textId="11D9575D" w:rsidR="00F62F78" w:rsidRPr="00D511FC" w:rsidRDefault="00F62F78" w:rsidP="005C38E7">
            <w:pPr>
              <w:spacing w:after="120"/>
              <w:jc w:val="both"/>
              <w:rPr>
                <w:rFonts w:ascii="Calibri" w:eastAsia="Calibri" w:hAnsi="Calibri" w:cs="Calibri"/>
                <w:sz w:val="24"/>
                <w:szCs w:val="24"/>
              </w:rPr>
            </w:pPr>
          </w:p>
        </w:tc>
        <w:tc>
          <w:tcPr>
            <w:tcW w:w="2505" w:type="dxa"/>
          </w:tcPr>
          <w:p w14:paraId="114223D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C3AAAF3" w14:textId="316648A0" w:rsidTr="00E6407C">
        <w:tc>
          <w:tcPr>
            <w:tcW w:w="7252" w:type="dxa"/>
          </w:tcPr>
          <w:p w14:paraId="5C560CEC"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48.  Para fins de cálculo do Limite de Reserva de Contingência, do Limite de Déficit Técnico Acumulado e do prazo para amortização do valor a ser equacionado, a duração do passivo deve ser apurada em anos no </w:t>
            </w:r>
            <w:r w:rsidRPr="00D511FC">
              <w:rPr>
                <w:rFonts w:ascii="Calibri" w:eastAsia="Calibri" w:hAnsi="Calibri" w:cs="Calibri"/>
                <w:sz w:val="24"/>
                <w:szCs w:val="24"/>
              </w:rPr>
              <w:lastRenderedPageBreak/>
              <w:t>sistema de Duração do Passivo e Ajuste de Precificação (DPAP) e calculada:</w:t>
            </w:r>
          </w:p>
        </w:tc>
        <w:tc>
          <w:tcPr>
            <w:tcW w:w="3107" w:type="dxa"/>
          </w:tcPr>
          <w:p w14:paraId="6999B9CA" w14:textId="77777777" w:rsidR="00F62F78" w:rsidRDefault="000F293D"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IBA:</w:t>
            </w:r>
          </w:p>
          <w:p w14:paraId="3278433B" w14:textId="77777777" w:rsidR="000F293D" w:rsidRDefault="000F293D" w:rsidP="005C38E7">
            <w:pPr>
              <w:spacing w:after="120"/>
              <w:jc w:val="both"/>
              <w:rPr>
                <w:rFonts w:ascii="Calibri" w:eastAsia="Calibri" w:hAnsi="Calibri" w:cs="Calibri"/>
                <w:sz w:val="24"/>
                <w:szCs w:val="24"/>
              </w:rPr>
            </w:pPr>
            <w:r w:rsidRPr="000F293D">
              <w:rPr>
                <w:rFonts w:ascii="Calibri" w:eastAsia="Calibri" w:hAnsi="Calibri" w:cs="Calibri"/>
                <w:sz w:val="24"/>
                <w:szCs w:val="24"/>
              </w:rPr>
              <w:t>Art. 48</w:t>
            </w:r>
            <w:r>
              <w:rPr>
                <w:rFonts w:ascii="Calibri" w:eastAsia="Calibri" w:hAnsi="Calibri" w:cs="Calibri"/>
                <w:sz w:val="24"/>
                <w:szCs w:val="24"/>
              </w:rPr>
              <w:t xml:space="preserve">.  </w:t>
            </w:r>
            <w:r w:rsidRPr="000F293D">
              <w:rPr>
                <w:rFonts w:ascii="Calibri" w:eastAsia="Calibri" w:hAnsi="Calibri" w:cs="Calibri"/>
                <w:sz w:val="24"/>
                <w:szCs w:val="24"/>
              </w:rPr>
              <w:t xml:space="preserve">Para fins de cálculo do Limite de Reserva de </w:t>
            </w:r>
            <w:r w:rsidRPr="000F293D">
              <w:rPr>
                <w:rFonts w:ascii="Calibri" w:eastAsia="Calibri" w:hAnsi="Calibri" w:cs="Calibri"/>
                <w:sz w:val="24"/>
                <w:szCs w:val="24"/>
              </w:rPr>
              <w:lastRenderedPageBreak/>
              <w:t xml:space="preserve">Contingência, do Limite de Déficit Técnico </w:t>
            </w:r>
            <w:r w:rsidRPr="000F293D">
              <w:rPr>
                <w:rFonts w:ascii="Calibri" w:eastAsia="Calibri" w:hAnsi="Calibri" w:cs="Calibri"/>
                <w:color w:val="FF0000"/>
                <w:sz w:val="24"/>
                <w:szCs w:val="24"/>
              </w:rPr>
              <w:t xml:space="preserve">Ajustado </w:t>
            </w:r>
            <w:r w:rsidRPr="000F293D">
              <w:rPr>
                <w:rFonts w:ascii="Calibri" w:eastAsia="Calibri" w:hAnsi="Calibri" w:cs="Calibri"/>
                <w:sz w:val="24"/>
                <w:szCs w:val="24"/>
              </w:rPr>
              <w:t>e do prazo para amortização do valor a ser equacionado, a duração do passivo deve ser apurada em anos no sistema de Duração do Passivo e Ajuste de Precificação (DPAP) e calculada:</w:t>
            </w:r>
          </w:p>
          <w:p w14:paraId="06A99972" w14:textId="77777777" w:rsidR="00F64D85" w:rsidRDefault="00F64D85" w:rsidP="005C38E7">
            <w:pPr>
              <w:spacing w:after="120"/>
              <w:jc w:val="both"/>
              <w:rPr>
                <w:rFonts w:ascii="Calibri" w:eastAsia="Calibri" w:hAnsi="Calibri" w:cs="Calibri"/>
                <w:sz w:val="24"/>
                <w:szCs w:val="24"/>
              </w:rPr>
            </w:pPr>
          </w:p>
          <w:p w14:paraId="7E946CA0" w14:textId="77777777" w:rsidR="00F64D85" w:rsidRDefault="00F64D85" w:rsidP="005C38E7">
            <w:pPr>
              <w:spacing w:after="120"/>
              <w:jc w:val="both"/>
              <w:rPr>
                <w:rFonts w:ascii="Calibri" w:eastAsia="Calibri" w:hAnsi="Calibri" w:cs="Calibri"/>
                <w:sz w:val="24"/>
                <w:szCs w:val="24"/>
              </w:rPr>
            </w:pPr>
            <w:r>
              <w:rPr>
                <w:rFonts w:ascii="Calibri" w:eastAsia="Calibri" w:hAnsi="Calibri" w:cs="Calibri"/>
                <w:sz w:val="24"/>
                <w:szCs w:val="24"/>
              </w:rPr>
              <w:t xml:space="preserve">ABRAPP: </w:t>
            </w:r>
          </w:p>
          <w:p w14:paraId="58659D35" w14:textId="663CB228" w:rsidR="00F64D85" w:rsidRPr="00D511FC" w:rsidRDefault="00F64D85" w:rsidP="005C38E7">
            <w:pPr>
              <w:spacing w:after="120"/>
              <w:jc w:val="both"/>
              <w:rPr>
                <w:rFonts w:ascii="Calibri" w:eastAsia="Calibri" w:hAnsi="Calibri" w:cs="Calibri"/>
                <w:sz w:val="24"/>
                <w:szCs w:val="24"/>
              </w:rPr>
            </w:pPr>
            <w:r w:rsidRPr="00F64D85">
              <w:rPr>
                <w:rFonts w:ascii="Calibri" w:eastAsia="Calibri" w:hAnsi="Calibri" w:cs="Calibri"/>
                <w:sz w:val="24"/>
                <w:szCs w:val="24"/>
              </w:rPr>
              <w:t xml:space="preserve">Art. 48. Para fins de cálculo do Limite de Reserva de Contingência, do Limite de Déficit Técnico Acumulado e do prazo para amortização do valor a ser equacionado, a duração do passivo deve ser apurada em anos no sistema de Duração do Passivo e Ajuste de Precificação (DPAP) </w:t>
            </w:r>
            <w:r w:rsidRPr="00F64D85">
              <w:rPr>
                <w:rFonts w:ascii="Calibri" w:eastAsia="Calibri" w:hAnsi="Calibri" w:cs="Calibri"/>
                <w:color w:val="4472C4" w:themeColor="accent1"/>
                <w:sz w:val="24"/>
                <w:szCs w:val="24"/>
              </w:rPr>
              <w:t>considerando a formulação constante no ANEXO I desta resolução</w:t>
            </w:r>
            <w:r w:rsidRPr="00F64D85">
              <w:rPr>
                <w:rFonts w:ascii="Calibri" w:eastAsia="Calibri" w:hAnsi="Calibri" w:cs="Calibri"/>
                <w:sz w:val="24"/>
                <w:szCs w:val="24"/>
              </w:rPr>
              <w:t xml:space="preserve"> e calculada:</w:t>
            </w:r>
          </w:p>
        </w:tc>
        <w:tc>
          <w:tcPr>
            <w:tcW w:w="2552" w:type="dxa"/>
          </w:tcPr>
          <w:p w14:paraId="5F1589B0" w14:textId="77777777" w:rsidR="00F62F78" w:rsidRDefault="000F293D"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 xml:space="preserve">IBA: </w:t>
            </w:r>
            <w:r w:rsidRPr="000F293D">
              <w:rPr>
                <w:rFonts w:ascii="Calibri" w:eastAsia="Calibri" w:hAnsi="Calibri" w:cs="Calibri"/>
                <w:sz w:val="24"/>
                <w:szCs w:val="24"/>
              </w:rPr>
              <w:t xml:space="preserve">Ajuste para deixar claro na norma que o limite é calculado em </w:t>
            </w:r>
            <w:r w:rsidRPr="000F293D">
              <w:rPr>
                <w:rFonts w:ascii="Calibri" w:eastAsia="Calibri" w:hAnsi="Calibri" w:cs="Calibri"/>
                <w:sz w:val="24"/>
                <w:szCs w:val="24"/>
              </w:rPr>
              <w:lastRenderedPageBreak/>
              <w:t>relação ao déficit técnico</w:t>
            </w:r>
            <w:r>
              <w:rPr>
                <w:rFonts w:ascii="Calibri" w:eastAsia="Calibri" w:hAnsi="Calibri" w:cs="Calibri"/>
                <w:sz w:val="24"/>
                <w:szCs w:val="24"/>
              </w:rPr>
              <w:t xml:space="preserve"> </w:t>
            </w:r>
            <w:r w:rsidRPr="000F293D">
              <w:rPr>
                <w:rFonts w:ascii="Calibri" w:eastAsia="Calibri" w:hAnsi="Calibri" w:cs="Calibri"/>
                <w:sz w:val="24"/>
                <w:szCs w:val="24"/>
              </w:rPr>
              <w:t>após o ajuste de precificação, e não antes.</w:t>
            </w:r>
          </w:p>
          <w:p w14:paraId="12916B94" w14:textId="77777777" w:rsidR="00F64D85" w:rsidRDefault="00F64D85" w:rsidP="005C38E7">
            <w:pPr>
              <w:spacing w:after="120"/>
              <w:jc w:val="both"/>
              <w:rPr>
                <w:rFonts w:ascii="Calibri" w:eastAsia="Calibri" w:hAnsi="Calibri" w:cs="Calibri"/>
                <w:sz w:val="24"/>
                <w:szCs w:val="24"/>
              </w:rPr>
            </w:pPr>
          </w:p>
          <w:p w14:paraId="67DB4D23" w14:textId="77777777" w:rsidR="00F64D85" w:rsidRDefault="00F64D85" w:rsidP="005C38E7">
            <w:pPr>
              <w:spacing w:after="120"/>
              <w:jc w:val="both"/>
              <w:rPr>
                <w:rFonts w:ascii="Calibri" w:eastAsia="Calibri" w:hAnsi="Calibri" w:cs="Calibri"/>
                <w:sz w:val="24"/>
                <w:szCs w:val="24"/>
              </w:rPr>
            </w:pPr>
          </w:p>
          <w:p w14:paraId="536B00A7" w14:textId="77777777" w:rsidR="005C0FD4" w:rsidRDefault="005C0FD4" w:rsidP="005C38E7">
            <w:pPr>
              <w:spacing w:after="120"/>
              <w:jc w:val="both"/>
              <w:rPr>
                <w:rFonts w:ascii="Calibri" w:eastAsia="Calibri" w:hAnsi="Calibri" w:cs="Calibri"/>
                <w:sz w:val="24"/>
                <w:szCs w:val="24"/>
              </w:rPr>
            </w:pPr>
          </w:p>
          <w:p w14:paraId="15A9E6F4" w14:textId="77777777" w:rsidR="005C0FD4" w:rsidRDefault="005C0FD4" w:rsidP="005C38E7">
            <w:pPr>
              <w:spacing w:after="120"/>
              <w:jc w:val="both"/>
              <w:rPr>
                <w:rFonts w:ascii="Calibri" w:eastAsia="Calibri" w:hAnsi="Calibri" w:cs="Calibri"/>
                <w:sz w:val="24"/>
                <w:szCs w:val="24"/>
              </w:rPr>
            </w:pPr>
          </w:p>
          <w:p w14:paraId="7A9D90AD" w14:textId="77777777" w:rsidR="00F64D85" w:rsidRDefault="00F64D85" w:rsidP="005C38E7">
            <w:pPr>
              <w:spacing w:after="120"/>
              <w:jc w:val="both"/>
              <w:rPr>
                <w:rFonts w:ascii="Calibri" w:eastAsia="Calibri" w:hAnsi="Calibri" w:cs="Calibri"/>
                <w:sz w:val="24"/>
                <w:szCs w:val="24"/>
              </w:rPr>
            </w:pPr>
          </w:p>
          <w:p w14:paraId="479664FA" w14:textId="0E84E3FE" w:rsidR="00F64D85" w:rsidRPr="00D511FC" w:rsidRDefault="00F64D85" w:rsidP="00F64D85">
            <w:pPr>
              <w:spacing w:after="120"/>
              <w:jc w:val="both"/>
              <w:rPr>
                <w:rFonts w:ascii="Calibri" w:eastAsia="Calibri" w:hAnsi="Calibri" w:cs="Calibri"/>
                <w:sz w:val="24"/>
                <w:szCs w:val="24"/>
              </w:rPr>
            </w:pPr>
            <w:r>
              <w:rPr>
                <w:rFonts w:ascii="Calibri" w:eastAsia="Calibri" w:hAnsi="Calibri" w:cs="Calibri"/>
                <w:sz w:val="24"/>
                <w:szCs w:val="24"/>
              </w:rPr>
              <w:t xml:space="preserve">ABRAPP: </w:t>
            </w:r>
            <w:r w:rsidRPr="00F64D85">
              <w:rPr>
                <w:rFonts w:ascii="Calibri" w:eastAsia="Calibri" w:hAnsi="Calibri" w:cs="Calibri"/>
                <w:sz w:val="24"/>
                <w:szCs w:val="24"/>
              </w:rPr>
              <w:t xml:space="preserve">A Duração do Passivo é utilizada atualmente para observância de padrões mínimos de segurança econômico-financeira e atuarial como: i) limites de déficit aceitável no Plano de benefícios; </w:t>
            </w:r>
            <w:proofErr w:type="spellStart"/>
            <w:r w:rsidRPr="00F64D85">
              <w:rPr>
                <w:rFonts w:ascii="Calibri" w:eastAsia="Calibri" w:hAnsi="Calibri" w:cs="Calibri"/>
                <w:sz w:val="24"/>
                <w:szCs w:val="24"/>
              </w:rPr>
              <w:t>ii</w:t>
            </w:r>
            <w:proofErr w:type="spellEnd"/>
            <w:r w:rsidRPr="00F64D85">
              <w:rPr>
                <w:rFonts w:ascii="Calibri" w:eastAsia="Calibri" w:hAnsi="Calibri" w:cs="Calibri"/>
                <w:sz w:val="24"/>
                <w:szCs w:val="24"/>
              </w:rPr>
              <w:t xml:space="preserve">) o corredor da taxa de juros permitido de acordo com a Estrutura a Termo de Taxa de Juros Média (ETTJ) divulgada pela PREVIC entre outros. Por esse motivo é importante que a sua definição esteja clara no normativo e não gere dúvidas em relação a </w:t>
            </w:r>
            <w:r w:rsidRPr="00F64D85">
              <w:rPr>
                <w:rFonts w:ascii="Calibri" w:eastAsia="Calibri" w:hAnsi="Calibri" w:cs="Calibri"/>
                <w:sz w:val="24"/>
                <w:szCs w:val="24"/>
              </w:rPr>
              <w:lastRenderedPageBreak/>
              <w:t>formulação que deve ser utilizada de forma a não gerar questionamentos judiciais e resultar em insegurança ao Sistema de Previdência Complementar.</w:t>
            </w:r>
          </w:p>
        </w:tc>
        <w:tc>
          <w:tcPr>
            <w:tcW w:w="2505" w:type="dxa"/>
          </w:tcPr>
          <w:p w14:paraId="366D2B6E" w14:textId="77777777" w:rsidR="00F62F78" w:rsidRDefault="000F293D" w:rsidP="005C38E7">
            <w:pPr>
              <w:spacing w:after="120"/>
              <w:jc w:val="both"/>
              <w:rPr>
                <w:rFonts w:ascii="Calibri" w:eastAsia="Calibri" w:hAnsi="Calibri" w:cs="Calibri"/>
                <w:sz w:val="24"/>
                <w:szCs w:val="24"/>
              </w:rPr>
            </w:pPr>
            <w:r w:rsidRPr="000F293D">
              <w:rPr>
                <w:rFonts w:ascii="Calibri" w:eastAsia="Calibri" w:hAnsi="Calibri" w:cs="Calibri"/>
                <w:b/>
                <w:bCs/>
                <w:sz w:val="24"/>
                <w:szCs w:val="24"/>
              </w:rPr>
              <w:lastRenderedPageBreak/>
              <w:t>NÃO ACATAR</w:t>
            </w:r>
            <w:r>
              <w:rPr>
                <w:rFonts w:ascii="Calibri" w:eastAsia="Calibri" w:hAnsi="Calibri" w:cs="Calibri"/>
                <w:sz w:val="24"/>
                <w:szCs w:val="24"/>
              </w:rPr>
              <w:t xml:space="preserve">. </w:t>
            </w:r>
            <w:r w:rsidRPr="000F293D">
              <w:rPr>
                <w:rFonts w:ascii="Calibri" w:eastAsia="Calibri" w:hAnsi="Calibri" w:cs="Calibri"/>
                <w:sz w:val="24"/>
                <w:szCs w:val="24"/>
              </w:rPr>
              <w:t xml:space="preserve">De acordo com art. 29 da Res. 30, o limite se </w:t>
            </w:r>
            <w:r w:rsidRPr="000F293D">
              <w:rPr>
                <w:rFonts w:ascii="Calibri" w:eastAsia="Calibri" w:hAnsi="Calibri" w:cs="Calibri"/>
                <w:sz w:val="24"/>
                <w:szCs w:val="24"/>
              </w:rPr>
              <w:lastRenderedPageBreak/>
              <w:t>refere ao déficit técnico acumulado</w:t>
            </w:r>
            <w:r>
              <w:rPr>
                <w:rFonts w:ascii="Calibri" w:eastAsia="Calibri" w:hAnsi="Calibri" w:cs="Calibri"/>
                <w:sz w:val="24"/>
                <w:szCs w:val="24"/>
              </w:rPr>
              <w:t xml:space="preserve"> e não ao ajustado.</w:t>
            </w:r>
          </w:p>
          <w:p w14:paraId="38BEEFF5" w14:textId="77777777" w:rsidR="00F64D85" w:rsidRDefault="00F64D85" w:rsidP="005C38E7">
            <w:pPr>
              <w:spacing w:after="120"/>
              <w:jc w:val="both"/>
              <w:rPr>
                <w:rFonts w:ascii="Calibri" w:eastAsia="Calibri" w:hAnsi="Calibri" w:cs="Calibri"/>
                <w:sz w:val="24"/>
                <w:szCs w:val="24"/>
              </w:rPr>
            </w:pPr>
          </w:p>
          <w:p w14:paraId="29FFC8C4" w14:textId="77777777" w:rsidR="00F64D85" w:rsidRDefault="00F64D85" w:rsidP="005C38E7">
            <w:pPr>
              <w:spacing w:after="120"/>
              <w:jc w:val="both"/>
              <w:rPr>
                <w:rFonts w:ascii="Calibri" w:eastAsia="Calibri" w:hAnsi="Calibri" w:cs="Calibri"/>
                <w:sz w:val="24"/>
                <w:szCs w:val="24"/>
              </w:rPr>
            </w:pPr>
          </w:p>
          <w:p w14:paraId="45DE7A19" w14:textId="77777777" w:rsidR="00F64D85" w:rsidRDefault="00F64D85" w:rsidP="005C38E7">
            <w:pPr>
              <w:spacing w:after="120"/>
              <w:jc w:val="both"/>
              <w:rPr>
                <w:rFonts w:ascii="Calibri" w:eastAsia="Calibri" w:hAnsi="Calibri" w:cs="Calibri"/>
                <w:sz w:val="24"/>
                <w:szCs w:val="24"/>
              </w:rPr>
            </w:pPr>
          </w:p>
          <w:p w14:paraId="46A3A1D9" w14:textId="77777777" w:rsidR="00F64D85" w:rsidRDefault="00F64D85" w:rsidP="005C38E7">
            <w:pPr>
              <w:spacing w:after="120"/>
              <w:jc w:val="both"/>
              <w:rPr>
                <w:rFonts w:ascii="Calibri" w:eastAsia="Calibri" w:hAnsi="Calibri" w:cs="Calibri"/>
                <w:sz w:val="24"/>
                <w:szCs w:val="24"/>
              </w:rPr>
            </w:pPr>
          </w:p>
          <w:p w14:paraId="57879777" w14:textId="77777777" w:rsidR="005C0FD4" w:rsidRDefault="005C0FD4" w:rsidP="005C38E7">
            <w:pPr>
              <w:spacing w:after="120"/>
              <w:jc w:val="both"/>
              <w:rPr>
                <w:rFonts w:ascii="Calibri" w:eastAsia="Calibri" w:hAnsi="Calibri" w:cs="Calibri"/>
                <w:sz w:val="24"/>
                <w:szCs w:val="24"/>
              </w:rPr>
            </w:pPr>
          </w:p>
          <w:p w14:paraId="0733D8BD" w14:textId="77777777" w:rsidR="00F64D85" w:rsidRDefault="00F64D85" w:rsidP="005C38E7">
            <w:pPr>
              <w:spacing w:after="120"/>
              <w:jc w:val="both"/>
              <w:rPr>
                <w:rFonts w:ascii="Calibri" w:eastAsia="Calibri" w:hAnsi="Calibri" w:cs="Calibri"/>
                <w:sz w:val="24"/>
                <w:szCs w:val="24"/>
              </w:rPr>
            </w:pPr>
          </w:p>
          <w:p w14:paraId="3BFCE137" w14:textId="71BB498C" w:rsidR="00F64D85" w:rsidRPr="00F64D85" w:rsidRDefault="00F64D85" w:rsidP="005C38E7">
            <w:pPr>
              <w:spacing w:after="120"/>
              <w:jc w:val="both"/>
              <w:rPr>
                <w:rFonts w:ascii="Calibri" w:eastAsia="Calibri" w:hAnsi="Calibri" w:cs="Calibri"/>
                <w:b/>
                <w:bCs/>
                <w:sz w:val="24"/>
                <w:szCs w:val="24"/>
              </w:rPr>
            </w:pPr>
            <w:r w:rsidRPr="00F64D85">
              <w:rPr>
                <w:rFonts w:ascii="Calibri" w:eastAsia="Calibri" w:hAnsi="Calibri" w:cs="Calibri"/>
                <w:b/>
                <w:bCs/>
                <w:sz w:val="24"/>
                <w:szCs w:val="24"/>
              </w:rPr>
              <w:t xml:space="preserve">ACATAR. </w:t>
            </w:r>
          </w:p>
        </w:tc>
      </w:tr>
      <w:tr w:rsidR="00F62F78" w:rsidRPr="00D511FC" w14:paraId="6E440053" w14:textId="6F58D292" w:rsidTr="00E6407C">
        <w:tc>
          <w:tcPr>
            <w:tcW w:w="7252" w:type="dxa"/>
          </w:tcPr>
          <w:p w14:paraId="21BD17B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 - para avaliações atuariais de final de exercício ao final do exercício de referência; ou</w:t>
            </w:r>
          </w:p>
        </w:tc>
        <w:tc>
          <w:tcPr>
            <w:tcW w:w="3107" w:type="dxa"/>
          </w:tcPr>
          <w:p w14:paraId="189C60F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B38EFF5" w14:textId="4D4CDBE3" w:rsidR="00F62F78" w:rsidRPr="00D511FC" w:rsidRDefault="00F62F78" w:rsidP="005C38E7">
            <w:pPr>
              <w:spacing w:after="120"/>
              <w:jc w:val="both"/>
              <w:rPr>
                <w:rFonts w:ascii="Calibri" w:eastAsia="Calibri" w:hAnsi="Calibri" w:cs="Calibri"/>
                <w:sz w:val="24"/>
                <w:szCs w:val="24"/>
              </w:rPr>
            </w:pPr>
          </w:p>
        </w:tc>
        <w:tc>
          <w:tcPr>
            <w:tcW w:w="2505" w:type="dxa"/>
          </w:tcPr>
          <w:p w14:paraId="3D9311D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1FA3DC5" w14:textId="4E204709" w:rsidTr="00E6407C">
        <w:tc>
          <w:tcPr>
            <w:tcW w:w="7252" w:type="dxa"/>
          </w:tcPr>
          <w:p w14:paraId="41CD747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para avaliações atuariais por fato relevante ao final do mês da data de efetivação do fato relevante.</w:t>
            </w:r>
          </w:p>
        </w:tc>
        <w:tc>
          <w:tcPr>
            <w:tcW w:w="3107" w:type="dxa"/>
          </w:tcPr>
          <w:p w14:paraId="2528B52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0BAE6E2" w14:textId="423FD059" w:rsidR="00F62F78" w:rsidRPr="00D511FC" w:rsidRDefault="00F62F78" w:rsidP="005C38E7">
            <w:pPr>
              <w:spacing w:after="120"/>
              <w:jc w:val="both"/>
              <w:rPr>
                <w:rFonts w:ascii="Calibri" w:eastAsia="Calibri" w:hAnsi="Calibri" w:cs="Calibri"/>
                <w:sz w:val="24"/>
                <w:szCs w:val="24"/>
              </w:rPr>
            </w:pPr>
          </w:p>
        </w:tc>
        <w:tc>
          <w:tcPr>
            <w:tcW w:w="2505" w:type="dxa"/>
          </w:tcPr>
          <w:p w14:paraId="47520D9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FEA9451" w14:textId="31E14F13" w:rsidTr="00E6407C">
        <w:tc>
          <w:tcPr>
            <w:tcW w:w="7252" w:type="dxa"/>
          </w:tcPr>
          <w:p w14:paraId="7820730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D511FC">
              <w:rPr>
                <w:rFonts w:ascii="Calibri" w:eastAsia="Calibri" w:hAnsi="Calibri" w:cs="Calibri"/>
                <w:b/>
                <w:bCs/>
                <w:sz w:val="24"/>
                <w:szCs w:val="24"/>
              </w:rPr>
              <w:t xml:space="preserve">caput </w:t>
            </w:r>
            <w:r w:rsidRPr="00D511FC">
              <w:rPr>
                <w:rFonts w:ascii="Calibri" w:eastAsia="Calibri" w:hAnsi="Calibri" w:cs="Calibri"/>
                <w:sz w:val="24"/>
                <w:szCs w:val="24"/>
              </w:rPr>
              <w:t>deve ser a calculada previamente ao lançamento do correspondente fluxo de contribuições extraordinárias futuras.</w:t>
            </w:r>
          </w:p>
        </w:tc>
        <w:tc>
          <w:tcPr>
            <w:tcW w:w="3107" w:type="dxa"/>
          </w:tcPr>
          <w:p w14:paraId="03191D7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1928F39" w14:textId="25BA9CAB" w:rsidR="00F62F78" w:rsidRPr="00D511FC" w:rsidRDefault="00F62F78" w:rsidP="005C38E7">
            <w:pPr>
              <w:spacing w:after="120"/>
              <w:jc w:val="both"/>
              <w:rPr>
                <w:rFonts w:ascii="Calibri" w:eastAsia="Calibri" w:hAnsi="Calibri" w:cs="Calibri"/>
                <w:sz w:val="24"/>
                <w:szCs w:val="24"/>
              </w:rPr>
            </w:pPr>
          </w:p>
        </w:tc>
        <w:tc>
          <w:tcPr>
            <w:tcW w:w="2505" w:type="dxa"/>
          </w:tcPr>
          <w:p w14:paraId="2BA35C3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E965424" w14:textId="3515EC1F" w:rsidTr="00E6407C">
        <w:tc>
          <w:tcPr>
            <w:tcW w:w="7252" w:type="dxa"/>
          </w:tcPr>
          <w:p w14:paraId="3548A2B2"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III</w:t>
            </w:r>
          </w:p>
        </w:tc>
        <w:tc>
          <w:tcPr>
            <w:tcW w:w="3107" w:type="dxa"/>
          </w:tcPr>
          <w:p w14:paraId="490F3B61"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11F989CA" w14:textId="758D4EA6" w:rsidR="00F62F78" w:rsidRPr="00D511FC" w:rsidRDefault="00F62F78" w:rsidP="005C38E7">
            <w:pPr>
              <w:spacing w:after="120"/>
              <w:jc w:val="center"/>
              <w:rPr>
                <w:rFonts w:ascii="Calibri" w:eastAsia="Calibri" w:hAnsi="Calibri" w:cs="Calibri"/>
                <w:b/>
                <w:bCs/>
                <w:sz w:val="24"/>
                <w:szCs w:val="24"/>
              </w:rPr>
            </w:pPr>
          </w:p>
        </w:tc>
        <w:tc>
          <w:tcPr>
            <w:tcW w:w="2505" w:type="dxa"/>
          </w:tcPr>
          <w:p w14:paraId="25102CF1"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1024F32" w14:textId="7898DE8E" w:rsidTr="00E6407C">
        <w:tc>
          <w:tcPr>
            <w:tcW w:w="7252" w:type="dxa"/>
          </w:tcPr>
          <w:p w14:paraId="2826BBE0"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Taxa de Juros Parâmetro</w:t>
            </w:r>
          </w:p>
        </w:tc>
        <w:tc>
          <w:tcPr>
            <w:tcW w:w="3107" w:type="dxa"/>
          </w:tcPr>
          <w:p w14:paraId="26588E02"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A495FF8" w14:textId="6865D991" w:rsidR="00F62F78" w:rsidRPr="00D511FC" w:rsidRDefault="00F62F78" w:rsidP="005C38E7">
            <w:pPr>
              <w:spacing w:after="120"/>
              <w:jc w:val="center"/>
              <w:rPr>
                <w:rFonts w:ascii="Calibri" w:eastAsia="Calibri" w:hAnsi="Calibri" w:cs="Calibri"/>
                <w:b/>
                <w:bCs/>
                <w:sz w:val="24"/>
                <w:szCs w:val="24"/>
              </w:rPr>
            </w:pPr>
          </w:p>
        </w:tc>
        <w:tc>
          <w:tcPr>
            <w:tcW w:w="2505" w:type="dxa"/>
          </w:tcPr>
          <w:p w14:paraId="1B9EF8F5"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5CE22F34" w14:textId="3CC17CC9" w:rsidTr="00E6407C">
        <w:tc>
          <w:tcPr>
            <w:tcW w:w="7252" w:type="dxa"/>
          </w:tcPr>
          <w:p w14:paraId="00A534A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49.  A taxa de juros parâmetro corresponde àquela cujo ponto da Estrutura a Termo de Taxa de Juros Média (ETTJ) seja o mais próximo à duração do passivo do respectivo plano de benefícios.</w:t>
            </w:r>
          </w:p>
        </w:tc>
        <w:tc>
          <w:tcPr>
            <w:tcW w:w="3107" w:type="dxa"/>
          </w:tcPr>
          <w:p w14:paraId="4C954A4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B88EE18" w14:textId="2E4C9FA5" w:rsidR="00F62F78" w:rsidRPr="00D511FC" w:rsidRDefault="00F62F78" w:rsidP="005C38E7">
            <w:pPr>
              <w:spacing w:after="120"/>
              <w:jc w:val="both"/>
              <w:rPr>
                <w:rFonts w:ascii="Calibri" w:eastAsia="Calibri" w:hAnsi="Calibri" w:cs="Calibri"/>
                <w:sz w:val="24"/>
                <w:szCs w:val="24"/>
              </w:rPr>
            </w:pPr>
          </w:p>
        </w:tc>
        <w:tc>
          <w:tcPr>
            <w:tcW w:w="2505" w:type="dxa"/>
          </w:tcPr>
          <w:p w14:paraId="65DD042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FD6E0B5" w14:textId="6AF65EC1" w:rsidTr="00E6407C">
        <w:tc>
          <w:tcPr>
            <w:tcW w:w="7252" w:type="dxa"/>
          </w:tcPr>
          <w:p w14:paraId="6C39C8B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A duração do passivo para encontrar a taxa de juros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aquela calculada considerando o fluxo projetado na avaliação de encerramento do exercício anterior ao de referência.</w:t>
            </w:r>
          </w:p>
        </w:tc>
        <w:tc>
          <w:tcPr>
            <w:tcW w:w="3107" w:type="dxa"/>
          </w:tcPr>
          <w:p w14:paraId="6F70442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BA1EC47" w14:textId="164EFDEE" w:rsidR="00F62F78" w:rsidRPr="00D511FC" w:rsidRDefault="00F62F78" w:rsidP="005C38E7">
            <w:pPr>
              <w:spacing w:after="120"/>
              <w:jc w:val="both"/>
              <w:rPr>
                <w:rFonts w:ascii="Calibri" w:eastAsia="Calibri" w:hAnsi="Calibri" w:cs="Calibri"/>
                <w:sz w:val="24"/>
                <w:szCs w:val="24"/>
              </w:rPr>
            </w:pPr>
          </w:p>
        </w:tc>
        <w:tc>
          <w:tcPr>
            <w:tcW w:w="2505" w:type="dxa"/>
          </w:tcPr>
          <w:p w14:paraId="089E109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2BF115F" w14:textId="32EF6213" w:rsidTr="00E6407C">
        <w:tc>
          <w:tcPr>
            <w:tcW w:w="7252" w:type="dxa"/>
          </w:tcPr>
          <w:p w14:paraId="71778F3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2º  Na ocorrência de fato relevante que enseje a elaboração de nova avaliação atuarial, deve ser considerado o fluxo projetado que reflita a nova realidade do plano de benefícios.</w:t>
            </w:r>
          </w:p>
        </w:tc>
        <w:tc>
          <w:tcPr>
            <w:tcW w:w="3107" w:type="dxa"/>
          </w:tcPr>
          <w:p w14:paraId="663E216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2E43338" w14:textId="40F3DBA5" w:rsidR="00F62F78" w:rsidRPr="00D511FC" w:rsidRDefault="00F62F78" w:rsidP="005C38E7">
            <w:pPr>
              <w:spacing w:after="120"/>
              <w:jc w:val="both"/>
              <w:rPr>
                <w:rFonts w:ascii="Calibri" w:eastAsia="Calibri" w:hAnsi="Calibri" w:cs="Calibri"/>
                <w:sz w:val="24"/>
                <w:szCs w:val="24"/>
              </w:rPr>
            </w:pPr>
          </w:p>
        </w:tc>
        <w:tc>
          <w:tcPr>
            <w:tcW w:w="2505" w:type="dxa"/>
          </w:tcPr>
          <w:p w14:paraId="249237F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B825682" w14:textId="187AAA85" w:rsidTr="00E6407C">
        <w:tc>
          <w:tcPr>
            <w:tcW w:w="7252" w:type="dxa"/>
          </w:tcPr>
          <w:p w14:paraId="470A26E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 3º  Os pontos das ETTJ devem ser apurados com data-base do primeiro dia útil de abril.</w:t>
            </w:r>
          </w:p>
        </w:tc>
        <w:tc>
          <w:tcPr>
            <w:tcW w:w="3107" w:type="dxa"/>
          </w:tcPr>
          <w:p w14:paraId="169011E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08B3F06" w14:textId="789566A7" w:rsidR="00F62F78" w:rsidRPr="00D511FC" w:rsidRDefault="00F62F78" w:rsidP="005C38E7">
            <w:pPr>
              <w:spacing w:after="120"/>
              <w:jc w:val="both"/>
              <w:rPr>
                <w:rFonts w:ascii="Calibri" w:eastAsia="Calibri" w:hAnsi="Calibri" w:cs="Calibri"/>
                <w:sz w:val="24"/>
                <w:szCs w:val="24"/>
              </w:rPr>
            </w:pPr>
          </w:p>
        </w:tc>
        <w:tc>
          <w:tcPr>
            <w:tcW w:w="2505" w:type="dxa"/>
          </w:tcPr>
          <w:p w14:paraId="34EC805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3E5CF62" w14:textId="70046324" w:rsidTr="00E6407C">
        <w:tc>
          <w:tcPr>
            <w:tcW w:w="7252" w:type="dxa"/>
          </w:tcPr>
          <w:p w14:paraId="023DB21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4º  Os pontos das ETTJ e correspondentes taxas de juros parâmetro, bem como os limites inferior e superior, devem ser divulgados anualmente pela Previc até 30 de abril de cada exercício, por Portaria expedida pela Diretoria de Normas.</w:t>
            </w:r>
          </w:p>
        </w:tc>
        <w:tc>
          <w:tcPr>
            <w:tcW w:w="3107" w:type="dxa"/>
          </w:tcPr>
          <w:p w14:paraId="1EC0E73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F287044" w14:textId="300A85EF" w:rsidR="00F62F78" w:rsidRPr="00D511FC" w:rsidRDefault="00F62F78" w:rsidP="005C38E7">
            <w:pPr>
              <w:spacing w:after="120"/>
              <w:jc w:val="both"/>
              <w:rPr>
                <w:rFonts w:ascii="Calibri" w:eastAsia="Calibri" w:hAnsi="Calibri" w:cs="Calibri"/>
                <w:sz w:val="24"/>
                <w:szCs w:val="24"/>
              </w:rPr>
            </w:pPr>
          </w:p>
        </w:tc>
        <w:tc>
          <w:tcPr>
            <w:tcW w:w="2505" w:type="dxa"/>
          </w:tcPr>
          <w:p w14:paraId="735C5E9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2F997C5" w14:textId="39A623F8" w:rsidTr="00E6407C">
        <w:tc>
          <w:tcPr>
            <w:tcW w:w="7252" w:type="dxa"/>
          </w:tcPr>
          <w:p w14:paraId="7251B0D4"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50.  O cálculo da taxa de juros parâmetro deve considerar a duração do passivo com uma casa decimal, conforme definido no Anexo I a esta Resolução.</w:t>
            </w:r>
          </w:p>
        </w:tc>
        <w:tc>
          <w:tcPr>
            <w:tcW w:w="3107" w:type="dxa"/>
          </w:tcPr>
          <w:p w14:paraId="71E5BB3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EE7FE1E" w14:textId="6972BDBC" w:rsidR="00F62F78" w:rsidRPr="00D511FC" w:rsidRDefault="00F62F78" w:rsidP="005C38E7">
            <w:pPr>
              <w:spacing w:after="120"/>
              <w:jc w:val="both"/>
              <w:rPr>
                <w:rFonts w:ascii="Calibri" w:eastAsia="Calibri" w:hAnsi="Calibri" w:cs="Calibri"/>
                <w:sz w:val="24"/>
                <w:szCs w:val="24"/>
              </w:rPr>
            </w:pPr>
          </w:p>
        </w:tc>
        <w:tc>
          <w:tcPr>
            <w:tcW w:w="2505" w:type="dxa"/>
          </w:tcPr>
          <w:p w14:paraId="35BEBBD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9635E8E" w14:textId="7138B2F1" w:rsidTr="00E6407C">
        <w:tc>
          <w:tcPr>
            <w:tcW w:w="7252" w:type="dxa"/>
          </w:tcPr>
          <w:p w14:paraId="7C4049F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51.  Independentemente da modalidade, quando o plano apresentar benefícios com características de benefício definido, a duração do passivo deve ser considerada para efeito de definição da taxa de juros parâmetro.</w:t>
            </w:r>
          </w:p>
        </w:tc>
        <w:tc>
          <w:tcPr>
            <w:tcW w:w="3107" w:type="dxa"/>
          </w:tcPr>
          <w:p w14:paraId="09DD7ED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FCB0EFD" w14:textId="154B6E91" w:rsidR="00F62F78" w:rsidRPr="00D511FC" w:rsidRDefault="00F62F78" w:rsidP="005C38E7">
            <w:pPr>
              <w:spacing w:after="120"/>
              <w:jc w:val="both"/>
              <w:rPr>
                <w:rFonts w:ascii="Calibri" w:eastAsia="Calibri" w:hAnsi="Calibri" w:cs="Calibri"/>
                <w:sz w:val="24"/>
                <w:szCs w:val="24"/>
              </w:rPr>
            </w:pPr>
          </w:p>
        </w:tc>
        <w:tc>
          <w:tcPr>
            <w:tcW w:w="2505" w:type="dxa"/>
          </w:tcPr>
          <w:p w14:paraId="2735BC3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2CE898D" w14:textId="53825CC6" w:rsidTr="00E6407C">
        <w:tc>
          <w:tcPr>
            <w:tcW w:w="7252" w:type="dxa"/>
          </w:tcPr>
          <w:p w14:paraId="042F39F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1º  O plano de benefícios que apresente benefício com características de contribuição definida e utilize taxa real anual de juros em seu cálculo, deve adotar a taxa de juros dentro do intervalo regulatório estabelecido, considerando a duração de dez anos.</w:t>
            </w:r>
          </w:p>
        </w:tc>
        <w:tc>
          <w:tcPr>
            <w:tcW w:w="3107" w:type="dxa"/>
          </w:tcPr>
          <w:p w14:paraId="5D9D3B9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67BB5FD" w14:textId="11574FCE" w:rsidR="00F62F78" w:rsidRPr="00D511FC" w:rsidRDefault="00F62F78" w:rsidP="005C38E7">
            <w:pPr>
              <w:spacing w:after="120"/>
              <w:jc w:val="both"/>
              <w:rPr>
                <w:rFonts w:ascii="Calibri" w:eastAsia="Calibri" w:hAnsi="Calibri" w:cs="Calibri"/>
                <w:sz w:val="24"/>
                <w:szCs w:val="24"/>
              </w:rPr>
            </w:pPr>
          </w:p>
        </w:tc>
        <w:tc>
          <w:tcPr>
            <w:tcW w:w="2505" w:type="dxa"/>
          </w:tcPr>
          <w:p w14:paraId="4B2E0D1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415643C" w14:textId="40BA1509" w:rsidTr="00E6407C">
        <w:tc>
          <w:tcPr>
            <w:tcW w:w="7252" w:type="dxa"/>
          </w:tcPr>
          <w:p w14:paraId="687FA62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Caso o plano de benefícios possua fundo previdencial que utilize em sua constituição e manutenção a hipótese de taxa real anual de juros, aplicam-se os critérios de definição para a taxa de juros parâmetro previstos no </w:t>
            </w:r>
            <w:r w:rsidRPr="00D511FC">
              <w:rPr>
                <w:rFonts w:ascii="Calibri" w:eastAsia="Calibri" w:hAnsi="Calibri" w:cs="Calibri"/>
                <w:b/>
                <w:bCs/>
                <w:sz w:val="24"/>
                <w:szCs w:val="24"/>
              </w:rPr>
              <w:t>caput</w:t>
            </w:r>
            <w:r w:rsidRPr="00D511FC">
              <w:rPr>
                <w:rFonts w:ascii="Calibri" w:eastAsia="Calibri" w:hAnsi="Calibri" w:cs="Calibri"/>
                <w:sz w:val="24"/>
                <w:szCs w:val="24"/>
              </w:rPr>
              <w:t>, conforme evento ou risco ao qual esteja associado.</w:t>
            </w:r>
          </w:p>
        </w:tc>
        <w:tc>
          <w:tcPr>
            <w:tcW w:w="3107" w:type="dxa"/>
          </w:tcPr>
          <w:p w14:paraId="396A42E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1B24D6B" w14:textId="7403308B" w:rsidR="00F62F78" w:rsidRPr="00D511FC" w:rsidRDefault="00F62F78" w:rsidP="005C38E7">
            <w:pPr>
              <w:spacing w:after="120"/>
              <w:jc w:val="both"/>
              <w:rPr>
                <w:rFonts w:ascii="Calibri" w:eastAsia="Calibri" w:hAnsi="Calibri" w:cs="Calibri"/>
                <w:sz w:val="24"/>
                <w:szCs w:val="24"/>
              </w:rPr>
            </w:pPr>
          </w:p>
        </w:tc>
        <w:tc>
          <w:tcPr>
            <w:tcW w:w="2505" w:type="dxa"/>
          </w:tcPr>
          <w:p w14:paraId="3DC5CBA4"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6C415C1" w14:textId="68223675" w:rsidTr="00E6407C">
        <w:tc>
          <w:tcPr>
            <w:tcW w:w="7252" w:type="dxa"/>
          </w:tcPr>
          <w:p w14:paraId="43B30B4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52.  No caso de inviabilidade técnica para apuração da duração do passivo, o plano de benefícios deve aplicar a ETTJ considerando a duração de dez anos para efeito de definição da taxa de juros parâmetro.</w:t>
            </w:r>
          </w:p>
        </w:tc>
        <w:tc>
          <w:tcPr>
            <w:tcW w:w="3107" w:type="dxa"/>
          </w:tcPr>
          <w:p w14:paraId="48F296E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C87B5A6" w14:textId="3C955BE1" w:rsidR="00F62F78" w:rsidRPr="00D511FC" w:rsidRDefault="00F62F78" w:rsidP="005C38E7">
            <w:pPr>
              <w:spacing w:after="120"/>
              <w:jc w:val="both"/>
              <w:rPr>
                <w:rFonts w:ascii="Calibri" w:eastAsia="Calibri" w:hAnsi="Calibri" w:cs="Calibri"/>
                <w:sz w:val="24"/>
                <w:szCs w:val="24"/>
              </w:rPr>
            </w:pPr>
          </w:p>
        </w:tc>
        <w:tc>
          <w:tcPr>
            <w:tcW w:w="2505" w:type="dxa"/>
          </w:tcPr>
          <w:p w14:paraId="03900538"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D561631" w14:textId="4724D93C" w:rsidTr="00E6407C">
        <w:tc>
          <w:tcPr>
            <w:tcW w:w="7252" w:type="dxa"/>
          </w:tcPr>
          <w:p w14:paraId="6B837616"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Cabe ao atuário responsável pelo plano de benefícios a manifestação sobre a inviabilidade técnica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nas Demonstrações Atuariais (DA).</w:t>
            </w:r>
          </w:p>
        </w:tc>
        <w:tc>
          <w:tcPr>
            <w:tcW w:w="3107" w:type="dxa"/>
          </w:tcPr>
          <w:p w14:paraId="5DD2892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0D68B8A" w14:textId="1D94501F" w:rsidR="00F62F78" w:rsidRPr="00D511FC" w:rsidRDefault="00F62F78" w:rsidP="005C38E7">
            <w:pPr>
              <w:spacing w:after="120"/>
              <w:jc w:val="both"/>
              <w:rPr>
                <w:rFonts w:ascii="Calibri" w:eastAsia="Calibri" w:hAnsi="Calibri" w:cs="Calibri"/>
                <w:sz w:val="24"/>
                <w:szCs w:val="24"/>
              </w:rPr>
            </w:pPr>
          </w:p>
        </w:tc>
        <w:tc>
          <w:tcPr>
            <w:tcW w:w="2505" w:type="dxa"/>
          </w:tcPr>
          <w:p w14:paraId="6BAEACD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D802752" w14:textId="272A5A80" w:rsidTr="00E6407C">
        <w:tc>
          <w:tcPr>
            <w:tcW w:w="7252" w:type="dxa"/>
          </w:tcPr>
          <w:p w14:paraId="5A9E145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IV</w:t>
            </w:r>
          </w:p>
        </w:tc>
        <w:tc>
          <w:tcPr>
            <w:tcW w:w="3107" w:type="dxa"/>
          </w:tcPr>
          <w:p w14:paraId="32786CED"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3036A0C" w14:textId="70E59455" w:rsidR="00F62F78" w:rsidRPr="00D511FC" w:rsidRDefault="00F62F78" w:rsidP="005C38E7">
            <w:pPr>
              <w:spacing w:after="120"/>
              <w:jc w:val="center"/>
              <w:rPr>
                <w:rFonts w:ascii="Calibri" w:eastAsia="Calibri" w:hAnsi="Calibri" w:cs="Calibri"/>
                <w:b/>
                <w:bCs/>
                <w:sz w:val="24"/>
                <w:szCs w:val="24"/>
              </w:rPr>
            </w:pPr>
          </w:p>
        </w:tc>
        <w:tc>
          <w:tcPr>
            <w:tcW w:w="2505" w:type="dxa"/>
          </w:tcPr>
          <w:p w14:paraId="1EDEAD9B"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4264011" w14:textId="5FB6C343" w:rsidTr="00E6407C">
        <w:tc>
          <w:tcPr>
            <w:tcW w:w="7252" w:type="dxa"/>
          </w:tcPr>
          <w:p w14:paraId="38717870"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Ajuste de Precificação</w:t>
            </w:r>
          </w:p>
        </w:tc>
        <w:tc>
          <w:tcPr>
            <w:tcW w:w="3107" w:type="dxa"/>
          </w:tcPr>
          <w:p w14:paraId="4571E284"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A619FFD" w14:textId="50F7973D" w:rsidR="00F62F78" w:rsidRPr="00D511FC" w:rsidRDefault="00F62F78" w:rsidP="005C38E7">
            <w:pPr>
              <w:spacing w:after="120"/>
              <w:jc w:val="center"/>
              <w:rPr>
                <w:rFonts w:ascii="Calibri" w:eastAsia="Calibri" w:hAnsi="Calibri" w:cs="Calibri"/>
                <w:b/>
                <w:bCs/>
                <w:sz w:val="24"/>
                <w:szCs w:val="24"/>
              </w:rPr>
            </w:pPr>
          </w:p>
        </w:tc>
        <w:tc>
          <w:tcPr>
            <w:tcW w:w="2505" w:type="dxa"/>
          </w:tcPr>
          <w:p w14:paraId="016DC4C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6F21C7C7" w14:textId="6B2294D4" w:rsidTr="00E6407C">
        <w:tc>
          <w:tcPr>
            <w:tcW w:w="7252" w:type="dxa"/>
          </w:tcPr>
          <w:p w14:paraId="7A74D52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53.  O ajuste de precificação é restrito aos títulos públicos federais atrelados a índices de preços mantidos em carteira própria ou em fundos de investimento exclusivos que atendam, cumulativamente, aos seguintes requisitos:</w:t>
            </w:r>
          </w:p>
        </w:tc>
        <w:tc>
          <w:tcPr>
            <w:tcW w:w="3107" w:type="dxa"/>
          </w:tcPr>
          <w:p w14:paraId="68238967" w14:textId="77777777" w:rsidR="00F62F78" w:rsidRPr="00D42898" w:rsidRDefault="00D42898" w:rsidP="005C38E7">
            <w:pPr>
              <w:spacing w:after="120"/>
              <w:jc w:val="both"/>
              <w:rPr>
                <w:rFonts w:ascii="Calibri" w:eastAsia="Calibri" w:hAnsi="Calibri" w:cs="Calibri"/>
                <w:sz w:val="24"/>
                <w:szCs w:val="24"/>
              </w:rPr>
            </w:pPr>
            <w:r w:rsidRPr="00D42898">
              <w:rPr>
                <w:rFonts w:ascii="Calibri" w:eastAsia="Calibri" w:hAnsi="Calibri" w:cs="Calibri"/>
                <w:sz w:val="24"/>
                <w:szCs w:val="24"/>
              </w:rPr>
              <w:t>ANCEP:</w:t>
            </w:r>
          </w:p>
          <w:p w14:paraId="055B75FE" w14:textId="0FD4A3AB" w:rsidR="00D42898" w:rsidRPr="00D42898" w:rsidRDefault="00D42898" w:rsidP="00D42898">
            <w:pPr>
              <w:spacing w:after="120"/>
              <w:jc w:val="both"/>
              <w:rPr>
                <w:rFonts w:ascii="Calibri" w:eastAsia="Calibri" w:hAnsi="Calibri" w:cs="Calibri"/>
                <w:color w:val="FF0000"/>
                <w:sz w:val="24"/>
                <w:szCs w:val="24"/>
              </w:rPr>
            </w:pPr>
            <w:r w:rsidRPr="00D42898">
              <w:rPr>
                <w:rFonts w:ascii="Calibri" w:eastAsia="Calibri" w:hAnsi="Calibri" w:cs="Calibri"/>
                <w:color w:val="FF0000"/>
                <w:sz w:val="24"/>
                <w:szCs w:val="24"/>
              </w:rPr>
              <w:t>Contabilizar o ajuste de precificação nos casos de déficits, principalmente em situação de equacionamentos futuros.</w:t>
            </w:r>
            <w:r w:rsidRPr="00D42898">
              <w:rPr>
                <w:rFonts w:ascii="Calibri" w:eastAsia="Calibri" w:hAnsi="Calibri" w:cs="Calibri"/>
                <w:color w:val="FF0000"/>
                <w:sz w:val="24"/>
                <w:szCs w:val="24"/>
              </w:rPr>
              <w:tab/>
            </w:r>
          </w:p>
        </w:tc>
        <w:tc>
          <w:tcPr>
            <w:tcW w:w="2552" w:type="dxa"/>
          </w:tcPr>
          <w:p w14:paraId="73BF8D4C" w14:textId="77777777" w:rsidR="00F62F78" w:rsidRDefault="00D42898" w:rsidP="005C38E7">
            <w:pPr>
              <w:spacing w:after="120"/>
              <w:jc w:val="both"/>
              <w:rPr>
                <w:rFonts w:ascii="Calibri" w:eastAsia="Calibri" w:hAnsi="Calibri" w:cs="Calibri"/>
                <w:sz w:val="24"/>
                <w:szCs w:val="24"/>
              </w:rPr>
            </w:pPr>
            <w:r>
              <w:rPr>
                <w:rFonts w:ascii="Calibri" w:eastAsia="Calibri" w:hAnsi="Calibri" w:cs="Calibri"/>
                <w:sz w:val="24"/>
                <w:szCs w:val="24"/>
              </w:rPr>
              <w:t xml:space="preserve">ANCEP: </w:t>
            </w:r>
          </w:p>
          <w:p w14:paraId="57298E47" w14:textId="743B7BF7" w:rsidR="00D42898" w:rsidRPr="00D511FC" w:rsidRDefault="00D42898" w:rsidP="004A730F">
            <w:pPr>
              <w:spacing w:after="120"/>
              <w:jc w:val="both"/>
              <w:rPr>
                <w:rFonts w:ascii="Calibri" w:eastAsia="Calibri" w:hAnsi="Calibri" w:cs="Calibri"/>
                <w:sz w:val="24"/>
                <w:szCs w:val="24"/>
              </w:rPr>
            </w:pPr>
            <w:r w:rsidRPr="00D42898">
              <w:rPr>
                <w:rFonts w:ascii="Calibri" w:eastAsia="Calibri" w:hAnsi="Calibri" w:cs="Calibri"/>
                <w:sz w:val="24"/>
                <w:szCs w:val="24"/>
              </w:rPr>
              <w:t>Com a contabilização, evita-se</w:t>
            </w:r>
            <w:r>
              <w:rPr>
                <w:rFonts w:ascii="Calibri" w:eastAsia="Calibri" w:hAnsi="Calibri" w:cs="Calibri"/>
                <w:sz w:val="24"/>
                <w:szCs w:val="24"/>
              </w:rPr>
              <w:t xml:space="preserve"> </w:t>
            </w:r>
            <w:r w:rsidRPr="00D42898">
              <w:rPr>
                <w:rFonts w:ascii="Calibri" w:eastAsia="Calibri" w:hAnsi="Calibri" w:cs="Calibri"/>
                <w:sz w:val="24"/>
                <w:szCs w:val="24"/>
              </w:rPr>
              <w:t>da apresentação de dois resultados, um oficial e legal registrado nos livros contábeis: Razão e Diário e no Balancete do Plano e outro no DAL com o equilíbrio técnico ajustado, só que de forma gerencial, pois não compõem o resul</w:t>
            </w:r>
            <w:r>
              <w:rPr>
                <w:rFonts w:ascii="Calibri" w:eastAsia="Calibri" w:hAnsi="Calibri" w:cs="Calibri"/>
                <w:sz w:val="24"/>
                <w:szCs w:val="24"/>
              </w:rPr>
              <w:t>ta</w:t>
            </w:r>
            <w:r w:rsidRPr="00D42898">
              <w:rPr>
                <w:rFonts w:ascii="Calibri" w:eastAsia="Calibri" w:hAnsi="Calibri" w:cs="Calibri"/>
                <w:sz w:val="24"/>
                <w:szCs w:val="24"/>
              </w:rPr>
              <w:t>do efetivo do plano de</w:t>
            </w:r>
            <w:r>
              <w:rPr>
                <w:rFonts w:ascii="Calibri" w:eastAsia="Calibri" w:hAnsi="Calibri" w:cs="Calibri"/>
                <w:sz w:val="24"/>
                <w:szCs w:val="24"/>
              </w:rPr>
              <w:t xml:space="preserve"> </w:t>
            </w:r>
            <w:r w:rsidRPr="00D42898">
              <w:rPr>
                <w:rFonts w:ascii="Calibri" w:eastAsia="Calibri" w:hAnsi="Calibri" w:cs="Calibri"/>
                <w:sz w:val="24"/>
                <w:szCs w:val="24"/>
              </w:rPr>
              <w:t>benefícios.</w:t>
            </w:r>
          </w:p>
        </w:tc>
        <w:tc>
          <w:tcPr>
            <w:tcW w:w="2505" w:type="dxa"/>
          </w:tcPr>
          <w:p w14:paraId="28B46C00" w14:textId="5E6ADC22" w:rsidR="00F62F78" w:rsidRPr="00D42898" w:rsidRDefault="00D42898" w:rsidP="005C38E7">
            <w:pPr>
              <w:spacing w:after="120"/>
              <w:jc w:val="both"/>
              <w:rPr>
                <w:rFonts w:ascii="Calibri" w:eastAsia="Calibri" w:hAnsi="Calibri" w:cs="Calibri"/>
                <w:b/>
                <w:bCs/>
                <w:sz w:val="24"/>
                <w:szCs w:val="24"/>
              </w:rPr>
            </w:pPr>
            <w:r w:rsidRPr="00D42898">
              <w:rPr>
                <w:rFonts w:ascii="Calibri" w:eastAsia="Calibri" w:hAnsi="Calibri" w:cs="Calibri"/>
                <w:b/>
                <w:bCs/>
                <w:sz w:val="24"/>
                <w:szCs w:val="24"/>
              </w:rPr>
              <w:t xml:space="preserve">NÃO ACATAR. </w:t>
            </w:r>
            <w:r w:rsidRPr="00D42898">
              <w:rPr>
                <w:rFonts w:ascii="Calibri" w:eastAsia="Calibri" w:hAnsi="Calibri" w:cs="Calibri"/>
                <w:sz w:val="24"/>
                <w:szCs w:val="24"/>
              </w:rPr>
              <w:t>O ajuste de precificação é registrado de forma extracontábil, não estando o atual plano de contas preparado para essa contabilização.</w:t>
            </w:r>
          </w:p>
        </w:tc>
      </w:tr>
      <w:tr w:rsidR="00F62F78" w:rsidRPr="00D511FC" w14:paraId="7BF78929" w14:textId="2C9FF911" w:rsidTr="00E6407C">
        <w:tc>
          <w:tcPr>
            <w:tcW w:w="7252" w:type="dxa"/>
          </w:tcPr>
          <w:p w14:paraId="7DFA075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estejam classificados na categoria títulos mantidos até o vencimento;</w:t>
            </w:r>
          </w:p>
        </w:tc>
        <w:tc>
          <w:tcPr>
            <w:tcW w:w="3107" w:type="dxa"/>
          </w:tcPr>
          <w:p w14:paraId="0A604F9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DC929FF" w14:textId="20CA425B" w:rsidR="00F62F78" w:rsidRPr="00D511FC" w:rsidRDefault="00F62F78" w:rsidP="005C38E7">
            <w:pPr>
              <w:spacing w:after="120"/>
              <w:jc w:val="both"/>
              <w:rPr>
                <w:rFonts w:ascii="Calibri" w:eastAsia="Calibri" w:hAnsi="Calibri" w:cs="Calibri"/>
                <w:sz w:val="24"/>
                <w:szCs w:val="24"/>
              </w:rPr>
            </w:pPr>
          </w:p>
        </w:tc>
        <w:tc>
          <w:tcPr>
            <w:tcW w:w="2505" w:type="dxa"/>
          </w:tcPr>
          <w:p w14:paraId="1022DC7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4D494E7" w14:textId="246F97AB" w:rsidTr="00E6407C">
        <w:tc>
          <w:tcPr>
            <w:tcW w:w="7252" w:type="dxa"/>
          </w:tcPr>
          <w:p w14:paraId="6255E8E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3107" w:type="dxa"/>
          </w:tcPr>
          <w:p w14:paraId="408C8CD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23BAD48" w14:textId="2BD90B20" w:rsidR="00F62F78" w:rsidRPr="00D511FC" w:rsidRDefault="00F62F78" w:rsidP="005C38E7">
            <w:pPr>
              <w:spacing w:after="120"/>
              <w:jc w:val="both"/>
              <w:rPr>
                <w:rFonts w:ascii="Calibri" w:eastAsia="Calibri" w:hAnsi="Calibri" w:cs="Calibri"/>
                <w:sz w:val="24"/>
                <w:szCs w:val="24"/>
              </w:rPr>
            </w:pPr>
          </w:p>
        </w:tc>
        <w:tc>
          <w:tcPr>
            <w:tcW w:w="2505" w:type="dxa"/>
          </w:tcPr>
          <w:p w14:paraId="681A52E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8DABCBC" w14:textId="54EC9688" w:rsidTr="00E6407C">
        <w:tc>
          <w:tcPr>
            <w:tcW w:w="7252" w:type="dxa"/>
          </w:tcPr>
          <w:p w14:paraId="3A61112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tc>
        <w:tc>
          <w:tcPr>
            <w:tcW w:w="3107" w:type="dxa"/>
          </w:tcPr>
          <w:p w14:paraId="30D23DC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E20A8A7" w14:textId="6B04C3A3" w:rsidR="00F62F78" w:rsidRPr="00D511FC" w:rsidRDefault="00F62F78" w:rsidP="005C38E7">
            <w:pPr>
              <w:spacing w:after="120"/>
              <w:jc w:val="both"/>
              <w:rPr>
                <w:rFonts w:ascii="Calibri" w:eastAsia="Calibri" w:hAnsi="Calibri" w:cs="Calibri"/>
                <w:sz w:val="24"/>
                <w:szCs w:val="24"/>
              </w:rPr>
            </w:pPr>
          </w:p>
        </w:tc>
        <w:tc>
          <w:tcPr>
            <w:tcW w:w="2505" w:type="dxa"/>
          </w:tcPr>
          <w:p w14:paraId="1357B4F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50AB303" w14:textId="26C69EEF" w:rsidTr="00E6407C">
        <w:tc>
          <w:tcPr>
            <w:tcW w:w="7252" w:type="dxa"/>
          </w:tcPr>
          <w:p w14:paraId="3A87566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IV - a duração do fluxo dos títulos públicos federais objetos do ajuste seja inferior à duração do fluxo de pagamento de benefícios; e</w:t>
            </w:r>
          </w:p>
        </w:tc>
        <w:tc>
          <w:tcPr>
            <w:tcW w:w="3107" w:type="dxa"/>
          </w:tcPr>
          <w:p w14:paraId="33CF335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3A90B11" w14:textId="0C97BA35" w:rsidR="00F62F78" w:rsidRPr="00D511FC" w:rsidRDefault="00F62F78" w:rsidP="005C38E7">
            <w:pPr>
              <w:spacing w:after="120"/>
              <w:jc w:val="both"/>
              <w:rPr>
                <w:rFonts w:ascii="Calibri" w:eastAsia="Calibri" w:hAnsi="Calibri" w:cs="Calibri"/>
                <w:sz w:val="24"/>
                <w:szCs w:val="24"/>
              </w:rPr>
            </w:pPr>
          </w:p>
        </w:tc>
        <w:tc>
          <w:tcPr>
            <w:tcW w:w="2505" w:type="dxa"/>
          </w:tcPr>
          <w:p w14:paraId="2CCBEE93"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5D409FE" w14:textId="268C3646" w:rsidTr="00E6407C">
        <w:tc>
          <w:tcPr>
            <w:tcW w:w="7252" w:type="dxa"/>
          </w:tcPr>
          <w:p w14:paraId="3682751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 - esteja demonstrada a capacidade financeira de atendimento às necessidades de liquidez do plano de benefícios.</w:t>
            </w:r>
          </w:p>
        </w:tc>
        <w:tc>
          <w:tcPr>
            <w:tcW w:w="3107" w:type="dxa"/>
          </w:tcPr>
          <w:p w14:paraId="1912F79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F5F258C" w14:textId="2EF21B6D" w:rsidR="00F62F78" w:rsidRPr="00D511FC" w:rsidRDefault="00F62F78" w:rsidP="005C38E7">
            <w:pPr>
              <w:spacing w:after="120"/>
              <w:jc w:val="both"/>
              <w:rPr>
                <w:rFonts w:ascii="Calibri" w:eastAsia="Calibri" w:hAnsi="Calibri" w:cs="Calibri"/>
                <w:sz w:val="24"/>
                <w:szCs w:val="24"/>
              </w:rPr>
            </w:pPr>
          </w:p>
        </w:tc>
        <w:tc>
          <w:tcPr>
            <w:tcW w:w="2505" w:type="dxa"/>
          </w:tcPr>
          <w:p w14:paraId="6C0AF01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F106CDC" w14:textId="7AA9D2A9" w:rsidTr="00E6407C">
        <w:tc>
          <w:tcPr>
            <w:tcW w:w="7252" w:type="dxa"/>
          </w:tcPr>
          <w:p w14:paraId="7290260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 xml:space="preserve">§ 1º  No cálculo do valor presente e da duração dos fluxos referidos nos incisos III e IV do </w:t>
            </w:r>
            <w:r w:rsidRPr="00D511FC">
              <w:rPr>
                <w:rFonts w:ascii="Calibri" w:eastAsia="Calibri" w:hAnsi="Calibri" w:cs="Calibri"/>
                <w:b/>
                <w:bCs/>
                <w:sz w:val="24"/>
                <w:szCs w:val="24"/>
              </w:rPr>
              <w:t>caput</w:t>
            </w:r>
            <w:r w:rsidRPr="00D511FC">
              <w:rPr>
                <w:rFonts w:ascii="Calibri" w:eastAsia="Calibri" w:hAnsi="Calibri" w:cs="Calibri"/>
                <w:sz w:val="24"/>
                <w:szCs w:val="24"/>
              </w:rPr>
              <w:t>, deve ser aplicada a taxa real anual de juros utilizada na avaliação atuarial de encerramento do exercício correspondente.</w:t>
            </w:r>
          </w:p>
        </w:tc>
        <w:tc>
          <w:tcPr>
            <w:tcW w:w="3107" w:type="dxa"/>
          </w:tcPr>
          <w:p w14:paraId="5E1F5EC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AB48A52" w14:textId="07B24C22" w:rsidR="00F62F78" w:rsidRPr="00D511FC" w:rsidRDefault="00F62F78" w:rsidP="005C38E7">
            <w:pPr>
              <w:spacing w:after="120"/>
              <w:jc w:val="both"/>
              <w:rPr>
                <w:rFonts w:ascii="Calibri" w:eastAsia="Calibri" w:hAnsi="Calibri" w:cs="Calibri"/>
                <w:sz w:val="24"/>
                <w:szCs w:val="24"/>
              </w:rPr>
            </w:pPr>
          </w:p>
        </w:tc>
        <w:tc>
          <w:tcPr>
            <w:tcW w:w="2505" w:type="dxa"/>
          </w:tcPr>
          <w:p w14:paraId="600386A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9A4C680" w14:textId="02522FE8" w:rsidTr="00E6407C">
        <w:tc>
          <w:tcPr>
            <w:tcW w:w="7252" w:type="dxa"/>
          </w:tcPr>
          <w:p w14:paraId="542CE6F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Os títulos utilizados para fins de ajuste não podem ser excluídos do cálculo dos exercícios subsequentes, exceto quando não atenderem aos requisitos constantes nos incisos I a IV do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3107" w:type="dxa"/>
          </w:tcPr>
          <w:p w14:paraId="6808898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68B2C81" w14:textId="74833155" w:rsidR="00F62F78" w:rsidRPr="00D511FC" w:rsidRDefault="00F62F78" w:rsidP="005C38E7">
            <w:pPr>
              <w:spacing w:after="120"/>
              <w:jc w:val="both"/>
              <w:rPr>
                <w:rFonts w:ascii="Calibri" w:eastAsia="Calibri" w:hAnsi="Calibri" w:cs="Calibri"/>
                <w:sz w:val="24"/>
                <w:szCs w:val="24"/>
              </w:rPr>
            </w:pPr>
          </w:p>
        </w:tc>
        <w:tc>
          <w:tcPr>
            <w:tcW w:w="2505" w:type="dxa"/>
          </w:tcPr>
          <w:p w14:paraId="26048C5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D1D8F5F" w14:textId="17886370" w:rsidTr="00E6407C">
        <w:tc>
          <w:tcPr>
            <w:tcW w:w="7252" w:type="dxa"/>
          </w:tcPr>
          <w:p w14:paraId="21600E9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3107" w:type="dxa"/>
          </w:tcPr>
          <w:p w14:paraId="3D38932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18E02AA" w14:textId="2A91FA35" w:rsidR="00F62F78" w:rsidRPr="00D511FC" w:rsidRDefault="00F62F78" w:rsidP="005C38E7">
            <w:pPr>
              <w:spacing w:after="120"/>
              <w:jc w:val="both"/>
              <w:rPr>
                <w:rFonts w:ascii="Calibri" w:eastAsia="Calibri" w:hAnsi="Calibri" w:cs="Calibri"/>
                <w:sz w:val="24"/>
                <w:szCs w:val="24"/>
              </w:rPr>
            </w:pPr>
          </w:p>
        </w:tc>
        <w:tc>
          <w:tcPr>
            <w:tcW w:w="2505" w:type="dxa"/>
          </w:tcPr>
          <w:p w14:paraId="665B7FE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FCB8512" w14:textId="5F468DF1" w:rsidTr="00E6407C">
        <w:tc>
          <w:tcPr>
            <w:tcW w:w="7252" w:type="dxa"/>
          </w:tcPr>
          <w:p w14:paraId="721236C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54.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tc>
        <w:tc>
          <w:tcPr>
            <w:tcW w:w="3107" w:type="dxa"/>
          </w:tcPr>
          <w:p w14:paraId="1595994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0315F41" w14:textId="3E712497" w:rsidR="00F62F78" w:rsidRPr="00D511FC" w:rsidRDefault="00F62F78" w:rsidP="005C38E7">
            <w:pPr>
              <w:spacing w:after="120"/>
              <w:jc w:val="both"/>
              <w:rPr>
                <w:rFonts w:ascii="Calibri" w:eastAsia="Calibri" w:hAnsi="Calibri" w:cs="Calibri"/>
                <w:sz w:val="24"/>
                <w:szCs w:val="24"/>
              </w:rPr>
            </w:pPr>
          </w:p>
        </w:tc>
        <w:tc>
          <w:tcPr>
            <w:tcW w:w="2505" w:type="dxa"/>
          </w:tcPr>
          <w:p w14:paraId="30C04C44"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1F2DEFF" w14:textId="5C3A8DE4" w:rsidTr="00E6407C">
        <w:tc>
          <w:tcPr>
            <w:tcW w:w="7252" w:type="dxa"/>
          </w:tcPr>
          <w:p w14:paraId="7DBCE03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positivo ou negativo, no caso de equacionamento de déficit; ou</w:t>
            </w:r>
          </w:p>
        </w:tc>
        <w:tc>
          <w:tcPr>
            <w:tcW w:w="3107" w:type="dxa"/>
          </w:tcPr>
          <w:p w14:paraId="6031533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76D0846" w14:textId="2725621A" w:rsidR="00F62F78" w:rsidRPr="00D511FC" w:rsidRDefault="00F62F78" w:rsidP="005C38E7">
            <w:pPr>
              <w:spacing w:after="120"/>
              <w:jc w:val="both"/>
              <w:rPr>
                <w:rFonts w:ascii="Calibri" w:eastAsia="Calibri" w:hAnsi="Calibri" w:cs="Calibri"/>
                <w:sz w:val="24"/>
                <w:szCs w:val="24"/>
              </w:rPr>
            </w:pPr>
          </w:p>
        </w:tc>
        <w:tc>
          <w:tcPr>
            <w:tcW w:w="2505" w:type="dxa"/>
          </w:tcPr>
          <w:p w14:paraId="4D623EB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8183E33" w14:textId="4D0CD8FB" w:rsidTr="00E6407C">
        <w:tc>
          <w:tcPr>
            <w:tcW w:w="7252" w:type="dxa"/>
          </w:tcPr>
          <w:p w14:paraId="6D61B2E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somente negativo, no caso de destinação de superávit.</w:t>
            </w:r>
          </w:p>
        </w:tc>
        <w:tc>
          <w:tcPr>
            <w:tcW w:w="3107" w:type="dxa"/>
          </w:tcPr>
          <w:p w14:paraId="71AE0B0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F6A6C04" w14:textId="5F5241AA" w:rsidR="00F62F78" w:rsidRPr="00D511FC" w:rsidRDefault="00F62F78" w:rsidP="005C38E7">
            <w:pPr>
              <w:spacing w:after="120"/>
              <w:jc w:val="both"/>
              <w:rPr>
                <w:rFonts w:ascii="Calibri" w:eastAsia="Calibri" w:hAnsi="Calibri" w:cs="Calibri"/>
                <w:sz w:val="24"/>
                <w:szCs w:val="24"/>
              </w:rPr>
            </w:pPr>
          </w:p>
        </w:tc>
        <w:tc>
          <w:tcPr>
            <w:tcW w:w="2505" w:type="dxa"/>
          </w:tcPr>
          <w:p w14:paraId="00ED019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FE9D1FE" w14:textId="1F636AC8" w:rsidTr="00E6407C">
        <w:tc>
          <w:tcPr>
            <w:tcW w:w="7252" w:type="dxa"/>
          </w:tcPr>
          <w:p w14:paraId="35170A1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tc>
        <w:tc>
          <w:tcPr>
            <w:tcW w:w="3107" w:type="dxa"/>
          </w:tcPr>
          <w:p w14:paraId="10466D7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AC58B0B" w14:textId="3CEAA19A" w:rsidR="00F62F78" w:rsidRPr="00D511FC" w:rsidRDefault="00F62F78" w:rsidP="005C38E7">
            <w:pPr>
              <w:spacing w:after="120"/>
              <w:jc w:val="both"/>
              <w:rPr>
                <w:rFonts w:ascii="Calibri" w:eastAsia="Calibri" w:hAnsi="Calibri" w:cs="Calibri"/>
                <w:sz w:val="24"/>
                <w:szCs w:val="24"/>
              </w:rPr>
            </w:pPr>
          </w:p>
        </w:tc>
        <w:tc>
          <w:tcPr>
            <w:tcW w:w="2505" w:type="dxa"/>
          </w:tcPr>
          <w:p w14:paraId="44043B78"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72B90D8" w14:textId="716A5481" w:rsidTr="00E6407C">
        <w:tc>
          <w:tcPr>
            <w:tcW w:w="7252" w:type="dxa"/>
          </w:tcPr>
          <w:p w14:paraId="5829D05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Art. 55.  Na ocorrência de ajuste de precificação, o atuário responsável pelo plano de benefícios deve: </w:t>
            </w:r>
          </w:p>
        </w:tc>
        <w:tc>
          <w:tcPr>
            <w:tcW w:w="3107" w:type="dxa"/>
          </w:tcPr>
          <w:p w14:paraId="34D2ADC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8DE9F96" w14:textId="78E2EE08" w:rsidR="00F62F78" w:rsidRPr="00D511FC" w:rsidRDefault="00F62F78" w:rsidP="005C38E7">
            <w:pPr>
              <w:spacing w:after="120"/>
              <w:jc w:val="both"/>
              <w:rPr>
                <w:rFonts w:ascii="Calibri" w:eastAsia="Calibri" w:hAnsi="Calibri" w:cs="Calibri"/>
                <w:sz w:val="24"/>
                <w:szCs w:val="24"/>
              </w:rPr>
            </w:pPr>
          </w:p>
        </w:tc>
        <w:tc>
          <w:tcPr>
            <w:tcW w:w="2505" w:type="dxa"/>
          </w:tcPr>
          <w:p w14:paraId="1738BC3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F1FE4EB" w14:textId="769984C9" w:rsidTr="00E6407C">
        <w:tc>
          <w:tcPr>
            <w:tcW w:w="7252" w:type="dxa"/>
          </w:tcPr>
          <w:p w14:paraId="3D60A17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 registrar o ajuste de precificação no parecer atuarial constante nas DA;</w:t>
            </w:r>
          </w:p>
        </w:tc>
        <w:tc>
          <w:tcPr>
            <w:tcW w:w="3107" w:type="dxa"/>
          </w:tcPr>
          <w:p w14:paraId="430984F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7923530" w14:textId="1160A0E7" w:rsidR="00F62F78" w:rsidRPr="00D511FC" w:rsidRDefault="00F62F78" w:rsidP="005C38E7">
            <w:pPr>
              <w:spacing w:after="120"/>
              <w:jc w:val="both"/>
              <w:rPr>
                <w:rFonts w:ascii="Calibri" w:eastAsia="Calibri" w:hAnsi="Calibri" w:cs="Calibri"/>
                <w:sz w:val="24"/>
                <w:szCs w:val="24"/>
              </w:rPr>
            </w:pPr>
          </w:p>
        </w:tc>
        <w:tc>
          <w:tcPr>
            <w:tcW w:w="2505" w:type="dxa"/>
          </w:tcPr>
          <w:p w14:paraId="7A88080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4D3E146" w14:textId="4FA9F6CC" w:rsidTr="00E6407C">
        <w:tc>
          <w:tcPr>
            <w:tcW w:w="7252" w:type="dxa"/>
          </w:tcPr>
          <w:p w14:paraId="459DE12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b) emitir manifestação acerca dos impactos na solvência e no equilíbrio atuarial do plano ao longo do tempo; e</w:t>
            </w:r>
          </w:p>
        </w:tc>
        <w:tc>
          <w:tcPr>
            <w:tcW w:w="3107" w:type="dxa"/>
          </w:tcPr>
          <w:p w14:paraId="721B1BA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CB3E616" w14:textId="5F3E3F9C" w:rsidR="00F62F78" w:rsidRPr="00D511FC" w:rsidRDefault="00F62F78" w:rsidP="005C38E7">
            <w:pPr>
              <w:spacing w:after="120"/>
              <w:jc w:val="both"/>
              <w:rPr>
                <w:rFonts w:ascii="Calibri" w:eastAsia="Calibri" w:hAnsi="Calibri" w:cs="Calibri"/>
                <w:sz w:val="24"/>
                <w:szCs w:val="24"/>
              </w:rPr>
            </w:pPr>
          </w:p>
        </w:tc>
        <w:tc>
          <w:tcPr>
            <w:tcW w:w="2505" w:type="dxa"/>
          </w:tcPr>
          <w:p w14:paraId="466DD7B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EBDFAB4" w14:textId="7EFA2926" w:rsidTr="00E6407C">
        <w:tc>
          <w:tcPr>
            <w:tcW w:w="7252" w:type="dxa"/>
          </w:tcPr>
          <w:p w14:paraId="5F760C2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c) evidenciar os requisitos necessários para registro de títulos na categoria mantidos até o vencimento, especialmente em relação à capacidade financeira de atendimento às necessidades de liquidez do plano de benefícios.</w:t>
            </w:r>
          </w:p>
        </w:tc>
        <w:tc>
          <w:tcPr>
            <w:tcW w:w="3107" w:type="dxa"/>
          </w:tcPr>
          <w:p w14:paraId="40C5188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A05DF01" w14:textId="15001F7F" w:rsidR="00F62F78" w:rsidRPr="00D511FC" w:rsidRDefault="00F62F78" w:rsidP="005C38E7">
            <w:pPr>
              <w:spacing w:after="120"/>
              <w:jc w:val="both"/>
              <w:rPr>
                <w:rFonts w:ascii="Calibri" w:eastAsia="Calibri" w:hAnsi="Calibri" w:cs="Calibri"/>
                <w:sz w:val="24"/>
                <w:szCs w:val="24"/>
              </w:rPr>
            </w:pPr>
          </w:p>
        </w:tc>
        <w:tc>
          <w:tcPr>
            <w:tcW w:w="2505" w:type="dxa"/>
          </w:tcPr>
          <w:p w14:paraId="5E099F8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FFEB30C" w14:textId="323AAABB" w:rsidTr="00E6407C">
        <w:tc>
          <w:tcPr>
            <w:tcW w:w="7252" w:type="dxa"/>
          </w:tcPr>
          <w:p w14:paraId="6947BBD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II</w:t>
            </w:r>
          </w:p>
        </w:tc>
        <w:tc>
          <w:tcPr>
            <w:tcW w:w="3107" w:type="dxa"/>
          </w:tcPr>
          <w:p w14:paraId="33C87D50"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6A45EAB" w14:textId="644B31F5" w:rsidR="00F62F78" w:rsidRPr="00D511FC" w:rsidRDefault="00F62F78" w:rsidP="005C38E7">
            <w:pPr>
              <w:spacing w:after="120"/>
              <w:jc w:val="center"/>
              <w:rPr>
                <w:rFonts w:ascii="Calibri" w:eastAsia="Calibri" w:hAnsi="Calibri" w:cs="Calibri"/>
                <w:b/>
                <w:bCs/>
                <w:sz w:val="24"/>
                <w:szCs w:val="24"/>
              </w:rPr>
            </w:pPr>
          </w:p>
        </w:tc>
        <w:tc>
          <w:tcPr>
            <w:tcW w:w="2505" w:type="dxa"/>
          </w:tcPr>
          <w:p w14:paraId="0FB49EDB"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5512B10" w14:textId="1F3EDFA6" w:rsidTr="00E6407C">
        <w:tc>
          <w:tcPr>
            <w:tcW w:w="7252" w:type="dxa"/>
          </w:tcPr>
          <w:p w14:paraId="6927C22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Adequação das Hipóteses</w:t>
            </w:r>
          </w:p>
        </w:tc>
        <w:tc>
          <w:tcPr>
            <w:tcW w:w="3107" w:type="dxa"/>
          </w:tcPr>
          <w:p w14:paraId="131C6D8D"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0E30E8C" w14:textId="2D7C42D3" w:rsidR="00F62F78" w:rsidRPr="00D511FC" w:rsidRDefault="00F62F78" w:rsidP="005C38E7">
            <w:pPr>
              <w:spacing w:after="120"/>
              <w:jc w:val="center"/>
              <w:rPr>
                <w:rFonts w:ascii="Calibri" w:eastAsia="Calibri" w:hAnsi="Calibri" w:cs="Calibri"/>
                <w:b/>
                <w:bCs/>
                <w:sz w:val="24"/>
                <w:szCs w:val="24"/>
              </w:rPr>
            </w:pPr>
          </w:p>
        </w:tc>
        <w:tc>
          <w:tcPr>
            <w:tcW w:w="2505" w:type="dxa"/>
          </w:tcPr>
          <w:p w14:paraId="4A169D99"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120A9844" w14:textId="60A8DC8F" w:rsidTr="00E6407C">
        <w:tc>
          <w:tcPr>
            <w:tcW w:w="7252" w:type="dxa"/>
          </w:tcPr>
          <w:p w14:paraId="05EDE22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4B8C2B05"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20700E2" w14:textId="44A365FB" w:rsidR="00F62F78" w:rsidRPr="00D511FC" w:rsidRDefault="00F62F78" w:rsidP="005C38E7">
            <w:pPr>
              <w:spacing w:after="120"/>
              <w:jc w:val="center"/>
              <w:rPr>
                <w:rFonts w:ascii="Calibri" w:eastAsia="Calibri" w:hAnsi="Calibri" w:cs="Calibri"/>
                <w:b/>
                <w:bCs/>
                <w:sz w:val="24"/>
                <w:szCs w:val="24"/>
              </w:rPr>
            </w:pPr>
          </w:p>
        </w:tc>
        <w:tc>
          <w:tcPr>
            <w:tcW w:w="2505" w:type="dxa"/>
          </w:tcPr>
          <w:p w14:paraId="49223BF5"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C6CC664" w14:textId="4162EFF5" w:rsidTr="00E6407C">
        <w:tc>
          <w:tcPr>
            <w:tcW w:w="7252" w:type="dxa"/>
          </w:tcPr>
          <w:p w14:paraId="3B8019D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Hipóteses Biométricas</w:t>
            </w:r>
          </w:p>
        </w:tc>
        <w:tc>
          <w:tcPr>
            <w:tcW w:w="3107" w:type="dxa"/>
          </w:tcPr>
          <w:p w14:paraId="55E6F336"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7F5C23A" w14:textId="5B5B3AAD" w:rsidR="00F62F78" w:rsidRPr="00D511FC" w:rsidRDefault="00F62F78" w:rsidP="005C38E7">
            <w:pPr>
              <w:spacing w:after="120"/>
              <w:jc w:val="center"/>
              <w:rPr>
                <w:rFonts w:ascii="Calibri" w:eastAsia="Calibri" w:hAnsi="Calibri" w:cs="Calibri"/>
                <w:b/>
                <w:bCs/>
                <w:sz w:val="24"/>
                <w:szCs w:val="24"/>
              </w:rPr>
            </w:pPr>
          </w:p>
        </w:tc>
        <w:tc>
          <w:tcPr>
            <w:tcW w:w="2505" w:type="dxa"/>
          </w:tcPr>
          <w:p w14:paraId="0B9C6E90"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115E0237" w14:textId="0B4A34A7" w:rsidTr="00E6407C">
        <w:tc>
          <w:tcPr>
            <w:tcW w:w="7252" w:type="dxa"/>
          </w:tcPr>
          <w:p w14:paraId="3403D06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56.  As tábuas biométricas utilizadas nas avaliações atuariais dos planos de benefícios devem ter sua aderência atestada por meio de estudo específico, elaborado em conformidade com a Seção VII deste Capítulo.</w:t>
            </w:r>
          </w:p>
        </w:tc>
        <w:tc>
          <w:tcPr>
            <w:tcW w:w="3107" w:type="dxa"/>
          </w:tcPr>
          <w:p w14:paraId="4EBD0C5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D83EBCF" w14:textId="180D3BD5" w:rsidR="00F62F78" w:rsidRPr="00D511FC" w:rsidRDefault="00F62F78" w:rsidP="005C38E7">
            <w:pPr>
              <w:spacing w:after="120"/>
              <w:jc w:val="both"/>
              <w:rPr>
                <w:rFonts w:ascii="Calibri" w:eastAsia="Calibri" w:hAnsi="Calibri" w:cs="Calibri"/>
                <w:sz w:val="24"/>
                <w:szCs w:val="24"/>
              </w:rPr>
            </w:pPr>
          </w:p>
        </w:tc>
        <w:tc>
          <w:tcPr>
            <w:tcW w:w="2505" w:type="dxa"/>
          </w:tcPr>
          <w:p w14:paraId="38D28FD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889B97E" w14:textId="00E4BBD2" w:rsidTr="00E6407C">
        <w:tc>
          <w:tcPr>
            <w:tcW w:w="7252" w:type="dxa"/>
          </w:tcPr>
          <w:p w14:paraId="5E87BDD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1º  As tábuas de mortalidade geral referenciais para o cálculo das provisões matemáticas dos planos de benefícios devem ser "AT-2000 Básica - M" para o sexo masculino e "AT-2000 Básica - F" para o sexo feminino.</w:t>
            </w:r>
          </w:p>
        </w:tc>
        <w:tc>
          <w:tcPr>
            <w:tcW w:w="3107" w:type="dxa"/>
          </w:tcPr>
          <w:p w14:paraId="3B63D70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FBB3EE0" w14:textId="458FDED1" w:rsidR="00F62F78" w:rsidRPr="00D511FC" w:rsidRDefault="00F62F78" w:rsidP="005C38E7">
            <w:pPr>
              <w:spacing w:after="120"/>
              <w:jc w:val="both"/>
              <w:rPr>
                <w:rFonts w:ascii="Calibri" w:eastAsia="Calibri" w:hAnsi="Calibri" w:cs="Calibri"/>
                <w:sz w:val="24"/>
                <w:szCs w:val="24"/>
              </w:rPr>
            </w:pPr>
          </w:p>
        </w:tc>
        <w:tc>
          <w:tcPr>
            <w:tcW w:w="2505" w:type="dxa"/>
          </w:tcPr>
          <w:p w14:paraId="620607C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23EBE91" w14:textId="1C666399" w:rsidTr="00E6407C">
        <w:tc>
          <w:tcPr>
            <w:tcW w:w="7252" w:type="dxa"/>
          </w:tcPr>
          <w:p w14:paraId="769DE3F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2º  No caso de impossibilidade técnica de realização de testes de aderência, os planos de benefícios não podem adotar tábuas de mortalidade geral que gerem provisões matemáticas menores do que as tábuas referenciais mencionadas no §1º.</w:t>
            </w:r>
          </w:p>
        </w:tc>
        <w:tc>
          <w:tcPr>
            <w:tcW w:w="3107" w:type="dxa"/>
          </w:tcPr>
          <w:p w14:paraId="258EE81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C8E63D4" w14:textId="003C54D4" w:rsidR="00F62F78" w:rsidRPr="00D511FC" w:rsidRDefault="00F62F78" w:rsidP="005C38E7">
            <w:pPr>
              <w:spacing w:after="120"/>
              <w:jc w:val="both"/>
              <w:rPr>
                <w:rFonts w:ascii="Calibri" w:eastAsia="Calibri" w:hAnsi="Calibri" w:cs="Calibri"/>
                <w:sz w:val="24"/>
                <w:szCs w:val="24"/>
              </w:rPr>
            </w:pPr>
          </w:p>
        </w:tc>
        <w:tc>
          <w:tcPr>
            <w:tcW w:w="2505" w:type="dxa"/>
          </w:tcPr>
          <w:p w14:paraId="1F07A9E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B468446" w14:textId="040D6A58" w:rsidTr="00E6407C">
        <w:tc>
          <w:tcPr>
            <w:tcW w:w="7252" w:type="dxa"/>
          </w:tcPr>
          <w:p w14:paraId="5C2179B2"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3º  No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107" w:type="dxa"/>
          </w:tcPr>
          <w:p w14:paraId="10B35DE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B700CA6" w14:textId="766B629F" w:rsidR="00F62F78" w:rsidRPr="00D511FC" w:rsidRDefault="00F62F78" w:rsidP="005C38E7">
            <w:pPr>
              <w:spacing w:after="120"/>
              <w:jc w:val="both"/>
              <w:rPr>
                <w:rFonts w:ascii="Calibri" w:eastAsia="Calibri" w:hAnsi="Calibri" w:cs="Calibri"/>
                <w:sz w:val="24"/>
                <w:szCs w:val="24"/>
              </w:rPr>
            </w:pPr>
          </w:p>
        </w:tc>
        <w:tc>
          <w:tcPr>
            <w:tcW w:w="2505" w:type="dxa"/>
          </w:tcPr>
          <w:p w14:paraId="11B575A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9C7275E" w14:textId="796E7C26" w:rsidTr="00E6407C">
        <w:tc>
          <w:tcPr>
            <w:tcW w:w="7252" w:type="dxa"/>
          </w:tcPr>
          <w:p w14:paraId="2B4D2668"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lastRenderedPageBreak/>
              <w:t>Subseção II</w:t>
            </w:r>
          </w:p>
        </w:tc>
        <w:tc>
          <w:tcPr>
            <w:tcW w:w="3107" w:type="dxa"/>
          </w:tcPr>
          <w:p w14:paraId="1A549A14"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FCCCF68" w14:textId="4C274A27" w:rsidR="00F62F78" w:rsidRPr="00D511FC" w:rsidRDefault="00F62F78" w:rsidP="005C38E7">
            <w:pPr>
              <w:spacing w:after="120"/>
              <w:jc w:val="center"/>
              <w:rPr>
                <w:rFonts w:ascii="Calibri" w:eastAsia="Calibri" w:hAnsi="Calibri" w:cs="Calibri"/>
                <w:b/>
                <w:bCs/>
                <w:sz w:val="24"/>
                <w:szCs w:val="24"/>
              </w:rPr>
            </w:pPr>
          </w:p>
        </w:tc>
        <w:tc>
          <w:tcPr>
            <w:tcW w:w="2505" w:type="dxa"/>
          </w:tcPr>
          <w:p w14:paraId="1E9DB5C4"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00B27831" w14:textId="2352F2B4" w:rsidTr="00E6407C">
        <w:tc>
          <w:tcPr>
            <w:tcW w:w="7252" w:type="dxa"/>
          </w:tcPr>
          <w:p w14:paraId="783E14D7"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Taxa Real Anual de Juros</w:t>
            </w:r>
          </w:p>
        </w:tc>
        <w:tc>
          <w:tcPr>
            <w:tcW w:w="3107" w:type="dxa"/>
          </w:tcPr>
          <w:p w14:paraId="4F47BD96"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6199309" w14:textId="3AA7B7EC" w:rsidR="00F62F78" w:rsidRPr="00D511FC" w:rsidRDefault="00F62F78" w:rsidP="005C38E7">
            <w:pPr>
              <w:spacing w:after="120"/>
              <w:jc w:val="center"/>
              <w:rPr>
                <w:rFonts w:ascii="Calibri" w:eastAsia="Calibri" w:hAnsi="Calibri" w:cs="Calibri"/>
                <w:b/>
                <w:bCs/>
                <w:sz w:val="24"/>
                <w:szCs w:val="24"/>
              </w:rPr>
            </w:pPr>
          </w:p>
        </w:tc>
        <w:tc>
          <w:tcPr>
            <w:tcW w:w="2505" w:type="dxa"/>
          </w:tcPr>
          <w:p w14:paraId="40359658"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08EB9EB" w14:textId="62D57539" w:rsidTr="00E6407C">
        <w:tc>
          <w:tcPr>
            <w:tcW w:w="7252" w:type="dxa"/>
          </w:tcPr>
          <w:p w14:paraId="59B99B7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57.  A taxa real anual de juros a ser utilizada como taxa de desconto para apuração do valor presente dos fluxos de benefícios e contribuições do plano de benefícios deve ser:</w:t>
            </w:r>
          </w:p>
        </w:tc>
        <w:tc>
          <w:tcPr>
            <w:tcW w:w="3107" w:type="dxa"/>
          </w:tcPr>
          <w:p w14:paraId="7112173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2899FCE" w14:textId="0E411011" w:rsidR="00F62F78" w:rsidRPr="00D511FC" w:rsidRDefault="00F62F78" w:rsidP="005C38E7">
            <w:pPr>
              <w:spacing w:after="120"/>
              <w:jc w:val="both"/>
              <w:rPr>
                <w:rFonts w:ascii="Calibri" w:eastAsia="Calibri" w:hAnsi="Calibri" w:cs="Calibri"/>
                <w:sz w:val="24"/>
                <w:szCs w:val="24"/>
              </w:rPr>
            </w:pPr>
          </w:p>
        </w:tc>
        <w:tc>
          <w:tcPr>
            <w:tcW w:w="2505" w:type="dxa"/>
          </w:tcPr>
          <w:p w14:paraId="31FF01F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0991B1D" w14:textId="1EFA6C85" w:rsidTr="00E6407C">
        <w:tc>
          <w:tcPr>
            <w:tcW w:w="7252" w:type="dxa"/>
          </w:tcPr>
          <w:p w14:paraId="3E7F317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divulgada anualmente aos participantes, aos patrocinadores e instituidores; e</w:t>
            </w:r>
          </w:p>
        </w:tc>
        <w:tc>
          <w:tcPr>
            <w:tcW w:w="3107" w:type="dxa"/>
          </w:tcPr>
          <w:p w14:paraId="64F1E90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C87FE88" w14:textId="5E119E47" w:rsidR="00F62F78" w:rsidRPr="00D511FC" w:rsidRDefault="00F62F78" w:rsidP="005C38E7">
            <w:pPr>
              <w:spacing w:after="120"/>
              <w:jc w:val="both"/>
              <w:rPr>
                <w:rFonts w:ascii="Calibri" w:eastAsia="Calibri" w:hAnsi="Calibri" w:cs="Calibri"/>
                <w:sz w:val="24"/>
                <w:szCs w:val="24"/>
              </w:rPr>
            </w:pPr>
          </w:p>
        </w:tc>
        <w:tc>
          <w:tcPr>
            <w:tcW w:w="2505" w:type="dxa"/>
          </w:tcPr>
          <w:p w14:paraId="0821E85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273027D" w14:textId="17DBD430" w:rsidTr="00E6407C">
        <w:tc>
          <w:tcPr>
            <w:tcW w:w="7252" w:type="dxa"/>
          </w:tcPr>
          <w:p w14:paraId="7CB1F78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utilizada para a transformação de saldo de conta em benefícios, se previsto no regulamento do plano de benefícios de caráter previdenciário.</w:t>
            </w:r>
          </w:p>
        </w:tc>
        <w:tc>
          <w:tcPr>
            <w:tcW w:w="3107" w:type="dxa"/>
          </w:tcPr>
          <w:p w14:paraId="307AA93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83F1121" w14:textId="2F858637" w:rsidR="00F62F78" w:rsidRPr="00D511FC" w:rsidRDefault="00F62F78" w:rsidP="005C38E7">
            <w:pPr>
              <w:spacing w:after="120"/>
              <w:jc w:val="both"/>
              <w:rPr>
                <w:rFonts w:ascii="Calibri" w:eastAsia="Calibri" w:hAnsi="Calibri" w:cs="Calibri"/>
                <w:sz w:val="24"/>
                <w:szCs w:val="24"/>
              </w:rPr>
            </w:pPr>
          </w:p>
        </w:tc>
        <w:tc>
          <w:tcPr>
            <w:tcW w:w="2505" w:type="dxa"/>
          </w:tcPr>
          <w:p w14:paraId="6767E2D8"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8D017C8" w14:textId="17765528" w:rsidTr="00E6407C">
        <w:tc>
          <w:tcPr>
            <w:tcW w:w="7252" w:type="dxa"/>
          </w:tcPr>
          <w:p w14:paraId="213351A6"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III</w:t>
            </w:r>
          </w:p>
        </w:tc>
        <w:tc>
          <w:tcPr>
            <w:tcW w:w="3107" w:type="dxa"/>
          </w:tcPr>
          <w:p w14:paraId="2EE1E686"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3F4672A0" w14:textId="6CB9CC5C" w:rsidR="00F62F78" w:rsidRPr="00D511FC" w:rsidRDefault="00F62F78" w:rsidP="005C38E7">
            <w:pPr>
              <w:spacing w:after="120"/>
              <w:jc w:val="center"/>
              <w:rPr>
                <w:rFonts w:ascii="Calibri" w:eastAsia="Calibri" w:hAnsi="Calibri" w:cs="Calibri"/>
                <w:b/>
                <w:bCs/>
                <w:sz w:val="24"/>
                <w:szCs w:val="24"/>
              </w:rPr>
            </w:pPr>
          </w:p>
        </w:tc>
        <w:tc>
          <w:tcPr>
            <w:tcW w:w="2505" w:type="dxa"/>
          </w:tcPr>
          <w:p w14:paraId="31ADAD75"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D61CE57" w14:textId="6EE437BE" w:rsidTr="00E6407C">
        <w:tc>
          <w:tcPr>
            <w:tcW w:w="7252" w:type="dxa"/>
          </w:tcPr>
          <w:p w14:paraId="722D429F"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Responsabilidade, das Vedações e da Divulgação</w:t>
            </w:r>
          </w:p>
        </w:tc>
        <w:tc>
          <w:tcPr>
            <w:tcW w:w="3107" w:type="dxa"/>
          </w:tcPr>
          <w:p w14:paraId="0968CE10"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B83B3BE" w14:textId="2B557B52" w:rsidR="00F62F78" w:rsidRPr="00D511FC" w:rsidRDefault="00F62F78" w:rsidP="005C38E7">
            <w:pPr>
              <w:spacing w:after="120"/>
              <w:jc w:val="center"/>
              <w:rPr>
                <w:rFonts w:ascii="Calibri" w:eastAsia="Calibri" w:hAnsi="Calibri" w:cs="Calibri"/>
                <w:b/>
                <w:bCs/>
                <w:sz w:val="24"/>
                <w:szCs w:val="24"/>
              </w:rPr>
            </w:pPr>
          </w:p>
        </w:tc>
        <w:tc>
          <w:tcPr>
            <w:tcW w:w="2505" w:type="dxa"/>
          </w:tcPr>
          <w:p w14:paraId="443B76D9"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257B042" w14:textId="384B425E" w:rsidTr="00E6407C">
        <w:tc>
          <w:tcPr>
            <w:tcW w:w="7252" w:type="dxa"/>
          </w:tcPr>
          <w:p w14:paraId="3C35ADC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58.  A proposição e a validação das hipóteses adotadas na avaliação atuarial do plano de benefícios é responsabilidade do atuário do plano, sem prejuízo das responsabilidades dos demais profissionais e de membros estatutários da EFPC.</w:t>
            </w:r>
          </w:p>
        </w:tc>
        <w:tc>
          <w:tcPr>
            <w:tcW w:w="3107" w:type="dxa"/>
          </w:tcPr>
          <w:p w14:paraId="479136B7" w14:textId="2456C6D7" w:rsidR="0015094B" w:rsidRDefault="0015094B" w:rsidP="0015094B">
            <w:pPr>
              <w:spacing w:after="120"/>
              <w:jc w:val="both"/>
              <w:rPr>
                <w:rFonts w:ascii="Calibri" w:eastAsia="Calibri" w:hAnsi="Calibri" w:cs="Calibri"/>
                <w:sz w:val="24"/>
                <w:szCs w:val="24"/>
              </w:rPr>
            </w:pPr>
            <w:r>
              <w:rPr>
                <w:rFonts w:ascii="Calibri" w:eastAsia="Calibri" w:hAnsi="Calibri" w:cs="Calibri"/>
                <w:sz w:val="24"/>
                <w:szCs w:val="24"/>
              </w:rPr>
              <w:t>IBA:</w:t>
            </w:r>
          </w:p>
          <w:p w14:paraId="2368F155" w14:textId="77777777" w:rsidR="00F62F78" w:rsidRDefault="0015094B" w:rsidP="0015094B">
            <w:pPr>
              <w:spacing w:after="120"/>
              <w:jc w:val="both"/>
              <w:rPr>
                <w:rFonts w:ascii="Calibri" w:eastAsia="Calibri" w:hAnsi="Calibri" w:cs="Calibri"/>
                <w:sz w:val="24"/>
                <w:szCs w:val="24"/>
              </w:rPr>
            </w:pPr>
            <w:r w:rsidRPr="0015094B">
              <w:rPr>
                <w:rFonts w:ascii="Calibri" w:eastAsia="Calibri" w:hAnsi="Calibri" w:cs="Calibri"/>
                <w:sz w:val="24"/>
                <w:szCs w:val="24"/>
              </w:rPr>
              <w:t>Art. 58</w:t>
            </w:r>
            <w:r>
              <w:rPr>
                <w:rFonts w:ascii="Calibri" w:eastAsia="Calibri" w:hAnsi="Calibri" w:cs="Calibri"/>
                <w:sz w:val="24"/>
                <w:szCs w:val="24"/>
              </w:rPr>
              <w:t xml:space="preserve">. </w:t>
            </w:r>
            <w:r w:rsidRPr="0015094B">
              <w:rPr>
                <w:rFonts w:ascii="Calibri" w:eastAsia="Calibri" w:hAnsi="Calibri" w:cs="Calibri"/>
                <w:sz w:val="24"/>
                <w:szCs w:val="24"/>
              </w:rPr>
              <w:t>A proposição e a validação</w:t>
            </w:r>
            <w:r>
              <w:rPr>
                <w:rFonts w:ascii="Calibri" w:eastAsia="Calibri" w:hAnsi="Calibri" w:cs="Calibri"/>
                <w:sz w:val="24"/>
                <w:szCs w:val="24"/>
              </w:rPr>
              <w:t xml:space="preserve"> </w:t>
            </w:r>
            <w:r w:rsidRPr="0015094B">
              <w:rPr>
                <w:rFonts w:ascii="Calibri" w:eastAsia="Calibri" w:hAnsi="Calibri" w:cs="Calibri"/>
                <w:sz w:val="24"/>
                <w:szCs w:val="24"/>
              </w:rPr>
              <w:t>das hipóteses adotadas na avaliação</w:t>
            </w:r>
            <w:r>
              <w:rPr>
                <w:rFonts w:ascii="Calibri" w:eastAsia="Calibri" w:hAnsi="Calibri" w:cs="Calibri"/>
                <w:sz w:val="24"/>
                <w:szCs w:val="24"/>
              </w:rPr>
              <w:t xml:space="preserve"> </w:t>
            </w:r>
            <w:r w:rsidRPr="0015094B">
              <w:rPr>
                <w:rFonts w:ascii="Calibri" w:eastAsia="Calibri" w:hAnsi="Calibri" w:cs="Calibri"/>
                <w:sz w:val="24"/>
                <w:szCs w:val="24"/>
              </w:rPr>
              <w:t>atuarial do plano de benefícios é</w:t>
            </w:r>
            <w:r>
              <w:rPr>
                <w:rFonts w:ascii="Calibri" w:eastAsia="Calibri" w:hAnsi="Calibri" w:cs="Calibri"/>
                <w:sz w:val="24"/>
                <w:szCs w:val="24"/>
              </w:rPr>
              <w:t xml:space="preserve"> </w:t>
            </w:r>
            <w:r w:rsidRPr="0015094B">
              <w:rPr>
                <w:rFonts w:ascii="Calibri" w:eastAsia="Calibri" w:hAnsi="Calibri" w:cs="Calibri"/>
                <w:sz w:val="24"/>
                <w:szCs w:val="24"/>
              </w:rPr>
              <w:t>responsabilidade do atuário do plano, sem</w:t>
            </w:r>
            <w:r>
              <w:rPr>
                <w:rFonts w:ascii="Calibri" w:eastAsia="Calibri" w:hAnsi="Calibri" w:cs="Calibri"/>
                <w:sz w:val="24"/>
                <w:szCs w:val="24"/>
              </w:rPr>
              <w:t xml:space="preserve"> </w:t>
            </w:r>
            <w:r w:rsidRPr="0015094B">
              <w:rPr>
                <w:rFonts w:ascii="Calibri" w:eastAsia="Calibri" w:hAnsi="Calibri" w:cs="Calibri"/>
                <w:sz w:val="24"/>
                <w:szCs w:val="24"/>
              </w:rPr>
              <w:t>prejuízo das responsabilidades dos</w:t>
            </w:r>
            <w:r>
              <w:rPr>
                <w:rFonts w:ascii="Calibri" w:eastAsia="Calibri" w:hAnsi="Calibri" w:cs="Calibri"/>
                <w:sz w:val="24"/>
                <w:szCs w:val="24"/>
              </w:rPr>
              <w:t xml:space="preserve"> </w:t>
            </w:r>
            <w:r w:rsidRPr="0015094B">
              <w:rPr>
                <w:rFonts w:ascii="Calibri" w:eastAsia="Calibri" w:hAnsi="Calibri" w:cs="Calibri"/>
                <w:sz w:val="24"/>
                <w:szCs w:val="24"/>
              </w:rPr>
              <w:t xml:space="preserve">membros estatutários da EFPC </w:t>
            </w:r>
            <w:r w:rsidRPr="0015094B">
              <w:rPr>
                <w:rFonts w:ascii="Calibri" w:eastAsia="Calibri" w:hAnsi="Calibri" w:cs="Calibri"/>
                <w:color w:val="1F3864" w:themeColor="accent1" w:themeShade="80"/>
                <w:sz w:val="24"/>
                <w:szCs w:val="24"/>
              </w:rPr>
              <w:t>e de outros profissionais que tenham contribuído para a realização dos estudos</w:t>
            </w:r>
            <w:r>
              <w:rPr>
                <w:rFonts w:ascii="Calibri" w:eastAsia="Calibri" w:hAnsi="Calibri" w:cs="Calibri"/>
                <w:sz w:val="24"/>
                <w:szCs w:val="24"/>
              </w:rPr>
              <w:t xml:space="preserve">. </w:t>
            </w:r>
          </w:p>
          <w:p w14:paraId="542FD0DA" w14:textId="77777777" w:rsidR="00D32ABD" w:rsidRDefault="00D32ABD" w:rsidP="0015094B">
            <w:pPr>
              <w:spacing w:after="120"/>
              <w:jc w:val="both"/>
              <w:rPr>
                <w:rFonts w:ascii="Calibri" w:eastAsia="Calibri" w:hAnsi="Calibri" w:cs="Calibri"/>
                <w:sz w:val="24"/>
                <w:szCs w:val="24"/>
              </w:rPr>
            </w:pPr>
          </w:p>
          <w:p w14:paraId="6C26C0ED" w14:textId="77777777" w:rsidR="007360E4" w:rsidRDefault="007360E4" w:rsidP="0015094B">
            <w:pPr>
              <w:spacing w:after="120"/>
              <w:jc w:val="both"/>
              <w:rPr>
                <w:rFonts w:ascii="Calibri" w:eastAsia="Calibri" w:hAnsi="Calibri" w:cs="Calibri"/>
                <w:sz w:val="24"/>
                <w:szCs w:val="24"/>
              </w:rPr>
            </w:pPr>
          </w:p>
          <w:p w14:paraId="73F06190" w14:textId="77777777" w:rsidR="007360E4" w:rsidRDefault="007360E4" w:rsidP="0015094B">
            <w:pPr>
              <w:spacing w:after="120"/>
              <w:jc w:val="both"/>
              <w:rPr>
                <w:rFonts w:ascii="Calibri" w:eastAsia="Calibri" w:hAnsi="Calibri" w:cs="Calibri"/>
                <w:sz w:val="24"/>
                <w:szCs w:val="24"/>
              </w:rPr>
            </w:pPr>
          </w:p>
          <w:p w14:paraId="76F8E703" w14:textId="77777777" w:rsidR="007360E4" w:rsidRDefault="007360E4" w:rsidP="0015094B">
            <w:pPr>
              <w:spacing w:after="120"/>
              <w:jc w:val="both"/>
              <w:rPr>
                <w:rFonts w:ascii="Calibri" w:eastAsia="Calibri" w:hAnsi="Calibri" w:cs="Calibri"/>
                <w:sz w:val="24"/>
                <w:szCs w:val="24"/>
              </w:rPr>
            </w:pPr>
          </w:p>
          <w:p w14:paraId="6F0E82B8" w14:textId="77777777" w:rsidR="007360E4" w:rsidRDefault="007360E4" w:rsidP="0015094B">
            <w:pPr>
              <w:spacing w:after="120"/>
              <w:jc w:val="both"/>
              <w:rPr>
                <w:rFonts w:ascii="Calibri" w:eastAsia="Calibri" w:hAnsi="Calibri" w:cs="Calibri"/>
                <w:sz w:val="24"/>
                <w:szCs w:val="24"/>
              </w:rPr>
            </w:pPr>
          </w:p>
          <w:p w14:paraId="60CBE76B" w14:textId="77777777" w:rsidR="007360E4" w:rsidRDefault="007360E4" w:rsidP="0015094B">
            <w:pPr>
              <w:spacing w:after="120"/>
              <w:jc w:val="both"/>
              <w:rPr>
                <w:rFonts w:ascii="Calibri" w:eastAsia="Calibri" w:hAnsi="Calibri" w:cs="Calibri"/>
                <w:sz w:val="24"/>
                <w:szCs w:val="24"/>
              </w:rPr>
            </w:pPr>
          </w:p>
          <w:p w14:paraId="6BC73F61" w14:textId="77777777" w:rsidR="007360E4" w:rsidRDefault="007360E4" w:rsidP="0015094B">
            <w:pPr>
              <w:spacing w:after="120"/>
              <w:jc w:val="both"/>
              <w:rPr>
                <w:rFonts w:ascii="Calibri" w:eastAsia="Calibri" w:hAnsi="Calibri" w:cs="Calibri"/>
                <w:sz w:val="24"/>
                <w:szCs w:val="24"/>
              </w:rPr>
            </w:pPr>
          </w:p>
          <w:p w14:paraId="691E3523" w14:textId="77777777" w:rsidR="00D32ABD" w:rsidRDefault="00D32ABD" w:rsidP="0015094B">
            <w:pPr>
              <w:spacing w:after="120"/>
              <w:jc w:val="both"/>
              <w:rPr>
                <w:rFonts w:ascii="Calibri" w:eastAsia="Calibri" w:hAnsi="Calibri" w:cs="Calibri"/>
                <w:sz w:val="24"/>
                <w:szCs w:val="24"/>
              </w:rPr>
            </w:pPr>
            <w:r>
              <w:rPr>
                <w:rFonts w:ascii="Calibri" w:eastAsia="Calibri" w:hAnsi="Calibri" w:cs="Calibri"/>
                <w:sz w:val="24"/>
                <w:szCs w:val="24"/>
              </w:rPr>
              <w:t>ABRAPP:</w:t>
            </w:r>
          </w:p>
          <w:p w14:paraId="11251F4B" w14:textId="77777777" w:rsidR="00D32ABD" w:rsidRDefault="00D32ABD" w:rsidP="0015094B">
            <w:pPr>
              <w:spacing w:after="120"/>
              <w:jc w:val="both"/>
              <w:rPr>
                <w:rFonts w:ascii="Calibri" w:eastAsia="Calibri" w:hAnsi="Calibri" w:cs="Calibri"/>
                <w:sz w:val="24"/>
                <w:szCs w:val="24"/>
              </w:rPr>
            </w:pPr>
            <w:r w:rsidRPr="00D32ABD">
              <w:rPr>
                <w:rFonts w:ascii="Calibri" w:eastAsia="Calibri" w:hAnsi="Calibri" w:cs="Calibri"/>
                <w:sz w:val="24"/>
                <w:szCs w:val="24"/>
              </w:rPr>
              <w:t xml:space="preserve">Art. 58. A proposição e a validação das hipóteses adotadas na avaliação atuarial do plano de benefícios é responsabilidade do atuário do plano </w:t>
            </w:r>
            <w:r w:rsidRPr="00D32ABD">
              <w:rPr>
                <w:rFonts w:ascii="Calibri" w:eastAsia="Calibri" w:hAnsi="Calibri" w:cs="Calibri"/>
                <w:color w:val="FF0000"/>
                <w:sz w:val="24"/>
                <w:szCs w:val="24"/>
              </w:rPr>
              <w:t>e do Administrador Responsável pelo Plano de Benefícios</w:t>
            </w:r>
            <w:r>
              <w:rPr>
                <w:rFonts w:ascii="Calibri" w:eastAsia="Calibri" w:hAnsi="Calibri" w:cs="Calibri"/>
                <w:sz w:val="24"/>
                <w:szCs w:val="24"/>
              </w:rPr>
              <w:t>.</w:t>
            </w:r>
          </w:p>
          <w:p w14:paraId="5094DA32" w14:textId="77777777" w:rsidR="005C0FD4" w:rsidRDefault="005C0FD4" w:rsidP="0015094B">
            <w:pPr>
              <w:spacing w:after="120"/>
              <w:jc w:val="both"/>
              <w:rPr>
                <w:rFonts w:ascii="Calibri" w:eastAsia="Calibri" w:hAnsi="Calibri" w:cs="Calibri"/>
                <w:sz w:val="24"/>
                <w:szCs w:val="24"/>
              </w:rPr>
            </w:pPr>
          </w:p>
          <w:p w14:paraId="6D2E5AD3" w14:textId="5558F3FB" w:rsidR="007360E4" w:rsidRDefault="007360E4" w:rsidP="0015094B">
            <w:pPr>
              <w:spacing w:after="120"/>
              <w:jc w:val="both"/>
              <w:rPr>
                <w:rFonts w:ascii="Calibri" w:eastAsia="Calibri" w:hAnsi="Calibri" w:cs="Calibri"/>
                <w:sz w:val="24"/>
                <w:szCs w:val="24"/>
              </w:rPr>
            </w:pPr>
            <w:r>
              <w:rPr>
                <w:rFonts w:ascii="Calibri" w:eastAsia="Calibri" w:hAnsi="Calibri" w:cs="Calibri"/>
                <w:sz w:val="24"/>
                <w:szCs w:val="24"/>
              </w:rPr>
              <w:t>ANAPAR:</w:t>
            </w:r>
          </w:p>
          <w:p w14:paraId="20FA8EF5" w14:textId="68374B70" w:rsidR="007360E4" w:rsidRPr="00D511FC" w:rsidRDefault="007360E4" w:rsidP="007360E4">
            <w:pPr>
              <w:spacing w:after="120"/>
              <w:jc w:val="both"/>
              <w:rPr>
                <w:rFonts w:ascii="Calibri" w:eastAsia="Calibri" w:hAnsi="Calibri" w:cs="Calibri"/>
                <w:sz w:val="24"/>
                <w:szCs w:val="24"/>
              </w:rPr>
            </w:pPr>
            <w:r w:rsidRPr="007360E4">
              <w:rPr>
                <w:rFonts w:ascii="Calibri" w:eastAsia="Calibri" w:hAnsi="Calibri" w:cs="Calibri"/>
                <w:color w:val="4472C4" w:themeColor="accent1"/>
                <w:sz w:val="24"/>
                <w:szCs w:val="24"/>
              </w:rPr>
              <w:t xml:space="preserve">Art. 58. A proposição das hipóteses adotadas na avaliação atuarial do plano de benefícios é de responsabilidade exclusiva do atuário do plano, assim como a responsabilidade pela </w:t>
            </w:r>
            <w:r w:rsidRPr="007360E4">
              <w:rPr>
                <w:rFonts w:ascii="Calibri" w:eastAsia="Calibri" w:hAnsi="Calibri" w:cs="Calibri"/>
                <w:sz w:val="24"/>
                <w:szCs w:val="24"/>
              </w:rPr>
              <w:t xml:space="preserve">validação </w:t>
            </w:r>
            <w:r w:rsidRPr="007360E4">
              <w:rPr>
                <w:rFonts w:ascii="Calibri" w:eastAsia="Calibri" w:hAnsi="Calibri" w:cs="Calibri"/>
                <w:color w:val="4472C4" w:themeColor="accent1"/>
                <w:sz w:val="24"/>
                <w:szCs w:val="24"/>
              </w:rPr>
              <w:t xml:space="preserve">e aprovação das hipóteses propostas compete aos membros estatutários da EFPC, </w:t>
            </w:r>
            <w:r w:rsidRPr="007360E4">
              <w:rPr>
                <w:rFonts w:ascii="Calibri" w:eastAsia="Calibri" w:hAnsi="Calibri" w:cs="Calibri"/>
                <w:sz w:val="24"/>
                <w:szCs w:val="24"/>
              </w:rPr>
              <w:t xml:space="preserve">sem prejuízo da responsabilidade atribuível aos demais membros e </w:t>
            </w:r>
            <w:r w:rsidRPr="007360E4">
              <w:rPr>
                <w:rFonts w:ascii="Calibri" w:eastAsia="Calibri" w:hAnsi="Calibri" w:cs="Calibri"/>
                <w:sz w:val="24"/>
                <w:szCs w:val="24"/>
              </w:rPr>
              <w:lastRenderedPageBreak/>
              <w:t>profissionais envolvidos com o</w:t>
            </w:r>
            <w:r>
              <w:rPr>
                <w:rFonts w:ascii="Calibri" w:eastAsia="Calibri" w:hAnsi="Calibri" w:cs="Calibri"/>
                <w:sz w:val="24"/>
                <w:szCs w:val="24"/>
              </w:rPr>
              <w:t xml:space="preserve"> </w:t>
            </w:r>
            <w:r w:rsidRPr="007360E4">
              <w:rPr>
                <w:rFonts w:ascii="Calibri" w:eastAsia="Calibri" w:hAnsi="Calibri" w:cs="Calibri"/>
                <w:sz w:val="24"/>
                <w:szCs w:val="24"/>
              </w:rPr>
              <w:t>assunto.</w:t>
            </w:r>
          </w:p>
        </w:tc>
        <w:tc>
          <w:tcPr>
            <w:tcW w:w="2552" w:type="dxa"/>
          </w:tcPr>
          <w:p w14:paraId="48A9F223" w14:textId="77777777" w:rsidR="00F62F78" w:rsidRDefault="0015094B"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 xml:space="preserve">IBA: </w:t>
            </w:r>
            <w:r w:rsidRPr="0015094B">
              <w:rPr>
                <w:rFonts w:ascii="Calibri" w:eastAsia="Calibri" w:hAnsi="Calibri" w:cs="Calibri"/>
                <w:sz w:val="24"/>
                <w:szCs w:val="24"/>
              </w:rPr>
              <w:t>A expressão “demais profissionais” é muito genérica, os membros do Comitê Técnico entendem que é necessário estabelecer um critério de identificação de quem seriam esses profissionais</w:t>
            </w:r>
            <w:r>
              <w:rPr>
                <w:rFonts w:ascii="Calibri" w:eastAsia="Calibri" w:hAnsi="Calibri" w:cs="Calibri"/>
                <w:sz w:val="24"/>
                <w:szCs w:val="24"/>
              </w:rPr>
              <w:t>.</w:t>
            </w:r>
          </w:p>
          <w:p w14:paraId="3198E9A9" w14:textId="77777777" w:rsidR="00D32ABD" w:rsidRDefault="00D32ABD" w:rsidP="005C38E7">
            <w:pPr>
              <w:spacing w:after="120"/>
              <w:jc w:val="both"/>
              <w:rPr>
                <w:rFonts w:ascii="Calibri" w:eastAsia="Calibri" w:hAnsi="Calibri" w:cs="Calibri"/>
                <w:sz w:val="24"/>
                <w:szCs w:val="24"/>
              </w:rPr>
            </w:pPr>
          </w:p>
          <w:p w14:paraId="103B25BA" w14:textId="77777777" w:rsidR="007360E4" w:rsidRDefault="007360E4" w:rsidP="005C38E7">
            <w:pPr>
              <w:spacing w:after="120"/>
              <w:jc w:val="both"/>
              <w:rPr>
                <w:rFonts w:ascii="Calibri" w:eastAsia="Calibri" w:hAnsi="Calibri" w:cs="Calibri"/>
                <w:sz w:val="24"/>
                <w:szCs w:val="24"/>
              </w:rPr>
            </w:pPr>
          </w:p>
          <w:p w14:paraId="0281907C" w14:textId="77777777" w:rsidR="007360E4" w:rsidRDefault="007360E4" w:rsidP="005C38E7">
            <w:pPr>
              <w:spacing w:after="120"/>
              <w:jc w:val="both"/>
              <w:rPr>
                <w:rFonts w:ascii="Calibri" w:eastAsia="Calibri" w:hAnsi="Calibri" w:cs="Calibri"/>
                <w:sz w:val="24"/>
                <w:szCs w:val="24"/>
              </w:rPr>
            </w:pPr>
          </w:p>
          <w:p w14:paraId="52592E5C" w14:textId="77777777" w:rsidR="007360E4" w:rsidRDefault="007360E4" w:rsidP="005C38E7">
            <w:pPr>
              <w:spacing w:after="120"/>
              <w:jc w:val="both"/>
              <w:rPr>
                <w:rFonts w:ascii="Calibri" w:eastAsia="Calibri" w:hAnsi="Calibri" w:cs="Calibri"/>
                <w:sz w:val="24"/>
                <w:szCs w:val="24"/>
              </w:rPr>
            </w:pPr>
          </w:p>
          <w:p w14:paraId="39614BF8" w14:textId="77777777" w:rsidR="007360E4" w:rsidRDefault="007360E4" w:rsidP="005C38E7">
            <w:pPr>
              <w:spacing w:after="120"/>
              <w:jc w:val="both"/>
              <w:rPr>
                <w:rFonts w:ascii="Calibri" w:eastAsia="Calibri" w:hAnsi="Calibri" w:cs="Calibri"/>
                <w:sz w:val="24"/>
                <w:szCs w:val="24"/>
              </w:rPr>
            </w:pPr>
          </w:p>
          <w:p w14:paraId="3E6889D1" w14:textId="77777777" w:rsidR="007360E4" w:rsidRDefault="007360E4" w:rsidP="005C38E7">
            <w:pPr>
              <w:spacing w:after="120"/>
              <w:jc w:val="both"/>
              <w:rPr>
                <w:rFonts w:ascii="Calibri" w:eastAsia="Calibri" w:hAnsi="Calibri" w:cs="Calibri"/>
                <w:sz w:val="24"/>
                <w:szCs w:val="24"/>
              </w:rPr>
            </w:pPr>
          </w:p>
          <w:p w14:paraId="6D1DFD61" w14:textId="77777777" w:rsidR="007360E4" w:rsidRDefault="007360E4" w:rsidP="005C38E7">
            <w:pPr>
              <w:spacing w:after="120"/>
              <w:jc w:val="both"/>
              <w:rPr>
                <w:rFonts w:ascii="Calibri" w:eastAsia="Calibri" w:hAnsi="Calibri" w:cs="Calibri"/>
                <w:sz w:val="24"/>
                <w:szCs w:val="24"/>
              </w:rPr>
            </w:pPr>
          </w:p>
          <w:p w14:paraId="1E4A84E8" w14:textId="77777777" w:rsidR="007360E4" w:rsidRDefault="007360E4" w:rsidP="005C38E7">
            <w:pPr>
              <w:spacing w:after="120"/>
              <w:jc w:val="both"/>
              <w:rPr>
                <w:rFonts w:ascii="Calibri" w:eastAsia="Calibri" w:hAnsi="Calibri" w:cs="Calibri"/>
                <w:sz w:val="24"/>
                <w:szCs w:val="24"/>
              </w:rPr>
            </w:pPr>
          </w:p>
          <w:p w14:paraId="7B0EA668" w14:textId="77777777" w:rsidR="007360E4" w:rsidRDefault="007360E4" w:rsidP="005C38E7">
            <w:pPr>
              <w:spacing w:after="120"/>
              <w:jc w:val="both"/>
              <w:rPr>
                <w:rFonts w:ascii="Calibri" w:eastAsia="Calibri" w:hAnsi="Calibri" w:cs="Calibri"/>
                <w:sz w:val="24"/>
                <w:szCs w:val="24"/>
              </w:rPr>
            </w:pPr>
          </w:p>
          <w:p w14:paraId="1B9698EE" w14:textId="77777777" w:rsidR="007360E4" w:rsidRDefault="007360E4" w:rsidP="005C38E7">
            <w:pPr>
              <w:spacing w:after="120"/>
              <w:jc w:val="both"/>
              <w:rPr>
                <w:rFonts w:ascii="Calibri" w:eastAsia="Calibri" w:hAnsi="Calibri" w:cs="Calibri"/>
                <w:sz w:val="24"/>
                <w:szCs w:val="24"/>
              </w:rPr>
            </w:pPr>
          </w:p>
          <w:p w14:paraId="68F74C89" w14:textId="77777777" w:rsidR="00D32ABD" w:rsidRDefault="00D32ABD" w:rsidP="005C38E7">
            <w:pPr>
              <w:spacing w:after="120"/>
              <w:jc w:val="both"/>
              <w:rPr>
                <w:rFonts w:ascii="Calibri" w:eastAsia="Calibri" w:hAnsi="Calibri" w:cs="Calibri"/>
                <w:sz w:val="24"/>
                <w:szCs w:val="24"/>
              </w:rPr>
            </w:pPr>
            <w:r>
              <w:rPr>
                <w:rFonts w:ascii="Calibri" w:eastAsia="Calibri" w:hAnsi="Calibri" w:cs="Calibri"/>
                <w:sz w:val="24"/>
                <w:szCs w:val="24"/>
              </w:rPr>
              <w:t xml:space="preserve">ABRAPP: </w:t>
            </w:r>
            <w:r w:rsidRPr="00D32ABD">
              <w:rPr>
                <w:rFonts w:ascii="Calibri" w:eastAsia="Calibri" w:hAnsi="Calibri" w:cs="Calibri"/>
                <w:sz w:val="24"/>
                <w:szCs w:val="24"/>
              </w:rPr>
              <w:t>Delimitação da responsabilidade.</w:t>
            </w:r>
          </w:p>
          <w:p w14:paraId="2168FC5D" w14:textId="77777777" w:rsidR="007360E4" w:rsidRDefault="007360E4" w:rsidP="005C38E7">
            <w:pPr>
              <w:spacing w:after="120"/>
              <w:jc w:val="both"/>
              <w:rPr>
                <w:rFonts w:ascii="Calibri" w:eastAsia="Calibri" w:hAnsi="Calibri" w:cs="Calibri"/>
                <w:sz w:val="24"/>
                <w:szCs w:val="24"/>
              </w:rPr>
            </w:pPr>
          </w:p>
          <w:p w14:paraId="2D528244" w14:textId="77777777" w:rsidR="007360E4" w:rsidRDefault="007360E4" w:rsidP="005C38E7">
            <w:pPr>
              <w:spacing w:after="120"/>
              <w:jc w:val="both"/>
              <w:rPr>
                <w:rFonts w:ascii="Calibri" w:eastAsia="Calibri" w:hAnsi="Calibri" w:cs="Calibri"/>
                <w:sz w:val="24"/>
                <w:szCs w:val="24"/>
              </w:rPr>
            </w:pPr>
          </w:p>
          <w:p w14:paraId="5AB5E611" w14:textId="77777777" w:rsidR="007360E4" w:rsidRDefault="007360E4" w:rsidP="005C38E7">
            <w:pPr>
              <w:spacing w:after="120"/>
              <w:jc w:val="both"/>
              <w:rPr>
                <w:rFonts w:ascii="Calibri" w:eastAsia="Calibri" w:hAnsi="Calibri" w:cs="Calibri"/>
                <w:sz w:val="24"/>
                <w:szCs w:val="24"/>
              </w:rPr>
            </w:pPr>
          </w:p>
          <w:p w14:paraId="55AB57A9" w14:textId="77777777" w:rsidR="007360E4" w:rsidRDefault="007360E4" w:rsidP="005C38E7">
            <w:pPr>
              <w:spacing w:after="120"/>
              <w:jc w:val="both"/>
              <w:rPr>
                <w:rFonts w:ascii="Calibri" w:eastAsia="Calibri" w:hAnsi="Calibri" w:cs="Calibri"/>
                <w:sz w:val="24"/>
                <w:szCs w:val="24"/>
              </w:rPr>
            </w:pPr>
          </w:p>
          <w:p w14:paraId="4ED7724C" w14:textId="77777777" w:rsidR="007360E4" w:rsidRDefault="007360E4" w:rsidP="005C38E7">
            <w:pPr>
              <w:spacing w:after="120"/>
              <w:jc w:val="both"/>
              <w:rPr>
                <w:rFonts w:ascii="Calibri" w:eastAsia="Calibri" w:hAnsi="Calibri" w:cs="Calibri"/>
                <w:sz w:val="24"/>
                <w:szCs w:val="24"/>
              </w:rPr>
            </w:pPr>
          </w:p>
          <w:p w14:paraId="0E868CE3" w14:textId="77777777" w:rsidR="007360E4" w:rsidRDefault="007360E4" w:rsidP="005C38E7">
            <w:pPr>
              <w:spacing w:after="120"/>
              <w:jc w:val="both"/>
              <w:rPr>
                <w:rFonts w:ascii="Calibri" w:eastAsia="Calibri" w:hAnsi="Calibri" w:cs="Calibri"/>
                <w:sz w:val="24"/>
                <w:szCs w:val="24"/>
              </w:rPr>
            </w:pPr>
          </w:p>
          <w:p w14:paraId="0C44B7F9" w14:textId="47400C42" w:rsidR="007360E4" w:rsidRPr="00D511FC" w:rsidRDefault="007360E4" w:rsidP="005C38E7">
            <w:pPr>
              <w:spacing w:after="120"/>
              <w:jc w:val="both"/>
              <w:rPr>
                <w:rFonts w:ascii="Calibri" w:eastAsia="Calibri" w:hAnsi="Calibri" w:cs="Calibri"/>
                <w:sz w:val="24"/>
                <w:szCs w:val="24"/>
              </w:rPr>
            </w:pPr>
            <w:r>
              <w:rPr>
                <w:rFonts w:ascii="Calibri" w:eastAsia="Calibri" w:hAnsi="Calibri" w:cs="Calibri"/>
                <w:sz w:val="24"/>
                <w:szCs w:val="24"/>
              </w:rPr>
              <w:t xml:space="preserve">ANAPAR: </w:t>
            </w:r>
            <w:r w:rsidRPr="007360E4">
              <w:rPr>
                <w:rFonts w:ascii="Calibri" w:eastAsia="Calibri" w:hAnsi="Calibri" w:cs="Calibri"/>
                <w:sz w:val="24"/>
                <w:szCs w:val="24"/>
              </w:rPr>
              <w:t>O objetivo é segregar as respectivas responsabilidades</w:t>
            </w:r>
            <w:r>
              <w:rPr>
                <w:rFonts w:ascii="Calibri" w:eastAsia="Calibri" w:hAnsi="Calibri" w:cs="Calibri"/>
                <w:sz w:val="24"/>
                <w:szCs w:val="24"/>
              </w:rPr>
              <w:t>,</w:t>
            </w:r>
          </w:p>
        </w:tc>
        <w:tc>
          <w:tcPr>
            <w:tcW w:w="2505" w:type="dxa"/>
          </w:tcPr>
          <w:p w14:paraId="5B25821D" w14:textId="77777777" w:rsidR="00F62F78" w:rsidRDefault="0015094B" w:rsidP="005C38E7">
            <w:pPr>
              <w:spacing w:after="120"/>
              <w:jc w:val="both"/>
              <w:rPr>
                <w:rFonts w:ascii="Calibri" w:eastAsia="Calibri" w:hAnsi="Calibri" w:cs="Calibri"/>
                <w:b/>
                <w:bCs/>
                <w:sz w:val="24"/>
                <w:szCs w:val="24"/>
              </w:rPr>
            </w:pPr>
            <w:r w:rsidRPr="0015094B">
              <w:rPr>
                <w:rFonts w:ascii="Calibri" w:eastAsia="Calibri" w:hAnsi="Calibri" w:cs="Calibri"/>
                <w:b/>
                <w:bCs/>
                <w:sz w:val="24"/>
                <w:szCs w:val="24"/>
              </w:rPr>
              <w:lastRenderedPageBreak/>
              <w:t>ACATAR PARCIALMENTE</w:t>
            </w:r>
            <w:r>
              <w:rPr>
                <w:rFonts w:ascii="Calibri" w:eastAsia="Calibri" w:hAnsi="Calibri" w:cs="Calibri"/>
                <w:b/>
                <w:bCs/>
                <w:sz w:val="24"/>
                <w:szCs w:val="24"/>
              </w:rPr>
              <w:t>:</w:t>
            </w:r>
          </w:p>
          <w:p w14:paraId="640EE3C9" w14:textId="5FEC6BA2" w:rsidR="00D32ABD" w:rsidRPr="007360E4" w:rsidRDefault="007360E4" w:rsidP="005C38E7">
            <w:pPr>
              <w:spacing w:after="120"/>
              <w:jc w:val="both"/>
              <w:rPr>
                <w:rFonts w:ascii="Calibri" w:eastAsia="Calibri" w:hAnsi="Calibri" w:cs="Calibri"/>
                <w:color w:val="4472C4" w:themeColor="accent1"/>
                <w:sz w:val="24"/>
                <w:szCs w:val="24"/>
              </w:rPr>
            </w:pPr>
            <w:r w:rsidRPr="007360E4">
              <w:rPr>
                <w:rFonts w:ascii="Calibri" w:eastAsia="Calibri" w:hAnsi="Calibri" w:cs="Calibri"/>
                <w:color w:val="4472C4" w:themeColor="accent1"/>
                <w:sz w:val="24"/>
                <w:szCs w:val="24"/>
              </w:rPr>
              <w:t xml:space="preserve">Art. 58. A proposição e validação das hipóteses adotadas na avaliação atuarial do plano de benefícios é de responsabilidade exclusiva do atuário do plano, assim como a responsabilidade pela aprovação das hipóteses propostas compete aos membros estatutários da EFPC, sem prejuízo da responsabilidade </w:t>
            </w:r>
            <w:r w:rsidRPr="007360E4">
              <w:rPr>
                <w:rFonts w:ascii="Calibri" w:eastAsia="Calibri" w:hAnsi="Calibri" w:cs="Calibri"/>
                <w:color w:val="4472C4" w:themeColor="accent1"/>
                <w:sz w:val="24"/>
                <w:szCs w:val="24"/>
              </w:rPr>
              <w:lastRenderedPageBreak/>
              <w:t xml:space="preserve">atribuível a outros profissionais que tenham contribuído para a realização dos estudos. </w:t>
            </w:r>
          </w:p>
          <w:p w14:paraId="22D45A52" w14:textId="77777777" w:rsidR="005C0FD4" w:rsidRDefault="005C0FD4" w:rsidP="005C38E7">
            <w:pPr>
              <w:spacing w:after="120"/>
              <w:jc w:val="both"/>
              <w:rPr>
                <w:rFonts w:ascii="Calibri" w:eastAsia="Calibri" w:hAnsi="Calibri" w:cs="Calibri"/>
                <w:b/>
                <w:bCs/>
                <w:sz w:val="24"/>
                <w:szCs w:val="24"/>
              </w:rPr>
            </w:pPr>
          </w:p>
          <w:p w14:paraId="5BAAB447" w14:textId="77777777" w:rsidR="00D32ABD" w:rsidRDefault="00D32ABD" w:rsidP="00D32ABD">
            <w:pPr>
              <w:spacing w:after="120"/>
              <w:jc w:val="both"/>
              <w:rPr>
                <w:rFonts w:ascii="Calibri" w:eastAsia="Calibri" w:hAnsi="Calibri" w:cs="Calibri"/>
                <w:sz w:val="24"/>
                <w:szCs w:val="24"/>
              </w:rPr>
            </w:pPr>
            <w:r>
              <w:rPr>
                <w:rFonts w:ascii="Calibri" w:eastAsia="Calibri" w:hAnsi="Calibri" w:cs="Calibri"/>
                <w:b/>
                <w:bCs/>
                <w:sz w:val="24"/>
                <w:szCs w:val="24"/>
              </w:rPr>
              <w:t xml:space="preserve">NÃO ACATAR. </w:t>
            </w:r>
            <w:r w:rsidRPr="00D32ABD">
              <w:rPr>
                <w:rFonts w:ascii="Calibri" w:eastAsia="Calibri" w:hAnsi="Calibri" w:cs="Calibri"/>
                <w:sz w:val="24"/>
                <w:szCs w:val="24"/>
              </w:rPr>
              <w:t xml:space="preserve">A responsabilidade </w:t>
            </w:r>
            <w:r>
              <w:rPr>
                <w:rFonts w:ascii="Calibri" w:eastAsia="Calibri" w:hAnsi="Calibri" w:cs="Calibri"/>
                <w:sz w:val="24"/>
                <w:szCs w:val="24"/>
              </w:rPr>
              <w:t>técnica</w:t>
            </w:r>
            <w:r w:rsidRPr="00D32ABD">
              <w:rPr>
                <w:rFonts w:ascii="Calibri" w:eastAsia="Calibri" w:hAnsi="Calibri" w:cs="Calibri"/>
                <w:sz w:val="24"/>
                <w:szCs w:val="24"/>
              </w:rPr>
              <w:t xml:space="preserve"> pela proposição e validação das hipóteses atuariais é</w:t>
            </w:r>
            <w:r>
              <w:rPr>
                <w:rFonts w:ascii="Calibri" w:eastAsia="Calibri" w:hAnsi="Calibri" w:cs="Calibri"/>
                <w:sz w:val="24"/>
                <w:szCs w:val="24"/>
              </w:rPr>
              <w:t>, por determinação legal,</w:t>
            </w:r>
            <w:r w:rsidRPr="00D32ABD">
              <w:rPr>
                <w:rFonts w:ascii="Calibri" w:eastAsia="Calibri" w:hAnsi="Calibri" w:cs="Calibri"/>
                <w:sz w:val="24"/>
                <w:szCs w:val="24"/>
              </w:rPr>
              <w:t xml:space="preserve"> do atuário do plano</w:t>
            </w:r>
            <w:r>
              <w:rPr>
                <w:rFonts w:ascii="Calibri" w:eastAsia="Calibri" w:hAnsi="Calibri" w:cs="Calibri"/>
                <w:sz w:val="24"/>
                <w:szCs w:val="24"/>
              </w:rPr>
              <w:t>.</w:t>
            </w:r>
          </w:p>
          <w:p w14:paraId="07DD2592" w14:textId="77777777" w:rsidR="007360E4" w:rsidRDefault="007360E4" w:rsidP="007360E4">
            <w:pPr>
              <w:spacing w:after="120"/>
              <w:jc w:val="both"/>
              <w:rPr>
                <w:rFonts w:ascii="Calibri" w:eastAsia="Calibri" w:hAnsi="Calibri" w:cs="Calibri"/>
                <w:b/>
                <w:bCs/>
                <w:sz w:val="24"/>
                <w:szCs w:val="24"/>
              </w:rPr>
            </w:pPr>
          </w:p>
          <w:p w14:paraId="79346793" w14:textId="77777777" w:rsidR="005C0FD4" w:rsidRDefault="005C0FD4" w:rsidP="007360E4">
            <w:pPr>
              <w:spacing w:after="120"/>
              <w:jc w:val="both"/>
              <w:rPr>
                <w:rFonts w:ascii="Calibri" w:eastAsia="Calibri" w:hAnsi="Calibri" w:cs="Calibri"/>
                <w:b/>
                <w:bCs/>
                <w:sz w:val="24"/>
                <w:szCs w:val="24"/>
              </w:rPr>
            </w:pPr>
          </w:p>
          <w:p w14:paraId="46CDB479" w14:textId="77777777" w:rsidR="005C0FD4" w:rsidRDefault="005C0FD4" w:rsidP="007360E4">
            <w:pPr>
              <w:spacing w:after="120"/>
              <w:jc w:val="both"/>
              <w:rPr>
                <w:rFonts w:ascii="Calibri" w:eastAsia="Calibri" w:hAnsi="Calibri" w:cs="Calibri"/>
                <w:b/>
                <w:bCs/>
                <w:sz w:val="24"/>
                <w:szCs w:val="24"/>
              </w:rPr>
            </w:pPr>
          </w:p>
          <w:p w14:paraId="53A32D47" w14:textId="18EAF677" w:rsidR="007360E4" w:rsidRPr="009543E5" w:rsidRDefault="007360E4" w:rsidP="007360E4">
            <w:pPr>
              <w:spacing w:after="120"/>
              <w:jc w:val="both"/>
              <w:rPr>
                <w:rFonts w:ascii="Calibri" w:eastAsia="Calibri" w:hAnsi="Calibri" w:cs="Calibri"/>
                <w:sz w:val="24"/>
                <w:szCs w:val="24"/>
              </w:rPr>
            </w:pPr>
            <w:r w:rsidRPr="0015094B">
              <w:rPr>
                <w:rFonts w:ascii="Calibri" w:eastAsia="Calibri" w:hAnsi="Calibri" w:cs="Calibri"/>
                <w:b/>
                <w:bCs/>
                <w:sz w:val="24"/>
                <w:szCs w:val="24"/>
              </w:rPr>
              <w:t>ACATAR PARCIALMENTE</w:t>
            </w:r>
            <w:r>
              <w:rPr>
                <w:rFonts w:ascii="Calibri" w:eastAsia="Calibri" w:hAnsi="Calibri" w:cs="Calibri"/>
                <w:b/>
                <w:bCs/>
                <w:sz w:val="24"/>
                <w:szCs w:val="24"/>
              </w:rPr>
              <w:t>.</w:t>
            </w:r>
            <w:r w:rsidR="009543E5">
              <w:rPr>
                <w:rFonts w:ascii="Calibri" w:eastAsia="Calibri" w:hAnsi="Calibri" w:cs="Calibri"/>
                <w:b/>
                <w:bCs/>
                <w:sz w:val="24"/>
                <w:szCs w:val="24"/>
              </w:rPr>
              <w:t xml:space="preserve"> </w:t>
            </w:r>
            <w:r w:rsidR="009543E5">
              <w:rPr>
                <w:rFonts w:ascii="Calibri" w:eastAsia="Calibri" w:hAnsi="Calibri" w:cs="Calibri"/>
                <w:sz w:val="24"/>
                <w:szCs w:val="24"/>
              </w:rPr>
              <w:t>(Ver redação final do artigo).</w:t>
            </w:r>
          </w:p>
          <w:p w14:paraId="3A3DDA54" w14:textId="3FC9250D" w:rsidR="007360E4" w:rsidRPr="0015094B" w:rsidRDefault="007360E4" w:rsidP="00D32ABD">
            <w:pPr>
              <w:spacing w:after="120"/>
              <w:jc w:val="both"/>
              <w:rPr>
                <w:rFonts w:ascii="Calibri" w:eastAsia="Calibri" w:hAnsi="Calibri" w:cs="Calibri"/>
                <w:b/>
                <w:bCs/>
                <w:sz w:val="24"/>
                <w:szCs w:val="24"/>
              </w:rPr>
            </w:pPr>
          </w:p>
        </w:tc>
      </w:tr>
      <w:tr w:rsidR="00F62F78" w:rsidRPr="00D511FC" w14:paraId="2A900B46" w14:textId="71ED9B9C" w:rsidTr="00E6407C">
        <w:tc>
          <w:tcPr>
            <w:tcW w:w="7252" w:type="dxa"/>
          </w:tcPr>
          <w:p w14:paraId="2911CA7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 xml:space="preserve">Parágrafo único.  A responsabilidade pela proposição ou validação das hipóteses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também alcança as pessoas jurídicas das quais façam parte os profissionais indicados como sócios, empregados ou prestadores de serviço.</w:t>
            </w:r>
          </w:p>
        </w:tc>
        <w:tc>
          <w:tcPr>
            <w:tcW w:w="3107" w:type="dxa"/>
          </w:tcPr>
          <w:p w14:paraId="23F3B9A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D9A76FB" w14:textId="474B0460" w:rsidR="00F62F78" w:rsidRPr="00D511FC" w:rsidRDefault="00F62F78" w:rsidP="005C38E7">
            <w:pPr>
              <w:spacing w:after="120"/>
              <w:jc w:val="both"/>
              <w:rPr>
                <w:rFonts w:ascii="Calibri" w:eastAsia="Calibri" w:hAnsi="Calibri" w:cs="Calibri"/>
                <w:sz w:val="24"/>
                <w:szCs w:val="24"/>
              </w:rPr>
            </w:pPr>
          </w:p>
        </w:tc>
        <w:tc>
          <w:tcPr>
            <w:tcW w:w="2505" w:type="dxa"/>
          </w:tcPr>
          <w:p w14:paraId="43779A5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CBA0007" w14:textId="5E69FB29" w:rsidTr="00E6407C">
        <w:tc>
          <w:tcPr>
            <w:tcW w:w="7252" w:type="dxa"/>
          </w:tcPr>
          <w:p w14:paraId="730D351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59.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3107" w:type="dxa"/>
          </w:tcPr>
          <w:p w14:paraId="27E5A08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B8E578E" w14:textId="58253EC3" w:rsidR="00F62F78" w:rsidRPr="00D511FC" w:rsidRDefault="00F62F78" w:rsidP="005C38E7">
            <w:pPr>
              <w:spacing w:after="120"/>
              <w:jc w:val="both"/>
              <w:rPr>
                <w:rFonts w:ascii="Calibri" w:eastAsia="Calibri" w:hAnsi="Calibri" w:cs="Calibri"/>
                <w:sz w:val="24"/>
                <w:szCs w:val="24"/>
              </w:rPr>
            </w:pPr>
          </w:p>
        </w:tc>
        <w:tc>
          <w:tcPr>
            <w:tcW w:w="2505" w:type="dxa"/>
          </w:tcPr>
          <w:p w14:paraId="22D54D2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2A8E8FF" w14:textId="6BFCC0C7" w:rsidTr="00E6407C">
        <w:tc>
          <w:tcPr>
            <w:tcW w:w="7252" w:type="dxa"/>
          </w:tcPr>
          <w:p w14:paraId="669FFC8F"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III</w:t>
            </w:r>
          </w:p>
        </w:tc>
        <w:tc>
          <w:tcPr>
            <w:tcW w:w="3107" w:type="dxa"/>
          </w:tcPr>
          <w:p w14:paraId="35855203"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EA7B6D3" w14:textId="2F4CEF4E" w:rsidR="00F62F78" w:rsidRPr="00D511FC" w:rsidRDefault="00F62F78" w:rsidP="005C38E7">
            <w:pPr>
              <w:spacing w:after="120"/>
              <w:jc w:val="center"/>
              <w:rPr>
                <w:rFonts w:ascii="Calibri" w:eastAsia="Calibri" w:hAnsi="Calibri" w:cs="Calibri"/>
                <w:b/>
                <w:bCs/>
                <w:sz w:val="24"/>
                <w:szCs w:val="24"/>
              </w:rPr>
            </w:pPr>
          </w:p>
        </w:tc>
        <w:tc>
          <w:tcPr>
            <w:tcW w:w="2505" w:type="dxa"/>
          </w:tcPr>
          <w:p w14:paraId="5A7C91AB"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0E4C0789" w14:textId="77ED453A" w:rsidTr="00E6407C">
        <w:tc>
          <w:tcPr>
            <w:tcW w:w="7252" w:type="dxa"/>
          </w:tcPr>
          <w:p w14:paraId="44FF3975"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Custeio e da Utilização do Equilíbrio Técnico Ajustado</w:t>
            </w:r>
          </w:p>
        </w:tc>
        <w:tc>
          <w:tcPr>
            <w:tcW w:w="3107" w:type="dxa"/>
          </w:tcPr>
          <w:p w14:paraId="07EC4C80"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ACB1A84" w14:textId="56A80C4A" w:rsidR="00F62F78" w:rsidRPr="00D511FC" w:rsidRDefault="00F62F78" w:rsidP="005C38E7">
            <w:pPr>
              <w:spacing w:after="120"/>
              <w:jc w:val="center"/>
              <w:rPr>
                <w:rFonts w:ascii="Calibri" w:eastAsia="Calibri" w:hAnsi="Calibri" w:cs="Calibri"/>
                <w:b/>
                <w:bCs/>
                <w:sz w:val="24"/>
                <w:szCs w:val="24"/>
              </w:rPr>
            </w:pPr>
          </w:p>
        </w:tc>
        <w:tc>
          <w:tcPr>
            <w:tcW w:w="2505" w:type="dxa"/>
          </w:tcPr>
          <w:p w14:paraId="6485C8CA"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B6D9209" w14:textId="7B74DDFF" w:rsidTr="00E6407C">
        <w:tc>
          <w:tcPr>
            <w:tcW w:w="7252" w:type="dxa"/>
          </w:tcPr>
          <w:p w14:paraId="15C9D7EE"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13352175"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3DC09980" w14:textId="0F3F8745" w:rsidR="00F62F78" w:rsidRPr="00D511FC" w:rsidRDefault="00F62F78" w:rsidP="005C38E7">
            <w:pPr>
              <w:spacing w:after="120"/>
              <w:jc w:val="center"/>
              <w:rPr>
                <w:rFonts w:ascii="Calibri" w:eastAsia="Calibri" w:hAnsi="Calibri" w:cs="Calibri"/>
                <w:b/>
                <w:bCs/>
                <w:sz w:val="24"/>
                <w:szCs w:val="24"/>
              </w:rPr>
            </w:pPr>
          </w:p>
        </w:tc>
        <w:tc>
          <w:tcPr>
            <w:tcW w:w="2505" w:type="dxa"/>
          </w:tcPr>
          <w:p w14:paraId="4D758010"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A4642C2" w14:textId="2FBECC8A" w:rsidTr="00E6407C">
        <w:tc>
          <w:tcPr>
            <w:tcW w:w="7252" w:type="dxa"/>
          </w:tcPr>
          <w:p w14:paraId="35885589"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Custeio do Plano</w:t>
            </w:r>
          </w:p>
        </w:tc>
        <w:tc>
          <w:tcPr>
            <w:tcW w:w="3107" w:type="dxa"/>
          </w:tcPr>
          <w:p w14:paraId="62DADAA0"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8372585" w14:textId="7851529A" w:rsidR="00F62F78" w:rsidRPr="00D511FC" w:rsidRDefault="00F62F78" w:rsidP="005C38E7">
            <w:pPr>
              <w:spacing w:after="120"/>
              <w:jc w:val="center"/>
              <w:rPr>
                <w:rFonts w:ascii="Calibri" w:eastAsia="Calibri" w:hAnsi="Calibri" w:cs="Calibri"/>
                <w:b/>
                <w:bCs/>
                <w:sz w:val="24"/>
                <w:szCs w:val="24"/>
              </w:rPr>
            </w:pPr>
          </w:p>
        </w:tc>
        <w:tc>
          <w:tcPr>
            <w:tcW w:w="2505" w:type="dxa"/>
          </w:tcPr>
          <w:p w14:paraId="45B9A519"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11CD924" w14:textId="7DFF772F" w:rsidTr="00E6407C">
        <w:tc>
          <w:tcPr>
            <w:tcW w:w="7252" w:type="dxa"/>
          </w:tcPr>
          <w:p w14:paraId="047BEC1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60.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3107" w:type="dxa"/>
          </w:tcPr>
          <w:p w14:paraId="471B95D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035C231" w14:textId="01020F8F" w:rsidR="00F62F78" w:rsidRPr="00D511FC" w:rsidRDefault="00F62F78" w:rsidP="005C38E7">
            <w:pPr>
              <w:spacing w:after="120"/>
              <w:jc w:val="both"/>
              <w:rPr>
                <w:rFonts w:ascii="Calibri" w:eastAsia="Calibri" w:hAnsi="Calibri" w:cs="Calibri"/>
                <w:sz w:val="24"/>
                <w:szCs w:val="24"/>
              </w:rPr>
            </w:pPr>
          </w:p>
        </w:tc>
        <w:tc>
          <w:tcPr>
            <w:tcW w:w="2505" w:type="dxa"/>
          </w:tcPr>
          <w:p w14:paraId="4C8C54B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73F22CB" w14:textId="3E9BAA81" w:rsidTr="00E6407C">
        <w:tc>
          <w:tcPr>
            <w:tcW w:w="7252" w:type="dxa"/>
          </w:tcPr>
          <w:p w14:paraId="6AC3090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tc>
        <w:tc>
          <w:tcPr>
            <w:tcW w:w="3107" w:type="dxa"/>
          </w:tcPr>
          <w:p w14:paraId="24FEC481" w14:textId="191AF8E1" w:rsidR="00D408B3" w:rsidRDefault="00D408B3"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149D76D8" w14:textId="61A6BEA6" w:rsidR="00F62F78" w:rsidRPr="00D511FC" w:rsidRDefault="00D408B3" w:rsidP="005C38E7">
            <w:pPr>
              <w:spacing w:after="120"/>
              <w:jc w:val="both"/>
              <w:rPr>
                <w:rFonts w:ascii="Calibri" w:eastAsia="Calibri" w:hAnsi="Calibri" w:cs="Calibri"/>
                <w:sz w:val="24"/>
                <w:szCs w:val="24"/>
              </w:rPr>
            </w:pPr>
            <w:r w:rsidRPr="00D408B3">
              <w:rPr>
                <w:rFonts w:ascii="Calibri" w:eastAsia="Calibri" w:hAnsi="Calibri" w:cs="Calibri"/>
                <w:sz w:val="24"/>
                <w:szCs w:val="24"/>
              </w:rPr>
              <w:t xml:space="preserve">§ 1º Ao estabelecer o plano de custeio para o ano subsequente, o atuário responsável </w:t>
            </w:r>
            <w:r w:rsidRPr="00D408B3">
              <w:rPr>
                <w:rFonts w:ascii="Calibri" w:eastAsia="Calibri" w:hAnsi="Calibri" w:cs="Calibri"/>
                <w:color w:val="4472C4" w:themeColor="accent1"/>
                <w:sz w:val="24"/>
                <w:szCs w:val="24"/>
              </w:rPr>
              <w:t xml:space="preserve">pelo plano de benefícios </w:t>
            </w:r>
            <w:r w:rsidRPr="00D408B3">
              <w:rPr>
                <w:rFonts w:ascii="Calibri" w:eastAsia="Calibri" w:hAnsi="Calibri" w:cs="Calibri"/>
                <w:sz w:val="24"/>
                <w:szCs w:val="24"/>
              </w:rPr>
              <w:t xml:space="preserve">deve utilizar critérios que </w:t>
            </w:r>
            <w:r>
              <w:rPr>
                <w:rFonts w:ascii="Calibri" w:eastAsia="Calibri" w:hAnsi="Calibri" w:cs="Calibri"/>
                <w:sz w:val="24"/>
                <w:szCs w:val="24"/>
              </w:rPr>
              <w:t>..</w:t>
            </w:r>
            <w:r w:rsidRPr="00D408B3">
              <w:rPr>
                <w:rFonts w:ascii="Calibri" w:eastAsia="Calibri" w:hAnsi="Calibri" w:cs="Calibri"/>
                <w:sz w:val="24"/>
                <w:szCs w:val="24"/>
              </w:rPr>
              <w:t>.</w:t>
            </w:r>
          </w:p>
        </w:tc>
        <w:tc>
          <w:tcPr>
            <w:tcW w:w="2552" w:type="dxa"/>
          </w:tcPr>
          <w:p w14:paraId="2FB1B85D" w14:textId="77777777" w:rsidR="00F62F78" w:rsidRDefault="00D408B3" w:rsidP="005C38E7">
            <w:pPr>
              <w:spacing w:after="120"/>
              <w:jc w:val="both"/>
              <w:rPr>
                <w:rFonts w:ascii="Calibri" w:eastAsia="Calibri" w:hAnsi="Calibri" w:cs="Calibri"/>
                <w:sz w:val="24"/>
                <w:szCs w:val="24"/>
              </w:rPr>
            </w:pPr>
            <w:r>
              <w:rPr>
                <w:rFonts w:ascii="Calibri" w:eastAsia="Calibri" w:hAnsi="Calibri" w:cs="Calibri"/>
                <w:sz w:val="24"/>
                <w:szCs w:val="24"/>
              </w:rPr>
              <w:t xml:space="preserve">IBA: </w:t>
            </w:r>
          </w:p>
          <w:p w14:paraId="14BB5798" w14:textId="16F8E281" w:rsidR="00D408B3" w:rsidRPr="00D511FC" w:rsidRDefault="00D408B3" w:rsidP="005C38E7">
            <w:pPr>
              <w:spacing w:after="120"/>
              <w:jc w:val="both"/>
              <w:rPr>
                <w:rFonts w:ascii="Calibri" w:eastAsia="Calibri" w:hAnsi="Calibri" w:cs="Calibri"/>
                <w:sz w:val="24"/>
                <w:szCs w:val="24"/>
              </w:rPr>
            </w:pPr>
            <w:r>
              <w:rPr>
                <w:rFonts w:ascii="Calibri" w:eastAsia="Calibri" w:hAnsi="Calibri" w:cs="Calibri"/>
                <w:sz w:val="24"/>
                <w:szCs w:val="24"/>
              </w:rPr>
              <w:t>I</w:t>
            </w:r>
            <w:r w:rsidRPr="00D408B3">
              <w:rPr>
                <w:rFonts w:ascii="Calibri" w:eastAsia="Calibri" w:hAnsi="Calibri" w:cs="Calibri"/>
                <w:sz w:val="24"/>
                <w:szCs w:val="24"/>
              </w:rPr>
              <w:t>nclusão para que fique claro a que se refere a responsabilidade do atuário.</w:t>
            </w:r>
          </w:p>
        </w:tc>
        <w:tc>
          <w:tcPr>
            <w:tcW w:w="2505" w:type="dxa"/>
          </w:tcPr>
          <w:p w14:paraId="74E8FA84" w14:textId="32AB48B8" w:rsidR="00F62F78" w:rsidRPr="00D511FC" w:rsidRDefault="00D408B3" w:rsidP="005C38E7">
            <w:pPr>
              <w:spacing w:after="120"/>
              <w:jc w:val="both"/>
              <w:rPr>
                <w:rFonts w:ascii="Calibri" w:eastAsia="Calibri" w:hAnsi="Calibri" w:cs="Calibri"/>
                <w:sz w:val="24"/>
                <w:szCs w:val="24"/>
              </w:rPr>
            </w:pPr>
            <w:r w:rsidRPr="00D408B3">
              <w:rPr>
                <w:rFonts w:ascii="Calibri" w:eastAsia="Calibri" w:hAnsi="Calibri" w:cs="Calibri"/>
                <w:b/>
                <w:bCs/>
                <w:sz w:val="24"/>
                <w:szCs w:val="24"/>
              </w:rPr>
              <w:t>ACATAR</w:t>
            </w:r>
            <w:r>
              <w:rPr>
                <w:rFonts w:ascii="Calibri" w:eastAsia="Calibri" w:hAnsi="Calibri" w:cs="Calibri"/>
                <w:sz w:val="24"/>
                <w:szCs w:val="24"/>
              </w:rPr>
              <w:t>.</w:t>
            </w:r>
          </w:p>
        </w:tc>
      </w:tr>
      <w:tr w:rsidR="00F62F78" w:rsidRPr="00D511FC" w14:paraId="6403C9C9" w14:textId="28DF8A1F" w:rsidTr="00E6407C">
        <w:tc>
          <w:tcPr>
            <w:tcW w:w="7252" w:type="dxa"/>
          </w:tcPr>
          <w:p w14:paraId="2C26B53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A revisão do plano de custeio para redução ou suspensão de contribuições extraordinárias de participantes, assistidos ou </w:t>
            </w:r>
            <w:r w:rsidRPr="00D511FC">
              <w:rPr>
                <w:rFonts w:ascii="Calibri" w:eastAsia="Calibri" w:hAnsi="Calibri" w:cs="Calibri"/>
                <w:sz w:val="24"/>
                <w:szCs w:val="24"/>
              </w:rPr>
              <w:lastRenderedPageBreak/>
              <w:t>patrocinador somente pode ser efetuada em função da apuração de equilíbrio técnico ajustado positivo para o plano de benefícios, no exercício de referência.</w:t>
            </w:r>
          </w:p>
        </w:tc>
        <w:tc>
          <w:tcPr>
            <w:tcW w:w="3107" w:type="dxa"/>
          </w:tcPr>
          <w:p w14:paraId="28B59BF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E22352D" w14:textId="77E509CB" w:rsidR="00F62F78" w:rsidRPr="00D511FC" w:rsidRDefault="00F62F78" w:rsidP="005C38E7">
            <w:pPr>
              <w:spacing w:after="120"/>
              <w:jc w:val="both"/>
              <w:rPr>
                <w:rFonts w:ascii="Calibri" w:eastAsia="Calibri" w:hAnsi="Calibri" w:cs="Calibri"/>
                <w:sz w:val="24"/>
                <w:szCs w:val="24"/>
              </w:rPr>
            </w:pPr>
          </w:p>
        </w:tc>
        <w:tc>
          <w:tcPr>
            <w:tcW w:w="2505" w:type="dxa"/>
          </w:tcPr>
          <w:p w14:paraId="22C29DF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9641422" w14:textId="1F32798D" w:rsidTr="00E6407C">
        <w:tc>
          <w:tcPr>
            <w:tcW w:w="7252" w:type="dxa"/>
          </w:tcPr>
          <w:p w14:paraId="0061220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3107" w:type="dxa"/>
          </w:tcPr>
          <w:p w14:paraId="176BF12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E90DA2D" w14:textId="5A2D503C" w:rsidR="00F62F78" w:rsidRPr="00D511FC" w:rsidRDefault="00F62F78" w:rsidP="005C38E7">
            <w:pPr>
              <w:spacing w:after="120"/>
              <w:jc w:val="both"/>
              <w:rPr>
                <w:rFonts w:ascii="Calibri" w:eastAsia="Calibri" w:hAnsi="Calibri" w:cs="Calibri"/>
                <w:sz w:val="24"/>
                <w:szCs w:val="24"/>
              </w:rPr>
            </w:pPr>
          </w:p>
        </w:tc>
        <w:tc>
          <w:tcPr>
            <w:tcW w:w="2505" w:type="dxa"/>
          </w:tcPr>
          <w:p w14:paraId="6E6DDCE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3B57138" w14:textId="07BF8898" w:rsidTr="00E6407C">
        <w:tc>
          <w:tcPr>
            <w:tcW w:w="7252" w:type="dxa"/>
          </w:tcPr>
          <w:p w14:paraId="7F6513CC"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1A1C4AF9"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47FF65E" w14:textId="230F3977" w:rsidR="00F62F78" w:rsidRPr="00D511FC" w:rsidRDefault="00F62F78" w:rsidP="005C38E7">
            <w:pPr>
              <w:spacing w:after="120"/>
              <w:jc w:val="center"/>
              <w:rPr>
                <w:rFonts w:ascii="Calibri" w:eastAsia="Calibri" w:hAnsi="Calibri" w:cs="Calibri"/>
                <w:b/>
                <w:bCs/>
                <w:sz w:val="24"/>
                <w:szCs w:val="24"/>
              </w:rPr>
            </w:pPr>
          </w:p>
        </w:tc>
        <w:tc>
          <w:tcPr>
            <w:tcW w:w="2505" w:type="dxa"/>
          </w:tcPr>
          <w:p w14:paraId="59E7F593"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6DF105E" w14:textId="32C4F7BF" w:rsidTr="00E6407C">
        <w:tc>
          <w:tcPr>
            <w:tcW w:w="7252" w:type="dxa"/>
          </w:tcPr>
          <w:p w14:paraId="42C551C7"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Revisão do Plano de Custeio</w:t>
            </w:r>
          </w:p>
        </w:tc>
        <w:tc>
          <w:tcPr>
            <w:tcW w:w="3107" w:type="dxa"/>
          </w:tcPr>
          <w:p w14:paraId="0149D7A3"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02C81D4" w14:textId="4A74E389" w:rsidR="00F62F78" w:rsidRPr="00D511FC" w:rsidRDefault="00F62F78" w:rsidP="005C38E7">
            <w:pPr>
              <w:spacing w:after="120"/>
              <w:jc w:val="center"/>
              <w:rPr>
                <w:rFonts w:ascii="Calibri" w:eastAsia="Calibri" w:hAnsi="Calibri" w:cs="Calibri"/>
                <w:b/>
                <w:bCs/>
                <w:sz w:val="24"/>
                <w:szCs w:val="24"/>
              </w:rPr>
            </w:pPr>
          </w:p>
        </w:tc>
        <w:tc>
          <w:tcPr>
            <w:tcW w:w="2505" w:type="dxa"/>
          </w:tcPr>
          <w:p w14:paraId="49613114"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14BCFD5D" w14:textId="30A4AC2D" w:rsidTr="00E6407C">
        <w:tc>
          <w:tcPr>
            <w:tcW w:w="7252" w:type="dxa"/>
          </w:tcPr>
          <w:p w14:paraId="5683AE2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61.  A utilização do equilíbrio técnico ajustado positivo para fins de revisão do plano de custeio em relação às contribuições extraordinárias, na forma prevista no art. 60, deve ser justificada em parecer do atuário responsável e aprovada pelas instâncias competentes da EFPC.</w:t>
            </w:r>
          </w:p>
        </w:tc>
        <w:tc>
          <w:tcPr>
            <w:tcW w:w="3107" w:type="dxa"/>
          </w:tcPr>
          <w:p w14:paraId="18607F38" w14:textId="77777777" w:rsidR="00F62F78" w:rsidRDefault="005049D1"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6C8B6AC7" w14:textId="3649FF95" w:rsidR="005049D1" w:rsidRPr="00D511FC" w:rsidRDefault="005049D1"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61.  A utilização do equilíbrio técnico ajustado positivo para fins de revisão do plano de custeio em relação às contribuições extraordinárias, na forma prevista no art. 60, deve ser justificada em parecer do atuário responsável </w:t>
            </w:r>
            <w:r>
              <w:rPr>
                <w:rFonts w:ascii="Calibri" w:eastAsia="Calibri" w:hAnsi="Calibri" w:cs="Calibri"/>
                <w:color w:val="4472C4" w:themeColor="accent1"/>
                <w:sz w:val="24"/>
                <w:szCs w:val="24"/>
              </w:rPr>
              <w:t xml:space="preserve">pelo plano de benefícios </w:t>
            </w:r>
            <w:r w:rsidRPr="00D511FC">
              <w:rPr>
                <w:rFonts w:ascii="Calibri" w:eastAsia="Calibri" w:hAnsi="Calibri" w:cs="Calibri"/>
                <w:sz w:val="24"/>
                <w:szCs w:val="24"/>
              </w:rPr>
              <w:t>e aprovada pelas instâncias competentes da EFPC.</w:t>
            </w:r>
          </w:p>
        </w:tc>
        <w:tc>
          <w:tcPr>
            <w:tcW w:w="2552" w:type="dxa"/>
          </w:tcPr>
          <w:p w14:paraId="1966B6D1" w14:textId="2803624A" w:rsidR="00F62F78" w:rsidRPr="00D511FC" w:rsidRDefault="005049D1" w:rsidP="005C38E7">
            <w:pPr>
              <w:spacing w:after="120"/>
              <w:jc w:val="both"/>
              <w:rPr>
                <w:rFonts w:ascii="Calibri" w:eastAsia="Calibri" w:hAnsi="Calibri" w:cs="Calibri"/>
                <w:sz w:val="24"/>
                <w:szCs w:val="24"/>
              </w:rPr>
            </w:pPr>
            <w:r>
              <w:rPr>
                <w:rFonts w:ascii="Calibri" w:eastAsia="Calibri" w:hAnsi="Calibri" w:cs="Calibri"/>
                <w:sz w:val="24"/>
                <w:szCs w:val="24"/>
              </w:rPr>
              <w:t>IBA: I</w:t>
            </w:r>
            <w:r w:rsidRPr="005049D1">
              <w:rPr>
                <w:rFonts w:ascii="Calibri" w:eastAsia="Calibri" w:hAnsi="Calibri" w:cs="Calibri"/>
                <w:sz w:val="24"/>
                <w:szCs w:val="24"/>
              </w:rPr>
              <w:t>nclusão para que fique claro a que se refere a responsabilidade do atuário</w:t>
            </w:r>
            <w:r>
              <w:rPr>
                <w:rFonts w:ascii="Calibri" w:eastAsia="Calibri" w:hAnsi="Calibri" w:cs="Calibri"/>
                <w:sz w:val="24"/>
                <w:szCs w:val="24"/>
              </w:rPr>
              <w:t>.</w:t>
            </w:r>
          </w:p>
        </w:tc>
        <w:tc>
          <w:tcPr>
            <w:tcW w:w="2505" w:type="dxa"/>
          </w:tcPr>
          <w:p w14:paraId="386E0101" w14:textId="1DCA53F1" w:rsidR="00F62F78" w:rsidRPr="005049D1" w:rsidRDefault="005049D1" w:rsidP="005C38E7">
            <w:pPr>
              <w:spacing w:after="120"/>
              <w:jc w:val="both"/>
              <w:rPr>
                <w:rFonts w:ascii="Calibri" w:eastAsia="Calibri" w:hAnsi="Calibri" w:cs="Calibri"/>
                <w:b/>
                <w:bCs/>
                <w:sz w:val="24"/>
                <w:szCs w:val="24"/>
              </w:rPr>
            </w:pPr>
            <w:r w:rsidRPr="005049D1">
              <w:rPr>
                <w:rFonts w:ascii="Calibri" w:eastAsia="Calibri" w:hAnsi="Calibri" w:cs="Calibri"/>
                <w:b/>
                <w:bCs/>
                <w:sz w:val="24"/>
                <w:szCs w:val="24"/>
              </w:rPr>
              <w:t>ACATAR.</w:t>
            </w:r>
          </w:p>
        </w:tc>
      </w:tr>
      <w:tr w:rsidR="00F62F78" w:rsidRPr="00D511FC" w14:paraId="7D521348" w14:textId="6F296837" w:rsidTr="00E6407C">
        <w:tc>
          <w:tcPr>
            <w:tcW w:w="7252" w:type="dxa"/>
          </w:tcPr>
          <w:p w14:paraId="3150A18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A utilização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73.</w:t>
            </w:r>
          </w:p>
        </w:tc>
        <w:tc>
          <w:tcPr>
            <w:tcW w:w="3107" w:type="dxa"/>
          </w:tcPr>
          <w:p w14:paraId="10D3368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41729DE" w14:textId="3B8C4F83" w:rsidR="00F62F78" w:rsidRPr="00D511FC" w:rsidRDefault="00F62F78" w:rsidP="005C38E7">
            <w:pPr>
              <w:spacing w:after="120"/>
              <w:jc w:val="both"/>
              <w:rPr>
                <w:rFonts w:ascii="Calibri" w:eastAsia="Calibri" w:hAnsi="Calibri" w:cs="Calibri"/>
                <w:sz w:val="24"/>
                <w:szCs w:val="24"/>
              </w:rPr>
            </w:pPr>
          </w:p>
        </w:tc>
        <w:tc>
          <w:tcPr>
            <w:tcW w:w="2505" w:type="dxa"/>
          </w:tcPr>
          <w:p w14:paraId="228FF28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2364A92" w14:textId="0758ECB5" w:rsidTr="00E6407C">
        <w:tc>
          <w:tcPr>
            <w:tcW w:w="7252" w:type="dxa"/>
          </w:tcPr>
          <w:p w14:paraId="50BA9D6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Em caso de vigência de dois ou mais planos de equacionamento em curso, a utilização do equilíbrio técnico ajustado positivo deve ser </w:t>
            </w:r>
            <w:r w:rsidRPr="00D511FC">
              <w:rPr>
                <w:rFonts w:ascii="Calibri" w:eastAsia="Calibri" w:hAnsi="Calibri" w:cs="Calibri"/>
                <w:sz w:val="24"/>
                <w:szCs w:val="24"/>
              </w:rPr>
              <w:lastRenderedPageBreak/>
              <w:t>realizada de forma proporcional às respectivas provisões a constituir remanescentes.</w:t>
            </w:r>
          </w:p>
        </w:tc>
        <w:tc>
          <w:tcPr>
            <w:tcW w:w="3107" w:type="dxa"/>
          </w:tcPr>
          <w:p w14:paraId="20F607F3" w14:textId="77777777" w:rsidR="00F62F78" w:rsidRDefault="008D638A"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ABRAPP:</w:t>
            </w:r>
          </w:p>
          <w:p w14:paraId="44B1E36F" w14:textId="00927440" w:rsidR="008D638A" w:rsidRPr="00D511FC" w:rsidRDefault="008D638A" w:rsidP="005C38E7">
            <w:pPr>
              <w:spacing w:after="120"/>
              <w:jc w:val="both"/>
              <w:rPr>
                <w:rFonts w:ascii="Calibri" w:eastAsia="Calibri" w:hAnsi="Calibri" w:cs="Calibri"/>
                <w:sz w:val="24"/>
                <w:szCs w:val="24"/>
              </w:rPr>
            </w:pPr>
            <w:r w:rsidRPr="008D638A">
              <w:rPr>
                <w:rFonts w:ascii="Calibri" w:eastAsia="Calibri" w:hAnsi="Calibri" w:cs="Calibri"/>
                <w:color w:val="FF0000"/>
                <w:sz w:val="24"/>
                <w:szCs w:val="24"/>
              </w:rPr>
              <w:lastRenderedPageBreak/>
              <w:t>Verificar a menção ao artigo 73, §2º.</w:t>
            </w:r>
          </w:p>
        </w:tc>
        <w:tc>
          <w:tcPr>
            <w:tcW w:w="2552" w:type="dxa"/>
          </w:tcPr>
          <w:p w14:paraId="4505DAEB" w14:textId="11DF75AB" w:rsidR="00F62F78" w:rsidRPr="00D511FC" w:rsidRDefault="00F62F78" w:rsidP="005C38E7">
            <w:pPr>
              <w:spacing w:after="120"/>
              <w:jc w:val="both"/>
              <w:rPr>
                <w:rFonts w:ascii="Calibri" w:eastAsia="Calibri" w:hAnsi="Calibri" w:cs="Calibri"/>
                <w:sz w:val="24"/>
                <w:szCs w:val="24"/>
              </w:rPr>
            </w:pPr>
          </w:p>
        </w:tc>
        <w:tc>
          <w:tcPr>
            <w:tcW w:w="2505" w:type="dxa"/>
          </w:tcPr>
          <w:p w14:paraId="797D9B4A" w14:textId="69FE9B02" w:rsidR="00F62F78" w:rsidRPr="008D638A" w:rsidRDefault="008D638A" w:rsidP="005C38E7">
            <w:pPr>
              <w:spacing w:after="120"/>
              <w:jc w:val="both"/>
              <w:rPr>
                <w:rFonts w:ascii="Calibri" w:eastAsia="Calibri" w:hAnsi="Calibri" w:cs="Calibri"/>
                <w:sz w:val="24"/>
                <w:szCs w:val="24"/>
              </w:rPr>
            </w:pPr>
            <w:r w:rsidRPr="008D638A">
              <w:rPr>
                <w:rFonts w:ascii="Calibri" w:eastAsia="Calibri" w:hAnsi="Calibri" w:cs="Calibri"/>
                <w:b/>
                <w:bCs/>
                <w:sz w:val="24"/>
                <w:szCs w:val="24"/>
              </w:rPr>
              <w:t>NÃO ACATA</w:t>
            </w:r>
            <w:r w:rsidR="00A7523F">
              <w:rPr>
                <w:rFonts w:ascii="Calibri" w:eastAsia="Calibri" w:hAnsi="Calibri" w:cs="Calibri"/>
                <w:b/>
                <w:bCs/>
                <w:sz w:val="24"/>
                <w:szCs w:val="24"/>
              </w:rPr>
              <w:t>R</w:t>
            </w:r>
            <w:r w:rsidRPr="008D638A">
              <w:rPr>
                <w:rFonts w:ascii="Calibri" w:eastAsia="Calibri" w:hAnsi="Calibri" w:cs="Calibri"/>
                <w:b/>
                <w:bCs/>
                <w:sz w:val="24"/>
                <w:szCs w:val="24"/>
              </w:rPr>
              <w:t xml:space="preserve">. </w:t>
            </w:r>
            <w:r>
              <w:rPr>
                <w:rFonts w:ascii="Calibri" w:eastAsia="Calibri" w:hAnsi="Calibri" w:cs="Calibri"/>
                <w:sz w:val="24"/>
                <w:szCs w:val="24"/>
              </w:rPr>
              <w:t xml:space="preserve">Não foi verificada </w:t>
            </w:r>
            <w:r>
              <w:rPr>
                <w:rFonts w:ascii="Calibri" w:eastAsia="Calibri" w:hAnsi="Calibri" w:cs="Calibri"/>
                <w:sz w:val="24"/>
                <w:szCs w:val="24"/>
              </w:rPr>
              <w:lastRenderedPageBreak/>
              <w:t>inconsistência na remissão.</w:t>
            </w:r>
          </w:p>
        </w:tc>
      </w:tr>
      <w:tr w:rsidR="00F62F78" w:rsidRPr="00D511FC" w14:paraId="4431A65A" w14:textId="62BB6748" w:rsidTr="00E6407C">
        <w:tc>
          <w:tcPr>
            <w:tcW w:w="7252" w:type="dxa"/>
          </w:tcPr>
          <w:p w14:paraId="17D7931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62.  Não são admitidos como fonte de recursos para o equacionamento de déficit resultados oriundos de alterações de hipóteses atuariais, de regimes financeiros ou de métodos de financiamento.</w:t>
            </w:r>
          </w:p>
        </w:tc>
        <w:tc>
          <w:tcPr>
            <w:tcW w:w="3107" w:type="dxa"/>
          </w:tcPr>
          <w:p w14:paraId="7506545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4EF1F12" w14:textId="776EE9A5" w:rsidR="00F62F78" w:rsidRPr="00D511FC" w:rsidRDefault="00F62F78" w:rsidP="005C38E7">
            <w:pPr>
              <w:spacing w:after="120"/>
              <w:jc w:val="both"/>
              <w:rPr>
                <w:rFonts w:ascii="Calibri" w:eastAsia="Calibri" w:hAnsi="Calibri" w:cs="Calibri"/>
                <w:sz w:val="24"/>
                <w:szCs w:val="24"/>
              </w:rPr>
            </w:pPr>
          </w:p>
        </w:tc>
        <w:tc>
          <w:tcPr>
            <w:tcW w:w="2505" w:type="dxa"/>
          </w:tcPr>
          <w:p w14:paraId="4A7629A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959096E" w14:textId="32297045" w:rsidTr="00E6407C">
        <w:tc>
          <w:tcPr>
            <w:tcW w:w="7252" w:type="dxa"/>
          </w:tcPr>
          <w:p w14:paraId="3FC7A6DC"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IV</w:t>
            </w:r>
          </w:p>
        </w:tc>
        <w:tc>
          <w:tcPr>
            <w:tcW w:w="3107" w:type="dxa"/>
          </w:tcPr>
          <w:p w14:paraId="1A15E19E"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69C2B66" w14:textId="0EDEF2D0" w:rsidR="00F62F78" w:rsidRPr="00D511FC" w:rsidRDefault="00F62F78" w:rsidP="005C38E7">
            <w:pPr>
              <w:spacing w:after="120"/>
              <w:jc w:val="center"/>
              <w:rPr>
                <w:rFonts w:ascii="Calibri" w:eastAsia="Calibri" w:hAnsi="Calibri" w:cs="Calibri"/>
                <w:b/>
                <w:bCs/>
                <w:sz w:val="24"/>
                <w:szCs w:val="24"/>
              </w:rPr>
            </w:pPr>
          </w:p>
        </w:tc>
        <w:tc>
          <w:tcPr>
            <w:tcW w:w="2505" w:type="dxa"/>
          </w:tcPr>
          <w:p w14:paraId="7AC4D729"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CC7308F" w14:textId="6C7F46C3" w:rsidTr="00E6407C">
        <w:tc>
          <w:tcPr>
            <w:tcW w:w="7252" w:type="dxa"/>
          </w:tcPr>
          <w:p w14:paraId="17CBB40E"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Revisão do Plano de Benefícios e da Destinação da Reserva Especial</w:t>
            </w:r>
          </w:p>
        </w:tc>
        <w:tc>
          <w:tcPr>
            <w:tcW w:w="3107" w:type="dxa"/>
          </w:tcPr>
          <w:p w14:paraId="610973DC"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FD3A244" w14:textId="547D2BE3" w:rsidR="00F62F78" w:rsidRPr="00D511FC" w:rsidRDefault="00F62F78" w:rsidP="005C38E7">
            <w:pPr>
              <w:spacing w:after="120"/>
              <w:jc w:val="center"/>
              <w:rPr>
                <w:rFonts w:ascii="Calibri" w:eastAsia="Calibri" w:hAnsi="Calibri" w:cs="Calibri"/>
                <w:b/>
                <w:bCs/>
                <w:sz w:val="24"/>
                <w:szCs w:val="24"/>
              </w:rPr>
            </w:pPr>
          </w:p>
        </w:tc>
        <w:tc>
          <w:tcPr>
            <w:tcW w:w="2505" w:type="dxa"/>
          </w:tcPr>
          <w:p w14:paraId="69CAA53E"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6883FE16" w14:textId="1E3225D9" w:rsidTr="00E6407C">
        <w:tc>
          <w:tcPr>
            <w:tcW w:w="7252" w:type="dxa"/>
          </w:tcPr>
          <w:p w14:paraId="009ED5F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445466E4"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53C9724" w14:textId="42AEBB4E" w:rsidR="00F62F78" w:rsidRPr="00D511FC" w:rsidRDefault="00F62F78" w:rsidP="005C38E7">
            <w:pPr>
              <w:spacing w:after="120"/>
              <w:jc w:val="center"/>
              <w:rPr>
                <w:rFonts w:ascii="Calibri" w:eastAsia="Calibri" w:hAnsi="Calibri" w:cs="Calibri"/>
                <w:b/>
                <w:bCs/>
                <w:sz w:val="24"/>
                <w:szCs w:val="24"/>
              </w:rPr>
            </w:pPr>
          </w:p>
        </w:tc>
        <w:tc>
          <w:tcPr>
            <w:tcW w:w="2505" w:type="dxa"/>
          </w:tcPr>
          <w:p w14:paraId="04E2C602"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5A09C381" w14:textId="0AD2FBD8" w:rsidTr="00E6407C">
        <w:tc>
          <w:tcPr>
            <w:tcW w:w="7252" w:type="dxa"/>
          </w:tcPr>
          <w:p w14:paraId="2AB76E28"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Revisão Obrigatória do Plano de Benefícios</w:t>
            </w:r>
          </w:p>
        </w:tc>
        <w:tc>
          <w:tcPr>
            <w:tcW w:w="3107" w:type="dxa"/>
          </w:tcPr>
          <w:p w14:paraId="0813FCE3"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19D1CE6" w14:textId="74FC2492" w:rsidR="00F62F78" w:rsidRPr="00D511FC" w:rsidRDefault="00F62F78" w:rsidP="005C38E7">
            <w:pPr>
              <w:spacing w:after="120"/>
              <w:jc w:val="center"/>
              <w:rPr>
                <w:rFonts w:ascii="Calibri" w:eastAsia="Calibri" w:hAnsi="Calibri" w:cs="Calibri"/>
                <w:b/>
                <w:bCs/>
                <w:sz w:val="24"/>
                <w:szCs w:val="24"/>
              </w:rPr>
            </w:pPr>
          </w:p>
        </w:tc>
        <w:tc>
          <w:tcPr>
            <w:tcW w:w="2505" w:type="dxa"/>
          </w:tcPr>
          <w:p w14:paraId="5B143B0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2E2BE52" w14:textId="32293FCE" w:rsidTr="00E6407C">
        <w:tc>
          <w:tcPr>
            <w:tcW w:w="7252" w:type="dxa"/>
          </w:tcPr>
          <w:p w14:paraId="439E16F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63.  O plano de benefícios deve ser revisado até o final do exercício subsequente do exercício social que registrar a terceira apuração consecutiva de reserva especial.</w:t>
            </w:r>
          </w:p>
        </w:tc>
        <w:tc>
          <w:tcPr>
            <w:tcW w:w="3107" w:type="dxa"/>
          </w:tcPr>
          <w:p w14:paraId="08E1F14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2B91E26" w14:textId="01D95015" w:rsidR="00F62F78" w:rsidRPr="00D511FC" w:rsidRDefault="00F62F78" w:rsidP="005C38E7">
            <w:pPr>
              <w:spacing w:after="120"/>
              <w:jc w:val="both"/>
              <w:rPr>
                <w:rFonts w:ascii="Calibri" w:eastAsia="Calibri" w:hAnsi="Calibri" w:cs="Calibri"/>
                <w:sz w:val="24"/>
                <w:szCs w:val="24"/>
              </w:rPr>
            </w:pPr>
          </w:p>
        </w:tc>
        <w:tc>
          <w:tcPr>
            <w:tcW w:w="2505" w:type="dxa"/>
          </w:tcPr>
          <w:p w14:paraId="73818784"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6A406C1" w14:textId="4B38D04F" w:rsidTr="00E6407C">
        <w:tc>
          <w:tcPr>
            <w:tcW w:w="7252" w:type="dxa"/>
          </w:tcPr>
          <w:p w14:paraId="6FAC0E0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Parágrafo único.  Na revisão obrigatória deve ser destinado, no mínimo, o valor integral da reserva especial registrado nos últimos três exercícios.</w:t>
            </w:r>
          </w:p>
        </w:tc>
        <w:tc>
          <w:tcPr>
            <w:tcW w:w="3107" w:type="dxa"/>
          </w:tcPr>
          <w:p w14:paraId="12674188" w14:textId="77777777" w:rsidR="00F62F78" w:rsidRDefault="00EC7C4A" w:rsidP="005C38E7">
            <w:pPr>
              <w:spacing w:after="120"/>
              <w:jc w:val="both"/>
              <w:rPr>
                <w:rFonts w:ascii="Calibri" w:eastAsia="Calibri" w:hAnsi="Calibri" w:cs="Calibri"/>
                <w:sz w:val="24"/>
                <w:szCs w:val="24"/>
              </w:rPr>
            </w:pPr>
            <w:r>
              <w:rPr>
                <w:rFonts w:ascii="Calibri" w:eastAsia="Calibri" w:hAnsi="Calibri" w:cs="Calibri"/>
                <w:sz w:val="24"/>
                <w:szCs w:val="24"/>
              </w:rPr>
              <w:t>ANAPAR:</w:t>
            </w:r>
          </w:p>
          <w:p w14:paraId="7E6DAF25" w14:textId="1C1FE15F" w:rsidR="00EC7C4A" w:rsidRPr="00D511FC" w:rsidRDefault="00EC7C4A" w:rsidP="00EC7C4A">
            <w:pPr>
              <w:spacing w:after="120"/>
              <w:jc w:val="both"/>
              <w:rPr>
                <w:rFonts w:ascii="Calibri" w:eastAsia="Calibri" w:hAnsi="Calibri" w:cs="Calibri"/>
                <w:sz w:val="24"/>
                <w:szCs w:val="24"/>
              </w:rPr>
            </w:pPr>
            <w:r w:rsidRPr="00EC7C4A">
              <w:rPr>
                <w:rFonts w:ascii="Calibri" w:eastAsia="Calibri" w:hAnsi="Calibri" w:cs="Calibri"/>
                <w:sz w:val="24"/>
                <w:szCs w:val="24"/>
              </w:rPr>
              <w:t xml:space="preserve">Parágrafo único. Na revisão obrigatória deve ser destinado, </w:t>
            </w:r>
            <w:r w:rsidRPr="00EC7C4A">
              <w:rPr>
                <w:rFonts w:ascii="Calibri" w:eastAsia="Calibri" w:hAnsi="Calibri" w:cs="Calibri"/>
                <w:color w:val="FF0000"/>
                <w:sz w:val="24"/>
                <w:szCs w:val="24"/>
              </w:rPr>
              <w:t>no máximo</w:t>
            </w:r>
            <w:r w:rsidRPr="00EC7C4A">
              <w:rPr>
                <w:rFonts w:ascii="Calibri" w:eastAsia="Calibri" w:hAnsi="Calibri" w:cs="Calibri"/>
                <w:sz w:val="24"/>
                <w:szCs w:val="24"/>
              </w:rPr>
              <w:t>,</w:t>
            </w:r>
            <w:r>
              <w:rPr>
                <w:rFonts w:ascii="Calibri" w:eastAsia="Calibri" w:hAnsi="Calibri" w:cs="Calibri"/>
                <w:sz w:val="24"/>
                <w:szCs w:val="24"/>
              </w:rPr>
              <w:t xml:space="preserve"> </w:t>
            </w:r>
            <w:r w:rsidRPr="00EC7C4A">
              <w:rPr>
                <w:rFonts w:ascii="Calibri" w:eastAsia="Calibri" w:hAnsi="Calibri" w:cs="Calibri"/>
                <w:sz w:val="24"/>
                <w:szCs w:val="24"/>
              </w:rPr>
              <w:t>o valor integral da reserva</w:t>
            </w:r>
            <w:r>
              <w:rPr>
                <w:rFonts w:ascii="Calibri" w:eastAsia="Calibri" w:hAnsi="Calibri" w:cs="Calibri"/>
                <w:sz w:val="24"/>
                <w:szCs w:val="24"/>
              </w:rPr>
              <w:t xml:space="preserve"> </w:t>
            </w:r>
            <w:r w:rsidRPr="00EC7C4A">
              <w:rPr>
                <w:rFonts w:ascii="Calibri" w:eastAsia="Calibri" w:hAnsi="Calibri" w:cs="Calibri"/>
                <w:sz w:val="24"/>
                <w:szCs w:val="24"/>
              </w:rPr>
              <w:t>especial registrado nos últimos três exercícios.</w:t>
            </w:r>
          </w:p>
        </w:tc>
        <w:tc>
          <w:tcPr>
            <w:tcW w:w="2552" w:type="dxa"/>
          </w:tcPr>
          <w:p w14:paraId="1FDF014A" w14:textId="48BD9227" w:rsidR="00F62F78" w:rsidRPr="00D511FC" w:rsidRDefault="00EC7C4A" w:rsidP="005C38E7">
            <w:pPr>
              <w:spacing w:after="120"/>
              <w:jc w:val="both"/>
              <w:rPr>
                <w:rFonts w:ascii="Calibri" w:eastAsia="Calibri" w:hAnsi="Calibri" w:cs="Calibri"/>
                <w:sz w:val="24"/>
                <w:szCs w:val="24"/>
              </w:rPr>
            </w:pPr>
            <w:r>
              <w:rPr>
                <w:rFonts w:ascii="Calibri" w:eastAsia="Calibri" w:hAnsi="Calibri" w:cs="Calibri"/>
                <w:sz w:val="24"/>
                <w:szCs w:val="24"/>
              </w:rPr>
              <w:t xml:space="preserve">ANAPAR: </w:t>
            </w:r>
            <w:r w:rsidRPr="00EC7C4A">
              <w:rPr>
                <w:rFonts w:ascii="Calibri" w:eastAsia="Calibri" w:hAnsi="Calibri" w:cs="Calibri"/>
                <w:sz w:val="24"/>
                <w:szCs w:val="24"/>
              </w:rPr>
              <w:t>Questão de conservadorismo</w:t>
            </w:r>
            <w:r>
              <w:rPr>
                <w:rFonts w:ascii="Calibri" w:eastAsia="Calibri" w:hAnsi="Calibri" w:cs="Calibri"/>
                <w:sz w:val="24"/>
                <w:szCs w:val="24"/>
              </w:rPr>
              <w:t>.</w:t>
            </w:r>
          </w:p>
        </w:tc>
        <w:tc>
          <w:tcPr>
            <w:tcW w:w="2505" w:type="dxa"/>
          </w:tcPr>
          <w:p w14:paraId="5D9C3C31" w14:textId="4EC13596" w:rsidR="00F62F78" w:rsidRPr="00EC7C4A" w:rsidRDefault="00EC7C4A" w:rsidP="005C38E7">
            <w:pPr>
              <w:spacing w:after="120"/>
              <w:jc w:val="both"/>
              <w:rPr>
                <w:rFonts w:ascii="Calibri" w:eastAsia="Calibri" w:hAnsi="Calibri" w:cs="Calibri"/>
                <w:b/>
                <w:bCs/>
                <w:sz w:val="24"/>
                <w:szCs w:val="24"/>
              </w:rPr>
            </w:pPr>
            <w:r w:rsidRPr="00EC7C4A">
              <w:rPr>
                <w:rFonts w:ascii="Calibri" w:eastAsia="Calibri" w:hAnsi="Calibri" w:cs="Calibri"/>
                <w:b/>
                <w:bCs/>
                <w:sz w:val="24"/>
                <w:szCs w:val="24"/>
              </w:rPr>
              <w:t xml:space="preserve">NÃO ACATAR. </w:t>
            </w:r>
            <w:r w:rsidRPr="00EC7C4A">
              <w:rPr>
                <w:rFonts w:ascii="Calibri" w:eastAsia="Calibri" w:hAnsi="Calibri" w:cs="Calibri"/>
                <w:sz w:val="24"/>
                <w:szCs w:val="24"/>
              </w:rPr>
              <w:t>O dispositivo estipula o valor mínimo que deve ser destinado, de forma obrigatória. A EFPC pode destinar valore</w:t>
            </w:r>
            <w:r>
              <w:rPr>
                <w:rFonts w:ascii="Calibri" w:eastAsia="Calibri" w:hAnsi="Calibri" w:cs="Calibri"/>
                <w:sz w:val="24"/>
                <w:szCs w:val="24"/>
              </w:rPr>
              <w:t>s</w:t>
            </w:r>
            <w:r w:rsidRPr="00EC7C4A">
              <w:rPr>
                <w:rFonts w:ascii="Calibri" w:eastAsia="Calibri" w:hAnsi="Calibri" w:cs="Calibri"/>
                <w:sz w:val="24"/>
                <w:szCs w:val="24"/>
              </w:rPr>
              <w:t xml:space="preserve"> superior</w:t>
            </w:r>
            <w:r>
              <w:rPr>
                <w:rFonts w:ascii="Calibri" w:eastAsia="Calibri" w:hAnsi="Calibri" w:cs="Calibri"/>
                <w:sz w:val="24"/>
                <w:szCs w:val="24"/>
              </w:rPr>
              <w:t>es</w:t>
            </w:r>
            <w:r w:rsidRPr="00EC7C4A">
              <w:rPr>
                <w:rFonts w:ascii="Calibri" w:eastAsia="Calibri" w:hAnsi="Calibri" w:cs="Calibri"/>
                <w:sz w:val="24"/>
                <w:szCs w:val="24"/>
              </w:rPr>
              <w:t>, de forma voluntária.</w:t>
            </w:r>
          </w:p>
        </w:tc>
      </w:tr>
      <w:tr w:rsidR="00F62F78" w:rsidRPr="00D511FC" w14:paraId="231548DF" w14:textId="4DBE074E" w:rsidTr="00E6407C">
        <w:tc>
          <w:tcPr>
            <w:tcW w:w="7252" w:type="dxa"/>
          </w:tcPr>
          <w:p w14:paraId="4DA3E1A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01904936"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6AEE224" w14:textId="50E52383" w:rsidR="00F62F78" w:rsidRPr="00D511FC" w:rsidRDefault="00F62F78" w:rsidP="005C38E7">
            <w:pPr>
              <w:spacing w:after="120"/>
              <w:jc w:val="center"/>
              <w:rPr>
                <w:rFonts w:ascii="Calibri" w:eastAsia="Calibri" w:hAnsi="Calibri" w:cs="Calibri"/>
                <w:b/>
                <w:bCs/>
                <w:sz w:val="24"/>
                <w:szCs w:val="24"/>
              </w:rPr>
            </w:pPr>
          </w:p>
        </w:tc>
        <w:tc>
          <w:tcPr>
            <w:tcW w:w="2505" w:type="dxa"/>
          </w:tcPr>
          <w:p w14:paraId="0E2B1D92"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E572DE4" w14:textId="271A2289" w:rsidTr="00E6407C">
        <w:tc>
          <w:tcPr>
            <w:tcW w:w="7252" w:type="dxa"/>
          </w:tcPr>
          <w:p w14:paraId="02994E22"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Destinação da Reserva Especial</w:t>
            </w:r>
          </w:p>
        </w:tc>
        <w:tc>
          <w:tcPr>
            <w:tcW w:w="3107" w:type="dxa"/>
          </w:tcPr>
          <w:p w14:paraId="3EF71A01"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0E5F8C5" w14:textId="17555052" w:rsidR="00F62F78" w:rsidRPr="00D511FC" w:rsidRDefault="00F62F78" w:rsidP="005C38E7">
            <w:pPr>
              <w:spacing w:after="120"/>
              <w:jc w:val="center"/>
              <w:rPr>
                <w:rFonts w:ascii="Calibri" w:eastAsia="Calibri" w:hAnsi="Calibri" w:cs="Calibri"/>
                <w:b/>
                <w:bCs/>
                <w:sz w:val="24"/>
                <w:szCs w:val="24"/>
              </w:rPr>
            </w:pPr>
          </w:p>
        </w:tc>
        <w:tc>
          <w:tcPr>
            <w:tcW w:w="2505" w:type="dxa"/>
          </w:tcPr>
          <w:p w14:paraId="30ABB9F6" w14:textId="77777777" w:rsidR="00F62F78" w:rsidRPr="00D511FC" w:rsidRDefault="00F62F78" w:rsidP="005C38E7">
            <w:pPr>
              <w:spacing w:after="120"/>
              <w:jc w:val="center"/>
              <w:rPr>
                <w:rFonts w:ascii="Calibri" w:eastAsia="Calibri" w:hAnsi="Calibri" w:cs="Calibri"/>
                <w:b/>
                <w:bCs/>
                <w:sz w:val="24"/>
                <w:szCs w:val="24"/>
              </w:rPr>
            </w:pPr>
          </w:p>
        </w:tc>
      </w:tr>
      <w:tr w:rsidR="00AA0AD4" w:rsidRPr="00D511FC" w14:paraId="544F18DC" w14:textId="77777777" w:rsidTr="00E6407C">
        <w:tc>
          <w:tcPr>
            <w:tcW w:w="7252" w:type="dxa"/>
          </w:tcPr>
          <w:p w14:paraId="44B098D0" w14:textId="77777777" w:rsidR="00AA0AD4" w:rsidRPr="00D511FC" w:rsidRDefault="00AA0AD4" w:rsidP="005C38E7">
            <w:pPr>
              <w:spacing w:after="120"/>
              <w:jc w:val="both"/>
              <w:rPr>
                <w:rFonts w:ascii="Calibri" w:eastAsia="Calibri" w:hAnsi="Calibri" w:cs="Calibri"/>
                <w:sz w:val="24"/>
                <w:szCs w:val="24"/>
              </w:rPr>
            </w:pPr>
          </w:p>
        </w:tc>
        <w:tc>
          <w:tcPr>
            <w:tcW w:w="3107" w:type="dxa"/>
          </w:tcPr>
          <w:p w14:paraId="50F03066" w14:textId="3F04D3F9" w:rsidR="007C37FB" w:rsidRDefault="007C37FB" w:rsidP="005C38E7">
            <w:pPr>
              <w:spacing w:after="120"/>
              <w:jc w:val="both"/>
              <w:rPr>
                <w:rFonts w:ascii="Calibri" w:eastAsia="Calibri" w:hAnsi="Calibri" w:cs="Calibri"/>
                <w:color w:val="FF0000"/>
                <w:sz w:val="24"/>
                <w:szCs w:val="24"/>
              </w:rPr>
            </w:pPr>
            <w:r>
              <w:rPr>
                <w:rFonts w:ascii="Calibri" w:eastAsia="Calibri" w:hAnsi="Calibri" w:cs="Calibri"/>
                <w:color w:val="FF0000"/>
                <w:sz w:val="24"/>
                <w:szCs w:val="24"/>
              </w:rPr>
              <w:t>IBA:</w:t>
            </w:r>
          </w:p>
          <w:p w14:paraId="45E34425" w14:textId="6214BEFF" w:rsidR="00AA0AD4" w:rsidRPr="00D511FC" w:rsidRDefault="00AA0AD4" w:rsidP="005C38E7">
            <w:pPr>
              <w:spacing w:after="120"/>
              <w:jc w:val="both"/>
              <w:rPr>
                <w:rFonts w:ascii="Calibri" w:eastAsia="Calibri" w:hAnsi="Calibri" w:cs="Calibri"/>
                <w:sz w:val="24"/>
                <w:szCs w:val="24"/>
              </w:rPr>
            </w:pPr>
            <w:r w:rsidRPr="00AA0AD4">
              <w:rPr>
                <w:rFonts w:ascii="Calibri" w:eastAsia="Calibri" w:hAnsi="Calibri" w:cs="Calibri"/>
                <w:color w:val="FF0000"/>
                <w:sz w:val="24"/>
                <w:szCs w:val="24"/>
              </w:rPr>
              <w:t xml:space="preserve">Art. 21, II - taxa real anual de juros correspondente ao teto do intervalo regulatório </w:t>
            </w:r>
            <w:r w:rsidRPr="00AA0AD4">
              <w:rPr>
                <w:rFonts w:ascii="Calibri" w:eastAsia="Calibri" w:hAnsi="Calibri" w:cs="Calibri"/>
                <w:color w:val="FF0000"/>
                <w:sz w:val="24"/>
                <w:szCs w:val="24"/>
              </w:rPr>
              <w:lastRenderedPageBreak/>
              <w:t>estabelecido para o respectivo plano de benefícios, reduzida em um ponto percentual.</w:t>
            </w:r>
          </w:p>
        </w:tc>
        <w:tc>
          <w:tcPr>
            <w:tcW w:w="2552" w:type="dxa"/>
          </w:tcPr>
          <w:p w14:paraId="3ABA1E73" w14:textId="69881433" w:rsidR="00AA0AD4" w:rsidRPr="00D511FC" w:rsidRDefault="00AA0AD4"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 xml:space="preserve">IBA: </w:t>
            </w:r>
            <w:r w:rsidRPr="00AA0AD4">
              <w:rPr>
                <w:rFonts w:ascii="Calibri" w:eastAsia="Calibri" w:hAnsi="Calibri" w:cs="Calibri"/>
                <w:sz w:val="24"/>
                <w:szCs w:val="24"/>
              </w:rPr>
              <w:t>Os membros do Comitê Técnico consideram importante que seja exigida alguma</w:t>
            </w:r>
            <w:r>
              <w:rPr>
                <w:rFonts w:ascii="Calibri" w:eastAsia="Calibri" w:hAnsi="Calibri" w:cs="Calibri"/>
                <w:sz w:val="24"/>
                <w:szCs w:val="24"/>
              </w:rPr>
              <w:t xml:space="preserve"> </w:t>
            </w:r>
            <w:r w:rsidRPr="00AA0AD4">
              <w:rPr>
                <w:rFonts w:ascii="Calibri" w:eastAsia="Calibri" w:hAnsi="Calibri" w:cs="Calibri"/>
                <w:sz w:val="24"/>
                <w:szCs w:val="24"/>
              </w:rPr>
              <w:t xml:space="preserve">redução na taxa real de </w:t>
            </w:r>
            <w:r w:rsidRPr="00AA0AD4">
              <w:rPr>
                <w:rFonts w:ascii="Calibri" w:eastAsia="Calibri" w:hAnsi="Calibri" w:cs="Calibri"/>
                <w:sz w:val="24"/>
                <w:szCs w:val="24"/>
              </w:rPr>
              <w:lastRenderedPageBreak/>
              <w:t>juros no caso de distribuição de superávit, recomendando a manutenção do</w:t>
            </w:r>
            <w:r>
              <w:rPr>
                <w:rFonts w:ascii="Calibri" w:eastAsia="Calibri" w:hAnsi="Calibri" w:cs="Calibri"/>
                <w:sz w:val="24"/>
                <w:szCs w:val="24"/>
              </w:rPr>
              <w:t xml:space="preserve"> </w:t>
            </w:r>
            <w:r w:rsidRPr="00AA0AD4">
              <w:rPr>
                <w:rFonts w:ascii="Calibri" w:eastAsia="Calibri" w:hAnsi="Calibri" w:cs="Calibri"/>
                <w:sz w:val="24"/>
                <w:szCs w:val="24"/>
              </w:rPr>
              <w:t>dispositivo vigente até que as regras relativas à solvência e à apuração da taxa de juros sejam revistas</w:t>
            </w:r>
            <w:r>
              <w:rPr>
                <w:rFonts w:ascii="Calibri" w:eastAsia="Calibri" w:hAnsi="Calibri" w:cs="Calibri"/>
                <w:sz w:val="24"/>
                <w:szCs w:val="24"/>
              </w:rPr>
              <w:t>.</w:t>
            </w:r>
          </w:p>
        </w:tc>
        <w:tc>
          <w:tcPr>
            <w:tcW w:w="2505" w:type="dxa"/>
          </w:tcPr>
          <w:p w14:paraId="112F07E8" w14:textId="6F39E7AF" w:rsidR="00AA0AD4" w:rsidRPr="00D511FC" w:rsidRDefault="00AA0AD4" w:rsidP="005C38E7">
            <w:pPr>
              <w:spacing w:after="120"/>
              <w:jc w:val="both"/>
              <w:rPr>
                <w:rFonts w:ascii="Calibri" w:eastAsia="Calibri" w:hAnsi="Calibri" w:cs="Calibri"/>
                <w:sz w:val="24"/>
                <w:szCs w:val="24"/>
              </w:rPr>
            </w:pPr>
            <w:r w:rsidRPr="000F293D">
              <w:rPr>
                <w:rFonts w:ascii="Calibri" w:eastAsia="Calibri" w:hAnsi="Calibri" w:cs="Calibri"/>
                <w:b/>
                <w:bCs/>
                <w:sz w:val="24"/>
                <w:szCs w:val="24"/>
              </w:rPr>
              <w:lastRenderedPageBreak/>
              <w:t>NÃO ACATAR.</w:t>
            </w:r>
            <w:r>
              <w:rPr>
                <w:rFonts w:ascii="Calibri" w:eastAsia="Calibri" w:hAnsi="Calibri" w:cs="Calibri"/>
                <w:sz w:val="24"/>
                <w:szCs w:val="24"/>
              </w:rPr>
              <w:t xml:space="preserve"> </w:t>
            </w:r>
            <w:r w:rsidRPr="00AA0AD4">
              <w:rPr>
                <w:rFonts w:ascii="Calibri" w:eastAsia="Calibri" w:hAnsi="Calibri" w:cs="Calibri"/>
                <w:sz w:val="24"/>
                <w:szCs w:val="24"/>
              </w:rPr>
              <w:t xml:space="preserve">A redução da taxa de juros não tem mais justificativa, tendo em vista que, em função da </w:t>
            </w:r>
            <w:r w:rsidRPr="00AA0AD4">
              <w:rPr>
                <w:rFonts w:ascii="Calibri" w:eastAsia="Calibri" w:hAnsi="Calibri" w:cs="Calibri"/>
                <w:sz w:val="24"/>
                <w:szCs w:val="24"/>
              </w:rPr>
              <w:lastRenderedPageBreak/>
              <w:t>atual exigência de estudos de aderência, a taxa de juros atuarial já estaria adequada às características do plano de benefícios.</w:t>
            </w:r>
          </w:p>
        </w:tc>
      </w:tr>
      <w:tr w:rsidR="00F62F78" w:rsidRPr="00D511FC" w14:paraId="67AC4FB9" w14:textId="4709E430" w:rsidTr="00E6407C">
        <w:tc>
          <w:tcPr>
            <w:tcW w:w="7252" w:type="dxa"/>
          </w:tcPr>
          <w:p w14:paraId="01885ED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64.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tc>
        <w:tc>
          <w:tcPr>
            <w:tcW w:w="3107" w:type="dxa"/>
          </w:tcPr>
          <w:p w14:paraId="20D0B8C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3299D2B" w14:textId="28AD70E5" w:rsidR="00F62F78" w:rsidRPr="00D511FC" w:rsidRDefault="00F62F78" w:rsidP="005C38E7">
            <w:pPr>
              <w:spacing w:after="120"/>
              <w:jc w:val="both"/>
              <w:rPr>
                <w:rFonts w:ascii="Calibri" w:eastAsia="Calibri" w:hAnsi="Calibri" w:cs="Calibri"/>
                <w:sz w:val="24"/>
                <w:szCs w:val="24"/>
              </w:rPr>
            </w:pPr>
          </w:p>
        </w:tc>
        <w:tc>
          <w:tcPr>
            <w:tcW w:w="2505" w:type="dxa"/>
          </w:tcPr>
          <w:p w14:paraId="6183ECC3"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22BB316" w14:textId="1D1EE130" w:rsidTr="00E6407C">
        <w:tc>
          <w:tcPr>
            <w:tcW w:w="7252" w:type="dxa"/>
          </w:tcPr>
          <w:p w14:paraId="587B6DA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3107" w:type="dxa"/>
          </w:tcPr>
          <w:p w14:paraId="02CA662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62CD0C2" w14:textId="024DEEAF" w:rsidR="00F62F78" w:rsidRPr="00D511FC" w:rsidRDefault="00F62F78" w:rsidP="005C38E7">
            <w:pPr>
              <w:spacing w:after="120"/>
              <w:jc w:val="both"/>
              <w:rPr>
                <w:rFonts w:ascii="Calibri" w:eastAsia="Calibri" w:hAnsi="Calibri" w:cs="Calibri"/>
                <w:sz w:val="24"/>
                <w:szCs w:val="24"/>
              </w:rPr>
            </w:pPr>
          </w:p>
        </w:tc>
        <w:tc>
          <w:tcPr>
            <w:tcW w:w="2505" w:type="dxa"/>
          </w:tcPr>
          <w:p w14:paraId="44B1BAF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3F9FE5E" w14:textId="715D747B" w:rsidTr="00E6407C">
        <w:tc>
          <w:tcPr>
            <w:tcW w:w="7252" w:type="dxa"/>
          </w:tcPr>
          <w:p w14:paraId="318204A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65.  Para fins de destinação da reserva especial, devem ser observadas as seguintes condições:</w:t>
            </w:r>
          </w:p>
        </w:tc>
        <w:tc>
          <w:tcPr>
            <w:tcW w:w="3107" w:type="dxa"/>
          </w:tcPr>
          <w:p w14:paraId="42D6F79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65684D5" w14:textId="29BC9619" w:rsidR="00F62F78" w:rsidRPr="00D511FC" w:rsidRDefault="00F62F78" w:rsidP="005C38E7">
            <w:pPr>
              <w:spacing w:after="120"/>
              <w:jc w:val="both"/>
              <w:rPr>
                <w:rFonts w:ascii="Calibri" w:eastAsia="Calibri" w:hAnsi="Calibri" w:cs="Calibri"/>
                <w:sz w:val="24"/>
                <w:szCs w:val="24"/>
              </w:rPr>
            </w:pPr>
          </w:p>
        </w:tc>
        <w:tc>
          <w:tcPr>
            <w:tcW w:w="2505" w:type="dxa"/>
          </w:tcPr>
          <w:p w14:paraId="294A971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8859715" w14:textId="2D92D8F9" w:rsidTr="00E6407C">
        <w:tc>
          <w:tcPr>
            <w:tcW w:w="7252" w:type="dxa"/>
          </w:tcPr>
          <w:p w14:paraId="08A04BB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tc>
        <w:tc>
          <w:tcPr>
            <w:tcW w:w="3107" w:type="dxa"/>
          </w:tcPr>
          <w:p w14:paraId="3CD7F14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490EFAC" w14:textId="4BE57575" w:rsidR="00F62F78" w:rsidRPr="00D511FC" w:rsidRDefault="00F62F78" w:rsidP="005C38E7">
            <w:pPr>
              <w:spacing w:after="120"/>
              <w:jc w:val="both"/>
              <w:rPr>
                <w:rFonts w:ascii="Calibri" w:eastAsia="Calibri" w:hAnsi="Calibri" w:cs="Calibri"/>
                <w:sz w:val="24"/>
                <w:szCs w:val="24"/>
              </w:rPr>
            </w:pPr>
          </w:p>
        </w:tc>
        <w:tc>
          <w:tcPr>
            <w:tcW w:w="2505" w:type="dxa"/>
          </w:tcPr>
          <w:p w14:paraId="759A81D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375CC58" w14:textId="43746748" w:rsidTr="00E6407C">
        <w:tc>
          <w:tcPr>
            <w:tcW w:w="7252" w:type="dxa"/>
          </w:tcPr>
          <w:p w14:paraId="0801ADD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II - a utilização da reserva especial para redução parcial, redução integral ou suspensão de contribuições deve contemplar prioritariamente aquelas contribuições para custeio dos benefícios que tenham seu valor </w:t>
            </w:r>
            <w:r w:rsidRPr="00D511FC">
              <w:rPr>
                <w:rFonts w:ascii="Calibri" w:eastAsia="Calibri" w:hAnsi="Calibri" w:cs="Calibri"/>
                <w:sz w:val="24"/>
                <w:szCs w:val="24"/>
              </w:rPr>
              <w:lastRenderedPageBreak/>
              <w:t>ou nível previamente estabelecido e cujo custeio seja determinado atuarialmente; e</w:t>
            </w:r>
          </w:p>
        </w:tc>
        <w:tc>
          <w:tcPr>
            <w:tcW w:w="3107" w:type="dxa"/>
          </w:tcPr>
          <w:p w14:paraId="73FEF4A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A4B5265" w14:textId="43502096" w:rsidR="00F62F78" w:rsidRPr="00D511FC" w:rsidRDefault="00F62F78" w:rsidP="005C38E7">
            <w:pPr>
              <w:spacing w:after="120"/>
              <w:jc w:val="both"/>
              <w:rPr>
                <w:rFonts w:ascii="Calibri" w:eastAsia="Calibri" w:hAnsi="Calibri" w:cs="Calibri"/>
                <w:sz w:val="24"/>
                <w:szCs w:val="24"/>
              </w:rPr>
            </w:pPr>
          </w:p>
        </w:tc>
        <w:tc>
          <w:tcPr>
            <w:tcW w:w="2505" w:type="dxa"/>
          </w:tcPr>
          <w:p w14:paraId="63AAFBF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4218718" w14:textId="3190FF29" w:rsidTr="00E6407C">
        <w:tc>
          <w:tcPr>
            <w:tcW w:w="7252" w:type="dxa"/>
          </w:tcPr>
          <w:p w14:paraId="192D264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a cobertura integral do valor presente dos benefícios do plano deve considerar apenas aqueles com características de benefício definido.</w:t>
            </w:r>
          </w:p>
        </w:tc>
        <w:tc>
          <w:tcPr>
            <w:tcW w:w="3107" w:type="dxa"/>
          </w:tcPr>
          <w:p w14:paraId="50E9CC5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A052538" w14:textId="16FBB209" w:rsidR="00F62F78" w:rsidRPr="00D511FC" w:rsidRDefault="00F62F78" w:rsidP="005C38E7">
            <w:pPr>
              <w:spacing w:after="120"/>
              <w:jc w:val="both"/>
              <w:rPr>
                <w:rFonts w:ascii="Calibri" w:eastAsia="Calibri" w:hAnsi="Calibri" w:cs="Calibri"/>
                <w:sz w:val="24"/>
                <w:szCs w:val="24"/>
              </w:rPr>
            </w:pPr>
          </w:p>
        </w:tc>
        <w:tc>
          <w:tcPr>
            <w:tcW w:w="2505" w:type="dxa"/>
          </w:tcPr>
          <w:p w14:paraId="229985D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AFF91F0" w14:textId="76B12B13" w:rsidTr="00E6407C">
        <w:tc>
          <w:tcPr>
            <w:tcW w:w="7252" w:type="dxa"/>
          </w:tcPr>
          <w:p w14:paraId="45488AB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1º  A utilização dos fundos previdenciais de revisão do plano deve ocorrer de forma concomitante e proporcional entre os fundos atribuídos aos participantes, assistidos e patrocinador constituídos para essa finalidade.</w:t>
            </w:r>
          </w:p>
        </w:tc>
        <w:tc>
          <w:tcPr>
            <w:tcW w:w="3107" w:type="dxa"/>
          </w:tcPr>
          <w:p w14:paraId="0BF82C5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B131582" w14:textId="345069D0" w:rsidR="00F62F78" w:rsidRPr="00D511FC" w:rsidRDefault="00F62F78" w:rsidP="005C38E7">
            <w:pPr>
              <w:spacing w:after="120"/>
              <w:jc w:val="both"/>
              <w:rPr>
                <w:rFonts w:ascii="Calibri" w:eastAsia="Calibri" w:hAnsi="Calibri" w:cs="Calibri"/>
                <w:sz w:val="24"/>
                <w:szCs w:val="24"/>
              </w:rPr>
            </w:pPr>
          </w:p>
        </w:tc>
        <w:tc>
          <w:tcPr>
            <w:tcW w:w="2505" w:type="dxa"/>
          </w:tcPr>
          <w:p w14:paraId="05CE762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649F4F9" w14:textId="5C97B8EB" w:rsidTr="00E6407C">
        <w:tc>
          <w:tcPr>
            <w:tcW w:w="7252" w:type="dxa"/>
          </w:tcPr>
          <w:p w14:paraId="098E61C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tc>
        <w:tc>
          <w:tcPr>
            <w:tcW w:w="3107" w:type="dxa"/>
          </w:tcPr>
          <w:p w14:paraId="4BFBA3E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7F3E463" w14:textId="4ACA3FBA" w:rsidR="00F62F78" w:rsidRPr="00D511FC" w:rsidRDefault="00F62F78" w:rsidP="005C38E7">
            <w:pPr>
              <w:spacing w:after="120"/>
              <w:jc w:val="both"/>
              <w:rPr>
                <w:rFonts w:ascii="Calibri" w:eastAsia="Calibri" w:hAnsi="Calibri" w:cs="Calibri"/>
                <w:sz w:val="24"/>
                <w:szCs w:val="24"/>
              </w:rPr>
            </w:pPr>
          </w:p>
        </w:tc>
        <w:tc>
          <w:tcPr>
            <w:tcW w:w="2505" w:type="dxa"/>
          </w:tcPr>
          <w:p w14:paraId="439DE7C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0CE0D4C" w14:textId="1BD1F0C0" w:rsidTr="00E6407C">
        <w:tc>
          <w:tcPr>
            <w:tcW w:w="7252" w:type="dxa"/>
          </w:tcPr>
          <w:p w14:paraId="4E47BA9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66.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3107" w:type="dxa"/>
          </w:tcPr>
          <w:p w14:paraId="13B43D6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7D5C0BB" w14:textId="0FCBACE3" w:rsidR="00F62F78" w:rsidRPr="00D511FC" w:rsidRDefault="00F62F78" w:rsidP="005C38E7">
            <w:pPr>
              <w:spacing w:after="120"/>
              <w:jc w:val="both"/>
              <w:rPr>
                <w:rFonts w:ascii="Calibri" w:eastAsia="Calibri" w:hAnsi="Calibri" w:cs="Calibri"/>
                <w:sz w:val="24"/>
                <w:szCs w:val="24"/>
              </w:rPr>
            </w:pPr>
          </w:p>
        </w:tc>
        <w:tc>
          <w:tcPr>
            <w:tcW w:w="2505" w:type="dxa"/>
          </w:tcPr>
          <w:p w14:paraId="600DAA5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BFD3DC2" w14:textId="074D05CE" w:rsidTr="00E6407C">
        <w:tc>
          <w:tcPr>
            <w:tcW w:w="7252" w:type="dxa"/>
          </w:tcPr>
          <w:p w14:paraId="6BE0D94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V</w:t>
            </w:r>
          </w:p>
        </w:tc>
        <w:tc>
          <w:tcPr>
            <w:tcW w:w="3107" w:type="dxa"/>
          </w:tcPr>
          <w:p w14:paraId="15216053"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992A715" w14:textId="04A3A5EE" w:rsidR="00F62F78" w:rsidRPr="00D511FC" w:rsidRDefault="00F62F78" w:rsidP="005C38E7">
            <w:pPr>
              <w:spacing w:after="120"/>
              <w:jc w:val="center"/>
              <w:rPr>
                <w:rFonts w:ascii="Calibri" w:eastAsia="Calibri" w:hAnsi="Calibri" w:cs="Calibri"/>
                <w:b/>
                <w:bCs/>
                <w:sz w:val="24"/>
                <w:szCs w:val="24"/>
              </w:rPr>
            </w:pPr>
          </w:p>
        </w:tc>
        <w:tc>
          <w:tcPr>
            <w:tcW w:w="2505" w:type="dxa"/>
          </w:tcPr>
          <w:p w14:paraId="30E471C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3F1E4D8" w14:textId="46ED8CC6" w:rsidTr="00E6407C">
        <w:tc>
          <w:tcPr>
            <w:tcW w:w="7252" w:type="dxa"/>
          </w:tcPr>
          <w:p w14:paraId="2D370CC6"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Equacionamento de Déficit</w:t>
            </w:r>
          </w:p>
        </w:tc>
        <w:tc>
          <w:tcPr>
            <w:tcW w:w="3107" w:type="dxa"/>
          </w:tcPr>
          <w:p w14:paraId="0922ADF3"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54C2BD4" w14:textId="3C7900DB" w:rsidR="00F62F78" w:rsidRPr="00D511FC" w:rsidRDefault="00F62F78" w:rsidP="005C38E7">
            <w:pPr>
              <w:spacing w:after="120"/>
              <w:jc w:val="center"/>
              <w:rPr>
                <w:rFonts w:ascii="Calibri" w:eastAsia="Calibri" w:hAnsi="Calibri" w:cs="Calibri"/>
                <w:b/>
                <w:bCs/>
                <w:sz w:val="24"/>
                <w:szCs w:val="24"/>
              </w:rPr>
            </w:pPr>
          </w:p>
        </w:tc>
        <w:tc>
          <w:tcPr>
            <w:tcW w:w="2505" w:type="dxa"/>
          </w:tcPr>
          <w:p w14:paraId="223E6B9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6AF3712" w14:textId="4FB2234C" w:rsidTr="00E6407C">
        <w:tc>
          <w:tcPr>
            <w:tcW w:w="7252" w:type="dxa"/>
          </w:tcPr>
          <w:p w14:paraId="61E4EEEF"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1F0B7E3F"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6942795" w14:textId="1277F555" w:rsidR="00F62F78" w:rsidRPr="00D511FC" w:rsidRDefault="00F62F78" w:rsidP="005C38E7">
            <w:pPr>
              <w:spacing w:after="120"/>
              <w:jc w:val="center"/>
              <w:rPr>
                <w:rFonts w:ascii="Calibri" w:eastAsia="Calibri" w:hAnsi="Calibri" w:cs="Calibri"/>
                <w:b/>
                <w:bCs/>
                <w:sz w:val="24"/>
                <w:szCs w:val="24"/>
              </w:rPr>
            </w:pPr>
          </w:p>
        </w:tc>
        <w:tc>
          <w:tcPr>
            <w:tcW w:w="2505" w:type="dxa"/>
          </w:tcPr>
          <w:p w14:paraId="0000F13B"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D8661A8" w14:textId="3F331703" w:rsidTr="00E6407C">
        <w:tc>
          <w:tcPr>
            <w:tcW w:w="7252" w:type="dxa"/>
          </w:tcPr>
          <w:p w14:paraId="2AE064C3"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Valor a Equacionar</w:t>
            </w:r>
          </w:p>
        </w:tc>
        <w:tc>
          <w:tcPr>
            <w:tcW w:w="3107" w:type="dxa"/>
          </w:tcPr>
          <w:p w14:paraId="19B4E185"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C13EC5A" w14:textId="16F6EB7D" w:rsidR="00F62F78" w:rsidRPr="00D511FC" w:rsidRDefault="00F62F78" w:rsidP="005C38E7">
            <w:pPr>
              <w:spacing w:after="120"/>
              <w:jc w:val="center"/>
              <w:rPr>
                <w:rFonts w:ascii="Calibri" w:eastAsia="Calibri" w:hAnsi="Calibri" w:cs="Calibri"/>
                <w:b/>
                <w:bCs/>
                <w:sz w:val="24"/>
                <w:szCs w:val="24"/>
              </w:rPr>
            </w:pPr>
          </w:p>
        </w:tc>
        <w:tc>
          <w:tcPr>
            <w:tcW w:w="2505" w:type="dxa"/>
          </w:tcPr>
          <w:p w14:paraId="260698DF"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438DEAE4" w14:textId="66236EE9" w:rsidTr="00E6407C">
        <w:tc>
          <w:tcPr>
            <w:tcW w:w="7252" w:type="dxa"/>
          </w:tcPr>
          <w:p w14:paraId="275D5B8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67.  O valor do déficit a ser equacionado deve ser apurado na avaliação atuarial realizada ao final de cada exercício social.</w:t>
            </w:r>
          </w:p>
        </w:tc>
        <w:tc>
          <w:tcPr>
            <w:tcW w:w="3107" w:type="dxa"/>
          </w:tcPr>
          <w:p w14:paraId="68382A75"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4A3FD6B" w14:textId="4B3C6D41" w:rsidR="00F62F78" w:rsidRPr="00D511FC" w:rsidRDefault="00F62F78" w:rsidP="005C38E7">
            <w:pPr>
              <w:spacing w:after="120"/>
              <w:jc w:val="both"/>
              <w:rPr>
                <w:rFonts w:ascii="Calibri" w:eastAsia="Calibri" w:hAnsi="Calibri" w:cs="Calibri"/>
                <w:sz w:val="24"/>
                <w:szCs w:val="24"/>
              </w:rPr>
            </w:pPr>
          </w:p>
        </w:tc>
        <w:tc>
          <w:tcPr>
            <w:tcW w:w="2505" w:type="dxa"/>
          </w:tcPr>
          <w:p w14:paraId="7862E0E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D4C30EB" w14:textId="045B9661" w:rsidTr="00E6407C">
        <w:tc>
          <w:tcPr>
            <w:tcW w:w="7252" w:type="dxa"/>
          </w:tcPr>
          <w:p w14:paraId="36790F4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O valor do déficit a ser equacionado pode, a critério da EFPC, ser corrigido entre a data de sua apuração e a data de início do plano de equacionamento, desde que considerado, no mínimo, o seu valor </w:t>
            </w:r>
            <w:r w:rsidRPr="00D511FC">
              <w:rPr>
                <w:rFonts w:ascii="Calibri" w:eastAsia="Calibri" w:hAnsi="Calibri" w:cs="Calibri"/>
                <w:sz w:val="24"/>
                <w:szCs w:val="24"/>
              </w:rPr>
              <w:lastRenderedPageBreak/>
              <w:t>nominal, devendo o critério de correção adotado estar consignado em parecer do atuário responsável.</w:t>
            </w:r>
          </w:p>
        </w:tc>
        <w:tc>
          <w:tcPr>
            <w:tcW w:w="3107" w:type="dxa"/>
          </w:tcPr>
          <w:p w14:paraId="0AD171D3" w14:textId="0A59C007" w:rsidR="007B7BCB" w:rsidRDefault="007B7BCB"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IBA:</w:t>
            </w:r>
          </w:p>
          <w:p w14:paraId="1A4324B4" w14:textId="36189A96" w:rsidR="00F62F78" w:rsidRPr="007B7BCB" w:rsidRDefault="007B7BCB" w:rsidP="005C38E7">
            <w:pPr>
              <w:spacing w:after="120"/>
              <w:jc w:val="both"/>
              <w:rPr>
                <w:rFonts w:ascii="Calibri" w:eastAsia="Calibri" w:hAnsi="Calibri" w:cs="Calibri"/>
                <w:color w:val="4472C4" w:themeColor="accent1"/>
                <w:sz w:val="24"/>
                <w:szCs w:val="24"/>
              </w:rPr>
            </w:pPr>
            <w:r w:rsidRPr="00D511FC">
              <w:rPr>
                <w:rFonts w:ascii="Calibri" w:eastAsia="Calibri" w:hAnsi="Calibri" w:cs="Calibri"/>
                <w:sz w:val="24"/>
                <w:szCs w:val="24"/>
              </w:rPr>
              <w:t xml:space="preserve">§ 1º O valor do déficit a ser equacionado pode, a critério da EFPC, ser corrigido entre a </w:t>
            </w:r>
            <w:r w:rsidRPr="00D511FC">
              <w:rPr>
                <w:rFonts w:ascii="Calibri" w:eastAsia="Calibri" w:hAnsi="Calibri" w:cs="Calibri"/>
                <w:sz w:val="24"/>
                <w:szCs w:val="24"/>
              </w:rPr>
              <w:lastRenderedPageBreak/>
              <w:t>data de sua apuração e a data de início do plano de equacionamento, desde que considerado, no mínimo, o seu valor nominal, devendo o critério de correção adotado estar consignado em parecer do atuário responsável</w:t>
            </w:r>
            <w:r>
              <w:rPr>
                <w:rFonts w:ascii="Calibri" w:eastAsia="Calibri" w:hAnsi="Calibri" w:cs="Calibri"/>
                <w:sz w:val="24"/>
                <w:szCs w:val="24"/>
              </w:rPr>
              <w:t xml:space="preserve"> </w:t>
            </w:r>
            <w:r>
              <w:rPr>
                <w:rFonts w:ascii="Calibri" w:eastAsia="Calibri" w:hAnsi="Calibri" w:cs="Calibri"/>
                <w:color w:val="4472C4" w:themeColor="accent1"/>
                <w:sz w:val="24"/>
                <w:szCs w:val="24"/>
              </w:rPr>
              <w:t xml:space="preserve">pelo plano de benefícios. </w:t>
            </w:r>
          </w:p>
        </w:tc>
        <w:tc>
          <w:tcPr>
            <w:tcW w:w="2552" w:type="dxa"/>
          </w:tcPr>
          <w:p w14:paraId="1A12BBE4" w14:textId="1B044A93" w:rsidR="00F62F78" w:rsidRPr="00D511FC" w:rsidRDefault="007B7BCB"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IBA: I</w:t>
            </w:r>
            <w:r w:rsidRPr="005049D1">
              <w:rPr>
                <w:rFonts w:ascii="Calibri" w:eastAsia="Calibri" w:hAnsi="Calibri" w:cs="Calibri"/>
                <w:sz w:val="24"/>
                <w:szCs w:val="24"/>
              </w:rPr>
              <w:t xml:space="preserve">nclusão para que fique claro a que se refere a </w:t>
            </w:r>
            <w:r w:rsidRPr="005049D1">
              <w:rPr>
                <w:rFonts w:ascii="Calibri" w:eastAsia="Calibri" w:hAnsi="Calibri" w:cs="Calibri"/>
                <w:sz w:val="24"/>
                <w:szCs w:val="24"/>
              </w:rPr>
              <w:lastRenderedPageBreak/>
              <w:t>responsabilidade do atuário</w:t>
            </w:r>
            <w:r>
              <w:rPr>
                <w:rFonts w:ascii="Calibri" w:eastAsia="Calibri" w:hAnsi="Calibri" w:cs="Calibri"/>
                <w:sz w:val="24"/>
                <w:szCs w:val="24"/>
              </w:rPr>
              <w:t>.</w:t>
            </w:r>
          </w:p>
        </w:tc>
        <w:tc>
          <w:tcPr>
            <w:tcW w:w="2505" w:type="dxa"/>
          </w:tcPr>
          <w:p w14:paraId="48A4B638" w14:textId="758CCC74" w:rsidR="00F62F78" w:rsidRPr="007B7BCB" w:rsidRDefault="007B7BCB" w:rsidP="005C38E7">
            <w:pPr>
              <w:spacing w:after="120"/>
              <w:jc w:val="both"/>
              <w:rPr>
                <w:rFonts w:ascii="Calibri" w:eastAsia="Calibri" w:hAnsi="Calibri" w:cs="Calibri"/>
                <w:b/>
                <w:bCs/>
                <w:sz w:val="24"/>
                <w:szCs w:val="24"/>
              </w:rPr>
            </w:pPr>
            <w:r w:rsidRPr="007B7BCB">
              <w:rPr>
                <w:rFonts w:ascii="Calibri" w:eastAsia="Calibri" w:hAnsi="Calibri" w:cs="Calibri"/>
                <w:b/>
                <w:bCs/>
                <w:sz w:val="24"/>
                <w:szCs w:val="24"/>
              </w:rPr>
              <w:lastRenderedPageBreak/>
              <w:t xml:space="preserve">ACATAR. </w:t>
            </w:r>
          </w:p>
        </w:tc>
      </w:tr>
      <w:tr w:rsidR="00F62F78" w:rsidRPr="00D511FC" w14:paraId="71F8FC41" w14:textId="71EF57E9" w:rsidTr="00E6407C">
        <w:tc>
          <w:tcPr>
            <w:tcW w:w="7252" w:type="dxa"/>
          </w:tcPr>
          <w:p w14:paraId="4EFD9990"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 2º  Admite-se o reposicionamento do déficit a ser equacionado em momento posterior ao indicado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em caso de realização de avaliação atuarial por fato relevante, conforme dispõem os §§ 1º e 2º do art. 46.</w:t>
            </w:r>
          </w:p>
        </w:tc>
        <w:tc>
          <w:tcPr>
            <w:tcW w:w="3107" w:type="dxa"/>
          </w:tcPr>
          <w:p w14:paraId="67EF3BE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58BA755" w14:textId="1CE3BDA6" w:rsidR="00F62F78" w:rsidRPr="00D511FC" w:rsidRDefault="00F62F78" w:rsidP="005C38E7">
            <w:pPr>
              <w:spacing w:after="120"/>
              <w:jc w:val="both"/>
              <w:rPr>
                <w:rFonts w:ascii="Calibri" w:eastAsia="Calibri" w:hAnsi="Calibri" w:cs="Calibri"/>
                <w:sz w:val="24"/>
                <w:szCs w:val="24"/>
              </w:rPr>
            </w:pPr>
          </w:p>
        </w:tc>
        <w:tc>
          <w:tcPr>
            <w:tcW w:w="2505" w:type="dxa"/>
          </w:tcPr>
          <w:p w14:paraId="060C701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576C3B5" w14:textId="26360D16" w:rsidTr="00E6407C">
        <w:tc>
          <w:tcPr>
            <w:tcW w:w="7252" w:type="dxa"/>
          </w:tcPr>
          <w:p w14:paraId="77F24CB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68.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3107" w:type="dxa"/>
          </w:tcPr>
          <w:p w14:paraId="2675F73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F668D79" w14:textId="5FD917E1" w:rsidR="00F62F78" w:rsidRPr="00D511FC" w:rsidRDefault="00F62F78" w:rsidP="005C38E7">
            <w:pPr>
              <w:spacing w:after="120"/>
              <w:jc w:val="both"/>
              <w:rPr>
                <w:rFonts w:ascii="Calibri" w:eastAsia="Calibri" w:hAnsi="Calibri" w:cs="Calibri"/>
                <w:sz w:val="24"/>
                <w:szCs w:val="24"/>
              </w:rPr>
            </w:pPr>
          </w:p>
        </w:tc>
        <w:tc>
          <w:tcPr>
            <w:tcW w:w="2505" w:type="dxa"/>
          </w:tcPr>
          <w:p w14:paraId="02A0C4D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806E03D" w14:textId="6CABEFED" w:rsidTr="00E6407C">
        <w:tc>
          <w:tcPr>
            <w:tcW w:w="7252" w:type="dxa"/>
          </w:tcPr>
          <w:p w14:paraId="583EB086"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298F4D8E"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B7DD3A0" w14:textId="1699E913" w:rsidR="00F62F78" w:rsidRPr="00D511FC" w:rsidRDefault="00F62F78" w:rsidP="005C38E7">
            <w:pPr>
              <w:spacing w:after="120"/>
              <w:jc w:val="center"/>
              <w:rPr>
                <w:rFonts w:ascii="Calibri" w:eastAsia="Calibri" w:hAnsi="Calibri" w:cs="Calibri"/>
                <w:b/>
                <w:bCs/>
                <w:sz w:val="24"/>
                <w:szCs w:val="24"/>
              </w:rPr>
            </w:pPr>
          </w:p>
        </w:tc>
        <w:tc>
          <w:tcPr>
            <w:tcW w:w="2505" w:type="dxa"/>
          </w:tcPr>
          <w:p w14:paraId="1B203B0F"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C0FF7DD" w14:textId="3E865E7B" w:rsidTr="00E6407C">
        <w:tc>
          <w:tcPr>
            <w:tcW w:w="7252" w:type="dxa"/>
          </w:tcPr>
          <w:p w14:paraId="3AD58304"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Plano de Equacionamento</w:t>
            </w:r>
          </w:p>
        </w:tc>
        <w:tc>
          <w:tcPr>
            <w:tcW w:w="3107" w:type="dxa"/>
          </w:tcPr>
          <w:p w14:paraId="628175EC"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30C4EB8" w14:textId="799EF748" w:rsidR="00F62F78" w:rsidRPr="00D511FC" w:rsidRDefault="00F62F78" w:rsidP="005C38E7">
            <w:pPr>
              <w:spacing w:after="120"/>
              <w:jc w:val="center"/>
              <w:rPr>
                <w:rFonts w:ascii="Calibri" w:eastAsia="Calibri" w:hAnsi="Calibri" w:cs="Calibri"/>
                <w:b/>
                <w:bCs/>
                <w:sz w:val="24"/>
                <w:szCs w:val="24"/>
              </w:rPr>
            </w:pPr>
          </w:p>
        </w:tc>
        <w:tc>
          <w:tcPr>
            <w:tcW w:w="2505" w:type="dxa"/>
          </w:tcPr>
          <w:p w14:paraId="43E358B8"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3513FA8" w14:textId="03CF61FD" w:rsidTr="00E6407C">
        <w:tc>
          <w:tcPr>
            <w:tcW w:w="7252" w:type="dxa"/>
          </w:tcPr>
          <w:p w14:paraId="7BA490B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69.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3107" w:type="dxa"/>
          </w:tcPr>
          <w:p w14:paraId="5BF8D88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3181C86" w14:textId="1B95C6D0" w:rsidR="00F62F78" w:rsidRPr="00D511FC" w:rsidRDefault="00F62F78" w:rsidP="005C38E7">
            <w:pPr>
              <w:spacing w:after="120"/>
              <w:jc w:val="both"/>
              <w:rPr>
                <w:rFonts w:ascii="Calibri" w:eastAsia="Calibri" w:hAnsi="Calibri" w:cs="Calibri"/>
                <w:sz w:val="24"/>
                <w:szCs w:val="24"/>
              </w:rPr>
            </w:pPr>
          </w:p>
        </w:tc>
        <w:tc>
          <w:tcPr>
            <w:tcW w:w="2505" w:type="dxa"/>
          </w:tcPr>
          <w:p w14:paraId="45EEE3E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5E4CE1A" w14:textId="78A9E936" w:rsidTr="00E6407C">
        <w:tc>
          <w:tcPr>
            <w:tcW w:w="7252" w:type="dxa"/>
          </w:tcPr>
          <w:p w14:paraId="0F03F54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Art. 70.  Os planos de equacionamento devem prever amortização que contemple fluxo de contribuições extraordinárias constante ou decrescente, comprovado por meio de demonstração do fluxo projetado no momento da implementação do plano, sendo que os respectivos </w:t>
            </w:r>
            <w:r w:rsidRPr="00D511FC">
              <w:rPr>
                <w:rFonts w:ascii="Calibri" w:eastAsia="Calibri" w:hAnsi="Calibri" w:cs="Calibri"/>
                <w:sz w:val="24"/>
                <w:szCs w:val="24"/>
              </w:rPr>
              <w:lastRenderedPageBreak/>
              <w:t>ativos devem ser compatíveis com as necessidades de liquidez do plano de benefícios.</w:t>
            </w:r>
          </w:p>
        </w:tc>
        <w:tc>
          <w:tcPr>
            <w:tcW w:w="3107" w:type="dxa"/>
          </w:tcPr>
          <w:p w14:paraId="12891E90" w14:textId="212017F8" w:rsidR="00E6407C" w:rsidRDefault="00E6407C"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ANAPAR:</w:t>
            </w:r>
          </w:p>
          <w:p w14:paraId="501934FF" w14:textId="43F11395" w:rsidR="00F62F78" w:rsidRPr="00D511FC" w:rsidRDefault="00E6407C" w:rsidP="005C38E7">
            <w:pPr>
              <w:spacing w:after="120"/>
              <w:jc w:val="both"/>
              <w:rPr>
                <w:rFonts w:ascii="Calibri" w:eastAsia="Calibri" w:hAnsi="Calibri" w:cs="Calibri"/>
                <w:sz w:val="24"/>
                <w:szCs w:val="24"/>
              </w:rPr>
            </w:pPr>
            <w:r w:rsidRPr="00E6407C">
              <w:rPr>
                <w:rFonts w:ascii="Calibri" w:eastAsia="Calibri" w:hAnsi="Calibri" w:cs="Calibri"/>
                <w:sz w:val="24"/>
                <w:szCs w:val="24"/>
              </w:rPr>
              <w:t>Art. 70. Os planos de equacionamento devem prever amo</w:t>
            </w:r>
            <w:r>
              <w:rPr>
                <w:rFonts w:ascii="Calibri" w:eastAsia="Calibri" w:hAnsi="Calibri" w:cs="Calibri"/>
                <w:sz w:val="24"/>
                <w:szCs w:val="24"/>
              </w:rPr>
              <w:t>r</w:t>
            </w:r>
            <w:r w:rsidRPr="00E6407C">
              <w:rPr>
                <w:rFonts w:ascii="Calibri" w:eastAsia="Calibri" w:hAnsi="Calibri" w:cs="Calibri"/>
                <w:sz w:val="24"/>
                <w:szCs w:val="24"/>
              </w:rPr>
              <w:t xml:space="preserve">tização que </w:t>
            </w:r>
            <w:r w:rsidRPr="00E6407C">
              <w:rPr>
                <w:rFonts w:ascii="Calibri" w:eastAsia="Calibri" w:hAnsi="Calibri" w:cs="Calibri"/>
                <w:sz w:val="24"/>
                <w:szCs w:val="24"/>
              </w:rPr>
              <w:lastRenderedPageBreak/>
              <w:t xml:space="preserve">contemple fluxo de contribuições extraordinárias constante ou decrescente, </w:t>
            </w:r>
            <w:r w:rsidRPr="00E6407C">
              <w:rPr>
                <w:rFonts w:ascii="Calibri" w:eastAsia="Calibri" w:hAnsi="Calibri" w:cs="Calibri"/>
                <w:color w:val="FF0000"/>
                <w:sz w:val="24"/>
                <w:szCs w:val="24"/>
              </w:rPr>
              <w:t>em percentuais lineares e não escalonados</w:t>
            </w:r>
            <w:r w:rsidRPr="00E6407C">
              <w:rPr>
                <w:rFonts w:ascii="Calibri" w:eastAsia="Calibri" w:hAnsi="Calibri" w:cs="Calibri"/>
                <w:sz w:val="24"/>
                <w:szCs w:val="24"/>
              </w:rPr>
              <w:t>, comprovado por meio do fluxo projetado no momento da implementação do plano, sendo que os respectivos ativos devem ser compatíveis com as necessidades do plano de benefícios</w:t>
            </w:r>
          </w:p>
        </w:tc>
        <w:tc>
          <w:tcPr>
            <w:tcW w:w="2552" w:type="dxa"/>
          </w:tcPr>
          <w:p w14:paraId="34CFB095" w14:textId="77777777" w:rsidR="00E6407C" w:rsidRPr="00E6407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lastRenderedPageBreak/>
              <w:t xml:space="preserve">ANAPAR: </w:t>
            </w:r>
            <w:r w:rsidRPr="00E6407C">
              <w:rPr>
                <w:rFonts w:ascii="Calibri" w:eastAsia="Calibri" w:hAnsi="Calibri" w:cs="Calibri"/>
                <w:sz w:val="24"/>
                <w:szCs w:val="24"/>
              </w:rPr>
              <w:t xml:space="preserve">Para evitar os efeitos de grande parte dos planos de equacionamento em vigor, que penaliza </w:t>
            </w:r>
            <w:r w:rsidRPr="00E6407C">
              <w:rPr>
                <w:rFonts w:ascii="Calibri" w:eastAsia="Calibri" w:hAnsi="Calibri" w:cs="Calibri"/>
                <w:sz w:val="24"/>
                <w:szCs w:val="24"/>
              </w:rPr>
              <w:lastRenderedPageBreak/>
              <w:t>indevidamente e com maior ênfase, parte dos participantes e assistidos, exatamente por não respeitar o princípio da equidade.</w:t>
            </w:r>
          </w:p>
          <w:p w14:paraId="59E25C85" w14:textId="2557538F" w:rsidR="00F62F78" w:rsidRPr="00D511FC" w:rsidRDefault="00E6407C" w:rsidP="00E6407C">
            <w:pPr>
              <w:spacing w:after="120"/>
              <w:jc w:val="both"/>
              <w:rPr>
                <w:rFonts w:ascii="Calibri" w:eastAsia="Calibri" w:hAnsi="Calibri" w:cs="Calibri"/>
                <w:sz w:val="24"/>
                <w:szCs w:val="24"/>
              </w:rPr>
            </w:pPr>
            <w:r w:rsidRPr="00E6407C">
              <w:rPr>
                <w:rFonts w:ascii="Calibri" w:eastAsia="Calibri" w:hAnsi="Calibri" w:cs="Calibri"/>
                <w:sz w:val="24"/>
                <w:szCs w:val="24"/>
              </w:rPr>
              <w:t>As contribuições escalonadas (alíquotas progressivas) aplicadas em Planos de Equacionamento apresentaram efeitos muito perversos aos participantes. Esse é o caso, por exemplo, dos Planos de Equacionamento sucessivos do Plano Petros Ultrafértil, onde atualmente uma quantidade significativa de assistidos estão com seus benefícios zerados em razão dessas alíquotas. Os casos práticos já ocorridos demonstraram a necessidade de se normatizar a obrigatoriedade da aplicação</w:t>
            </w:r>
            <w:r>
              <w:rPr>
                <w:rFonts w:ascii="Calibri" w:eastAsia="Calibri" w:hAnsi="Calibri" w:cs="Calibri"/>
                <w:sz w:val="24"/>
                <w:szCs w:val="24"/>
              </w:rPr>
              <w:t xml:space="preserve"> </w:t>
            </w:r>
            <w:r w:rsidRPr="00E6407C">
              <w:rPr>
                <w:rFonts w:ascii="Calibri" w:eastAsia="Calibri" w:hAnsi="Calibri" w:cs="Calibri"/>
                <w:sz w:val="24"/>
                <w:szCs w:val="24"/>
              </w:rPr>
              <w:t>de alíquotas lineares.</w:t>
            </w:r>
          </w:p>
        </w:tc>
        <w:tc>
          <w:tcPr>
            <w:tcW w:w="2505" w:type="dxa"/>
          </w:tcPr>
          <w:p w14:paraId="2964A3B8" w14:textId="44BA70C6" w:rsidR="00F62F78" w:rsidRPr="00E6407C" w:rsidRDefault="00E6407C" w:rsidP="005C38E7">
            <w:pPr>
              <w:spacing w:after="120"/>
              <w:jc w:val="both"/>
              <w:rPr>
                <w:rFonts w:ascii="Calibri" w:eastAsia="Calibri" w:hAnsi="Calibri" w:cs="Calibri"/>
                <w:sz w:val="24"/>
                <w:szCs w:val="24"/>
              </w:rPr>
            </w:pPr>
            <w:r>
              <w:rPr>
                <w:rFonts w:ascii="Calibri" w:eastAsia="Calibri" w:hAnsi="Calibri" w:cs="Calibri"/>
                <w:b/>
                <w:bCs/>
                <w:sz w:val="24"/>
                <w:szCs w:val="24"/>
              </w:rPr>
              <w:lastRenderedPageBreak/>
              <w:t xml:space="preserve">NÃO ACATAR. </w:t>
            </w:r>
            <w:r w:rsidRPr="00E6407C">
              <w:rPr>
                <w:rFonts w:ascii="Calibri" w:eastAsia="Calibri" w:hAnsi="Calibri" w:cs="Calibri"/>
                <w:sz w:val="24"/>
                <w:szCs w:val="24"/>
              </w:rPr>
              <w:t xml:space="preserve">Cabe à EFPC estipular a forma de equacionar os déficits, podendo as contribuições </w:t>
            </w:r>
            <w:r w:rsidRPr="00E6407C">
              <w:rPr>
                <w:rFonts w:ascii="Calibri" w:eastAsia="Calibri" w:hAnsi="Calibri" w:cs="Calibri"/>
                <w:sz w:val="24"/>
                <w:szCs w:val="24"/>
              </w:rPr>
              <w:lastRenderedPageBreak/>
              <w:t xml:space="preserve">extraordinárias serem escalonadas de forma progressiva (como muitas vezes ocorre também na cobrança das contribuições normais), de maneira a onerar menos os participantes/assistidos que tenham remuneração </w:t>
            </w:r>
            <w:r>
              <w:rPr>
                <w:rFonts w:ascii="Calibri" w:eastAsia="Calibri" w:hAnsi="Calibri" w:cs="Calibri"/>
                <w:sz w:val="24"/>
                <w:szCs w:val="24"/>
              </w:rPr>
              <w:t xml:space="preserve">ou benefício </w:t>
            </w:r>
            <w:r w:rsidRPr="00E6407C">
              <w:rPr>
                <w:rFonts w:ascii="Calibri" w:eastAsia="Calibri" w:hAnsi="Calibri" w:cs="Calibri"/>
                <w:sz w:val="24"/>
                <w:szCs w:val="24"/>
              </w:rPr>
              <w:t>menor.</w:t>
            </w:r>
          </w:p>
        </w:tc>
      </w:tr>
      <w:tr w:rsidR="00F62F78" w:rsidRPr="00D511FC" w14:paraId="4A5A0DAB" w14:textId="14E9A14A" w:rsidTr="00E6407C">
        <w:tc>
          <w:tcPr>
            <w:tcW w:w="7252" w:type="dxa"/>
          </w:tcPr>
          <w:p w14:paraId="55C38F3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 xml:space="preserve">Parágrafo único.  Caso o plano de equacionamento estabeleça contribuições extraordinárias em termos de percentual aplicável sobre salários ou benefícios, a comprovação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será pelo percentual de contribuição, constante ou decrescente.</w:t>
            </w:r>
          </w:p>
        </w:tc>
        <w:tc>
          <w:tcPr>
            <w:tcW w:w="3107" w:type="dxa"/>
          </w:tcPr>
          <w:p w14:paraId="5D59310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937A9DC" w14:textId="7212FBF7" w:rsidR="00F62F78" w:rsidRPr="00D511FC" w:rsidRDefault="00F62F78" w:rsidP="005C38E7">
            <w:pPr>
              <w:spacing w:after="120"/>
              <w:jc w:val="both"/>
              <w:rPr>
                <w:rFonts w:ascii="Calibri" w:eastAsia="Calibri" w:hAnsi="Calibri" w:cs="Calibri"/>
                <w:sz w:val="24"/>
                <w:szCs w:val="24"/>
              </w:rPr>
            </w:pPr>
          </w:p>
        </w:tc>
        <w:tc>
          <w:tcPr>
            <w:tcW w:w="2505" w:type="dxa"/>
          </w:tcPr>
          <w:p w14:paraId="61DD466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BA5CD9A" w14:textId="00E207C7" w:rsidTr="00E6407C">
        <w:tc>
          <w:tcPr>
            <w:tcW w:w="7252" w:type="dxa"/>
          </w:tcPr>
          <w:p w14:paraId="7BCB270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71.  A EFPC deve comprovar, anualmente, se o plano de equacionamento de déficit apresenta resultados efetivos, cabendo, em caso contrário, a adequação do plano, respeitando todas as condições regulatórias.</w:t>
            </w:r>
          </w:p>
        </w:tc>
        <w:tc>
          <w:tcPr>
            <w:tcW w:w="3107" w:type="dxa"/>
          </w:tcPr>
          <w:p w14:paraId="61EE660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FD2909A" w14:textId="41BBEFE1" w:rsidR="00F62F78" w:rsidRPr="00D511FC" w:rsidRDefault="00F62F78" w:rsidP="005C38E7">
            <w:pPr>
              <w:spacing w:after="120"/>
              <w:jc w:val="both"/>
              <w:rPr>
                <w:rFonts w:ascii="Calibri" w:eastAsia="Calibri" w:hAnsi="Calibri" w:cs="Calibri"/>
                <w:sz w:val="24"/>
                <w:szCs w:val="24"/>
              </w:rPr>
            </w:pPr>
          </w:p>
        </w:tc>
        <w:tc>
          <w:tcPr>
            <w:tcW w:w="2505" w:type="dxa"/>
          </w:tcPr>
          <w:p w14:paraId="7A511F8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D547A08" w14:textId="15336DC4" w:rsidTr="00E6407C">
        <w:tc>
          <w:tcPr>
            <w:tcW w:w="7252" w:type="dxa"/>
          </w:tcPr>
          <w:p w14:paraId="62CD697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III</w:t>
            </w:r>
          </w:p>
        </w:tc>
        <w:tc>
          <w:tcPr>
            <w:tcW w:w="3107" w:type="dxa"/>
          </w:tcPr>
          <w:p w14:paraId="57E8A500"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EB2868D" w14:textId="11CBF0FC" w:rsidR="00F62F78" w:rsidRPr="00D511FC" w:rsidRDefault="00F62F78" w:rsidP="005C38E7">
            <w:pPr>
              <w:spacing w:after="120"/>
              <w:jc w:val="center"/>
              <w:rPr>
                <w:rFonts w:ascii="Calibri" w:eastAsia="Calibri" w:hAnsi="Calibri" w:cs="Calibri"/>
                <w:b/>
                <w:bCs/>
                <w:sz w:val="24"/>
                <w:szCs w:val="24"/>
              </w:rPr>
            </w:pPr>
          </w:p>
        </w:tc>
        <w:tc>
          <w:tcPr>
            <w:tcW w:w="2505" w:type="dxa"/>
          </w:tcPr>
          <w:p w14:paraId="7106B09F"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56E38CE6" w14:textId="28B2BB59" w:rsidTr="00E6407C">
        <w:tc>
          <w:tcPr>
            <w:tcW w:w="7252" w:type="dxa"/>
          </w:tcPr>
          <w:p w14:paraId="2CDA89C1"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Prazo de Amortização</w:t>
            </w:r>
          </w:p>
        </w:tc>
        <w:tc>
          <w:tcPr>
            <w:tcW w:w="3107" w:type="dxa"/>
          </w:tcPr>
          <w:p w14:paraId="38DBF38A"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346D68A" w14:textId="130EC659" w:rsidR="00F62F78" w:rsidRPr="00D511FC" w:rsidRDefault="00F62F78" w:rsidP="005C38E7">
            <w:pPr>
              <w:spacing w:after="120"/>
              <w:jc w:val="center"/>
              <w:rPr>
                <w:rFonts w:ascii="Calibri" w:eastAsia="Calibri" w:hAnsi="Calibri" w:cs="Calibri"/>
                <w:b/>
                <w:bCs/>
                <w:sz w:val="24"/>
                <w:szCs w:val="24"/>
              </w:rPr>
            </w:pPr>
          </w:p>
        </w:tc>
        <w:tc>
          <w:tcPr>
            <w:tcW w:w="2505" w:type="dxa"/>
          </w:tcPr>
          <w:p w14:paraId="6BCA1B4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F458B9C" w14:textId="43853362" w:rsidTr="00E6407C">
        <w:tc>
          <w:tcPr>
            <w:tcW w:w="7252" w:type="dxa"/>
          </w:tcPr>
          <w:p w14:paraId="72A140F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72.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3107" w:type="dxa"/>
          </w:tcPr>
          <w:p w14:paraId="41415DA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38B893F" w14:textId="691AB93E" w:rsidR="00F62F78" w:rsidRPr="00D511FC" w:rsidRDefault="00F62F78" w:rsidP="005C38E7">
            <w:pPr>
              <w:spacing w:after="120"/>
              <w:jc w:val="both"/>
              <w:rPr>
                <w:rFonts w:ascii="Calibri" w:eastAsia="Calibri" w:hAnsi="Calibri" w:cs="Calibri"/>
                <w:sz w:val="24"/>
                <w:szCs w:val="24"/>
              </w:rPr>
            </w:pPr>
          </w:p>
        </w:tc>
        <w:tc>
          <w:tcPr>
            <w:tcW w:w="2505" w:type="dxa"/>
          </w:tcPr>
          <w:p w14:paraId="6811004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1D9AB5F" w14:textId="6F43ACA8" w:rsidTr="00E6407C">
        <w:tc>
          <w:tcPr>
            <w:tcW w:w="7252" w:type="dxa"/>
          </w:tcPr>
          <w:p w14:paraId="1A09B7B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deve ser realizada nova operação de equacionamento.</w:t>
            </w:r>
          </w:p>
        </w:tc>
        <w:tc>
          <w:tcPr>
            <w:tcW w:w="3107" w:type="dxa"/>
          </w:tcPr>
          <w:p w14:paraId="5C2DF3A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0341AD1" w14:textId="03B1EF17" w:rsidR="00F62F78" w:rsidRPr="00D511FC" w:rsidRDefault="00F62F78" w:rsidP="005C38E7">
            <w:pPr>
              <w:spacing w:after="120"/>
              <w:jc w:val="both"/>
              <w:rPr>
                <w:rFonts w:ascii="Calibri" w:eastAsia="Calibri" w:hAnsi="Calibri" w:cs="Calibri"/>
                <w:sz w:val="24"/>
                <w:szCs w:val="24"/>
              </w:rPr>
            </w:pPr>
          </w:p>
        </w:tc>
        <w:tc>
          <w:tcPr>
            <w:tcW w:w="2505" w:type="dxa"/>
          </w:tcPr>
          <w:p w14:paraId="12438A3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D1DAE4C" w14:textId="441A2A16" w:rsidTr="00E6407C">
        <w:tc>
          <w:tcPr>
            <w:tcW w:w="7252" w:type="dxa"/>
          </w:tcPr>
          <w:p w14:paraId="168FFE5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IV</w:t>
            </w:r>
          </w:p>
        </w:tc>
        <w:tc>
          <w:tcPr>
            <w:tcW w:w="3107" w:type="dxa"/>
          </w:tcPr>
          <w:p w14:paraId="3D92A2A8"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089A4AA" w14:textId="69E97DF9" w:rsidR="00F62F78" w:rsidRPr="00D511FC" w:rsidRDefault="00F62F78" w:rsidP="005C38E7">
            <w:pPr>
              <w:spacing w:after="120"/>
              <w:jc w:val="center"/>
              <w:rPr>
                <w:rFonts w:ascii="Calibri" w:eastAsia="Calibri" w:hAnsi="Calibri" w:cs="Calibri"/>
                <w:b/>
                <w:bCs/>
                <w:sz w:val="24"/>
                <w:szCs w:val="24"/>
              </w:rPr>
            </w:pPr>
          </w:p>
        </w:tc>
        <w:tc>
          <w:tcPr>
            <w:tcW w:w="2505" w:type="dxa"/>
          </w:tcPr>
          <w:p w14:paraId="3ACD5A1F"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07F19D3" w14:textId="73071FB7" w:rsidTr="00E6407C">
        <w:tc>
          <w:tcPr>
            <w:tcW w:w="7252" w:type="dxa"/>
          </w:tcPr>
          <w:p w14:paraId="66B45DC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Instrumentos Contratuais</w:t>
            </w:r>
          </w:p>
        </w:tc>
        <w:tc>
          <w:tcPr>
            <w:tcW w:w="3107" w:type="dxa"/>
          </w:tcPr>
          <w:p w14:paraId="14C01B22"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0AF916C" w14:textId="3D76E1C5" w:rsidR="00F62F78" w:rsidRPr="00D511FC" w:rsidRDefault="00F62F78" w:rsidP="005C38E7">
            <w:pPr>
              <w:spacing w:after="120"/>
              <w:jc w:val="center"/>
              <w:rPr>
                <w:rFonts w:ascii="Calibri" w:eastAsia="Calibri" w:hAnsi="Calibri" w:cs="Calibri"/>
                <w:b/>
                <w:bCs/>
                <w:sz w:val="24"/>
                <w:szCs w:val="24"/>
              </w:rPr>
            </w:pPr>
          </w:p>
        </w:tc>
        <w:tc>
          <w:tcPr>
            <w:tcW w:w="2505" w:type="dxa"/>
          </w:tcPr>
          <w:p w14:paraId="7358A21E"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487CA40" w14:textId="2A5055CE" w:rsidTr="00E6407C">
        <w:tc>
          <w:tcPr>
            <w:tcW w:w="7252" w:type="dxa"/>
          </w:tcPr>
          <w:p w14:paraId="170E8EC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73.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3107" w:type="dxa"/>
          </w:tcPr>
          <w:p w14:paraId="5C8E9A6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CEE7099" w14:textId="28DDB5A7" w:rsidR="00F62F78" w:rsidRPr="00D511FC" w:rsidRDefault="00F62F78" w:rsidP="005C38E7">
            <w:pPr>
              <w:spacing w:after="120"/>
              <w:jc w:val="both"/>
              <w:rPr>
                <w:rFonts w:ascii="Calibri" w:eastAsia="Calibri" w:hAnsi="Calibri" w:cs="Calibri"/>
                <w:sz w:val="24"/>
                <w:szCs w:val="24"/>
              </w:rPr>
            </w:pPr>
          </w:p>
        </w:tc>
        <w:tc>
          <w:tcPr>
            <w:tcW w:w="2505" w:type="dxa"/>
          </w:tcPr>
          <w:p w14:paraId="66F891E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6EBC282" w14:textId="690160F8" w:rsidTr="00E6407C">
        <w:tc>
          <w:tcPr>
            <w:tcW w:w="7252" w:type="dxa"/>
          </w:tcPr>
          <w:p w14:paraId="0866B2F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 1º  O valor do equilíbrio técnico ajustado negativo somente pode ser incorporado ao saldo devedor dos instrumentos contratuais de dívida dos patrocinadores quando o prazo remanescente da dívida for igual ou inferior ao prazo máximo de equacionamento.</w:t>
            </w:r>
          </w:p>
        </w:tc>
        <w:tc>
          <w:tcPr>
            <w:tcW w:w="3107" w:type="dxa"/>
          </w:tcPr>
          <w:p w14:paraId="6CEB0A5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1E35195" w14:textId="65C5B62F" w:rsidR="00F62F78" w:rsidRPr="00D511FC" w:rsidRDefault="00F62F78" w:rsidP="005C38E7">
            <w:pPr>
              <w:spacing w:after="120"/>
              <w:jc w:val="both"/>
              <w:rPr>
                <w:rFonts w:ascii="Calibri" w:eastAsia="Calibri" w:hAnsi="Calibri" w:cs="Calibri"/>
                <w:sz w:val="24"/>
                <w:szCs w:val="24"/>
              </w:rPr>
            </w:pPr>
          </w:p>
        </w:tc>
        <w:tc>
          <w:tcPr>
            <w:tcW w:w="2505" w:type="dxa"/>
          </w:tcPr>
          <w:p w14:paraId="74F1EA13"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E2BEC10" w14:textId="7FADCEE3" w:rsidTr="00E6407C">
        <w:tc>
          <w:tcPr>
            <w:tcW w:w="7252" w:type="dxa"/>
          </w:tcPr>
          <w:p w14:paraId="7D91D1D6"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O valor do equilíbrio técnico ajustado positivo ou negativo utilizado para revisão anual do saldo devedor da dívida do patrocinador, na forma do </w:t>
            </w:r>
            <w:r w:rsidRPr="00D511FC">
              <w:rPr>
                <w:rFonts w:ascii="Calibri" w:eastAsia="Calibri" w:hAnsi="Calibri" w:cs="Calibri"/>
                <w:b/>
                <w:bCs/>
                <w:sz w:val="24"/>
                <w:szCs w:val="24"/>
              </w:rPr>
              <w:t>caput</w:t>
            </w:r>
            <w:r w:rsidRPr="00D511FC">
              <w:rPr>
                <w:rFonts w:ascii="Calibri" w:eastAsia="Calibri" w:hAnsi="Calibri" w:cs="Calibri"/>
                <w:sz w:val="24"/>
                <w:szCs w:val="24"/>
              </w:rPr>
              <w:t>, deve observar as proporções contributivas definidas para o rateio da insuficiência entre participantes, assistidos e patrocinadores.</w:t>
            </w:r>
          </w:p>
        </w:tc>
        <w:tc>
          <w:tcPr>
            <w:tcW w:w="3107" w:type="dxa"/>
          </w:tcPr>
          <w:p w14:paraId="3F518BD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4B3EC90" w14:textId="0FF82FE1" w:rsidR="00F62F78" w:rsidRPr="00D511FC" w:rsidRDefault="00F62F78" w:rsidP="005C38E7">
            <w:pPr>
              <w:spacing w:after="120"/>
              <w:jc w:val="both"/>
              <w:rPr>
                <w:rFonts w:ascii="Calibri" w:eastAsia="Calibri" w:hAnsi="Calibri" w:cs="Calibri"/>
                <w:sz w:val="24"/>
                <w:szCs w:val="24"/>
              </w:rPr>
            </w:pPr>
          </w:p>
        </w:tc>
        <w:tc>
          <w:tcPr>
            <w:tcW w:w="2505" w:type="dxa"/>
          </w:tcPr>
          <w:p w14:paraId="49E6E18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4D9064F" w14:textId="396817F8" w:rsidTr="00E6407C">
        <w:tc>
          <w:tcPr>
            <w:tcW w:w="7252" w:type="dxa"/>
          </w:tcPr>
          <w:p w14:paraId="560BFC4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3107" w:type="dxa"/>
          </w:tcPr>
          <w:p w14:paraId="5B17892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F4B7A1B" w14:textId="366EFE1E" w:rsidR="00F62F78" w:rsidRPr="00D511FC" w:rsidRDefault="00F62F78" w:rsidP="005C38E7">
            <w:pPr>
              <w:spacing w:after="120"/>
              <w:jc w:val="both"/>
              <w:rPr>
                <w:rFonts w:ascii="Calibri" w:eastAsia="Calibri" w:hAnsi="Calibri" w:cs="Calibri"/>
                <w:sz w:val="24"/>
                <w:szCs w:val="24"/>
              </w:rPr>
            </w:pPr>
          </w:p>
        </w:tc>
        <w:tc>
          <w:tcPr>
            <w:tcW w:w="2505" w:type="dxa"/>
          </w:tcPr>
          <w:p w14:paraId="696C69F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A0B1F7C" w14:textId="7F29557B" w:rsidTr="00E6407C">
        <w:tc>
          <w:tcPr>
            <w:tcW w:w="7252" w:type="dxa"/>
          </w:tcPr>
          <w:p w14:paraId="34D3BD1F"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VI</w:t>
            </w:r>
          </w:p>
        </w:tc>
        <w:tc>
          <w:tcPr>
            <w:tcW w:w="3107" w:type="dxa"/>
          </w:tcPr>
          <w:p w14:paraId="5C5D97C2"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2D3536B2" w14:textId="30F5AF94" w:rsidR="00F62F78" w:rsidRPr="00D511FC" w:rsidRDefault="00F62F78" w:rsidP="005C38E7">
            <w:pPr>
              <w:spacing w:after="120"/>
              <w:jc w:val="center"/>
              <w:rPr>
                <w:rFonts w:ascii="Calibri" w:eastAsia="Calibri" w:hAnsi="Calibri" w:cs="Calibri"/>
                <w:b/>
                <w:bCs/>
                <w:sz w:val="24"/>
                <w:szCs w:val="24"/>
              </w:rPr>
            </w:pPr>
          </w:p>
        </w:tc>
        <w:tc>
          <w:tcPr>
            <w:tcW w:w="2505" w:type="dxa"/>
          </w:tcPr>
          <w:p w14:paraId="6FC15773"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08F6A9DE" w14:textId="6744DC13" w:rsidTr="00E6407C">
        <w:tc>
          <w:tcPr>
            <w:tcW w:w="7252" w:type="dxa"/>
          </w:tcPr>
          <w:p w14:paraId="57C3ADFD"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Estudo Técnico de Adequação das Hipóteses Atuariais</w:t>
            </w:r>
          </w:p>
        </w:tc>
        <w:tc>
          <w:tcPr>
            <w:tcW w:w="3107" w:type="dxa"/>
          </w:tcPr>
          <w:p w14:paraId="78A8A7BA"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3876E43" w14:textId="0D93C2E6" w:rsidR="00F62F78" w:rsidRPr="00D511FC" w:rsidRDefault="00F62F78" w:rsidP="005C38E7">
            <w:pPr>
              <w:spacing w:after="120"/>
              <w:jc w:val="center"/>
              <w:rPr>
                <w:rFonts w:ascii="Calibri" w:eastAsia="Calibri" w:hAnsi="Calibri" w:cs="Calibri"/>
                <w:b/>
                <w:bCs/>
                <w:sz w:val="24"/>
                <w:szCs w:val="24"/>
              </w:rPr>
            </w:pPr>
          </w:p>
        </w:tc>
        <w:tc>
          <w:tcPr>
            <w:tcW w:w="2505" w:type="dxa"/>
          </w:tcPr>
          <w:p w14:paraId="57BBA423"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0691C27E" w14:textId="5494A762" w:rsidTr="00E6407C">
        <w:tc>
          <w:tcPr>
            <w:tcW w:w="7252" w:type="dxa"/>
          </w:tcPr>
          <w:p w14:paraId="79DF4CC9"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5EF3EC5E"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114E28C2" w14:textId="793770EB" w:rsidR="00F62F78" w:rsidRPr="00D511FC" w:rsidRDefault="00F62F78" w:rsidP="005C38E7">
            <w:pPr>
              <w:spacing w:after="120"/>
              <w:jc w:val="center"/>
              <w:rPr>
                <w:rFonts w:ascii="Calibri" w:eastAsia="Calibri" w:hAnsi="Calibri" w:cs="Calibri"/>
                <w:b/>
                <w:bCs/>
                <w:sz w:val="24"/>
                <w:szCs w:val="24"/>
              </w:rPr>
            </w:pPr>
          </w:p>
        </w:tc>
        <w:tc>
          <w:tcPr>
            <w:tcW w:w="2505" w:type="dxa"/>
          </w:tcPr>
          <w:p w14:paraId="65E63E2E"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2AAEC106" w14:textId="4CEC53E9" w:rsidTr="00E6407C">
        <w:tc>
          <w:tcPr>
            <w:tcW w:w="7252" w:type="dxa"/>
          </w:tcPr>
          <w:p w14:paraId="20DF1ED6"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Requisitos Gerais</w:t>
            </w:r>
          </w:p>
        </w:tc>
        <w:tc>
          <w:tcPr>
            <w:tcW w:w="3107" w:type="dxa"/>
          </w:tcPr>
          <w:p w14:paraId="2C973F2B"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4F4A9242" w14:textId="4EBFBBDF" w:rsidR="00F62F78" w:rsidRPr="00D511FC" w:rsidRDefault="00F62F78" w:rsidP="005C38E7">
            <w:pPr>
              <w:spacing w:after="120"/>
              <w:jc w:val="center"/>
              <w:rPr>
                <w:rFonts w:ascii="Calibri" w:eastAsia="Calibri" w:hAnsi="Calibri" w:cs="Calibri"/>
                <w:b/>
                <w:bCs/>
                <w:sz w:val="24"/>
                <w:szCs w:val="24"/>
              </w:rPr>
            </w:pPr>
          </w:p>
        </w:tc>
        <w:tc>
          <w:tcPr>
            <w:tcW w:w="2505" w:type="dxa"/>
          </w:tcPr>
          <w:p w14:paraId="215BEC63"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E33B206" w14:textId="5E88442A" w:rsidTr="00E6407C">
        <w:tc>
          <w:tcPr>
            <w:tcW w:w="7252" w:type="dxa"/>
          </w:tcPr>
          <w:p w14:paraId="0D2FCF6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74.  Toda a hipótese atuarial adotada para avaliação atuarial de plano de benefícios deve estar embasada em estudo técnico de adequação.</w:t>
            </w:r>
          </w:p>
        </w:tc>
        <w:tc>
          <w:tcPr>
            <w:tcW w:w="3107" w:type="dxa"/>
          </w:tcPr>
          <w:p w14:paraId="7702AA8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2854F90" w14:textId="415F1057" w:rsidR="00F62F78" w:rsidRPr="00D511FC" w:rsidRDefault="00F62F78" w:rsidP="005C38E7">
            <w:pPr>
              <w:spacing w:after="120"/>
              <w:jc w:val="both"/>
              <w:rPr>
                <w:rFonts w:ascii="Calibri" w:eastAsia="Calibri" w:hAnsi="Calibri" w:cs="Calibri"/>
                <w:sz w:val="24"/>
                <w:szCs w:val="24"/>
              </w:rPr>
            </w:pPr>
          </w:p>
        </w:tc>
        <w:tc>
          <w:tcPr>
            <w:tcW w:w="2505" w:type="dxa"/>
          </w:tcPr>
          <w:p w14:paraId="2CABF3E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BA66FDF" w14:textId="5BB97774" w:rsidTr="00E6407C">
        <w:tc>
          <w:tcPr>
            <w:tcW w:w="7252" w:type="dxa"/>
          </w:tcPr>
          <w:p w14:paraId="20417EB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75.  O estudo técnico de adequação é o instrumento técnico de responsabilidade da EFPC, no qual devem ser demonstradas para cada plano de benefícios:</w:t>
            </w:r>
          </w:p>
        </w:tc>
        <w:tc>
          <w:tcPr>
            <w:tcW w:w="3107" w:type="dxa"/>
          </w:tcPr>
          <w:p w14:paraId="1EC1627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55D5B16" w14:textId="3C54DD7A" w:rsidR="00F62F78" w:rsidRPr="00D511FC" w:rsidRDefault="00F62F78" w:rsidP="005C38E7">
            <w:pPr>
              <w:spacing w:after="120"/>
              <w:jc w:val="both"/>
              <w:rPr>
                <w:rFonts w:ascii="Calibri" w:eastAsia="Calibri" w:hAnsi="Calibri" w:cs="Calibri"/>
                <w:sz w:val="24"/>
                <w:szCs w:val="24"/>
              </w:rPr>
            </w:pPr>
          </w:p>
        </w:tc>
        <w:tc>
          <w:tcPr>
            <w:tcW w:w="2505" w:type="dxa"/>
          </w:tcPr>
          <w:p w14:paraId="75288B5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CF4178E" w14:textId="2F7729AE" w:rsidTr="00E6407C">
        <w:tc>
          <w:tcPr>
            <w:tcW w:w="7252" w:type="dxa"/>
          </w:tcPr>
          <w:p w14:paraId="0B1E857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tc>
        <w:tc>
          <w:tcPr>
            <w:tcW w:w="3107" w:type="dxa"/>
          </w:tcPr>
          <w:p w14:paraId="107DF9C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F3CC785" w14:textId="7BEB6491" w:rsidR="00F62F78" w:rsidRPr="00D511FC" w:rsidRDefault="00F62F78" w:rsidP="005C38E7">
            <w:pPr>
              <w:spacing w:after="120"/>
              <w:jc w:val="both"/>
              <w:rPr>
                <w:rFonts w:ascii="Calibri" w:eastAsia="Calibri" w:hAnsi="Calibri" w:cs="Calibri"/>
                <w:sz w:val="24"/>
                <w:szCs w:val="24"/>
              </w:rPr>
            </w:pPr>
          </w:p>
        </w:tc>
        <w:tc>
          <w:tcPr>
            <w:tcW w:w="2505" w:type="dxa"/>
          </w:tcPr>
          <w:p w14:paraId="0986C95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D0DC12F" w14:textId="12E79D66" w:rsidTr="00E6407C">
        <w:tc>
          <w:tcPr>
            <w:tcW w:w="7252" w:type="dxa"/>
          </w:tcPr>
          <w:p w14:paraId="2B3861D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II - a aderência das demais hipóteses biométricas, demográficas, econômicas e financeiras às características da massa de participantes e assistidos e do plano de benefícios.</w:t>
            </w:r>
          </w:p>
        </w:tc>
        <w:tc>
          <w:tcPr>
            <w:tcW w:w="3107" w:type="dxa"/>
          </w:tcPr>
          <w:p w14:paraId="5F1B933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1BC1DCC" w14:textId="4BE303F4" w:rsidR="00F62F78" w:rsidRPr="00D511FC" w:rsidRDefault="00F62F78" w:rsidP="005C38E7">
            <w:pPr>
              <w:spacing w:after="120"/>
              <w:jc w:val="both"/>
              <w:rPr>
                <w:rFonts w:ascii="Calibri" w:eastAsia="Calibri" w:hAnsi="Calibri" w:cs="Calibri"/>
                <w:sz w:val="24"/>
                <w:szCs w:val="24"/>
              </w:rPr>
            </w:pPr>
          </w:p>
        </w:tc>
        <w:tc>
          <w:tcPr>
            <w:tcW w:w="2505" w:type="dxa"/>
          </w:tcPr>
          <w:p w14:paraId="5A8E16C3"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68099BF" w14:textId="180C2656" w:rsidTr="00E6407C">
        <w:tc>
          <w:tcPr>
            <w:tcW w:w="7252" w:type="dxa"/>
          </w:tcPr>
          <w:p w14:paraId="03B8E046"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76.  O estudo técnico de adequação deve:</w:t>
            </w:r>
          </w:p>
        </w:tc>
        <w:tc>
          <w:tcPr>
            <w:tcW w:w="3107" w:type="dxa"/>
          </w:tcPr>
          <w:p w14:paraId="69FA0D8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FA3E10B" w14:textId="3FEC5EB5" w:rsidR="00F62F78" w:rsidRPr="00D511FC" w:rsidRDefault="00F62F78" w:rsidP="005C38E7">
            <w:pPr>
              <w:spacing w:after="120"/>
              <w:jc w:val="both"/>
              <w:rPr>
                <w:rFonts w:ascii="Calibri" w:eastAsia="Calibri" w:hAnsi="Calibri" w:cs="Calibri"/>
                <w:sz w:val="24"/>
                <w:szCs w:val="24"/>
              </w:rPr>
            </w:pPr>
          </w:p>
        </w:tc>
        <w:tc>
          <w:tcPr>
            <w:tcW w:w="2505" w:type="dxa"/>
          </w:tcPr>
          <w:p w14:paraId="25276F8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54E6A21" w14:textId="74EDA5E4" w:rsidTr="00E6407C">
        <w:tc>
          <w:tcPr>
            <w:tcW w:w="7252" w:type="dxa"/>
          </w:tcPr>
          <w:p w14:paraId="6E9716B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tc>
        <w:tc>
          <w:tcPr>
            <w:tcW w:w="3107" w:type="dxa"/>
          </w:tcPr>
          <w:p w14:paraId="6EA8E39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622BCCE" w14:textId="38E61B0F" w:rsidR="00F62F78" w:rsidRPr="00D511FC" w:rsidRDefault="00F62F78" w:rsidP="005C38E7">
            <w:pPr>
              <w:spacing w:after="120"/>
              <w:jc w:val="both"/>
              <w:rPr>
                <w:rFonts w:ascii="Calibri" w:eastAsia="Calibri" w:hAnsi="Calibri" w:cs="Calibri"/>
                <w:sz w:val="24"/>
                <w:szCs w:val="24"/>
              </w:rPr>
            </w:pPr>
          </w:p>
        </w:tc>
        <w:tc>
          <w:tcPr>
            <w:tcW w:w="2505" w:type="dxa"/>
          </w:tcPr>
          <w:p w14:paraId="5C02099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8BE1984" w14:textId="55371077" w:rsidTr="00E6407C">
        <w:tc>
          <w:tcPr>
            <w:tcW w:w="7252" w:type="dxa"/>
          </w:tcPr>
          <w:p w14:paraId="1C4A4823"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possuir atestado de validação, expedido pelo administrador estatutário tecnicamente qualificado, relativo às informações de investimento utilizadas no estudo técnico; e</w:t>
            </w:r>
          </w:p>
        </w:tc>
        <w:tc>
          <w:tcPr>
            <w:tcW w:w="3107" w:type="dxa"/>
          </w:tcPr>
          <w:p w14:paraId="09D381F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566A49D" w14:textId="602F18B3" w:rsidR="00F62F78" w:rsidRPr="00D511FC" w:rsidRDefault="00F62F78" w:rsidP="005C38E7">
            <w:pPr>
              <w:spacing w:after="120"/>
              <w:jc w:val="both"/>
              <w:rPr>
                <w:rFonts w:ascii="Calibri" w:eastAsia="Calibri" w:hAnsi="Calibri" w:cs="Calibri"/>
                <w:sz w:val="24"/>
                <w:szCs w:val="24"/>
              </w:rPr>
            </w:pPr>
          </w:p>
        </w:tc>
        <w:tc>
          <w:tcPr>
            <w:tcW w:w="2505" w:type="dxa"/>
          </w:tcPr>
          <w:p w14:paraId="3C7F95E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B829156" w14:textId="05A75FC5" w:rsidTr="00E6407C">
        <w:tc>
          <w:tcPr>
            <w:tcW w:w="7252" w:type="dxa"/>
          </w:tcPr>
          <w:p w14:paraId="5FE5BCA3"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possuir atestado de validação, expedido pelo administrador responsável pelos planos de benefícios, relativo aos dados cadastrais e demais informações referentes ao passivo atuarial utilizados no estudo técnico.</w:t>
            </w:r>
          </w:p>
        </w:tc>
        <w:tc>
          <w:tcPr>
            <w:tcW w:w="3107" w:type="dxa"/>
          </w:tcPr>
          <w:p w14:paraId="58A122C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7B8B2F6" w14:textId="122CB825" w:rsidR="00F62F78" w:rsidRPr="00D511FC" w:rsidRDefault="00F62F78" w:rsidP="005C38E7">
            <w:pPr>
              <w:spacing w:after="120"/>
              <w:jc w:val="both"/>
              <w:rPr>
                <w:rFonts w:ascii="Calibri" w:eastAsia="Calibri" w:hAnsi="Calibri" w:cs="Calibri"/>
                <w:sz w:val="24"/>
                <w:szCs w:val="24"/>
              </w:rPr>
            </w:pPr>
          </w:p>
        </w:tc>
        <w:tc>
          <w:tcPr>
            <w:tcW w:w="2505" w:type="dxa"/>
          </w:tcPr>
          <w:p w14:paraId="0111C4A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B09D561" w14:textId="21B254CC" w:rsidTr="00E6407C">
        <w:tc>
          <w:tcPr>
            <w:tcW w:w="7252" w:type="dxa"/>
          </w:tcPr>
          <w:p w14:paraId="2B0E34B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77.  Em relação ao procedimento de elaboração, o estudo técnico de adequação deve ser:</w:t>
            </w:r>
          </w:p>
        </w:tc>
        <w:tc>
          <w:tcPr>
            <w:tcW w:w="3107" w:type="dxa"/>
          </w:tcPr>
          <w:p w14:paraId="1A05651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6FE1CF3" w14:textId="38BF329C" w:rsidR="00F62F78" w:rsidRPr="00D511FC" w:rsidRDefault="00F62F78" w:rsidP="005C38E7">
            <w:pPr>
              <w:spacing w:after="120"/>
              <w:jc w:val="both"/>
              <w:rPr>
                <w:rFonts w:ascii="Calibri" w:eastAsia="Calibri" w:hAnsi="Calibri" w:cs="Calibri"/>
                <w:sz w:val="24"/>
                <w:szCs w:val="24"/>
              </w:rPr>
            </w:pPr>
          </w:p>
        </w:tc>
        <w:tc>
          <w:tcPr>
            <w:tcW w:w="2505" w:type="dxa"/>
          </w:tcPr>
          <w:p w14:paraId="516BE1F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F65A5A4" w14:textId="32C792A3" w:rsidTr="00E6407C">
        <w:tc>
          <w:tcPr>
            <w:tcW w:w="7252" w:type="dxa"/>
          </w:tcPr>
          <w:p w14:paraId="234BD636"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elaborado pelo atuário habilitado e legalmente responsável pelo plano de benefícios; e</w:t>
            </w:r>
          </w:p>
        </w:tc>
        <w:tc>
          <w:tcPr>
            <w:tcW w:w="3107" w:type="dxa"/>
          </w:tcPr>
          <w:p w14:paraId="3E357DD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B38BE4D" w14:textId="5C04C63A" w:rsidR="00F62F78" w:rsidRPr="00D511FC" w:rsidRDefault="00F62F78" w:rsidP="005C38E7">
            <w:pPr>
              <w:spacing w:after="120"/>
              <w:jc w:val="both"/>
              <w:rPr>
                <w:rFonts w:ascii="Calibri" w:eastAsia="Calibri" w:hAnsi="Calibri" w:cs="Calibri"/>
                <w:sz w:val="24"/>
                <w:szCs w:val="24"/>
              </w:rPr>
            </w:pPr>
          </w:p>
        </w:tc>
        <w:tc>
          <w:tcPr>
            <w:tcW w:w="2505" w:type="dxa"/>
          </w:tcPr>
          <w:p w14:paraId="2D513C4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277810F" w14:textId="20831B95" w:rsidTr="00E6407C">
        <w:tc>
          <w:tcPr>
            <w:tcW w:w="7252" w:type="dxa"/>
          </w:tcPr>
          <w:p w14:paraId="69905E1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embasado em informações fornecidas pela EFPC e pelo respectivo patrocinador ou instituidor.</w:t>
            </w:r>
          </w:p>
        </w:tc>
        <w:tc>
          <w:tcPr>
            <w:tcW w:w="3107" w:type="dxa"/>
          </w:tcPr>
          <w:p w14:paraId="5912CD99"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4CCE1EC" w14:textId="252A0BC8" w:rsidR="00F62F78" w:rsidRPr="00D511FC" w:rsidRDefault="00F62F78" w:rsidP="005C38E7">
            <w:pPr>
              <w:spacing w:after="120"/>
              <w:jc w:val="both"/>
              <w:rPr>
                <w:rFonts w:ascii="Calibri" w:eastAsia="Calibri" w:hAnsi="Calibri" w:cs="Calibri"/>
                <w:sz w:val="24"/>
                <w:szCs w:val="24"/>
              </w:rPr>
            </w:pPr>
          </w:p>
        </w:tc>
        <w:tc>
          <w:tcPr>
            <w:tcW w:w="2505" w:type="dxa"/>
          </w:tcPr>
          <w:p w14:paraId="60C5F32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8C26AE0" w14:textId="250DF8B6" w:rsidTr="00E6407C">
        <w:tc>
          <w:tcPr>
            <w:tcW w:w="7252" w:type="dxa"/>
          </w:tcPr>
          <w:p w14:paraId="1D9F0653"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1º  Os dados cadastrais e demais informações referentes ao passivo atuarial devem ser providenciados pelo administrador responsável pelos planos de benefícios e as informações relativas aos investimentos devem ser providenciadas pelo administrador estatutário tecnicamente qualificado.</w:t>
            </w:r>
          </w:p>
        </w:tc>
        <w:tc>
          <w:tcPr>
            <w:tcW w:w="3107" w:type="dxa"/>
          </w:tcPr>
          <w:p w14:paraId="0CB94A4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5CE0AFD" w14:textId="41664D89" w:rsidR="00F62F78" w:rsidRPr="00D511FC" w:rsidRDefault="00F62F78" w:rsidP="005C38E7">
            <w:pPr>
              <w:spacing w:after="120"/>
              <w:jc w:val="both"/>
              <w:rPr>
                <w:rFonts w:ascii="Calibri" w:eastAsia="Calibri" w:hAnsi="Calibri" w:cs="Calibri"/>
                <w:sz w:val="24"/>
                <w:szCs w:val="24"/>
              </w:rPr>
            </w:pPr>
          </w:p>
        </w:tc>
        <w:tc>
          <w:tcPr>
            <w:tcW w:w="2505" w:type="dxa"/>
          </w:tcPr>
          <w:p w14:paraId="240B13E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37AE683" w14:textId="5807E1E1" w:rsidTr="00E6407C">
        <w:tc>
          <w:tcPr>
            <w:tcW w:w="7252" w:type="dxa"/>
          </w:tcPr>
          <w:p w14:paraId="558B139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2º  Cabe à EFPC solicitar a manifestação fundamentada do patrocinador ou instituidor acerca das hipóteses econômicas e financeiras que guardem relação com suas respectivas atividades, devendo essa </w:t>
            </w:r>
            <w:r w:rsidRPr="00D511FC">
              <w:rPr>
                <w:rFonts w:ascii="Calibri" w:eastAsia="Calibri" w:hAnsi="Calibri" w:cs="Calibri"/>
                <w:sz w:val="24"/>
                <w:szCs w:val="24"/>
              </w:rPr>
              <w:lastRenderedPageBreak/>
              <w:t xml:space="preserve">informação ser utilizada como subsídio para a demonstração da aderência dessas hipóteses no estudo técnico referido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3107" w:type="dxa"/>
          </w:tcPr>
          <w:p w14:paraId="69AFB13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2A9A27E" w14:textId="3B63408A" w:rsidR="00F62F78" w:rsidRPr="00D511FC" w:rsidRDefault="00F62F78" w:rsidP="005C38E7">
            <w:pPr>
              <w:spacing w:after="120"/>
              <w:jc w:val="both"/>
              <w:rPr>
                <w:rFonts w:ascii="Calibri" w:eastAsia="Calibri" w:hAnsi="Calibri" w:cs="Calibri"/>
                <w:sz w:val="24"/>
                <w:szCs w:val="24"/>
              </w:rPr>
            </w:pPr>
          </w:p>
        </w:tc>
        <w:tc>
          <w:tcPr>
            <w:tcW w:w="2505" w:type="dxa"/>
          </w:tcPr>
          <w:p w14:paraId="417167D4"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A72A762" w14:textId="36A909DB" w:rsidTr="00E6407C">
        <w:tc>
          <w:tcPr>
            <w:tcW w:w="7252" w:type="dxa"/>
          </w:tcPr>
          <w:p w14:paraId="2CEA0FF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78.  Em relação ao prazo de validade, o estudo técnico de adequação deve ter:</w:t>
            </w:r>
          </w:p>
        </w:tc>
        <w:tc>
          <w:tcPr>
            <w:tcW w:w="3107" w:type="dxa"/>
          </w:tcPr>
          <w:p w14:paraId="33A4A59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8BC8D4E" w14:textId="142D9472" w:rsidR="00F62F78" w:rsidRPr="00D511FC" w:rsidRDefault="00F62F78" w:rsidP="005C38E7">
            <w:pPr>
              <w:spacing w:after="120"/>
              <w:jc w:val="both"/>
              <w:rPr>
                <w:rFonts w:ascii="Calibri" w:eastAsia="Calibri" w:hAnsi="Calibri" w:cs="Calibri"/>
                <w:sz w:val="24"/>
                <w:szCs w:val="24"/>
              </w:rPr>
            </w:pPr>
          </w:p>
        </w:tc>
        <w:tc>
          <w:tcPr>
            <w:tcW w:w="2505" w:type="dxa"/>
          </w:tcPr>
          <w:p w14:paraId="0DEBE83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AB69C64" w14:textId="2E38F8D3" w:rsidTr="00E6407C">
        <w:tc>
          <w:tcPr>
            <w:tcW w:w="7252" w:type="dxa"/>
          </w:tcPr>
          <w:p w14:paraId="0B8C26B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validade geral máxima de três anos, contados a partir da data de sua realização, cabendo ao administrador responsável pelos planos de benefícios avaliar e indicar a necessidade de realização em menor período, conforme parecer do atuário habilitado e legalmente responsável pelo plano de benefícios; e</w:t>
            </w:r>
          </w:p>
        </w:tc>
        <w:tc>
          <w:tcPr>
            <w:tcW w:w="3107" w:type="dxa"/>
          </w:tcPr>
          <w:p w14:paraId="16EBFFD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F7FCEE9" w14:textId="4E726DD2" w:rsidR="00F62F78" w:rsidRPr="00D511FC" w:rsidRDefault="00F62F78" w:rsidP="005C38E7">
            <w:pPr>
              <w:spacing w:after="120"/>
              <w:jc w:val="both"/>
              <w:rPr>
                <w:rFonts w:ascii="Calibri" w:eastAsia="Calibri" w:hAnsi="Calibri" w:cs="Calibri"/>
                <w:sz w:val="24"/>
                <w:szCs w:val="24"/>
              </w:rPr>
            </w:pPr>
          </w:p>
        </w:tc>
        <w:tc>
          <w:tcPr>
            <w:tcW w:w="2505" w:type="dxa"/>
          </w:tcPr>
          <w:p w14:paraId="5AAE84E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27834B3" w14:textId="742C777D" w:rsidTr="00E6407C">
        <w:tc>
          <w:tcPr>
            <w:tcW w:w="7252" w:type="dxa"/>
          </w:tcPr>
          <w:p w14:paraId="6A9A749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validade específica em relação à hipótese de taxa real anual de juros de um ano.</w:t>
            </w:r>
          </w:p>
        </w:tc>
        <w:tc>
          <w:tcPr>
            <w:tcW w:w="3107" w:type="dxa"/>
          </w:tcPr>
          <w:p w14:paraId="7830B09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E982F56" w14:textId="76C17EF7" w:rsidR="00F62F78" w:rsidRPr="00D511FC" w:rsidRDefault="00F62F78" w:rsidP="005C38E7">
            <w:pPr>
              <w:spacing w:after="120"/>
              <w:jc w:val="both"/>
              <w:rPr>
                <w:rFonts w:ascii="Calibri" w:eastAsia="Calibri" w:hAnsi="Calibri" w:cs="Calibri"/>
                <w:sz w:val="24"/>
                <w:szCs w:val="24"/>
              </w:rPr>
            </w:pPr>
          </w:p>
        </w:tc>
        <w:tc>
          <w:tcPr>
            <w:tcW w:w="2505" w:type="dxa"/>
          </w:tcPr>
          <w:p w14:paraId="68F0E8C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95FA9BE" w14:textId="7D1DEEC7" w:rsidTr="00E6407C">
        <w:tc>
          <w:tcPr>
            <w:tcW w:w="7252" w:type="dxa"/>
          </w:tcPr>
          <w:p w14:paraId="188AA16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A validade do estudo técnico de adequação para a hipótese de tábua de mortalidade geral, que trata 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será de cinco anos para os planos de benefícios que adotarem tábua geracional de mortalidade geral com a respectiva escala de melhoria de longevidade.</w:t>
            </w:r>
          </w:p>
        </w:tc>
        <w:tc>
          <w:tcPr>
            <w:tcW w:w="3107" w:type="dxa"/>
          </w:tcPr>
          <w:p w14:paraId="74949D6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47420A7" w14:textId="7EF41348" w:rsidR="00F62F78" w:rsidRPr="00D511FC" w:rsidRDefault="00F62F78" w:rsidP="005C38E7">
            <w:pPr>
              <w:spacing w:after="120"/>
              <w:jc w:val="both"/>
              <w:rPr>
                <w:rFonts w:ascii="Calibri" w:eastAsia="Calibri" w:hAnsi="Calibri" w:cs="Calibri"/>
                <w:sz w:val="24"/>
                <w:szCs w:val="24"/>
              </w:rPr>
            </w:pPr>
          </w:p>
        </w:tc>
        <w:tc>
          <w:tcPr>
            <w:tcW w:w="2505" w:type="dxa"/>
          </w:tcPr>
          <w:p w14:paraId="005E511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9EABCC0" w14:textId="3D5A9316" w:rsidTr="00E6407C">
        <w:tc>
          <w:tcPr>
            <w:tcW w:w="7252" w:type="dxa"/>
          </w:tcPr>
          <w:p w14:paraId="05FF9B0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79.  Na ocorrência de fato relevante que enseje a elaboração de nova avaliação atuarial, o estudo técnico de adequação deve refletir a nova realidade do plano de benefícios.</w:t>
            </w:r>
          </w:p>
        </w:tc>
        <w:tc>
          <w:tcPr>
            <w:tcW w:w="3107" w:type="dxa"/>
          </w:tcPr>
          <w:p w14:paraId="3001932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C750C02" w14:textId="04684A93" w:rsidR="00F62F78" w:rsidRPr="00D511FC" w:rsidRDefault="00F62F78" w:rsidP="005C38E7">
            <w:pPr>
              <w:spacing w:after="120"/>
              <w:jc w:val="both"/>
              <w:rPr>
                <w:rFonts w:ascii="Calibri" w:eastAsia="Calibri" w:hAnsi="Calibri" w:cs="Calibri"/>
                <w:sz w:val="24"/>
                <w:szCs w:val="24"/>
              </w:rPr>
            </w:pPr>
          </w:p>
        </w:tc>
        <w:tc>
          <w:tcPr>
            <w:tcW w:w="2505" w:type="dxa"/>
          </w:tcPr>
          <w:p w14:paraId="56C98CC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D32DCDA" w14:textId="0D29C792" w:rsidTr="00E6407C">
        <w:tc>
          <w:tcPr>
            <w:tcW w:w="7252" w:type="dxa"/>
          </w:tcPr>
          <w:p w14:paraId="7D57D27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80.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3107" w:type="dxa"/>
          </w:tcPr>
          <w:p w14:paraId="290810C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AAB6B30" w14:textId="47768639" w:rsidR="00F62F78" w:rsidRPr="00D511FC" w:rsidRDefault="00F62F78" w:rsidP="005C38E7">
            <w:pPr>
              <w:spacing w:after="120"/>
              <w:jc w:val="both"/>
              <w:rPr>
                <w:rFonts w:ascii="Calibri" w:eastAsia="Calibri" w:hAnsi="Calibri" w:cs="Calibri"/>
                <w:sz w:val="24"/>
                <w:szCs w:val="24"/>
              </w:rPr>
            </w:pPr>
          </w:p>
        </w:tc>
        <w:tc>
          <w:tcPr>
            <w:tcW w:w="2505" w:type="dxa"/>
          </w:tcPr>
          <w:p w14:paraId="16D9DE6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98DB97E" w14:textId="3F357E91" w:rsidTr="00E6407C">
        <w:tc>
          <w:tcPr>
            <w:tcW w:w="7252" w:type="dxa"/>
          </w:tcPr>
          <w:p w14:paraId="134F702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81.  Em relação à governança e à divulgação, o estudo técnico de adequação do plano de benefícios deve ser:</w:t>
            </w:r>
          </w:p>
        </w:tc>
        <w:tc>
          <w:tcPr>
            <w:tcW w:w="3107" w:type="dxa"/>
          </w:tcPr>
          <w:p w14:paraId="3EB68B6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10FDB03" w14:textId="357759A3" w:rsidR="00F62F78" w:rsidRPr="00D511FC" w:rsidRDefault="00F62F78" w:rsidP="005C38E7">
            <w:pPr>
              <w:spacing w:after="120"/>
              <w:jc w:val="both"/>
              <w:rPr>
                <w:rFonts w:ascii="Calibri" w:eastAsia="Calibri" w:hAnsi="Calibri" w:cs="Calibri"/>
                <w:sz w:val="24"/>
                <w:szCs w:val="24"/>
              </w:rPr>
            </w:pPr>
          </w:p>
        </w:tc>
        <w:tc>
          <w:tcPr>
            <w:tcW w:w="2505" w:type="dxa"/>
          </w:tcPr>
          <w:p w14:paraId="02454B2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5E0B658" w14:textId="37610623" w:rsidTr="00E6407C">
        <w:tc>
          <w:tcPr>
            <w:tcW w:w="7252" w:type="dxa"/>
          </w:tcPr>
          <w:p w14:paraId="7D11FB4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aprovado pela Diretoria Executiva e pelo Conselho Deliberativo da EFPC;</w:t>
            </w:r>
          </w:p>
        </w:tc>
        <w:tc>
          <w:tcPr>
            <w:tcW w:w="3107" w:type="dxa"/>
          </w:tcPr>
          <w:p w14:paraId="77CD962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97A33AC" w14:textId="7C0F7377" w:rsidR="00F62F78" w:rsidRPr="00D511FC" w:rsidRDefault="00F62F78" w:rsidP="005C38E7">
            <w:pPr>
              <w:spacing w:after="120"/>
              <w:jc w:val="both"/>
              <w:rPr>
                <w:rFonts w:ascii="Calibri" w:eastAsia="Calibri" w:hAnsi="Calibri" w:cs="Calibri"/>
                <w:sz w:val="24"/>
                <w:szCs w:val="24"/>
              </w:rPr>
            </w:pPr>
          </w:p>
        </w:tc>
        <w:tc>
          <w:tcPr>
            <w:tcW w:w="2505" w:type="dxa"/>
          </w:tcPr>
          <w:p w14:paraId="203546E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D3D1375" w14:textId="36EEFD9D" w:rsidTr="00E6407C">
        <w:tc>
          <w:tcPr>
            <w:tcW w:w="7252" w:type="dxa"/>
          </w:tcPr>
          <w:p w14:paraId="08C01D9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II - disponibilizado ao Conselho Fiscal; e</w:t>
            </w:r>
          </w:p>
        </w:tc>
        <w:tc>
          <w:tcPr>
            <w:tcW w:w="3107" w:type="dxa"/>
          </w:tcPr>
          <w:p w14:paraId="3A1103A7" w14:textId="77777777" w:rsidR="00F62F78" w:rsidRDefault="009C7301"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657B7427" w14:textId="38192A71" w:rsidR="009C7301" w:rsidRPr="00D511FC" w:rsidRDefault="009C7301" w:rsidP="005C38E7">
            <w:pPr>
              <w:spacing w:after="120"/>
              <w:jc w:val="both"/>
              <w:rPr>
                <w:rFonts w:ascii="Calibri" w:eastAsia="Calibri" w:hAnsi="Calibri" w:cs="Calibri"/>
                <w:sz w:val="24"/>
                <w:szCs w:val="24"/>
              </w:rPr>
            </w:pPr>
            <w:r w:rsidRPr="009C7301">
              <w:rPr>
                <w:rFonts w:ascii="Calibri" w:eastAsia="Calibri" w:hAnsi="Calibri" w:cs="Calibri"/>
                <w:sz w:val="24"/>
                <w:szCs w:val="24"/>
              </w:rPr>
              <w:t>II</w:t>
            </w:r>
            <w:r>
              <w:rPr>
                <w:rFonts w:ascii="Calibri" w:eastAsia="Calibri" w:hAnsi="Calibri" w:cs="Calibri"/>
                <w:sz w:val="24"/>
                <w:szCs w:val="24"/>
              </w:rPr>
              <w:t xml:space="preserve"> – </w:t>
            </w:r>
            <w:r w:rsidRPr="009C7301">
              <w:rPr>
                <w:rFonts w:ascii="Calibri" w:eastAsia="Calibri" w:hAnsi="Calibri" w:cs="Calibri"/>
                <w:color w:val="FF0000"/>
                <w:sz w:val="24"/>
                <w:szCs w:val="24"/>
              </w:rPr>
              <w:t>disponibilizado</w:t>
            </w:r>
            <w:r>
              <w:rPr>
                <w:rFonts w:ascii="Calibri" w:eastAsia="Calibri" w:hAnsi="Calibri" w:cs="Calibri"/>
                <w:sz w:val="24"/>
                <w:szCs w:val="24"/>
              </w:rPr>
              <w:t xml:space="preserve"> </w:t>
            </w:r>
            <w:r w:rsidRPr="009C7301">
              <w:rPr>
                <w:rFonts w:ascii="Calibri" w:eastAsia="Calibri" w:hAnsi="Calibri" w:cs="Calibri"/>
                <w:sz w:val="24"/>
                <w:szCs w:val="24"/>
              </w:rPr>
              <w:t>ao Conselho Fiscal; e (...)</w:t>
            </w:r>
          </w:p>
        </w:tc>
        <w:tc>
          <w:tcPr>
            <w:tcW w:w="2552" w:type="dxa"/>
          </w:tcPr>
          <w:p w14:paraId="10A397B2" w14:textId="77777777" w:rsidR="00F62F78" w:rsidRDefault="009C7301"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2749E60B" w14:textId="3273CE70" w:rsidR="009C7301" w:rsidRPr="00D511FC" w:rsidRDefault="009C7301" w:rsidP="005C38E7">
            <w:pPr>
              <w:spacing w:after="120"/>
              <w:jc w:val="both"/>
              <w:rPr>
                <w:rFonts w:ascii="Calibri" w:eastAsia="Calibri" w:hAnsi="Calibri" w:cs="Calibri"/>
                <w:sz w:val="24"/>
                <w:szCs w:val="24"/>
              </w:rPr>
            </w:pPr>
            <w:r w:rsidRPr="009C7301">
              <w:rPr>
                <w:rFonts w:ascii="Calibri" w:eastAsia="Calibri" w:hAnsi="Calibri" w:cs="Calibri"/>
                <w:sz w:val="24"/>
                <w:szCs w:val="24"/>
              </w:rPr>
              <w:t>os membros do Comitê Técnico entendem que deve ser mantido o papel do Conselho Fiscal no processo de análise e aprovação das premissas atuariais, por isso a sugestão é manter a redação vigente, com a inclusão do inciso III no art. 83.</w:t>
            </w:r>
          </w:p>
        </w:tc>
        <w:tc>
          <w:tcPr>
            <w:tcW w:w="2505" w:type="dxa"/>
          </w:tcPr>
          <w:p w14:paraId="0984521F" w14:textId="5ACC9557" w:rsidR="00F62F78" w:rsidRPr="00D511FC" w:rsidRDefault="009C7301" w:rsidP="005C38E7">
            <w:pPr>
              <w:spacing w:after="120"/>
              <w:jc w:val="both"/>
              <w:rPr>
                <w:rFonts w:ascii="Calibri" w:eastAsia="Calibri" w:hAnsi="Calibri" w:cs="Calibri"/>
                <w:sz w:val="24"/>
                <w:szCs w:val="24"/>
              </w:rPr>
            </w:pPr>
            <w:r w:rsidRPr="009C7301">
              <w:rPr>
                <w:rFonts w:ascii="Calibri" w:eastAsia="Calibri" w:hAnsi="Calibri" w:cs="Calibri"/>
                <w:b/>
                <w:bCs/>
                <w:sz w:val="24"/>
                <w:szCs w:val="24"/>
              </w:rPr>
              <w:t>NÃO ACATAR.</w:t>
            </w:r>
            <w:r>
              <w:rPr>
                <w:rFonts w:ascii="Calibri" w:eastAsia="Calibri" w:hAnsi="Calibri" w:cs="Calibri"/>
                <w:sz w:val="24"/>
                <w:szCs w:val="24"/>
              </w:rPr>
              <w:t xml:space="preserve"> </w:t>
            </w:r>
            <w:r w:rsidRPr="009C7301">
              <w:rPr>
                <w:rFonts w:ascii="Calibri" w:eastAsia="Calibri" w:hAnsi="Calibri" w:cs="Calibri"/>
                <w:sz w:val="24"/>
                <w:szCs w:val="24"/>
              </w:rPr>
              <w:t>O Conselho Fiscal vai atuar apenas "a posteriori".</w:t>
            </w:r>
          </w:p>
        </w:tc>
      </w:tr>
      <w:tr w:rsidR="00F62F78" w:rsidRPr="00D511FC" w14:paraId="641A1F11" w14:textId="344F19D2" w:rsidTr="00E6407C">
        <w:tc>
          <w:tcPr>
            <w:tcW w:w="7252" w:type="dxa"/>
          </w:tcPr>
          <w:p w14:paraId="3B206046"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disponibilizado, quando requisitado, aos participantes, aos assistidos, aos patrocinadores, aos instituidores e à Previc.</w:t>
            </w:r>
          </w:p>
        </w:tc>
        <w:tc>
          <w:tcPr>
            <w:tcW w:w="3107" w:type="dxa"/>
          </w:tcPr>
          <w:p w14:paraId="1B4DBD6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7C2A08E" w14:textId="4C23FA7F" w:rsidR="00F62F78" w:rsidRPr="00D511FC" w:rsidRDefault="00F62F78" w:rsidP="005C38E7">
            <w:pPr>
              <w:spacing w:after="120"/>
              <w:jc w:val="both"/>
              <w:rPr>
                <w:rFonts w:ascii="Calibri" w:eastAsia="Calibri" w:hAnsi="Calibri" w:cs="Calibri"/>
                <w:sz w:val="24"/>
                <w:szCs w:val="24"/>
              </w:rPr>
            </w:pPr>
          </w:p>
        </w:tc>
        <w:tc>
          <w:tcPr>
            <w:tcW w:w="2505" w:type="dxa"/>
          </w:tcPr>
          <w:p w14:paraId="599E6DB8"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BDB485E" w14:textId="2DE42348" w:rsidTr="00E6407C">
        <w:tc>
          <w:tcPr>
            <w:tcW w:w="7252" w:type="dxa"/>
          </w:tcPr>
          <w:p w14:paraId="5926AD8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A aprovação referida no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exime o atuário do plano da responsabilidade técnica sobre estudos, cálculos e serviços por ele prestados.</w:t>
            </w:r>
          </w:p>
        </w:tc>
        <w:tc>
          <w:tcPr>
            <w:tcW w:w="3107" w:type="dxa"/>
          </w:tcPr>
          <w:p w14:paraId="13E48C6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C0BAA4B" w14:textId="10687F33" w:rsidR="00F62F78" w:rsidRPr="00D511FC" w:rsidRDefault="00F62F78" w:rsidP="005C38E7">
            <w:pPr>
              <w:spacing w:after="120"/>
              <w:jc w:val="both"/>
              <w:rPr>
                <w:rFonts w:ascii="Calibri" w:eastAsia="Calibri" w:hAnsi="Calibri" w:cs="Calibri"/>
                <w:sz w:val="24"/>
                <w:szCs w:val="24"/>
              </w:rPr>
            </w:pPr>
          </w:p>
        </w:tc>
        <w:tc>
          <w:tcPr>
            <w:tcW w:w="2505" w:type="dxa"/>
          </w:tcPr>
          <w:p w14:paraId="242A492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C2874D9" w14:textId="05459918" w:rsidTr="00E6407C">
        <w:tc>
          <w:tcPr>
            <w:tcW w:w="7252" w:type="dxa"/>
          </w:tcPr>
          <w:p w14:paraId="6674067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2º  O estudo técnico de adequação deve ficar arquivado na EFPC, à disposição da Previc.</w:t>
            </w:r>
          </w:p>
        </w:tc>
        <w:tc>
          <w:tcPr>
            <w:tcW w:w="3107" w:type="dxa"/>
          </w:tcPr>
          <w:p w14:paraId="595737DD" w14:textId="77777777" w:rsidR="00F62F78" w:rsidRDefault="00E57D16" w:rsidP="005C38E7">
            <w:pPr>
              <w:spacing w:after="120"/>
              <w:jc w:val="both"/>
              <w:rPr>
                <w:rFonts w:ascii="Calibri" w:eastAsia="Calibri" w:hAnsi="Calibri" w:cs="Calibri"/>
                <w:sz w:val="24"/>
                <w:szCs w:val="24"/>
              </w:rPr>
            </w:pPr>
            <w:r>
              <w:rPr>
                <w:rFonts w:ascii="Calibri" w:eastAsia="Calibri" w:hAnsi="Calibri" w:cs="Calibri"/>
                <w:sz w:val="24"/>
                <w:szCs w:val="24"/>
              </w:rPr>
              <w:t>APEP/IPCOM:</w:t>
            </w:r>
          </w:p>
          <w:p w14:paraId="5D97D44B" w14:textId="0D1FE9E3" w:rsidR="00E57D16" w:rsidRPr="00D511FC" w:rsidRDefault="00E57D16" w:rsidP="005C38E7">
            <w:pPr>
              <w:spacing w:after="120"/>
              <w:jc w:val="both"/>
              <w:rPr>
                <w:rFonts w:ascii="Calibri" w:eastAsia="Calibri" w:hAnsi="Calibri" w:cs="Calibri"/>
                <w:sz w:val="24"/>
                <w:szCs w:val="24"/>
              </w:rPr>
            </w:pPr>
            <w:r w:rsidRPr="00E57D16">
              <w:rPr>
                <w:rFonts w:ascii="Calibri" w:eastAsia="Calibri" w:hAnsi="Calibri" w:cs="Calibri"/>
                <w:sz w:val="24"/>
                <w:szCs w:val="24"/>
              </w:rPr>
              <w:t xml:space="preserve">§ 2º O estudo técnico de adequação deve </w:t>
            </w:r>
            <w:proofErr w:type="spellStart"/>
            <w:r w:rsidRPr="00E57D16">
              <w:rPr>
                <w:rFonts w:ascii="Calibri" w:eastAsia="Calibri" w:hAnsi="Calibri" w:cs="Calibri"/>
                <w:sz w:val="24"/>
                <w:szCs w:val="24"/>
              </w:rPr>
              <w:t>ﬁcar</w:t>
            </w:r>
            <w:proofErr w:type="spellEnd"/>
            <w:r w:rsidRPr="00E57D16">
              <w:rPr>
                <w:rFonts w:ascii="Calibri" w:eastAsia="Calibri" w:hAnsi="Calibri" w:cs="Calibri"/>
                <w:sz w:val="24"/>
                <w:szCs w:val="24"/>
              </w:rPr>
              <w:t xml:space="preserve"> arquivado na EFPC, à disposição da Previc</w:t>
            </w:r>
            <w:r w:rsidRPr="00E57D16">
              <w:rPr>
                <w:rFonts w:ascii="Calibri" w:eastAsia="Calibri" w:hAnsi="Calibri" w:cs="Calibri"/>
                <w:color w:val="FF0000"/>
                <w:sz w:val="24"/>
                <w:szCs w:val="24"/>
              </w:rPr>
              <w:t>, por até 5 (cinco) anos</w:t>
            </w:r>
            <w:r>
              <w:rPr>
                <w:rFonts w:ascii="Calibri" w:eastAsia="Calibri" w:hAnsi="Calibri" w:cs="Calibri"/>
                <w:color w:val="FF0000"/>
                <w:sz w:val="24"/>
                <w:szCs w:val="24"/>
              </w:rPr>
              <w:t>.</w:t>
            </w:r>
          </w:p>
        </w:tc>
        <w:tc>
          <w:tcPr>
            <w:tcW w:w="2552" w:type="dxa"/>
          </w:tcPr>
          <w:p w14:paraId="1B6C8F1E" w14:textId="4A4A8A4B" w:rsidR="00F62F78" w:rsidRPr="00D511FC" w:rsidRDefault="00E57D16" w:rsidP="005C38E7">
            <w:pPr>
              <w:spacing w:after="120"/>
              <w:jc w:val="both"/>
              <w:rPr>
                <w:rFonts w:ascii="Calibri" w:eastAsia="Calibri" w:hAnsi="Calibri" w:cs="Calibri"/>
                <w:sz w:val="24"/>
                <w:szCs w:val="24"/>
              </w:rPr>
            </w:pPr>
            <w:r>
              <w:rPr>
                <w:rFonts w:ascii="Calibri" w:eastAsia="Calibri" w:hAnsi="Calibri" w:cs="Calibri"/>
                <w:sz w:val="24"/>
                <w:szCs w:val="24"/>
              </w:rPr>
              <w:t xml:space="preserve">APEP/IPCOM: </w:t>
            </w:r>
            <w:r w:rsidRPr="00E57D16">
              <w:rPr>
                <w:rFonts w:ascii="Calibri" w:eastAsia="Calibri" w:hAnsi="Calibri" w:cs="Calibri"/>
                <w:sz w:val="24"/>
                <w:szCs w:val="24"/>
              </w:rPr>
              <w:t>Definição da temporalidade da guarda para fins de governança da EFPC</w:t>
            </w:r>
            <w:r>
              <w:rPr>
                <w:rFonts w:ascii="Calibri" w:eastAsia="Calibri" w:hAnsi="Calibri" w:cs="Calibri"/>
                <w:sz w:val="24"/>
                <w:szCs w:val="24"/>
              </w:rPr>
              <w:t>.</w:t>
            </w:r>
          </w:p>
        </w:tc>
        <w:tc>
          <w:tcPr>
            <w:tcW w:w="2505" w:type="dxa"/>
          </w:tcPr>
          <w:p w14:paraId="5A0ED01C" w14:textId="1CFFA8FB" w:rsidR="00F62F78" w:rsidRPr="00D511FC" w:rsidRDefault="00E57D16" w:rsidP="005C38E7">
            <w:pPr>
              <w:spacing w:after="120"/>
              <w:jc w:val="both"/>
              <w:rPr>
                <w:rFonts w:ascii="Calibri" w:eastAsia="Calibri" w:hAnsi="Calibri" w:cs="Calibri"/>
                <w:sz w:val="24"/>
                <w:szCs w:val="24"/>
              </w:rPr>
            </w:pPr>
            <w:r w:rsidRPr="00E57D16">
              <w:rPr>
                <w:rFonts w:ascii="Calibri" w:eastAsia="Calibri" w:hAnsi="Calibri" w:cs="Calibri"/>
                <w:b/>
                <w:bCs/>
                <w:sz w:val="24"/>
                <w:szCs w:val="24"/>
              </w:rPr>
              <w:t>NÃO ACATAR.</w:t>
            </w:r>
            <w:r>
              <w:rPr>
                <w:rFonts w:ascii="Calibri" w:eastAsia="Calibri" w:hAnsi="Calibri" w:cs="Calibri"/>
                <w:sz w:val="24"/>
                <w:szCs w:val="24"/>
              </w:rPr>
              <w:t xml:space="preserve"> </w:t>
            </w:r>
            <w:r w:rsidRPr="00E57D16">
              <w:rPr>
                <w:rFonts w:ascii="Calibri" w:eastAsia="Calibri" w:hAnsi="Calibri" w:cs="Calibri"/>
                <w:sz w:val="24"/>
                <w:szCs w:val="24"/>
              </w:rPr>
              <w:t>Os prazos de decadência dos processos são regidos pelo Código Civil, e pode ser eventualmente necessária a guard</w:t>
            </w:r>
            <w:r>
              <w:rPr>
                <w:rFonts w:ascii="Calibri" w:eastAsia="Calibri" w:hAnsi="Calibri" w:cs="Calibri"/>
                <w:sz w:val="24"/>
                <w:szCs w:val="24"/>
              </w:rPr>
              <w:t>a</w:t>
            </w:r>
            <w:r w:rsidRPr="00E57D16">
              <w:rPr>
                <w:rFonts w:ascii="Calibri" w:eastAsia="Calibri" w:hAnsi="Calibri" w:cs="Calibri"/>
                <w:sz w:val="24"/>
                <w:szCs w:val="24"/>
              </w:rPr>
              <w:t xml:space="preserve"> do documento por um período maior do que 5 anos.</w:t>
            </w:r>
          </w:p>
        </w:tc>
      </w:tr>
      <w:tr w:rsidR="00F62F78" w:rsidRPr="00D511FC" w14:paraId="26F50C19" w14:textId="0552AA53" w:rsidTr="00E6407C">
        <w:tc>
          <w:tcPr>
            <w:tcW w:w="7252" w:type="dxa"/>
          </w:tcPr>
          <w:p w14:paraId="0717611B"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VII</w:t>
            </w:r>
          </w:p>
        </w:tc>
        <w:tc>
          <w:tcPr>
            <w:tcW w:w="3107" w:type="dxa"/>
          </w:tcPr>
          <w:p w14:paraId="45BD4F1F"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6027BC6B" w14:textId="24B819AA" w:rsidR="00F62F78" w:rsidRPr="00D511FC" w:rsidRDefault="00F62F78" w:rsidP="005C38E7">
            <w:pPr>
              <w:spacing w:after="120"/>
              <w:jc w:val="center"/>
              <w:rPr>
                <w:rFonts w:ascii="Calibri" w:eastAsia="Calibri" w:hAnsi="Calibri" w:cs="Calibri"/>
                <w:b/>
                <w:bCs/>
                <w:sz w:val="24"/>
                <w:szCs w:val="24"/>
              </w:rPr>
            </w:pPr>
          </w:p>
        </w:tc>
        <w:tc>
          <w:tcPr>
            <w:tcW w:w="2505" w:type="dxa"/>
          </w:tcPr>
          <w:p w14:paraId="4F5CF80F"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55F0CE1F" w14:textId="3CA54359" w:rsidTr="00E6407C">
        <w:tc>
          <w:tcPr>
            <w:tcW w:w="7252" w:type="dxa"/>
          </w:tcPr>
          <w:p w14:paraId="21DDD2E8"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Autorização para Adoção de Taxa de Juros fora do Intervalo</w:t>
            </w:r>
          </w:p>
        </w:tc>
        <w:tc>
          <w:tcPr>
            <w:tcW w:w="3107" w:type="dxa"/>
          </w:tcPr>
          <w:p w14:paraId="7F66FF2C"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BF396F4" w14:textId="0A91333A" w:rsidR="00F62F78" w:rsidRPr="00D511FC" w:rsidRDefault="00F62F78" w:rsidP="005C38E7">
            <w:pPr>
              <w:spacing w:after="120"/>
              <w:jc w:val="center"/>
              <w:rPr>
                <w:rFonts w:ascii="Calibri" w:eastAsia="Calibri" w:hAnsi="Calibri" w:cs="Calibri"/>
                <w:b/>
                <w:bCs/>
                <w:sz w:val="24"/>
                <w:szCs w:val="24"/>
              </w:rPr>
            </w:pPr>
          </w:p>
        </w:tc>
        <w:tc>
          <w:tcPr>
            <w:tcW w:w="2505" w:type="dxa"/>
          </w:tcPr>
          <w:p w14:paraId="2B157664"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C092826" w14:textId="716B919F" w:rsidTr="00E6407C">
        <w:tc>
          <w:tcPr>
            <w:tcW w:w="7252" w:type="dxa"/>
          </w:tcPr>
          <w:p w14:paraId="12204BD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82.  Caso pretenda adotar taxa real anual de juros fora do intervalo regulatório estabelecido, a EFPC deve enviar à Previc:</w:t>
            </w:r>
          </w:p>
        </w:tc>
        <w:tc>
          <w:tcPr>
            <w:tcW w:w="3107" w:type="dxa"/>
          </w:tcPr>
          <w:p w14:paraId="2F0E392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65CEADE" w14:textId="2D5849A6" w:rsidR="00F62F78" w:rsidRPr="00D511FC" w:rsidRDefault="00F62F78" w:rsidP="005C38E7">
            <w:pPr>
              <w:spacing w:after="120"/>
              <w:jc w:val="both"/>
              <w:rPr>
                <w:rFonts w:ascii="Calibri" w:eastAsia="Calibri" w:hAnsi="Calibri" w:cs="Calibri"/>
                <w:sz w:val="24"/>
                <w:szCs w:val="24"/>
              </w:rPr>
            </w:pPr>
          </w:p>
        </w:tc>
        <w:tc>
          <w:tcPr>
            <w:tcW w:w="2505" w:type="dxa"/>
          </w:tcPr>
          <w:p w14:paraId="46BE82E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6C25C0A" w14:textId="15B1121E" w:rsidTr="00E6407C">
        <w:tc>
          <w:tcPr>
            <w:tcW w:w="7252" w:type="dxa"/>
          </w:tcPr>
          <w:p w14:paraId="065645D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requerimento de autorização assinado pelo representante legal da EFPC;</w:t>
            </w:r>
          </w:p>
        </w:tc>
        <w:tc>
          <w:tcPr>
            <w:tcW w:w="3107" w:type="dxa"/>
          </w:tcPr>
          <w:p w14:paraId="2C3C5AA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3E44C3C" w14:textId="4FB34A75" w:rsidR="00F62F78" w:rsidRPr="00D511FC" w:rsidRDefault="00F62F78" w:rsidP="005C38E7">
            <w:pPr>
              <w:spacing w:after="120"/>
              <w:jc w:val="both"/>
              <w:rPr>
                <w:rFonts w:ascii="Calibri" w:eastAsia="Calibri" w:hAnsi="Calibri" w:cs="Calibri"/>
                <w:sz w:val="24"/>
                <w:szCs w:val="24"/>
              </w:rPr>
            </w:pPr>
          </w:p>
        </w:tc>
        <w:tc>
          <w:tcPr>
            <w:tcW w:w="2505" w:type="dxa"/>
          </w:tcPr>
          <w:p w14:paraId="4510CAD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233D791" w14:textId="30424797" w:rsidTr="00E6407C">
        <w:tc>
          <w:tcPr>
            <w:tcW w:w="7252" w:type="dxa"/>
          </w:tcPr>
          <w:p w14:paraId="5951CD0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cópia do estudo técnico de adequação; e</w:t>
            </w:r>
          </w:p>
        </w:tc>
        <w:tc>
          <w:tcPr>
            <w:tcW w:w="3107" w:type="dxa"/>
          </w:tcPr>
          <w:p w14:paraId="233A716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CA5198B" w14:textId="226F4F1B" w:rsidR="00F62F78" w:rsidRPr="00D511FC" w:rsidRDefault="00F62F78" w:rsidP="005C38E7">
            <w:pPr>
              <w:spacing w:after="120"/>
              <w:jc w:val="both"/>
              <w:rPr>
                <w:rFonts w:ascii="Calibri" w:eastAsia="Calibri" w:hAnsi="Calibri" w:cs="Calibri"/>
                <w:sz w:val="24"/>
                <w:szCs w:val="24"/>
              </w:rPr>
            </w:pPr>
          </w:p>
        </w:tc>
        <w:tc>
          <w:tcPr>
            <w:tcW w:w="2505" w:type="dxa"/>
          </w:tcPr>
          <w:p w14:paraId="79C1292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2E34372" w14:textId="0254609D" w:rsidTr="00E6407C">
        <w:tc>
          <w:tcPr>
            <w:tcW w:w="7252" w:type="dxa"/>
          </w:tcPr>
          <w:p w14:paraId="09E1B4D7"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demais documentos necessários.</w:t>
            </w:r>
          </w:p>
        </w:tc>
        <w:tc>
          <w:tcPr>
            <w:tcW w:w="3107" w:type="dxa"/>
          </w:tcPr>
          <w:p w14:paraId="2B42368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01136F7" w14:textId="141CADBF" w:rsidR="00F62F78" w:rsidRPr="00D511FC" w:rsidRDefault="00F62F78" w:rsidP="005C38E7">
            <w:pPr>
              <w:spacing w:after="120"/>
              <w:jc w:val="both"/>
              <w:rPr>
                <w:rFonts w:ascii="Calibri" w:eastAsia="Calibri" w:hAnsi="Calibri" w:cs="Calibri"/>
                <w:sz w:val="24"/>
                <w:szCs w:val="24"/>
              </w:rPr>
            </w:pPr>
          </w:p>
        </w:tc>
        <w:tc>
          <w:tcPr>
            <w:tcW w:w="2505" w:type="dxa"/>
          </w:tcPr>
          <w:p w14:paraId="7A0B175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CAB0794" w14:textId="168C2AB3" w:rsidTr="00E6407C">
        <w:tc>
          <w:tcPr>
            <w:tcW w:w="7252" w:type="dxa"/>
          </w:tcPr>
          <w:p w14:paraId="539F2DC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83.  O requerimento de autorização para adoção de taxa real anual de juros referido no inciso I do art. 82 deve ser encaminhado à Previc em formulário padrão juntamente com os seguintes documentos:</w:t>
            </w:r>
          </w:p>
        </w:tc>
        <w:tc>
          <w:tcPr>
            <w:tcW w:w="3107" w:type="dxa"/>
          </w:tcPr>
          <w:p w14:paraId="5D1CE2D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D0DFD22" w14:textId="2631BC98" w:rsidR="00F62F78" w:rsidRPr="00D511FC" w:rsidRDefault="00F62F78" w:rsidP="005C38E7">
            <w:pPr>
              <w:spacing w:after="120"/>
              <w:jc w:val="both"/>
              <w:rPr>
                <w:rFonts w:ascii="Calibri" w:eastAsia="Calibri" w:hAnsi="Calibri" w:cs="Calibri"/>
                <w:sz w:val="24"/>
                <w:szCs w:val="24"/>
              </w:rPr>
            </w:pPr>
          </w:p>
        </w:tc>
        <w:tc>
          <w:tcPr>
            <w:tcW w:w="2505" w:type="dxa"/>
          </w:tcPr>
          <w:p w14:paraId="1A4ECC6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444F091" w14:textId="5C0447CF" w:rsidTr="00E6407C">
        <w:tc>
          <w:tcPr>
            <w:tcW w:w="7252" w:type="dxa"/>
          </w:tcPr>
          <w:p w14:paraId="684E70A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tc>
        <w:tc>
          <w:tcPr>
            <w:tcW w:w="3107" w:type="dxa"/>
          </w:tcPr>
          <w:p w14:paraId="60577F85"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A2B4A77" w14:textId="38383BB6" w:rsidR="00F62F78" w:rsidRPr="00D511FC" w:rsidRDefault="00F62F78" w:rsidP="005C38E7">
            <w:pPr>
              <w:spacing w:after="120"/>
              <w:jc w:val="both"/>
              <w:rPr>
                <w:rFonts w:ascii="Calibri" w:eastAsia="Calibri" w:hAnsi="Calibri" w:cs="Calibri"/>
                <w:sz w:val="24"/>
                <w:szCs w:val="24"/>
              </w:rPr>
            </w:pPr>
          </w:p>
        </w:tc>
        <w:tc>
          <w:tcPr>
            <w:tcW w:w="2505" w:type="dxa"/>
          </w:tcPr>
          <w:p w14:paraId="2B43B97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5F644C7" w14:textId="602F38A9" w:rsidTr="00E6407C">
        <w:tc>
          <w:tcPr>
            <w:tcW w:w="7252" w:type="dxa"/>
          </w:tcPr>
          <w:p w14:paraId="03CDB71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ata da reunião do Conselho Deliberativo, contendo aprovação ao estudo técnico de adequação e ao requerimento de autorização.</w:t>
            </w:r>
          </w:p>
        </w:tc>
        <w:tc>
          <w:tcPr>
            <w:tcW w:w="3107" w:type="dxa"/>
          </w:tcPr>
          <w:p w14:paraId="544076C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B582B02" w14:textId="17C3F952" w:rsidR="00F62F78" w:rsidRPr="00D511FC" w:rsidRDefault="00F62F78" w:rsidP="005C38E7">
            <w:pPr>
              <w:spacing w:after="120"/>
              <w:jc w:val="both"/>
              <w:rPr>
                <w:rFonts w:ascii="Calibri" w:eastAsia="Calibri" w:hAnsi="Calibri" w:cs="Calibri"/>
                <w:sz w:val="24"/>
                <w:szCs w:val="24"/>
              </w:rPr>
            </w:pPr>
          </w:p>
        </w:tc>
        <w:tc>
          <w:tcPr>
            <w:tcW w:w="2505" w:type="dxa"/>
          </w:tcPr>
          <w:p w14:paraId="0E9DA635" w14:textId="77777777" w:rsidR="00F62F78" w:rsidRPr="00D511FC" w:rsidRDefault="00F62F78" w:rsidP="005C38E7">
            <w:pPr>
              <w:spacing w:after="120"/>
              <w:jc w:val="both"/>
              <w:rPr>
                <w:rFonts w:ascii="Calibri" w:eastAsia="Calibri" w:hAnsi="Calibri" w:cs="Calibri"/>
                <w:sz w:val="24"/>
                <w:szCs w:val="24"/>
              </w:rPr>
            </w:pPr>
          </w:p>
        </w:tc>
      </w:tr>
      <w:tr w:rsidR="001308BA" w:rsidRPr="00D511FC" w14:paraId="5DC0E2B5" w14:textId="77777777" w:rsidTr="00E6407C">
        <w:tc>
          <w:tcPr>
            <w:tcW w:w="7252" w:type="dxa"/>
          </w:tcPr>
          <w:p w14:paraId="4380A938" w14:textId="77777777" w:rsidR="001308BA" w:rsidRPr="00D511FC" w:rsidRDefault="001308BA" w:rsidP="005C38E7">
            <w:pPr>
              <w:spacing w:after="120"/>
              <w:jc w:val="both"/>
              <w:rPr>
                <w:rFonts w:ascii="Calibri" w:eastAsia="Calibri" w:hAnsi="Calibri" w:cs="Calibri"/>
                <w:sz w:val="24"/>
                <w:szCs w:val="24"/>
              </w:rPr>
            </w:pPr>
          </w:p>
        </w:tc>
        <w:tc>
          <w:tcPr>
            <w:tcW w:w="3107" w:type="dxa"/>
          </w:tcPr>
          <w:p w14:paraId="27047122" w14:textId="16BAE8D0" w:rsidR="001308BA" w:rsidRPr="001308BA" w:rsidRDefault="001308BA" w:rsidP="001308BA">
            <w:pPr>
              <w:spacing w:after="120"/>
              <w:jc w:val="both"/>
              <w:rPr>
                <w:rFonts w:ascii="Calibri" w:eastAsia="Calibri" w:hAnsi="Calibri" w:cs="Calibri"/>
                <w:sz w:val="24"/>
                <w:szCs w:val="24"/>
              </w:rPr>
            </w:pPr>
            <w:r w:rsidRPr="001308BA">
              <w:rPr>
                <w:rFonts w:ascii="Calibri" w:eastAsia="Calibri" w:hAnsi="Calibri" w:cs="Calibri"/>
                <w:sz w:val="24"/>
                <w:szCs w:val="24"/>
              </w:rPr>
              <w:t>IBA:</w:t>
            </w:r>
          </w:p>
          <w:p w14:paraId="39E8A2E2" w14:textId="797010CB" w:rsidR="001308BA" w:rsidRPr="001308BA" w:rsidRDefault="001308BA" w:rsidP="001308BA">
            <w:pPr>
              <w:spacing w:after="120"/>
              <w:jc w:val="both"/>
              <w:rPr>
                <w:rFonts w:ascii="Calibri" w:eastAsia="Calibri" w:hAnsi="Calibri" w:cs="Calibri"/>
                <w:color w:val="FF0000"/>
                <w:sz w:val="24"/>
                <w:szCs w:val="24"/>
              </w:rPr>
            </w:pPr>
            <w:r w:rsidRPr="001308BA">
              <w:rPr>
                <w:rFonts w:ascii="Calibri" w:eastAsia="Calibri" w:hAnsi="Calibri" w:cs="Calibri"/>
                <w:color w:val="FF0000"/>
                <w:sz w:val="24"/>
                <w:szCs w:val="24"/>
              </w:rPr>
              <w:t>III</w:t>
            </w:r>
            <w:r>
              <w:rPr>
                <w:rFonts w:ascii="Calibri" w:eastAsia="Calibri" w:hAnsi="Calibri" w:cs="Calibri"/>
                <w:color w:val="FF0000"/>
                <w:sz w:val="24"/>
                <w:szCs w:val="24"/>
              </w:rPr>
              <w:t xml:space="preserve"> -</w:t>
            </w:r>
            <w:r w:rsidRPr="001308BA">
              <w:rPr>
                <w:rFonts w:ascii="Calibri" w:eastAsia="Calibri" w:hAnsi="Calibri" w:cs="Calibri"/>
                <w:color w:val="FF0000"/>
                <w:sz w:val="24"/>
                <w:szCs w:val="24"/>
              </w:rPr>
              <w:t xml:space="preserve"> parecer a que se refere o inciso II do art. 81 desta Resolução, bem como ata da reunião Conselho Fiscal atestando a sua ciência do requerimento de</w:t>
            </w:r>
            <w:r>
              <w:rPr>
                <w:rFonts w:ascii="Calibri" w:eastAsia="Calibri" w:hAnsi="Calibri" w:cs="Calibri"/>
                <w:color w:val="FF0000"/>
                <w:sz w:val="24"/>
                <w:szCs w:val="24"/>
              </w:rPr>
              <w:t xml:space="preserve"> </w:t>
            </w:r>
            <w:r w:rsidRPr="001308BA">
              <w:rPr>
                <w:rFonts w:ascii="Calibri" w:eastAsia="Calibri" w:hAnsi="Calibri" w:cs="Calibri"/>
                <w:color w:val="FF0000"/>
                <w:sz w:val="24"/>
                <w:szCs w:val="24"/>
              </w:rPr>
              <w:t>autorização.</w:t>
            </w:r>
          </w:p>
        </w:tc>
        <w:tc>
          <w:tcPr>
            <w:tcW w:w="2552" w:type="dxa"/>
          </w:tcPr>
          <w:p w14:paraId="75EF308A" w14:textId="42A286E6" w:rsidR="001308BA" w:rsidRDefault="001308BA"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2CBD9444" w14:textId="42774DC4" w:rsidR="001308BA" w:rsidRPr="00D511FC" w:rsidRDefault="001308BA" w:rsidP="005C38E7">
            <w:pPr>
              <w:spacing w:after="120"/>
              <w:jc w:val="both"/>
              <w:rPr>
                <w:rFonts w:ascii="Calibri" w:eastAsia="Calibri" w:hAnsi="Calibri" w:cs="Calibri"/>
                <w:sz w:val="24"/>
                <w:szCs w:val="24"/>
              </w:rPr>
            </w:pPr>
            <w:r>
              <w:rPr>
                <w:rFonts w:ascii="Calibri" w:eastAsia="Calibri" w:hAnsi="Calibri" w:cs="Calibri"/>
                <w:sz w:val="24"/>
                <w:szCs w:val="24"/>
              </w:rPr>
              <w:t>O</w:t>
            </w:r>
            <w:r w:rsidRPr="001308BA">
              <w:rPr>
                <w:rFonts w:ascii="Calibri" w:eastAsia="Calibri" w:hAnsi="Calibri" w:cs="Calibri"/>
                <w:sz w:val="24"/>
                <w:szCs w:val="24"/>
              </w:rPr>
              <w:t>s membros do Comitê Técnico entendem que deve ser mantido o papel do Conselho Fiscal no processo de análise e aprovação das premissas atuariais, por isso a sugestão é manter a redação vigente, com a inclusão do inciso III no art. 83.</w:t>
            </w:r>
          </w:p>
        </w:tc>
        <w:tc>
          <w:tcPr>
            <w:tcW w:w="2505" w:type="dxa"/>
          </w:tcPr>
          <w:p w14:paraId="7FEDB836" w14:textId="4AD47800" w:rsidR="001308BA" w:rsidRPr="001308BA" w:rsidRDefault="001308BA" w:rsidP="005C38E7">
            <w:pPr>
              <w:spacing w:after="120"/>
              <w:jc w:val="both"/>
              <w:rPr>
                <w:rFonts w:ascii="Calibri" w:eastAsia="Calibri" w:hAnsi="Calibri" w:cs="Calibri"/>
                <w:b/>
                <w:bCs/>
                <w:sz w:val="24"/>
                <w:szCs w:val="24"/>
              </w:rPr>
            </w:pPr>
            <w:r w:rsidRPr="001308BA">
              <w:rPr>
                <w:rFonts w:ascii="Calibri" w:eastAsia="Calibri" w:hAnsi="Calibri" w:cs="Calibri"/>
                <w:b/>
                <w:bCs/>
                <w:sz w:val="24"/>
                <w:szCs w:val="24"/>
              </w:rPr>
              <w:t xml:space="preserve">NÃO ACATAR. </w:t>
            </w:r>
            <w:r w:rsidRPr="001308BA">
              <w:rPr>
                <w:rFonts w:ascii="Calibri" w:eastAsia="Calibri" w:hAnsi="Calibri" w:cs="Calibri"/>
                <w:sz w:val="24"/>
                <w:szCs w:val="24"/>
              </w:rPr>
              <w:t>O Conselho Fiscal vai atuar apenas "a posteriori".</w:t>
            </w:r>
          </w:p>
        </w:tc>
      </w:tr>
      <w:tr w:rsidR="00F62F78" w:rsidRPr="00D511FC" w14:paraId="05291DE3" w14:textId="50FDE791" w:rsidTr="00E6407C">
        <w:tc>
          <w:tcPr>
            <w:tcW w:w="7252" w:type="dxa"/>
          </w:tcPr>
          <w:p w14:paraId="53B94216"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84.  O indeferimento do requerimento de autorização para adoção da taxa real anual de juros do plano de benefícios implica utilização de taxa dentro do intervalo regulatório estabelecido.</w:t>
            </w:r>
          </w:p>
        </w:tc>
        <w:tc>
          <w:tcPr>
            <w:tcW w:w="3107" w:type="dxa"/>
          </w:tcPr>
          <w:p w14:paraId="713E8994" w14:textId="77777777" w:rsidR="00F62F78" w:rsidRDefault="00200B20"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7E0749B3" w14:textId="035CE3D1" w:rsidR="00200B20" w:rsidRPr="00D511FC" w:rsidRDefault="00200B20" w:rsidP="00200B20">
            <w:pPr>
              <w:spacing w:after="120"/>
              <w:jc w:val="both"/>
              <w:rPr>
                <w:rFonts w:ascii="Calibri" w:eastAsia="Calibri" w:hAnsi="Calibri" w:cs="Calibri"/>
                <w:sz w:val="24"/>
                <w:szCs w:val="24"/>
              </w:rPr>
            </w:pPr>
            <w:r w:rsidRPr="00200B20">
              <w:rPr>
                <w:rFonts w:ascii="Calibri" w:eastAsia="Calibri" w:hAnsi="Calibri" w:cs="Calibri"/>
                <w:sz w:val="24"/>
                <w:szCs w:val="24"/>
              </w:rPr>
              <w:t xml:space="preserve">Art. 84.  O indeferimento </w:t>
            </w:r>
            <w:r w:rsidRPr="00200B20">
              <w:rPr>
                <w:rFonts w:ascii="Calibri" w:eastAsia="Calibri" w:hAnsi="Calibri" w:cs="Calibri"/>
                <w:color w:val="FF0000"/>
                <w:sz w:val="24"/>
                <w:szCs w:val="24"/>
              </w:rPr>
              <w:t xml:space="preserve">justificado </w:t>
            </w:r>
            <w:r w:rsidRPr="00200B20">
              <w:rPr>
                <w:rFonts w:ascii="Calibri" w:eastAsia="Calibri" w:hAnsi="Calibri" w:cs="Calibri"/>
                <w:sz w:val="24"/>
                <w:szCs w:val="24"/>
              </w:rPr>
              <w:t>do requerimento de autorização</w:t>
            </w:r>
            <w:r>
              <w:rPr>
                <w:rFonts w:ascii="Calibri" w:eastAsia="Calibri" w:hAnsi="Calibri" w:cs="Calibri"/>
                <w:sz w:val="24"/>
                <w:szCs w:val="24"/>
              </w:rPr>
              <w:t>...</w:t>
            </w:r>
          </w:p>
        </w:tc>
        <w:tc>
          <w:tcPr>
            <w:tcW w:w="2552" w:type="dxa"/>
          </w:tcPr>
          <w:p w14:paraId="5F39A406" w14:textId="77777777" w:rsidR="00F62F78" w:rsidRDefault="00200B20"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70CF2AAF" w14:textId="39600753" w:rsidR="00200B20" w:rsidRPr="00D511FC" w:rsidRDefault="00200B20" w:rsidP="005C38E7">
            <w:pPr>
              <w:spacing w:after="120"/>
              <w:jc w:val="both"/>
              <w:rPr>
                <w:rFonts w:ascii="Calibri" w:eastAsia="Calibri" w:hAnsi="Calibri" w:cs="Calibri"/>
                <w:sz w:val="24"/>
                <w:szCs w:val="24"/>
              </w:rPr>
            </w:pPr>
            <w:r w:rsidRPr="00200B20">
              <w:rPr>
                <w:rFonts w:ascii="Calibri" w:eastAsia="Calibri" w:hAnsi="Calibri" w:cs="Calibri"/>
                <w:sz w:val="24"/>
                <w:szCs w:val="24"/>
              </w:rPr>
              <w:t>Inclusão da previsão de fundamentação para o indeferimento.</w:t>
            </w:r>
          </w:p>
        </w:tc>
        <w:tc>
          <w:tcPr>
            <w:tcW w:w="2505" w:type="dxa"/>
          </w:tcPr>
          <w:p w14:paraId="37A974E0" w14:textId="0E781EC3" w:rsidR="00F62F78" w:rsidRPr="00200B20" w:rsidRDefault="00200B20" w:rsidP="005C38E7">
            <w:pPr>
              <w:spacing w:after="120"/>
              <w:jc w:val="both"/>
              <w:rPr>
                <w:rFonts w:ascii="Calibri" w:eastAsia="Calibri" w:hAnsi="Calibri" w:cs="Calibri"/>
                <w:sz w:val="24"/>
                <w:szCs w:val="24"/>
              </w:rPr>
            </w:pPr>
            <w:r w:rsidRPr="00200B20">
              <w:rPr>
                <w:rFonts w:ascii="Calibri" w:eastAsia="Calibri" w:hAnsi="Calibri" w:cs="Calibri"/>
                <w:b/>
                <w:bCs/>
                <w:sz w:val="24"/>
                <w:szCs w:val="24"/>
              </w:rPr>
              <w:t>NÃO ACATA</w:t>
            </w:r>
            <w:r w:rsidR="00EB2712">
              <w:rPr>
                <w:rFonts w:ascii="Calibri" w:eastAsia="Calibri" w:hAnsi="Calibri" w:cs="Calibri"/>
                <w:b/>
                <w:bCs/>
                <w:sz w:val="24"/>
                <w:szCs w:val="24"/>
              </w:rPr>
              <w:t>R</w:t>
            </w:r>
            <w:r w:rsidRPr="00200B20">
              <w:rPr>
                <w:rFonts w:ascii="Calibri" w:eastAsia="Calibri" w:hAnsi="Calibri" w:cs="Calibri"/>
                <w:b/>
                <w:bCs/>
                <w:sz w:val="24"/>
                <w:szCs w:val="24"/>
              </w:rPr>
              <w:t xml:space="preserve">. </w:t>
            </w:r>
            <w:r>
              <w:rPr>
                <w:rFonts w:ascii="Calibri" w:eastAsia="Calibri" w:hAnsi="Calibri" w:cs="Calibri"/>
                <w:sz w:val="24"/>
                <w:szCs w:val="24"/>
              </w:rPr>
              <w:t>Desnecessário, tendo em vista que todo indeferimento decorre da análise fundamentada do requerimento pela Previc.</w:t>
            </w:r>
          </w:p>
        </w:tc>
      </w:tr>
      <w:tr w:rsidR="00F62F78" w:rsidRPr="00D511FC" w14:paraId="75630AF4" w14:textId="7AF58EFC" w:rsidTr="00E6407C">
        <w:tc>
          <w:tcPr>
            <w:tcW w:w="7252" w:type="dxa"/>
          </w:tcPr>
          <w:p w14:paraId="156C436B"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A Previc pode determinar, nos termos do art. 80, a realização de novo estudo técnico de adequação.</w:t>
            </w:r>
          </w:p>
        </w:tc>
        <w:tc>
          <w:tcPr>
            <w:tcW w:w="3107" w:type="dxa"/>
          </w:tcPr>
          <w:p w14:paraId="2F1D6E5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1180641" w14:textId="78A36317" w:rsidR="00F62F78" w:rsidRPr="00D511FC" w:rsidRDefault="00F62F78" w:rsidP="005C38E7">
            <w:pPr>
              <w:spacing w:after="120"/>
              <w:jc w:val="both"/>
              <w:rPr>
                <w:rFonts w:ascii="Calibri" w:eastAsia="Calibri" w:hAnsi="Calibri" w:cs="Calibri"/>
                <w:sz w:val="24"/>
                <w:szCs w:val="24"/>
              </w:rPr>
            </w:pPr>
          </w:p>
        </w:tc>
        <w:tc>
          <w:tcPr>
            <w:tcW w:w="2505" w:type="dxa"/>
          </w:tcPr>
          <w:p w14:paraId="397B630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3801F27" w14:textId="4D935C76" w:rsidTr="00E6407C">
        <w:tc>
          <w:tcPr>
            <w:tcW w:w="7252" w:type="dxa"/>
          </w:tcPr>
          <w:p w14:paraId="73A81D7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85.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3107" w:type="dxa"/>
          </w:tcPr>
          <w:p w14:paraId="29295A0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D5B7814" w14:textId="171F5C6C" w:rsidR="00F62F78" w:rsidRPr="00D511FC" w:rsidRDefault="00F62F78" w:rsidP="005C38E7">
            <w:pPr>
              <w:spacing w:after="120"/>
              <w:jc w:val="both"/>
              <w:rPr>
                <w:rFonts w:ascii="Calibri" w:eastAsia="Calibri" w:hAnsi="Calibri" w:cs="Calibri"/>
                <w:sz w:val="24"/>
                <w:szCs w:val="24"/>
              </w:rPr>
            </w:pPr>
          </w:p>
        </w:tc>
        <w:tc>
          <w:tcPr>
            <w:tcW w:w="2505" w:type="dxa"/>
          </w:tcPr>
          <w:p w14:paraId="294EEEF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8D163AF" w14:textId="54313F62" w:rsidTr="00E6407C">
        <w:tc>
          <w:tcPr>
            <w:tcW w:w="7252" w:type="dxa"/>
          </w:tcPr>
          <w:p w14:paraId="3537CD7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A autorização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válida somente para a avaliação atuarial do ano de referência.</w:t>
            </w:r>
          </w:p>
        </w:tc>
        <w:tc>
          <w:tcPr>
            <w:tcW w:w="3107" w:type="dxa"/>
          </w:tcPr>
          <w:p w14:paraId="79B22D4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C2908A7" w14:textId="326F7A43" w:rsidR="00F62F78" w:rsidRPr="00D511FC" w:rsidRDefault="00F62F78" w:rsidP="005C38E7">
            <w:pPr>
              <w:spacing w:after="120"/>
              <w:jc w:val="both"/>
              <w:rPr>
                <w:rFonts w:ascii="Calibri" w:eastAsia="Calibri" w:hAnsi="Calibri" w:cs="Calibri"/>
                <w:sz w:val="24"/>
                <w:szCs w:val="24"/>
              </w:rPr>
            </w:pPr>
          </w:p>
        </w:tc>
        <w:tc>
          <w:tcPr>
            <w:tcW w:w="2505" w:type="dxa"/>
          </w:tcPr>
          <w:p w14:paraId="0059766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2EF2994" w14:textId="03204B87" w:rsidTr="00E6407C">
        <w:tc>
          <w:tcPr>
            <w:tcW w:w="7252" w:type="dxa"/>
          </w:tcPr>
          <w:p w14:paraId="53E9FF2C"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86.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w:t>
            </w:r>
          </w:p>
        </w:tc>
        <w:tc>
          <w:tcPr>
            <w:tcW w:w="3107" w:type="dxa"/>
          </w:tcPr>
          <w:p w14:paraId="0457D415"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80B0056" w14:textId="437F43C6" w:rsidR="00F62F78" w:rsidRPr="00D511FC" w:rsidRDefault="00F62F78" w:rsidP="005C38E7">
            <w:pPr>
              <w:spacing w:after="120"/>
              <w:jc w:val="both"/>
              <w:rPr>
                <w:rFonts w:ascii="Calibri" w:eastAsia="Calibri" w:hAnsi="Calibri" w:cs="Calibri"/>
                <w:sz w:val="24"/>
                <w:szCs w:val="24"/>
              </w:rPr>
            </w:pPr>
          </w:p>
        </w:tc>
        <w:tc>
          <w:tcPr>
            <w:tcW w:w="2505" w:type="dxa"/>
          </w:tcPr>
          <w:p w14:paraId="08FE220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0894141" w14:textId="186D5B27" w:rsidTr="00E6407C">
        <w:tc>
          <w:tcPr>
            <w:tcW w:w="7252" w:type="dxa"/>
          </w:tcPr>
          <w:p w14:paraId="3C1AF080"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Seção VIII</w:t>
            </w:r>
          </w:p>
        </w:tc>
        <w:tc>
          <w:tcPr>
            <w:tcW w:w="3107" w:type="dxa"/>
          </w:tcPr>
          <w:p w14:paraId="34E1593C"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4938661" w14:textId="386FD23E" w:rsidR="00F62F78" w:rsidRPr="00D511FC" w:rsidRDefault="00F62F78" w:rsidP="005C38E7">
            <w:pPr>
              <w:spacing w:after="120"/>
              <w:jc w:val="center"/>
              <w:rPr>
                <w:rFonts w:ascii="Calibri" w:eastAsia="Calibri" w:hAnsi="Calibri" w:cs="Calibri"/>
                <w:b/>
                <w:bCs/>
                <w:sz w:val="24"/>
                <w:szCs w:val="24"/>
              </w:rPr>
            </w:pPr>
          </w:p>
        </w:tc>
        <w:tc>
          <w:tcPr>
            <w:tcW w:w="2505" w:type="dxa"/>
          </w:tcPr>
          <w:p w14:paraId="364EA639"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7ECE3D3E" w14:textId="024B99A3" w:rsidTr="00E6407C">
        <w:tc>
          <w:tcPr>
            <w:tcW w:w="7252" w:type="dxa"/>
          </w:tcPr>
          <w:p w14:paraId="5C9943E3"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Contratação de Seguro em Planos de Benefícios</w:t>
            </w:r>
          </w:p>
        </w:tc>
        <w:tc>
          <w:tcPr>
            <w:tcW w:w="3107" w:type="dxa"/>
          </w:tcPr>
          <w:p w14:paraId="782137B9"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0AD9B7B" w14:textId="44291BED" w:rsidR="00F62F78" w:rsidRPr="00D511FC" w:rsidRDefault="00F62F78" w:rsidP="005C38E7">
            <w:pPr>
              <w:spacing w:after="120"/>
              <w:jc w:val="center"/>
              <w:rPr>
                <w:rFonts w:ascii="Calibri" w:eastAsia="Calibri" w:hAnsi="Calibri" w:cs="Calibri"/>
                <w:b/>
                <w:bCs/>
                <w:sz w:val="24"/>
                <w:szCs w:val="24"/>
              </w:rPr>
            </w:pPr>
          </w:p>
        </w:tc>
        <w:tc>
          <w:tcPr>
            <w:tcW w:w="2505" w:type="dxa"/>
          </w:tcPr>
          <w:p w14:paraId="2951B192" w14:textId="77777777" w:rsidR="00F62F78" w:rsidRPr="00D511FC" w:rsidRDefault="00F62F78" w:rsidP="005C38E7">
            <w:pPr>
              <w:spacing w:after="120"/>
              <w:jc w:val="center"/>
              <w:rPr>
                <w:rFonts w:ascii="Calibri" w:eastAsia="Calibri" w:hAnsi="Calibri" w:cs="Calibri"/>
                <w:b/>
                <w:bCs/>
                <w:sz w:val="24"/>
                <w:szCs w:val="24"/>
              </w:rPr>
            </w:pPr>
          </w:p>
        </w:tc>
      </w:tr>
      <w:tr w:rsidR="007C37FB" w:rsidRPr="00D511FC" w14:paraId="1B553B56" w14:textId="77777777" w:rsidTr="00E6407C">
        <w:tc>
          <w:tcPr>
            <w:tcW w:w="7252" w:type="dxa"/>
          </w:tcPr>
          <w:p w14:paraId="07317E4B" w14:textId="77777777" w:rsidR="007C37FB" w:rsidRPr="00D511FC" w:rsidRDefault="007C37FB" w:rsidP="005C38E7">
            <w:pPr>
              <w:spacing w:after="120"/>
              <w:jc w:val="both"/>
              <w:rPr>
                <w:rFonts w:ascii="Calibri" w:eastAsia="Calibri" w:hAnsi="Calibri" w:cs="Calibri"/>
                <w:sz w:val="24"/>
                <w:szCs w:val="24"/>
              </w:rPr>
            </w:pPr>
          </w:p>
        </w:tc>
        <w:tc>
          <w:tcPr>
            <w:tcW w:w="3107" w:type="dxa"/>
          </w:tcPr>
          <w:p w14:paraId="64F60F9A" w14:textId="7E489CFF" w:rsidR="007C37FB" w:rsidRDefault="007C37FB" w:rsidP="007C37FB">
            <w:pPr>
              <w:spacing w:after="120"/>
              <w:jc w:val="both"/>
              <w:rPr>
                <w:rFonts w:ascii="Calibri" w:eastAsia="Calibri" w:hAnsi="Calibri" w:cs="Calibri"/>
                <w:color w:val="FF0000"/>
                <w:sz w:val="24"/>
                <w:szCs w:val="24"/>
              </w:rPr>
            </w:pPr>
            <w:r>
              <w:rPr>
                <w:rFonts w:ascii="Calibri" w:eastAsia="Calibri" w:hAnsi="Calibri" w:cs="Calibri"/>
                <w:color w:val="FF0000"/>
                <w:sz w:val="24"/>
                <w:szCs w:val="24"/>
              </w:rPr>
              <w:t>IBA:</w:t>
            </w:r>
          </w:p>
          <w:p w14:paraId="6497DA71" w14:textId="3744C994"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Art. 2º Para fins desta Resolução, considera-se:</w:t>
            </w:r>
          </w:p>
          <w:p w14:paraId="2212BE01" w14:textId="7C846E39"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lastRenderedPageBreak/>
              <w:t>I</w:t>
            </w:r>
            <w:r w:rsidRPr="007C37FB">
              <w:rPr>
                <w:rFonts w:ascii="Calibri" w:eastAsia="Calibri" w:hAnsi="Calibri" w:cs="Calibri"/>
                <w:color w:val="FF0000"/>
                <w:sz w:val="24"/>
                <w:szCs w:val="24"/>
              </w:rPr>
              <w:tab/>
              <w:t>- indenização: pagamento efetuado por sociedade seguradora à EFPC referente às coberturas contratadas;</w:t>
            </w:r>
          </w:p>
          <w:p w14:paraId="3418BE17" w14:textId="7F8587CD"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II</w:t>
            </w:r>
            <w:r w:rsidRPr="007C37FB">
              <w:rPr>
                <w:rFonts w:ascii="Calibri" w:eastAsia="Calibri" w:hAnsi="Calibri" w:cs="Calibri"/>
                <w:color w:val="FF0000"/>
                <w:sz w:val="24"/>
                <w:szCs w:val="24"/>
              </w:rPr>
              <w:tab/>
              <w:t>- prêmio: importância paga pela EFPC à sociedade seguradora, na forma prevista em contrato;</w:t>
            </w:r>
          </w:p>
          <w:p w14:paraId="4A2EABFF" w14:textId="40B7B07E"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III</w:t>
            </w:r>
            <w:r w:rsidRPr="007C37FB">
              <w:rPr>
                <w:rFonts w:ascii="Calibri" w:eastAsia="Calibri" w:hAnsi="Calibri" w:cs="Calibri"/>
                <w:color w:val="FF0000"/>
                <w:sz w:val="24"/>
                <w:szCs w:val="24"/>
              </w:rPr>
              <w:tab/>
              <w:t>- saldo de conta total: valor correspondente à totalidade dos recursos alocados em nome do participante ou assistido com o objetivo de pagamento de benefícios, na forma prevista em regulamento do plano de benefícios;</w:t>
            </w:r>
          </w:p>
          <w:p w14:paraId="5BC66C45" w14:textId="61FAB6B3"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IV</w:t>
            </w:r>
            <w:r w:rsidRPr="007C37FB">
              <w:rPr>
                <w:rFonts w:ascii="Calibri" w:eastAsia="Calibri" w:hAnsi="Calibri" w:cs="Calibri"/>
                <w:color w:val="FF0000"/>
                <w:sz w:val="24"/>
                <w:szCs w:val="24"/>
              </w:rPr>
              <w:tab/>
              <w:t>- segurado: o participante, o assistido ou a EFPC, conforme o caso;</w:t>
            </w:r>
          </w:p>
          <w:p w14:paraId="08EE9C28" w14:textId="6A3FE491"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V</w:t>
            </w:r>
            <w:r w:rsidRPr="007C37FB">
              <w:rPr>
                <w:rFonts w:ascii="Calibri" w:eastAsia="Calibri" w:hAnsi="Calibri" w:cs="Calibri"/>
                <w:color w:val="FF0000"/>
                <w:sz w:val="24"/>
                <w:szCs w:val="24"/>
              </w:rPr>
              <w:tab/>
              <w:t>- cobertura parcial de risco: a cobertura contratada em valor parcial do benefício previsto em regulamento do plano de benefícios ou do fluxo de pagamento estimado;</w:t>
            </w:r>
          </w:p>
          <w:p w14:paraId="4982F07B" w14:textId="30306BF6"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VI</w:t>
            </w:r>
            <w:r w:rsidRPr="007C37FB">
              <w:rPr>
                <w:rFonts w:ascii="Calibri" w:eastAsia="Calibri" w:hAnsi="Calibri" w:cs="Calibri"/>
                <w:color w:val="FF0000"/>
                <w:sz w:val="24"/>
                <w:szCs w:val="24"/>
              </w:rPr>
              <w:tab/>
              <w:t xml:space="preserve">- cobertura total de risco: a cobertura contratada </w:t>
            </w:r>
            <w:r w:rsidRPr="007C37FB">
              <w:rPr>
                <w:rFonts w:ascii="Calibri" w:eastAsia="Calibri" w:hAnsi="Calibri" w:cs="Calibri"/>
                <w:color w:val="FF0000"/>
                <w:sz w:val="24"/>
                <w:szCs w:val="24"/>
              </w:rPr>
              <w:lastRenderedPageBreak/>
              <w:t xml:space="preserve">correspondente à totalidade do valor do benefício previsto em regulamento do plano de benefícios ou do fluxo de pagamento estimado; </w:t>
            </w:r>
          </w:p>
          <w:p w14:paraId="0FBBE0DE" w14:textId="4CAA9BAD"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VII</w:t>
            </w:r>
            <w:r w:rsidRPr="007C37FB">
              <w:rPr>
                <w:rFonts w:ascii="Calibri" w:eastAsia="Calibri" w:hAnsi="Calibri" w:cs="Calibri"/>
                <w:color w:val="FF0000"/>
                <w:sz w:val="24"/>
                <w:szCs w:val="24"/>
              </w:rPr>
              <w:tab/>
              <w:t>- cobertura adicional de risco: a cobertura oferecida aos participantes em planos cujos benefícios decorrentes de invalidez e morte sejam estruturados unicamente com base em saldos de contas; e</w:t>
            </w:r>
          </w:p>
          <w:p w14:paraId="10C6C4D0" w14:textId="35AE6B28" w:rsidR="007C37FB" w:rsidRPr="007C37FB" w:rsidRDefault="007C37FB" w:rsidP="007C37FB">
            <w:pPr>
              <w:spacing w:after="120"/>
              <w:jc w:val="both"/>
              <w:rPr>
                <w:rFonts w:ascii="Calibri" w:eastAsia="Calibri" w:hAnsi="Calibri" w:cs="Calibri"/>
                <w:color w:val="FF0000"/>
                <w:sz w:val="24"/>
                <w:szCs w:val="24"/>
              </w:rPr>
            </w:pPr>
            <w:r w:rsidRPr="007C37FB">
              <w:rPr>
                <w:rFonts w:ascii="Calibri" w:eastAsia="Calibri" w:hAnsi="Calibri" w:cs="Calibri"/>
                <w:color w:val="FF0000"/>
                <w:sz w:val="24"/>
                <w:szCs w:val="24"/>
              </w:rPr>
              <w:t>VIII</w:t>
            </w:r>
            <w:r w:rsidRPr="007C37FB">
              <w:rPr>
                <w:rFonts w:ascii="Calibri" w:eastAsia="Calibri" w:hAnsi="Calibri" w:cs="Calibri"/>
                <w:color w:val="FF0000"/>
                <w:sz w:val="24"/>
                <w:szCs w:val="24"/>
              </w:rPr>
              <w:tab/>
              <w:t>- contrato de seguro: instrumento firmado entre a EFPC e a sociedade seguradora com a finalidade exclusiva de disciplinar a contratação de seguro para cobertura de riscos de plano de benefícios.</w:t>
            </w:r>
          </w:p>
        </w:tc>
        <w:tc>
          <w:tcPr>
            <w:tcW w:w="2552" w:type="dxa"/>
          </w:tcPr>
          <w:p w14:paraId="34791091" w14:textId="232AF984" w:rsidR="007C37FB" w:rsidRPr="00D511FC" w:rsidRDefault="007C37FB" w:rsidP="005C38E7">
            <w:pPr>
              <w:spacing w:after="120"/>
              <w:jc w:val="both"/>
              <w:rPr>
                <w:rFonts w:ascii="Calibri" w:eastAsia="Calibri" w:hAnsi="Calibri" w:cs="Calibri"/>
                <w:sz w:val="24"/>
                <w:szCs w:val="24"/>
              </w:rPr>
            </w:pPr>
            <w:r>
              <w:rPr>
                <w:rFonts w:ascii="Calibri" w:eastAsia="Calibri" w:hAnsi="Calibri" w:cs="Calibri"/>
                <w:sz w:val="24"/>
                <w:szCs w:val="24"/>
              </w:rPr>
              <w:lastRenderedPageBreak/>
              <w:t xml:space="preserve">IBA: </w:t>
            </w:r>
            <w:r w:rsidRPr="007C37FB">
              <w:rPr>
                <w:rFonts w:ascii="Calibri" w:eastAsia="Calibri" w:hAnsi="Calibri" w:cs="Calibri"/>
                <w:sz w:val="24"/>
                <w:szCs w:val="24"/>
              </w:rPr>
              <w:t xml:space="preserve">Os membros do Comitê Técnico entendem que é importante que estas </w:t>
            </w:r>
            <w:r w:rsidRPr="007C37FB">
              <w:rPr>
                <w:rFonts w:ascii="Calibri" w:eastAsia="Calibri" w:hAnsi="Calibri" w:cs="Calibri"/>
                <w:sz w:val="24"/>
                <w:szCs w:val="24"/>
              </w:rPr>
              <w:t>definições</w:t>
            </w:r>
            <w:r>
              <w:rPr>
                <w:rFonts w:ascii="Calibri" w:eastAsia="Calibri" w:hAnsi="Calibri" w:cs="Calibri"/>
                <w:sz w:val="24"/>
                <w:szCs w:val="24"/>
              </w:rPr>
              <w:t xml:space="preserve"> constem da norma.</w:t>
            </w:r>
          </w:p>
        </w:tc>
        <w:tc>
          <w:tcPr>
            <w:tcW w:w="2505" w:type="dxa"/>
          </w:tcPr>
          <w:p w14:paraId="237D5C93" w14:textId="2B151008" w:rsidR="007C37FB" w:rsidRPr="00D511FC" w:rsidRDefault="007C37FB" w:rsidP="005C38E7">
            <w:pPr>
              <w:spacing w:after="120"/>
              <w:jc w:val="both"/>
              <w:rPr>
                <w:rFonts w:ascii="Calibri" w:eastAsia="Calibri" w:hAnsi="Calibri" w:cs="Calibri"/>
                <w:sz w:val="24"/>
                <w:szCs w:val="24"/>
              </w:rPr>
            </w:pPr>
            <w:r w:rsidRPr="000F293D">
              <w:rPr>
                <w:rFonts w:ascii="Calibri" w:eastAsia="Calibri" w:hAnsi="Calibri" w:cs="Calibri"/>
                <w:b/>
                <w:bCs/>
                <w:sz w:val="24"/>
                <w:szCs w:val="24"/>
              </w:rPr>
              <w:lastRenderedPageBreak/>
              <w:t>NÃO ACATAR.</w:t>
            </w:r>
            <w:r>
              <w:rPr>
                <w:rFonts w:ascii="Calibri" w:eastAsia="Calibri" w:hAnsi="Calibri" w:cs="Calibri"/>
                <w:sz w:val="24"/>
                <w:szCs w:val="24"/>
              </w:rPr>
              <w:t xml:space="preserve"> </w:t>
            </w:r>
            <w:r w:rsidRPr="007C37FB">
              <w:rPr>
                <w:rFonts w:ascii="Calibri" w:eastAsia="Calibri" w:hAnsi="Calibri" w:cs="Calibri"/>
                <w:sz w:val="24"/>
                <w:szCs w:val="24"/>
              </w:rPr>
              <w:t xml:space="preserve">As definições dizem respeito à matéria de </w:t>
            </w:r>
            <w:r w:rsidRPr="007C37FB">
              <w:rPr>
                <w:rFonts w:ascii="Calibri" w:eastAsia="Calibri" w:hAnsi="Calibri" w:cs="Calibri"/>
                <w:sz w:val="24"/>
                <w:szCs w:val="24"/>
              </w:rPr>
              <w:lastRenderedPageBreak/>
              <w:t>seguros, que não é de competência da Previc.</w:t>
            </w:r>
          </w:p>
        </w:tc>
      </w:tr>
      <w:tr w:rsidR="00F62F78" w:rsidRPr="00D511FC" w14:paraId="1770D587" w14:textId="3E160017" w:rsidTr="00E6407C">
        <w:tc>
          <w:tcPr>
            <w:tcW w:w="7252" w:type="dxa"/>
          </w:tcPr>
          <w:p w14:paraId="4910754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Art. 87.  A EFPC pode contratar, observados os melhores preços ofertados para planos com mesmas características, seguro específico para cobertura dos seguintes riscos em planos de benefícios:</w:t>
            </w:r>
          </w:p>
        </w:tc>
        <w:tc>
          <w:tcPr>
            <w:tcW w:w="3107" w:type="dxa"/>
          </w:tcPr>
          <w:p w14:paraId="31DB540E" w14:textId="77777777" w:rsidR="00F62F78" w:rsidRDefault="00A75300" w:rsidP="005C38E7">
            <w:pPr>
              <w:spacing w:after="120"/>
              <w:jc w:val="both"/>
              <w:rPr>
                <w:rFonts w:ascii="Calibri" w:eastAsia="Calibri" w:hAnsi="Calibri" w:cs="Calibri"/>
                <w:sz w:val="24"/>
                <w:szCs w:val="24"/>
              </w:rPr>
            </w:pPr>
            <w:r>
              <w:rPr>
                <w:rFonts w:ascii="Calibri" w:eastAsia="Calibri" w:hAnsi="Calibri" w:cs="Calibri"/>
                <w:sz w:val="24"/>
                <w:szCs w:val="24"/>
              </w:rPr>
              <w:t>IBA:</w:t>
            </w:r>
          </w:p>
          <w:p w14:paraId="64B995B7" w14:textId="5ED75BD3" w:rsidR="00A75300" w:rsidRPr="00D511FC" w:rsidRDefault="00A75300" w:rsidP="005C38E7">
            <w:pPr>
              <w:spacing w:after="120"/>
              <w:jc w:val="both"/>
              <w:rPr>
                <w:rFonts w:ascii="Calibri" w:eastAsia="Calibri" w:hAnsi="Calibri" w:cs="Calibri"/>
                <w:sz w:val="24"/>
                <w:szCs w:val="24"/>
              </w:rPr>
            </w:pPr>
            <w:r w:rsidRPr="00A75300">
              <w:rPr>
                <w:rFonts w:ascii="Calibri" w:eastAsia="Calibri" w:hAnsi="Calibri" w:cs="Calibri"/>
                <w:color w:val="FF0000"/>
                <w:sz w:val="24"/>
                <w:szCs w:val="24"/>
              </w:rPr>
              <w:t>Art. 87.  A EFPC pode contratar seguro específico para cobertura dos seguintes riscos em planos de benefícios:</w:t>
            </w:r>
          </w:p>
        </w:tc>
        <w:tc>
          <w:tcPr>
            <w:tcW w:w="2552" w:type="dxa"/>
          </w:tcPr>
          <w:p w14:paraId="429E24D8" w14:textId="3BF93FE0" w:rsidR="00F62F78" w:rsidRPr="00D511FC" w:rsidRDefault="00A75300" w:rsidP="005C38E7">
            <w:pPr>
              <w:spacing w:after="120"/>
              <w:jc w:val="both"/>
              <w:rPr>
                <w:rFonts w:ascii="Calibri" w:eastAsia="Calibri" w:hAnsi="Calibri" w:cs="Calibri"/>
                <w:sz w:val="24"/>
                <w:szCs w:val="24"/>
              </w:rPr>
            </w:pPr>
            <w:r>
              <w:rPr>
                <w:rFonts w:ascii="Calibri" w:eastAsia="Calibri" w:hAnsi="Calibri" w:cs="Calibri"/>
                <w:sz w:val="24"/>
                <w:szCs w:val="24"/>
              </w:rPr>
              <w:t xml:space="preserve">IBA: </w:t>
            </w:r>
            <w:r w:rsidRPr="00A75300">
              <w:rPr>
                <w:rFonts w:ascii="Calibri" w:eastAsia="Calibri" w:hAnsi="Calibri" w:cs="Calibri"/>
                <w:sz w:val="24"/>
                <w:szCs w:val="24"/>
              </w:rPr>
              <w:t xml:space="preserve">A obrigação de observar melhores preços e condições já é uma obrigação dos administradores em seu dever fiduciário, não sendo necessário constar em norma a obrigatoriedade de analisar os “melhores </w:t>
            </w:r>
            <w:r w:rsidRPr="00A75300">
              <w:rPr>
                <w:rFonts w:ascii="Calibri" w:eastAsia="Calibri" w:hAnsi="Calibri" w:cs="Calibri"/>
                <w:sz w:val="24"/>
                <w:szCs w:val="24"/>
              </w:rPr>
              <w:lastRenderedPageBreak/>
              <w:t>preços ofertados”.</w:t>
            </w:r>
            <w:r>
              <w:rPr>
                <w:rFonts w:ascii="Calibri" w:eastAsia="Calibri" w:hAnsi="Calibri" w:cs="Calibri"/>
                <w:sz w:val="24"/>
                <w:szCs w:val="24"/>
              </w:rPr>
              <w:t xml:space="preserve"> </w:t>
            </w:r>
            <w:r w:rsidRPr="00A75300">
              <w:rPr>
                <w:rFonts w:ascii="Calibri" w:eastAsia="Calibri" w:hAnsi="Calibri" w:cs="Calibri"/>
                <w:sz w:val="24"/>
                <w:szCs w:val="24"/>
              </w:rPr>
              <w:t>Além disso, trata-se de um critério subjetivo, visto que um contrato de seguro envolve outras questões além do preço, como condições de cobertura, qualidade do atendimento e expertise da seguradora, eventual transferência de know-how da seguradora para os gestores da EFPC (principalmente em planos novos), etc.</w:t>
            </w:r>
          </w:p>
        </w:tc>
        <w:tc>
          <w:tcPr>
            <w:tcW w:w="2505" w:type="dxa"/>
          </w:tcPr>
          <w:p w14:paraId="6D0E38DC" w14:textId="03048B33" w:rsidR="00F62F78" w:rsidRPr="00D511FC" w:rsidRDefault="00A75300" w:rsidP="005C38E7">
            <w:pPr>
              <w:spacing w:after="120"/>
              <w:jc w:val="both"/>
              <w:rPr>
                <w:rFonts w:ascii="Calibri" w:eastAsia="Calibri" w:hAnsi="Calibri" w:cs="Calibri"/>
                <w:sz w:val="24"/>
                <w:szCs w:val="24"/>
              </w:rPr>
            </w:pPr>
            <w:r w:rsidRPr="00A75300">
              <w:rPr>
                <w:rFonts w:ascii="Calibri" w:eastAsia="Calibri" w:hAnsi="Calibri" w:cs="Calibri"/>
                <w:b/>
                <w:bCs/>
                <w:sz w:val="24"/>
                <w:szCs w:val="24"/>
              </w:rPr>
              <w:lastRenderedPageBreak/>
              <w:t>NÃO ACATAR</w:t>
            </w:r>
            <w:r>
              <w:rPr>
                <w:rFonts w:ascii="Calibri" w:eastAsia="Calibri" w:hAnsi="Calibri" w:cs="Calibri"/>
                <w:sz w:val="24"/>
                <w:szCs w:val="24"/>
              </w:rPr>
              <w:t>. As e</w:t>
            </w:r>
            <w:r w:rsidRPr="00A75300">
              <w:rPr>
                <w:rFonts w:ascii="Calibri" w:eastAsia="Calibri" w:hAnsi="Calibri" w:cs="Calibri"/>
                <w:sz w:val="24"/>
                <w:szCs w:val="24"/>
              </w:rPr>
              <w:t xml:space="preserve">xigências sugeridas </w:t>
            </w:r>
            <w:r>
              <w:rPr>
                <w:rFonts w:ascii="Calibri" w:eastAsia="Calibri" w:hAnsi="Calibri" w:cs="Calibri"/>
                <w:sz w:val="24"/>
                <w:szCs w:val="24"/>
              </w:rPr>
              <w:t>visa a</w:t>
            </w:r>
            <w:r w:rsidRPr="00A75300">
              <w:rPr>
                <w:rFonts w:ascii="Calibri" w:eastAsia="Calibri" w:hAnsi="Calibri" w:cs="Calibri"/>
                <w:sz w:val="24"/>
                <w:szCs w:val="24"/>
              </w:rPr>
              <w:t xml:space="preserve"> </w:t>
            </w:r>
            <w:r>
              <w:rPr>
                <w:rFonts w:ascii="Calibri" w:eastAsia="Calibri" w:hAnsi="Calibri" w:cs="Calibri"/>
                <w:sz w:val="24"/>
                <w:szCs w:val="24"/>
              </w:rPr>
              <w:t>qualificação</w:t>
            </w:r>
            <w:r w:rsidRPr="00A75300">
              <w:rPr>
                <w:rFonts w:ascii="Calibri" w:eastAsia="Calibri" w:hAnsi="Calibri" w:cs="Calibri"/>
                <w:sz w:val="24"/>
                <w:szCs w:val="24"/>
              </w:rPr>
              <w:t xml:space="preserve"> </w:t>
            </w:r>
            <w:r>
              <w:rPr>
                <w:rFonts w:ascii="Calibri" w:eastAsia="Calibri" w:hAnsi="Calibri" w:cs="Calibri"/>
                <w:sz w:val="24"/>
                <w:szCs w:val="24"/>
              </w:rPr>
              <w:t>d</w:t>
            </w:r>
            <w:r w:rsidRPr="00A75300">
              <w:rPr>
                <w:rFonts w:ascii="Calibri" w:eastAsia="Calibri" w:hAnsi="Calibri" w:cs="Calibri"/>
                <w:sz w:val="24"/>
                <w:szCs w:val="24"/>
              </w:rPr>
              <w:t>a contratação de seguros pelas EFPC.</w:t>
            </w:r>
          </w:p>
        </w:tc>
      </w:tr>
      <w:tr w:rsidR="00F62F78" w:rsidRPr="00D511FC" w14:paraId="7D79627D" w14:textId="55A84D33" w:rsidTr="00E6407C">
        <w:tc>
          <w:tcPr>
            <w:tcW w:w="7252" w:type="dxa"/>
          </w:tcPr>
          <w:p w14:paraId="5EBC6B9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invalidez de participante;</w:t>
            </w:r>
          </w:p>
        </w:tc>
        <w:tc>
          <w:tcPr>
            <w:tcW w:w="3107" w:type="dxa"/>
          </w:tcPr>
          <w:p w14:paraId="3984878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AF06BBF" w14:textId="3EB1793A" w:rsidR="00F62F78" w:rsidRPr="00D511FC" w:rsidRDefault="00F62F78" w:rsidP="005C38E7">
            <w:pPr>
              <w:spacing w:after="120"/>
              <w:jc w:val="both"/>
              <w:rPr>
                <w:rFonts w:ascii="Calibri" w:eastAsia="Calibri" w:hAnsi="Calibri" w:cs="Calibri"/>
                <w:sz w:val="24"/>
                <w:szCs w:val="24"/>
              </w:rPr>
            </w:pPr>
          </w:p>
        </w:tc>
        <w:tc>
          <w:tcPr>
            <w:tcW w:w="2505" w:type="dxa"/>
          </w:tcPr>
          <w:p w14:paraId="34A6925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9632D3C" w14:textId="7548F443" w:rsidTr="00E6407C">
        <w:tc>
          <w:tcPr>
            <w:tcW w:w="7252" w:type="dxa"/>
          </w:tcPr>
          <w:p w14:paraId="34C44A4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morte de participante ou assistido;</w:t>
            </w:r>
          </w:p>
        </w:tc>
        <w:tc>
          <w:tcPr>
            <w:tcW w:w="3107" w:type="dxa"/>
          </w:tcPr>
          <w:p w14:paraId="3D3130A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6C39597" w14:textId="2C511220" w:rsidR="00F62F78" w:rsidRPr="00D511FC" w:rsidRDefault="00F62F78" w:rsidP="005C38E7">
            <w:pPr>
              <w:spacing w:after="120"/>
              <w:jc w:val="both"/>
              <w:rPr>
                <w:rFonts w:ascii="Calibri" w:eastAsia="Calibri" w:hAnsi="Calibri" w:cs="Calibri"/>
                <w:sz w:val="24"/>
                <w:szCs w:val="24"/>
              </w:rPr>
            </w:pPr>
          </w:p>
        </w:tc>
        <w:tc>
          <w:tcPr>
            <w:tcW w:w="2505" w:type="dxa"/>
          </w:tcPr>
          <w:p w14:paraId="0ACF945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B49410D" w14:textId="5879C981" w:rsidTr="00E6407C">
        <w:tc>
          <w:tcPr>
            <w:tcW w:w="7252" w:type="dxa"/>
          </w:tcPr>
          <w:p w14:paraId="1CCB38A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sobrevivência do assistido;</w:t>
            </w:r>
          </w:p>
        </w:tc>
        <w:tc>
          <w:tcPr>
            <w:tcW w:w="3107" w:type="dxa"/>
          </w:tcPr>
          <w:p w14:paraId="52AD4A8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431B87A" w14:textId="2324B7D6" w:rsidR="00F62F78" w:rsidRPr="00D511FC" w:rsidRDefault="00F62F78" w:rsidP="005C38E7">
            <w:pPr>
              <w:spacing w:after="120"/>
              <w:jc w:val="both"/>
              <w:rPr>
                <w:rFonts w:ascii="Calibri" w:eastAsia="Calibri" w:hAnsi="Calibri" w:cs="Calibri"/>
                <w:sz w:val="24"/>
                <w:szCs w:val="24"/>
              </w:rPr>
            </w:pPr>
          </w:p>
        </w:tc>
        <w:tc>
          <w:tcPr>
            <w:tcW w:w="2505" w:type="dxa"/>
          </w:tcPr>
          <w:p w14:paraId="5334512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F630C7B" w14:textId="1919FF3D" w:rsidTr="00E6407C">
        <w:tc>
          <w:tcPr>
            <w:tcW w:w="7252" w:type="dxa"/>
          </w:tcPr>
          <w:p w14:paraId="0451562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IV - desvios das hipóteses biométricas; e</w:t>
            </w:r>
          </w:p>
        </w:tc>
        <w:tc>
          <w:tcPr>
            <w:tcW w:w="3107" w:type="dxa"/>
          </w:tcPr>
          <w:p w14:paraId="1C0265C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8DD5044" w14:textId="5D12242B" w:rsidR="00F62F78" w:rsidRPr="00D511FC" w:rsidRDefault="00F62F78" w:rsidP="005C38E7">
            <w:pPr>
              <w:spacing w:after="120"/>
              <w:jc w:val="both"/>
              <w:rPr>
                <w:rFonts w:ascii="Calibri" w:eastAsia="Calibri" w:hAnsi="Calibri" w:cs="Calibri"/>
                <w:sz w:val="24"/>
                <w:szCs w:val="24"/>
              </w:rPr>
            </w:pPr>
          </w:p>
        </w:tc>
        <w:tc>
          <w:tcPr>
            <w:tcW w:w="2505" w:type="dxa"/>
          </w:tcPr>
          <w:p w14:paraId="1561983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1B7A6E5" w14:textId="5C19FDCD" w:rsidTr="00E6407C">
        <w:tc>
          <w:tcPr>
            <w:tcW w:w="7252" w:type="dxa"/>
          </w:tcPr>
          <w:p w14:paraId="55E29D4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 - outros riscos atuariais ou financeiros.</w:t>
            </w:r>
          </w:p>
        </w:tc>
        <w:tc>
          <w:tcPr>
            <w:tcW w:w="3107" w:type="dxa"/>
          </w:tcPr>
          <w:p w14:paraId="4A505D5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D5EF84D" w14:textId="230678AE" w:rsidR="00F62F78" w:rsidRPr="00D511FC" w:rsidRDefault="00F62F78" w:rsidP="005C38E7">
            <w:pPr>
              <w:spacing w:after="120"/>
              <w:jc w:val="both"/>
              <w:rPr>
                <w:rFonts w:ascii="Calibri" w:eastAsia="Calibri" w:hAnsi="Calibri" w:cs="Calibri"/>
                <w:sz w:val="24"/>
                <w:szCs w:val="24"/>
              </w:rPr>
            </w:pPr>
          </w:p>
        </w:tc>
        <w:tc>
          <w:tcPr>
            <w:tcW w:w="2505" w:type="dxa"/>
          </w:tcPr>
          <w:p w14:paraId="6C2A90A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6AABE8D" w14:textId="37FCB8E1" w:rsidTr="00E6407C">
        <w:tc>
          <w:tcPr>
            <w:tcW w:w="7252" w:type="dxa"/>
          </w:tcPr>
          <w:p w14:paraId="2D8A88B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Parágrafo único.  Os riscos previstos </w:t>
            </w:r>
            <w:r w:rsidRPr="00D511FC">
              <w:rPr>
                <w:rFonts w:ascii="Calibri" w:eastAsia="Calibri" w:hAnsi="Calibri" w:cs="Calibri"/>
                <w:b/>
                <w:bCs/>
                <w:sz w:val="24"/>
                <w:szCs w:val="24"/>
              </w:rPr>
              <w:t>no caput</w:t>
            </w:r>
            <w:r w:rsidRPr="00D511FC">
              <w:rPr>
                <w:rFonts w:ascii="Calibri" w:eastAsia="Calibri" w:hAnsi="Calibri" w:cs="Calibri"/>
                <w:sz w:val="24"/>
                <w:szCs w:val="24"/>
              </w:rPr>
              <w:t xml:space="preserve"> podem ter cobertura total ou parcial.</w:t>
            </w:r>
          </w:p>
        </w:tc>
        <w:tc>
          <w:tcPr>
            <w:tcW w:w="3107" w:type="dxa"/>
          </w:tcPr>
          <w:p w14:paraId="5933630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7684078" w14:textId="081999F1" w:rsidR="00F62F78" w:rsidRPr="00D511FC" w:rsidRDefault="00F62F78" w:rsidP="005C38E7">
            <w:pPr>
              <w:spacing w:after="120"/>
              <w:jc w:val="both"/>
              <w:rPr>
                <w:rFonts w:ascii="Calibri" w:eastAsia="Calibri" w:hAnsi="Calibri" w:cs="Calibri"/>
                <w:sz w:val="24"/>
                <w:szCs w:val="24"/>
              </w:rPr>
            </w:pPr>
          </w:p>
        </w:tc>
        <w:tc>
          <w:tcPr>
            <w:tcW w:w="2505" w:type="dxa"/>
          </w:tcPr>
          <w:p w14:paraId="754D519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B555323" w14:textId="32404DD3" w:rsidTr="00E6407C">
        <w:tc>
          <w:tcPr>
            <w:tcW w:w="7252" w:type="dxa"/>
          </w:tcPr>
          <w:p w14:paraId="4F5CEF4E"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58BB47BE"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C82A91E" w14:textId="236AF164" w:rsidR="00F62F78" w:rsidRPr="00D511FC" w:rsidRDefault="00F62F78" w:rsidP="005C38E7">
            <w:pPr>
              <w:spacing w:after="120"/>
              <w:jc w:val="center"/>
              <w:rPr>
                <w:rFonts w:ascii="Calibri" w:eastAsia="Calibri" w:hAnsi="Calibri" w:cs="Calibri"/>
                <w:b/>
                <w:bCs/>
                <w:sz w:val="24"/>
                <w:szCs w:val="24"/>
              </w:rPr>
            </w:pPr>
          </w:p>
        </w:tc>
        <w:tc>
          <w:tcPr>
            <w:tcW w:w="2505" w:type="dxa"/>
          </w:tcPr>
          <w:p w14:paraId="67F6593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1E5C80DC" w14:textId="70C96A58" w:rsidTr="00E6407C">
        <w:tc>
          <w:tcPr>
            <w:tcW w:w="7252" w:type="dxa"/>
          </w:tcPr>
          <w:p w14:paraId="53632A59"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Contrato de Seguro</w:t>
            </w:r>
          </w:p>
        </w:tc>
        <w:tc>
          <w:tcPr>
            <w:tcW w:w="3107" w:type="dxa"/>
          </w:tcPr>
          <w:p w14:paraId="0495C4A8"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5FBD1D0D" w14:textId="23BC29A1" w:rsidR="00F62F78" w:rsidRPr="00D511FC" w:rsidRDefault="00F62F78" w:rsidP="005C38E7">
            <w:pPr>
              <w:spacing w:after="120"/>
              <w:jc w:val="center"/>
              <w:rPr>
                <w:rFonts w:ascii="Calibri" w:eastAsia="Calibri" w:hAnsi="Calibri" w:cs="Calibri"/>
                <w:b/>
                <w:bCs/>
                <w:sz w:val="24"/>
                <w:szCs w:val="24"/>
              </w:rPr>
            </w:pPr>
          </w:p>
        </w:tc>
        <w:tc>
          <w:tcPr>
            <w:tcW w:w="2505" w:type="dxa"/>
          </w:tcPr>
          <w:p w14:paraId="7A01AA3A"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6571BFFD" w14:textId="2CEC6171" w:rsidTr="00E6407C">
        <w:tc>
          <w:tcPr>
            <w:tcW w:w="7252" w:type="dxa"/>
          </w:tcPr>
          <w:p w14:paraId="5DC83A4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88.  O contrato de seguro, em relação a cada plano de benefícios, deve dispor, no mínimo, sobre:</w:t>
            </w:r>
          </w:p>
        </w:tc>
        <w:tc>
          <w:tcPr>
            <w:tcW w:w="3107" w:type="dxa"/>
          </w:tcPr>
          <w:p w14:paraId="7F22A8B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249FD79" w14:textId="00A6193B" w:rsidR="00F62F78" w:rsidRPr="00D511FC" w:rsidRDefault="00F62F78" w:rsidP="005C38E7">
            <w:pPr>
              <w:spacing w:after="120"/>
              <w:jc w:val="both"/>
              <w:rPr>
                <w:rFonts w:ascii="Calibri" w:eastAsia="Calibri" w:hAnsi="Calibri" w:cs="Calibri"/>
                <w:sz w:val="24"/>
                <w:szCs w:val="24"/>
              </w:rPr>
            </w:pPr>
          </w:p>
        </w:tc>
        <w:tc>
          <w:tcPr>
            <w:tcW w:w="2505" w:type="dxa"/>
          </w:tcPr>
          <w:p w14:paraId="0362F4F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A621CF2" w14:textId="065C2ABB" w:rsidTr="00E6407C">
        <w:tc>
          <w:tcPr>
            <w:tcW w:w="7252" w:type="dxa"/>
          </w:tcPr>
          <w:p w14:paraId="57DF3E3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 - descrição das coberturas, indicando as importâncias seguradas de responsabilidade da sociedade seguradora, bem como as formas de atualização ou recálculo;</w:t>
            </w:r>
          </w:p>
        </w:tc>
        <w:tc>
          <w:tcPr>
            <w:tcW w:w="3107" w:type="dxa"/>
          </w:tcPr>
          <w:p w14:paraId="685EFA7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ABAD85F" w14:textId="6FB0B00E" w:rsidR="00F62F78" w:rsidRPr="00D511FC" w:rsidRDefault="00F62F78" w:rsidP="005C38E7">
            <w:pPr>
              <w:spacing w:after="120"/>
              <w:jc w:val="both"/>
              <w:rPr>
                <w:rFonts w:ascii="Calibri" w:eastAsia="Calibri" w:hAnsi="Calibri" w:cs="Calibri"/>
                <w:sz w:val="24"/>
                <w:szCs w:val="24"/>
              </w:rPr>
            </w:pPr>
          </w:p>
        </w:tc>
        <w:tc>
          <w:tcPr>
            <w:tcW w:w="2505" w:type="dxa"/>
          </w:tcPr>
          <w:p w14:paraId="18E0059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C5D0CD1" w14:textId="6543AB3A" w:rsidTr="00E6407C">
        <w:tc>
          <w:tcPr>
            <w:tcW w:w="7252" w:type="dxa"/>
          </w:tcPr>
          <w:p w14:paraId="10FD316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tc>
        <w:tc>
          <w:tcPr>
            <w:tcW w:w="3107" w:type="dxa"/>
          </w:tcPr>
          <w:p w14:paraId="0811738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FB7207D" w14:textId="1EBB073D" w:rsidR="00F62F78" w:rsidRPr="00D511FC" w:rsidRDefault="00F62F78" w:rsidP="005C38E7">
            <w:pPr>
              <w:spacing w:after="120"/>
              <w:jc w:val="both"/>
              <w:rPr>
                <w:rFonts w:ascii="Calibri" w:eastAsia="Calibri" w:hAnsi="Calibri" w:cs="Calibri"/>
                <w:sz w:val="24"/>
                <w:szCs w:val="24"/>
              </w:rPr>
            </w:pPr>
          </w:p>
        </w:tc>
        <w:tc>
          <w:tcPr>
            <w:tcW w:w="2505" w:type="dxa"/>
          </w:tcPr>
          <w:p w14:paraId="700CB87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2EFA279" w14:textId="330CC83A" w:rsidTr="00E6407C">
        <w:tc>
          <w:tcPr>
            <w:tcW w:w="7252" w:type="dxa"/>
          </w:tcPr>
          <w:p w14:paraId="78C183F1"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3107" w:type="dxa"/>
          </w:tcPr>
          <w:p w14:paraId="33CD6741"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DBCB971" w14:textId="20889BCA" w:rsidR="00F62F78" w:rsidRPr="00D511FC" w:rsidRDefault="00F62F78" w:rsidP="005C38E7">
            <w:pPr>
              <w:spacing w:after="120"/>
              <w:jc w:val="both"/>
              <w:rPr>
                <w:rFonts w:ascii="Calibri" w:eastAsia="Calibri" w:hAnsi="Calibri" w:cs="Calibri"/>
                <w:sz w:val="24"/>
                <w:szCs w:val="24"/>
              </w:rPr>
            </w:pPr>
          </w:p>
        </w:tc>
        <w:tc>
          <w:tcPr>
            <w:tcW w:w="2505" w:type="dxa"/>
          </w:tcPr>
          <w:p w14:paraId="0C6A389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260E7F5" w14:textId="620A5C7C" w:rsidTr="00E6407C">
        <w:tc>
          <w:tcPr>
            <w:tcW w:w="7252" w:type="dxa"/>
          </w:tcPr>
          <w:p w14:paraId="2E38C16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IV - prazo de vigência do contrato, que não pode ser indeterminado;</w:t>
            </w:r>
          </w:p>
        </w:tc>
        <w:tc>
          <w:tcPr>
            <w:tcW w:w="3107" w:type="dxa"/>
          </w:tcPr>
          <w:p w14:paraId="7672B4C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34C66D43" w14:textId="69FEFE67" w:rsidR="00F62F78" w:rsidRPr="00D511FC" w:rsidRDefault="00F62F78" w:rsidP="005C38E7">
            <w:pPr>
              <w:spacing w:after="120"/>
              <w:jc w:val="both"/>
              <w:rPr>
                <w:rFonts w:ascii="Calibri" w:eastAsia="Calibri" w:hAnsi="Calibri" w:cs="Calibri"/>
                <w:sz w:val="24"/>
                <w:szCs w:val="24"/>
              </w:rPr>
            </w:pPr>
          </w:p>
        </w:tc>
        <w:tc>
          <w:tcPr>
            <w:tcW w:w="2505" w:type="dxa"/>
          </w:tcPr>
          <w:p w14:paraId="428AFA8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A5F916E" w14:textId="68B9118F" w:rsidTr="00E6407C">
        <w:tc>
          <w:tcPr>
            <w:tcW w:w="7252" w:type="dxa"/>
          </w:tcPr>
          <w:p w14:paraId="6AAF83C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 - previsão de pagamento das rendas contratadas junto à sociedade seguradora, no caso de rescisão ou não renovação do contrato;</w:t>
            </w:r>
          </w:p>
        </w:tc>
        <w:tc>
          <w:tcPr>
            <w:tcW w:w="3107" w:type="dxa"/>
          </w:tcPr>
          <w:p w14:paraId="6595FCF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63F84E4" w14:textId="298EC7DC" w:rsidR="00F62F78" w:rsidRPr="00D511FC" w:rsidRDefault="00F62F78" w:rsidP="005C38E7">
            <w:pPr>
              <w:spacing w:after="120"/>
              <w:jc w:val="both"/>
              <w:rPr>
                <w:rFonts w:ascii="Calibri" w:eastAsia="Calibri" w:hAnsi="Calibri" w:cs="Calibri"/>
                <w:sz w:val="24"/>
                <w:szCs w:val="24"/>
              </w:rPr>
            </w:pPr>
          </w:p>
        </w:tc>
        <w:tc>
          <w:tcPr>
            <w:tcW w:w="2505" w:type="dxa"/>
          </w:tcPr>
          <w:p w14:paraId="1EE38DF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4FC9C51" w14:textId="1ACA0F9B" w:rsidTr="00E6407C">
        <w:tc>
          <w:tcPr>
            <w:tcW w:w="7252" w:type="dxa"/>
          </w:tcPr>
          <w:p w14:paraId="6F5B19E0"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VI - previsão de prazos de pagamento dos prêmios e das indenizações; e</w:t>
            </w:r>
          </w:p>
        </w:tc>
        <w:tc>
          <w:tcPr>
            <w:tcW w:w="3107" w:type="dxa"/>
          </w:tcPr>
          <w:p w14:paraId="0BCAB757"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934C2B2" w14:textId="46176D59" w:rsidR="00F62F78" w:rsidRPr="00D511FC" w:rsidRDefault="00F62F78" w:rsidP="005C38E7">
            <w:pPr>
              <w:spacing w:after="120"/>
              <w:jc w:val="both"/>
              <w:rPr>
                <w:rFonts w:ascii="Calibri" w:eastAsia="Calibri" w:hAnsi="Calibri" w:cs="Calibri"/>
                <w:sz w:val="24"/>
                <w:szCs w:val="24"/>
              </w:rPr>
            </w:pPr>
          </w:p>
        </w:tc>
        <w:tc>
          <w:tcPr>
            <w:tcW w:w="2505" w:type="dxa"/>
          </w:tcPr>
          <w:p w14:paraId="54C55CBD"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FF1AFCB" w14:textId="328397AD" w:rsidTr="00E6407C">
        <w:tc>
          <w:tcPr>
            <w:tcW w:w="7252" w:type="dxa"/>
          </w:tcPr>
          <w:p w14:paraId="3A057F4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VII - descrição dos riscos excluídos e dos não cobertos, caso previstos.</w:t>
            </w:r>
          </w:p>
        </w:tc>
        <w:tc>
          <w:tcPr>
            <w:tcW w:w="3107" w:type="dxa"/>
          </w:tcPr>
          <w:p w14:paraId="3CEF8A7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37BD5BA" w14:textId="7AE84D6F" w:rsidR="00F62F78" w:rsidRPr="00D511FC" w:rsidRDefault="00F62F78" w:rsidP="005C38E7">
            <w:pPr>
              <w:spacing w:after="120"/>
              <w:jc w:val="both"/>
              <w:rPr>
                <w:rFonts w:ascii="Calibri" w:eastAsia="Calibri" w:hAnsi="Calibri" w:cs="Calibri"/>
                <w:sz w:val="24"/>
                <w:szCs w:val="24"/>
              </w:rPr>
            </w:pPr>
          </w:p>
        </w:tc>
        <w:tc>
          <w:tcPr>
            <w:tcW w:w="2505" w:type="dxa"/>
          </w:tcPr>
          <w:p w14:paraId="7D5E9997"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0A33874" w14:textId="31373C94" w:rsidTr="00E6407C">
        <w:tc>
          <w:tcPr>
            <w:tcW w:w="7252" w:type="dxa"/>
          </w:tcPr>
          <w:p w14:paraId="75F2047D"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89.  Previamente à celebração ou à renovação de contrato de seguro, a diretoria executiva e o conselho deliberativo da EFPC devem aprovar estudo técnico que demonstre a sua viabilidade econômico-financeira e atuarial para cada plano de benefícios.</w:t>
            </w:r>
          </w:p>
        </w:tc>
        <w:tc>
          <w:tcPr>
            <w:tcW w:w="3107" w:type="dxa"/>
          </w:tcPr>
          <w:p w14:paraId="09CDE5A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23BC07C" w14:textId="4C9EF947" w:rsidR="00F62F78" w:rsidRPr="00D511FC" w:rsidRDefault="00F62F78" w:rsidP="005C38E7">
            <w:pPr>
              <w:spacing w:after="120"/>
              <w:jc w:val="both"/>
              <w:rPr>
                <w:rFonts w:ascii="Calibri" w:eastAsia="Calibri" w:hAnsi="Calibri" w:cs="Calibri"/>
                <w:sz w:val="24"/>
                <w:szCs w:val="24"/>
              </w:rPr>
            </w:pPr>
          </w:p>
        </w:tc>
        <w:tc>
          <w:tcPr>
            <w:tcW w:w="2505" w:type="dxa"/>
          </w:tcPr>
          <w:p w14:paraId="2F1BC405"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BB6871D" w14:textId="573BCDE1" w:rsidTr="00E6407C">
        <w:tc>
          <w:tcPr>
            <w:tcW w:w="7252" w:type="dxa"/>
          </w:tcPr>
          <w:p w14:paraId="70B99C8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O estudo técnico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conter, no mínimo:</w:t>
            </w:r>
          </w:p>
        </w:tc>
        <w:tc>
          <w:tcPr>
            <w:tcW w:w="3107" w:type="dxa"/>
          </w:tcPr>
          <w:p w14:paraId="3FF218F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61D2245" w14:textId="3AF0B8E6" w:rsidR="00F62F78" w:rsidRPr="00D511FC" w:rsidRDefault="00F62F78" w:rsidP="005C38E7">
            <w:pPr>
              <w:spacing w:after="120"/>
              <w:jc w:val="both"/>
              <w:rPr>
                <w:rFonts w:ascii="Calibri" w:eastAsia="Calibri" w:hAnsi="Calibri" w:cs="Calibri"/>
                <w:sz w:val="24"/>
                <w:szCs w:val="24"/>
              </w:rPr>
            </w:pPr>
          </w:p>
        </w:tc>
        <w:tc>
          <w:tcPr>
            <w:tcW w:w="2505" w:type="dxa"/>
          </w:tcPr>
          <w:p w14:paraId="2C56175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945EE9E" w14:textId="7DC94B73" w:rsidTr="00E6407C">
        <w:tc>
          <w:tcPr>
            <w:tcW w:w="7252" w:type="dxa"/>
          </w:tcPr>
          <w:p w14:paraId="446A337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tc>
        <w:tc>
          <w:tcPr>
            <w:tcW w:w="3107" w:type="dxa"/>
          </w:tcPr>
          <w:p w14:paraId="58A5081E"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E03D6FE" w14:textId="45B555B0" w:rsidR="00F62F78" w:rsidRPr="00D511FC" w:rsidRDefault="00F62F78" w:rsidP="005C38E7">
            <w:pPr>
              <w:spacing w:after="120"/>
              <w:jc w:val="both"/>
              <w:rPr>
                <w:rFonts w:ascii="Calibri" w:eastAsia="Calibri" w:hAnsi="Calibri" w:cs="Calibri"/>
                <w:sz w:val="24"/>
                <w:szCs w:val="24"/>
              </w:rPr>
            </w:pPr>
          </w:p>
        </w:tc>
        <w:tc>
          <w:tcPr>
            <w:tcW w:w="2505" w:type="dxa"/>
          </w:tcPr>
          <w:p w14:paraId="2E60707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EFA13B7" w14:textId="44C85309" w:rsidTr="00E6407C">
        <w:tc>
          <w:tcPr>
            <w:tcW w:w="7252" w:type="dxa"/>
          </w:tcPr>
          <w:p w14:paraId="4AE003A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a estimativa de gastos com prêmios futuros; e</w:t>
            </w:r>
          </w:p>
        </w:tc>
        <w:tc>
          <w:tcPr>
            <w:tcW w:w="3107" w:type="dxa"/>
          </w:tcPr>
          <w:p w14:paraId="6F377F58"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9FA0178" w14:textId="4E35562B" w:rsidR="00F62F78" w:rsidRPr="00D511FC" w:rsidRDefault="00F62F78" w:rsidP="005C38E7">
            <w:pPr>
              <w:spacing w:after="120"/>
              <w:jc w:val="both"/>
              <w:rPr>
                <w:rFonts w:ascii="Calibri" w:eastAsia="Calibri" w:hAnsi="Calibri" w:cs="Calibri"/>
                <w:sz w:val="24"/>
                <w:szCs w:val="24"/>
              </w:rPr>
            </w:pPr>
          </w:p>
        </w:tc>
        <w:tc>
          <w:tcPr>
            <w:tcW w:w="2505" w:type="dxa"/>
          </w:tcPr>
          <w:p w14:paraId="5426622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B4EC73A" w14:textId="5F8F4801" w:rsidTr="00E6407C">
        <w:tc>
          <w:tcPr>
            <w:tcW w:w="7252" w:type="dxa"/>
          </w:tcPr>
          <w:p w14:paraId="2AD2FD5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III - a avaliação de custos e de riscos que indiquem a necessidade e a vantagem de contratação de seguro para a cobertura do respectivo risco objeto.</w:t>
            </w:r>
          </w:p>
        </w:tc>
        <w:tc>
          <w:tcPr>
            <w:tcW w:w="3107" w:type="dxa"/>
          </w:tcPr>
          <w:p w14:paraId="5ED3C15B"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E08343D" w14:textId="3F1D3700" w:rsidR="00F62F78" w:rsidRPr="00D511FC" w:rsidRDefault="00F62F78" w:rsidP="005C38E7">
            <w:pPr>
              <w:spacing w:after="120"/>
              <w:jc w:val="both"/>
              <w:rPr>
                <w:rFonts w:ascii="Calibri" w:eastAsia="Calibri" w:hAnsi="Calibri" w:cs="Calibri"/>
                <w:sz w:val="24"/>
                <w:szCs w:val="24"/>
              </w:rPr>
            </w:pPr>
          </w:p>
        </w:tc>
        <w:tc>
          <w:tcPr>
            <w:tcW w:w="2505" w:type="dxa"/>
          </w:tcPr>
          <w:p w14:paraId="16CA3B2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B82AC82" w14:textId="674C63D7" w:rsidTr="00E6407C">
        <w:tc>
          <w:tcPr>
            <w:tcW w:w="7252" w:type="dxa"/>
          </w:tcPr>
          <w:p w14:paraId="183DF23C"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 2º  Fica dispensado o estudo técnico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quando da contratação das coberturas adicionais de que trata o art. 91.</w:t>
            </w:r>
          </w:p>
        </w:tc>
        <w:tc>
          <w:tcPr>
            <w:tcW w:w="3107" w:type="dxa"/>
          </w:tcPr>
          <w:p w14:paraId="2E2ED91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73F0CF7" w14:textId="7CADAF66" w:rsidR="00F62F78" w:rsidRPr="00D511FC" w:rsidRDefault="00F62F78" w:rsidP="005C38E7">
            <w:pPr>
              <w:spacing w:after="120"/>
              <w:jc w:val="both"/>
              <w:rPr>
                <w:rFonts w:ascii="Calibri" w:eastAsia="Calibri" w:hAnsi="Calibri" w:cs="Calibri"/>
                <w:sz w:val="24"/>
                <w:szCs w:val="24"/>
              </w:rPr>
            </w:pPr>
          </w:p>
        </w:tc>
        <w:tc>
          <w:tcPr>
            <w:tcW w:w="2505" w:type="dxa"/>
          </w:tcPr>
          <w:p w14:paraId="789F280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68047B0" w14:textId="0CCFE7EB" w:rsidTr="00E6407C">
        <w:tc>
          <w:tcPr>
            <w:tcW w:w="7252" w:type="dxa"/>
          </w:tcPr>
          <w:p w14:paraId="7F20C05A"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38EFB728"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06E29FC1" w14:textId="564BE727" w:rsidR="00F62F78" w:rsidRPr="00D511FC" w:rsidRDefault="00F62F78" w:rsidP="005C38E7">
            <w:pPr>
              <w:spacing w:after="120"/>
              <w:jc w:val="center"/>
              <w:rPr>
                <w:rFonts w:ascii="Calibri" w:eastAsia="Calibri" w:hAnsi="Calibri" w:cs="Calibri"/>
                <w:b/>
                <w:bCs/>
                <w:sz w:val="24"/>
                <w:szCs w:val="24"/>
              </w:rPr>
            </w:pPr>
          </w:p>
        </w:tc>
        <w:tc>
          <w:tcPr>
            <w:tcW w:w="2505" w:type="dxa"/>
          </w:tcPr>
          <w:p w14:paraId="1F00E596"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32B29B96" w14:textId="00745C5A" w:rsidTr="00E6407C">
        <w:tc>
          <w:tcPr>
            <w:tcW w:w="7252" w:type="dxa"/>
          </w:tcPr>
          <w:p w14:paraId="224B02AE" w14:textId="77777777" w:rsidR="00F62F78" w:rsidRPr="00D511FC" w:rsidRDefault="00F62F78" w:rsidP="005C38E7">
            <w:pPr>
              <w:spacing w:after="120"/>
              <w:jc w:val="center"/>
              <w:rPr>
                <w:sz w:val="24"/>
                <w:szCs w:val="24"/>
              </w:rPr>
            </w:pPr>
            <w:r w:rsidRPr="00D511FC">
              <w:rPr>
                <w:rFonts w:ascii="Calibri" w:eastAsia="Calibri" w:hAnsi="Calibri" w:cs="Calibri"/>
                <w:b/>
                <w:bCs/>
                <w:sz w:val="24"/>
                <w:szCs w:val="24"/>
              </w:rPr>
              <w:t>Cobertura do Seguro</w:t>
            </w:r>
          </w:p>
        </w:tc>
        <w:tc>
          <w:tcPr>
            <w:tcW w:w="3107" w:type="dxa"/>
          </w:tcPr>
          <w:p w14:paraId="755DA948" w14:textId="77777777" w:rsidR="00F62F78" w:rsidRPr="00D511FC" w:rsidRDefault="00F62F78" w:rsidP="005C38E7">
            <w:pPr>
              <w:spacing w:after="120"/>
              <w:jc w:val="center"/>
              <w:rPr>
                <w:rFonts w:ascii="Calibri" w:eastAsia="Calibri" w:hAnsi="Calibri" w:cs="Calibri"/>
                <w:b/>
                <w:bCs/>
                <w:sz w:val="24"/>
                <w:szCs w:val="24"/>
              </w:rPr>
            </w:pPr>
          </w:p>
        </w:tc>
        <w:tc>
          <w:tcPr>
            <w:tcW w:w="2552" w:type="dxa"/>
          </w:tcPr>
          <w:p w14:paraId="7E003A1A" w14:textId="5F525A43" w:rsidR="00F62F78" w:rsidRPr="00D511FC" w:rsidRDefault="00F62F78" w:rsidP="005C38E7">
            <w:pPr>
              <w:spacing w:after="120"/>
              <w:jc w:val="center"/>
              <w:rPr>
                <w:rFonts w:ascii="Calibri" w:eastAsia="Calibri" w:hAnsi="Calibri" w:cs="Calibri"/>
                <w:b/>
                <w:bCs/>
                <w:sz w:val="24"/>
                <w:szCs w:val="24"/>
              </w:rPr>
            </w:pPr>
          </w:p>
        </w:tc>
        <w:tc>
          <w:tcPr>
            <w:tcW w:w="2505" w:type="dxa"/>
          </w:tcPr>
          <w:p w14:paraId="0B07864C" w14:textId="77777777" w:rsidR="00F62F78" w:rsidRPr="00D511FC" w:rsidRDefault="00F62F78" w:rsidP="005C38E7">
            <w:pPr>
              <w:spacing w:after="120"/>
              <w:jc w:val="center"/>
              <w:rPr>
                <w:rFonts w:ascii="Calibri" w:eastAsia="Calibri" w:hAnsi="Calibri" w:cs="Calibri"/>
                <w:b/>
                <w:bCs/>
                <w:sz w:val="24"/>
                <w:szCs w:val="24"/>
              </w:rPr>
            </w:pPr>
          </w:p>
        </w:tc>
      </w:tr>
      <w:tr w:rsidR="00F62F78" w:rsidRPr="00D511FC" w14:paraId="050C05D0" w14:textId="3AB7BB6C" w:rsidTr="00E6407C">
        <w:tc>
          <w:tcPr>
            <w:tcW w:w="7252" w:type="dxa"/>
          </w:tcPr>
          <w:p w14:paraId="0907A32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90.  Os contratos de seguro para a cobertura dos riscos referidos nos incisos I e II do art. 87 podem prever a indenização na forma de pagamento único ou de renda continuada.</w:t>
            </w:r>
          </w:p>
        </w:tc>
        <w:tc>
          <w:tcPr>
            <w:tcW w:w="3107" w:type="dxa"/>
          </w:tcPr>
          <w:p w14:paraId="5EA4E72F"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2D03B42" w14:textId="25343368" w:rsidR="00F62F78" w:rsidRPr="00D511FC" w:rsidRDefault="00F62F78" w:rsidP="005C38E7">
            <w:pPr>
              <w:spacing w:after="120"/>
              <w:jc w:val="both"/>
              <w:rPr>
                <w:rFonts w:ascii="Calibri" w:eastAsia="Calibri" w:hAnsi="Calibri" w:cs="Calibri"/>
                <w:sz w:val="24"/>
                <w:szCs w:val="24"/>
              </w:rPr>
            </w:pPr>
          </w:p>
        </w:tc>
        <w:tc>
          <w:tcPr>
            <w:tcW w:w="2505" w:type="dxa"/>
          </w:tcPr>
          <w:p w14:paraId="359DEAD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F6433DC" w14:textId="06476971" w:rsidTr="00E6407C">
        <w:tc>
          <w:tcPr>
            <w:tcW w:w="7252" w:type="dxa"/>
          </w:tcPr>
          <w:p w14:paraId="3947B7D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91.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3107" w:type="dxa"/>
          </w:tcPr>
          <w:p w14:paraId="4E655D3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1A19ADA0" w14:textId="7745DE12" w:rsidR="00F62F78" w:rsidRPr="00D511FC" w:rsidRDefault="00F62F78" w:rsidP="005C38E7">
            <w:pPr>
              <w:spacing w:after="120"/>
              <w:jc w:val="both"/>
              <w:rPr>
                <w:rFonts w:ascii="Calibri" w:eastAsia="Calibri" w:hAnsi="Calibri" w:cs="Calibri"/>
                <w:sz w:val="24"/>
                <w:szCs w:val="24"/>
              </w:rPr>
            </w:pPr>
          </w:p>
        </w:tc>
        <w:tc>
          <w:tcPr>
            <w:tcW w:w="2505" w:type="dxa"/>
          </w:tcPr>
          <w:p w14:paraId="7CA4C90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5D5A10E2" w14:textId="58C0D521" w:rsidTr="00E6407C">
        <w:tc>
          <w:tcPr>
            <w:tcW w:w="7252" w:type="dxa"/>
          </w:tcPr>
          <w:p w14:paraId="12262B5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O regulamento deve dispor sobre eventuais situações que causem a suspensão da cobertura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inclusive em decorrência de rescisão ou não renovação do contrato com a sociedade seguradora.</w:t>
            </w:r>
          </w:p>
        </w:tc>
        <w:tc>
          <w:tcPr>
            <w:tcW w:w="3107" w:type="dxa"/>
          </w:tcPr>
          <w:p w14:paraId="7A31315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F59EFDD" w14:textId="21B6BB03" w:rsidR="00F62F78" w:rsidRPr="00D511FC" w:rsidRDefault="00F62F78" w:rsidP="005C38E7">
            <w:pPr>
              <w:spacing w:after="120"/>
              <w:jc w:val="both"/>
              <w:rPr>
                <w:rFonts w:ascii="Calibri" w:eastAsia="Calibri" w:hAnsi="Calibri" w:cs="Calibri"/>
                <w:sz w:val="24"/>
                <w:szCs w:val="24"/>
              </w:rPr>
            </w:pPr>
          </w:p>
        </w:tc>
        <w:tc>
          <w:tcPr>
            <w:tcW w:w="2505" w:type="dxa"/>
          </w:tcPr>
          <w:p w14:paraId="78BD26D4"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4587489" w14:textId="0B879D09" w:rsidTr="00E6407C">
        <w:tc>
          <w:tcPr>
            <w:tcW w:w="7252" w:type="dxa"/>
          </w:tcPr>
          <w:p w14:paraId="63468B3C"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 2º  Para as coberturas adicionais tratadas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se aplica o disposto no art. 94.</w:t>
            </w:r>
          </w:p>
        </w:tc>
        <w:tc>
          <w:tcPr>
            <w:tcW w:w="3107" w:type="dxa"/>
          </w:tcPr>
          <w:p w14:paraId="3F84FE3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6A942A3" w14:textId="4C3F9D5E" w:rsidR="00F62F78" w:rsidRPr="00D511FC" w:rsidRDefault="00F62F78" w:rsidP="005C38E7">
            <w:pPr>
              <w:spacing w:after="120"/>
              <w:jc w:val="both"/>
              <w:rPr>
                <w:rFonts w:ascii="Calibri" w:eastAsia="Calibri" w:hAnsi="Calibri" w:cs="Calibri"/>
                <w:sz w:val="24"/>
                <w:szCs w:val="24"/>
              </w:rPr>
            </w:pPr>
          </w:p>
        </w:tc>
        <w:tc>
          <w:tcPr>
            <w:tcW w:w="2505" w:type="dxa"/>
          </w:tcPr>
          <w:p w14:paraId="6CA02C39"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982F43B" w14:textId="57CD6B42" w:rsidTr="00E6407C">
        <w:tc>
          <w:tcPr>
            <w:tcW w:w="7252" w:type="dxa"/>
          </w:tcPr>
          <w:p w14:paraId="707B694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92.  O contrato de seguro para a cobertura do risco referido no inciso III do art. 87 tem por objetivo assegurar o pagamento de renda continuada, nas condições contratadas, após o término do pagamento do benefício pela EFPC.</w:t>
            </w:r>
          </w:p>
        </w:tc>
        <w:tc>
          <w:tcPr>
            <w:tcW w:w="3107" w:type="dxa"/>
          </w:tcPr>
          <w:p w14:paraId="3E12C8D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0AE11CB" w14:textId="6C1A0A87" w:rsidR="00F62F78" w:rsidRPr="00D511FC" w:rsidRDefault="00F62F78" w:rsidP="005C38E7">
            <w:pPr>
              <w:spacing w:after="120"/>
              <w:jc w:val="both"/>
              <w:rPr>
                <w:rFonts w:ascii="Calibri" w:eastAsia="Calibri" w:hAnsi="Calibri" w:cs="Calibri"/>
                <w:sz w:val="24"/>
                <w:szCs w:val="24"/>
              </w:rPr>
            </w:pPr>
          </w:p>
        </w:tc>
        <w:tc>
          <w:tcPr>
            <w:tcW w:w="2505" w:type="dxa"/>
          </w:tcPr>
          <w:p w14:paraId="7E98BA2F"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9DE4B01" w14:textId="442B9CE7" w:rsidTr="00E6407C">
        <w:tc>
          <w:tcPr>
            <w:tcW w:w="7252" w:type="dxa"/>
          </w:tcPr>
          <w:p w14:paraId="3FE045B0"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O pagamento do prêmio para cobertura do risco referido no inciso III do art. 87 pode advir das seguintes fontes:</w:t>
            </w:r>
          </w:p>
        </w:tc>
        <w:tc>
          <w:tcPr>
            <w:tcW w:w="3107" w:type="dxa"/>
          </w:tcPr>
          <w:p w14:paraId="222F23F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037D755" w14:textId="71B0AECF" w:rsidR="00F62F78" w:rsidRPr="00D511FC" w:rsidRDefault="00F62F78" w:rsidP="005C38E7">
            <w:pPr>
              <w:spacing w:after="120"/>
              <w:jc w:val="both"/>
              <w:rPr>
                <w:rFonts w:ascii="Calibri" w:eastAsia="Calibri" w:hAnsi="Calibri" w:cs="Calibri"/>
                <w:sz w:val="24"/>
                <w:szCs w:val="24"/>
              </w:rPr>
            </w:pPr>
          </w:p>
        </w:tc>
        <w:tc>
          <w:tcPr>
            <w:tcW w:w="2505" w:type="dxa"/>
          </w:tcPr>
          <w:p w14:paraId="582F1F43"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ADE6BCB" w14:textId="22CF22E9" w:rsidTr="00E6407C">
        <w:tc>
          <w:tcPr>
            <w:tcW w:w="7252" w:type="dxa"/>
          </w:tcPr>
          <w:p w14:paraId="7FF0259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 - contribuição normal e periódica com finalidade específica;</w:t>
            </w:r>
          </w:p>
        </w:tc>
        <w:tc>
          <w:tcPr>
            <w:tcW w:w="3107" w:type="dxa"/>
          </w:tcPr>
          <w:p w14:paraId="0C8C83B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848D6B6" w14:textId="0582F8B9" w:rsidR="00F62F78" w:rsidRPr="00D511FC" w:rsidRDefault="00F62F78" w:rsidP="005C38E7">
            <w:pPr>
              <w:spacing w:after="120"/>
              <w:jc w:val="both"/>
              <w:rPr>
                <w:rFonts w:ascii="Calibri" w:eastAsia="Calibri" w:hAnsi="Calibri" w:cs="Calibri"/>
                <w:sz w:val="24"/>
                <w:szCs w:val="24"/>
              </w:rPr>
            </w:pPr>
          </w:p>
        </w:tc>
        <w:tc>
          <w:tcPr>
            <w:tcW w:w="2505" w:type="dxa"/>
          </w:tcPr>
          <w:p w14:paraId="7F7B08C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727F246" w14:textId="2E0BB23A" w:rsidTr="00E6407C">
        <w:tc>
          <w:tcPr>
            <w:tcW w:w="7252" w:type="dxa"/>
          </w:tcPr>
          <w:p w14:paraId="01DA1A1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contribuição em forma de aporte único com finalidade específica; ou</w:t>
            </w:r>
          </w:p>
        </w:tc>
        <w:tc>
          <w:tcPr>
            <w:tcW w:w="3107" w:type="dxa"/>
          </w:tcPr>
          <w:p w14:paraId="3E1B8CB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7DB9EC1" w14:textId="05A5A0EE" w:rsidR="00F62F78" w:rsidRPr="00D511FC" w:rsidRDefault="00F62F78" w:rsidP="005C38E7">
            <w:pPr>
              <w:spacing w:after="120"/>
              <w:jc w:val="both"/>
              <w:rPr>
                <w:rFonts w:ascii="Calibri" w:eastAsia="Calibri" w:hAnsi="Calibri" w:cs="Calibri"/>
                <w:sz w:val="24"/>
                <w:szCs w:val="24"/>
              </w:rPr>
            </w:pPr>
          </w:p>
        </w:tc>
        <w:tc>
          <w:tcPr>
            <w:tcW w:w="2505" w:type="dxa"/>
          </w:tcPr>
          <w:p w14:paraId="11C113F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DEB5D26" w14:textId="3726D938" w:rsidTr="00E6407C">
        <w:tc>
          <w:tcPr>
            <w:tcW w:w="7252" w:type="dxa"/>
          </w:tcPr>
          <w:p w14:paraId="42861BF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segregação de parcela do saldo de conta total, a partir da concessão do benefício programado previsto no regulamento do plano de benefícios.</w:t>
            </w:r>
          </w:p>
        </w:tc>
        <w:tc>
          <w:tcPr>
            <w:tcW w:w="3107" w:type="dxa"/>
          </w:tcPr>
          <w:p w14:paraId="67A41AC5"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DC80047" w14:textId="41F17862" w:rsidR="00F62F78" w:rsidRPr="00D511FC" w:rsidRDefault="00F62F78" w:rsidP="005C38E7">
            <w:pPr>
              <w:spacing w:after="120"/>
              <w:jc w:val="both"/>
              <w:rPr>
                <w:rFonts w:ascii="Calibri" w:eastAsia="Calibri" w:hAnsi="Calibri" w:cs="Calibri"/>
                <w:sz w:val="24"/>
                <w:szCs w:val="24"/>
              </w:rPr>
            </w:pPr>
          </w:p>
        </w:tc>
        <w:tc>
          <w:tcPr>
            <w:tcW w:w="2505" w:type="dxa"/>
          </w:tcPr>
          <w:p w14:paraId="68681CE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1A66167" w14:textId="7D2A72EE" w:rsidTr="00E6407C">
        <w:tc>
          <w:tcPr>
            <w:tcW w:w="7252" w:type="dxa"/>
          </w:tcPr>
          <w:p w14:paraId="396137CC"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93.  O contrato de seguro para a cobertura do risco referido no inciso IV do art. 87 tem por objetivo limitar a variabilidade do fluxo de pagamentos dos benefícios decorrentes dos compromissos assumidos perante os participantes e assistidos, de forma isolada ou conjunta, decorrentes de:</w:t>
            </w:r>
          </w:p>
        </w:tc>
        <w:tc>
          <w:tcPr>
            <w:tcW w:w="3107" w:type="dxa"/>
          </w:tcPr>
          <w:p w14:paraId="34376B54"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A0138FE" w14:textId="1DA3E93C" w:rsidR="00F62F78" w:rsidRPr="00D511FC" w:rsidRDefault="00F62F78" w:rsidP="005C38E7">
            <w:pPr>
              <w:spacing w:after="120"/>
              <w:jc w:val="both"/>
              <w:rPr>
                <w:rFonts w:ascii="Calibri" w:eastAsia="Calibri" w:hAnsi="Calibri" w:cs="Calibri"/>
                <w:sz w:val="24"/>
                <w:szCs w:val="24"/>
              </w:rPr>
            </w:pPr>
          </w:p>
        </w:tc>
        <w:tc>
          <w:tcPr>
            <w:tcW w:w="2505" w:type="dxa"/>
          </w:tcPr>
          <w:p w14:paraId="60881590"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96F2CC3" w14:textId="5FB00DF3" w:rsidTr="00E6407C">
        <w:tc>
          <w:tcPr>
            <w:tcW w:w="7252" w:type="dxa"/>
          </w:tcPr>
          <w:p w14:paraId="46F3938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entrada em invalidez;</w:t>
            </w:r>
          </w:p>
        </w:tc>
        <w:tc>
          <w:tcPr>
            <w:tcW w:w="3107" w:type="dxa"/>
          </w:tcPr>
          <w:p w14:paraId="777D331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E43ED26" w14:textId="4D1D48C3" w:rsidR="00F62F78" w:rsidRPr="00D511FC" w:rsidRDefault="00F62F78" w:rsidP="005C38E7">
            <w:pPr>
              <w:spacing w:after="120"/>
              <w:jc w:val="both"/>
              <w:rPr>
                <w:rFonts w:ascii="Calibri" w:eastAsia="Calibri" w:hAnsi="Calibri" w:cs="Calibri"/>
                <w:sz w:val="24"/>
                <w:szCs w:val="24"/>
              </w:rPr>
            </w:pPr>
          </w:p>
        </w:tc>
        <w:tc>
          <w:tcPr>
            <w:tcW w:w="2505" w:type="dxa"/>
          </w:tcPr>
          <w:p w14:paraId="00141EE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1FBDEC8" w14:textId="1EF29F3F" w:rsidTr="00E6407C">
        <w:tc>
          <w:tcPr>
            <w:tcW w:w="7252" w:type="dxa"/>
          </w:tcPr>
          <w:p w14:paraId="0914E75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mortalidade de inválidos;</w:t>
            </w:r>
          </w:p>
        </w:tc>
        <w:tc>
          <w:tcPr>
            <w:tcW w:w="3107" w:type="dxa"/>
          </w:tcPr>
          <w:p w14:paraId="47844E9C"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B653B8C" w14:textId="191EA3F3" w:rsidR="00F62F78" w:rsidRPr="00D511FC" w:rsidRDefault="00F62F78" w:rsidP="005C38E7">
            <w:pPr>
              <w:spacing w:after="120"/>
              <w:jc w:val="both"/>
              <w:rPr>
                <w:rFonts w:ascii="Calibri" w:eastAsia="Calibri" w:hAnsi="Calibri" w:cs="Calibri"/>
                <w:sz w:val="24"/>
                <w:szCs w:val="24"/>
              </w:rPr>
            </w:pPr>
          </w:p>
        </w:tc>
        <w:tc>
          <w:tcPr>
            <w:tcW w:w="2505" w:type="dxa"/>
          </w:tcPr>
          <w:p w14:paraId="5CD3FC1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4F7FA8C" w14:textId="4B7BF645" w:rsidTr="00E6407C">
        <w:tc>
          <w:tcPr>
            <w:tcW w:w="7252" w:type="dxa"/>
          </w:tcPr>
          <w:p w14:paraId="369E60E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III - mortalidade geral;</w:t>
            </w:r>
          </w:p>
        </w:tc>
        <w:tc>
          <w:tcPr>
            <w:tcW w:w="3107" w:type="dxa"/>
          </w:tcPr>
          <w:p w14:paraId="5DBEAA6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10DAF08" w14:textId="39C88C64" w:rsidR="00F62F78" w:rsidRPr="00D511FC" w:rsidRDefault="00F62F78" w:rsidP="005C38E7">
            <w:pPr>
              <w:spacing w:after="120"/>
              <w:jc w:val="both"/>
              <w:rPr>
                <w:rFonts w:ascii="Calibri" w:eastAsia="Calibri" w:hAnsi="Calibri" w:cs="Calibri"/>
                <w:sz w:val="24"/>
                <w:szCs w:val="24"/>
              </w:rPr>
            </w:pPr>
          </w:p>
        </w:tc>
        <w:tc>
          <w:tcPr>
            <w:tcW w:w="2505" w:type="dxa"/>
          </w:tcPr>
          <w:p w14:paraId="6DA39A1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6EA19694" w14:textId="385A78AF" w:rsidTr="00E6407C">
        <w:tc>
          <w:tcPr>
            <w:tcW w:w="7252" w:type="dxa"/>
          </w:tcPr>
          <w:p w14:paraId="6853B70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IV - sobrevivência de inválidos; ou</w:t>
            </w:r>
          </w:p>
        </w:tc>
        <w:tc>
          <w:tcPr>
            <w:tcW w:w="3107" w:type="dxa"/>
          </w:tcPr>
          <w:p w14:paraId="32922B0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B2419F7" w14:textId="769AFABD" w:rsidR="00F62F78" w:rsidRPr="00D511FC" w:rsidRDefault="00F62F78" w:rsidP="005C38E7">
            <w:pPr>
              <w:spacing w:after="120"/>
              <w:jc w:val="both"/>
              <w:rPr>
                <w:rFonts w:ascii="Calibri" w:eastAsia="Calibri" w:hAnsi="Calibri" w:cs="Calibri"/>
                <w:sz w:val="24"/>
                <w:szCs w:val="24"/>
              </w:rPr>
            </w:pPr>
          </w:p>
        </w:tc>
        <w:tc>
          <w:tcPr>
            <w:tcW w:w="2505" w:type="dxa"/>
          </w:tcPr>
          <w:p w14:paraId="01D4AAD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0D70B31" w14:textId="56A9D437" w:rsidTr="00E6407C">
        <w:tc>
          <w:tcPr>
            <w:tcW w:w="7252" w:type="dxa"/>
          </w:tcPr>
          <w:p w14:paraId="481AA27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V - sobrevivência geral.</w:t>
            </w:r>
          </w:p>
        </w:tc>
        <w:tc>
          <w:tcPr>
            <w:tcW w:w="3107" w:type="dxa"/>
          </w:tcPr>
          <w:p w14:paraId="143E724D"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53CC0CE" w14:textId="2C88B96E" w:rsidR="00F62F78" w:rsidRPr="00D511FC" w:rsidRDefault="00F62F78" w:rsidP="005C38E7">
            <w:pPr>
              <w:spacing w:after="120"/>
              <w:jc w:val="both"/>
              <w:rPr>
                <w:rFonts w:ascii="Calibri" w:eastAsia="Calibri" w:hAnsi="Calibri" w:cs="Calibri"/>
                <w:sz w:val="24"/>
                <w:szCs w:val="24"/>
              </w:rPr>
            </w:pPr>
          </w:p>
        </w:tc>
        <w:tc>
          <w:tcPr>
            <w:tcW w:w="2505" w:type="dxa"/>
          </w:tcPr>
          <w:p w14:paraId="4C3F15F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F988DB1" w14:textId="2B3AFA0E" w:rsidTr="00E6407C">
        <w:tc>
          <w:tcPr>
            <w:tcW w:w="7252" w:type="dxa"/>
          </w:tcPr>
          <w:p w14:paraId="14D5227B"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3107" w:type="dxa"/>
          </w:tcPr>
          <w:p w14:paraId="1B6A9E9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0F15E7A6" w14:textId="3AB3B66F" w:rsidR="00F62F78" w:rsidRPr="00D511FC" w:rsidRDefault="00F62F78" w:rsidP="005C38E7">
            <w:pPr>
              <w:spacing w:after="120"/>
              <w:jc w:val="both"/>
              <w:rPr>
                <w:rFonts w:ascii="Calibri" w:eastAsia="Calibri" w:hAnsi="Calibri" w:cs="Calibri"/>
                <w:sz w:val="24"/>
                <w:szCs w:val="24"/>
              </w:rPr>
            </w:pPr>
          </w:p>
        </w:tc>
        <w:tc>
          <w:tcPr>
            <w:tcW w:w="2505" w:type="dxa"/>
          </w:tcPr>
          <w:p w14:paraId="1097A396"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42C187C" w14:textId="246B6352" w:rsidTr="00E6407C">
        <w:tc>
          <w:tcPr>
            <w:tcW w:w="7252" w:type="dxa"/>
          </w:tcPr>
          <w:p w14:paraId="2A80A44E" w14:textId="77777777" w:rsidR="00F62F78" w:rsidRPr="00D511FC" w:rsidRDefault="00F62F78" w:rsidP="005C38E7">
            <w:pPr>
              <w:spacing w:after="120"/>
              <w:jc w:val="both"/>
              <w:rPr>
                <w:rFonts w:ascii="Calibri" w:eastAsia="Calibri" w:hAnsi="Calibri" w:cs="Calibri"/>
                <w:sz w:val="24"/>
                <w:szCs w:val="24"/>
              </w:rPr>
            </w:pPr>
            <w:r w:rsidRPr="00D511FC">
              <w:rPr>
                <w:rFonts w:ascii="Calibri" w:eastAsia="Calibri" w:hAnsi="Calibri" w:cs="Calibri"/>
                <w:sz w:val="24"/>
                <w:szCs w:val="24"/>
              </w:rPr>
              <w:t>§ 2º  A cobertura para desvio de hipóteses biométricas pode ser contratada, alternativamente, por meio de seguro de índice biométrico, no qual as indenizações sejam calculadas com base nas taxas biométricas observadas e estimadas.</w:t>
            </w:r>
          </w:p>
        </w:tc>
        <w:tc>
          <w:tcPr>
            <w:tcW w:w="3107" w:type="dxa"/>
          </w:tcPr>
          <w:p w14:paraId="51E90166"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6C06C64B" w14:textId="6452A74C" w:rsidR="00F62F78" w:rsidRPr="00D511FC" w:rsidRDefault="00F62F78" w:rsidP="005C38E7">
            <w:pPr>
              <w:spacing w:after="120"/>
              <w:jc w:val="both"/>
              <w:rPr>
                <w:rFonts w:ascii="Calibri" w:eastAsia="Calibri" w:hAnsi="Calibri" w:cs="Calibri"/>
                <w:sz w:val="24"/>
                <w:szCs w:val="24"/>
              </w:rPr>
            </w:pPr>
          </w:p>
        </w:tc>
        <w:tc>
          <w:tcPr>
            <w:tcW w:w="2505" w:type="dxa"/>
          </w:tcPr>
          <w:p w14:paraId="46CE129C"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766B0783" w14:textId="6AACD1FF" w:rsidTr="00E6407C">
        <w:tc>
          <w:tcPr>
            <w:tcW w:w="7252" w:type="dxa"/>
          </w:tcPr>
          <w:p w14:paraId="4AB3FFD9" w14:textId="77777777" w:rsidR="00F62F78" w:rsidRPr="00D511FC" w:rsidRDefault="00F62F78" w:rsidP="005C38E7">
            <w:pPr>
              <w:spacing w:after="120"/>
              <w:jc w:val="both"/>
              <w:rPr>
                <w:sz w:val="24"/>
                <w:szCs w:val="24"/>
              </w:rPr>
            </w:pPr>
            <w:r w:rsidRPr="00D511FC">
              <w:rPr>
                <w:sz w:val="24"/>
                <w:szCs w:val="24"/>
              </w:rPr>
              <w:t>Art. 94.  A nota técnica atuarial e o plano de custeio de cada plano de benefícios objeto de contrato de seguro devem prever o tratamento a ser dado às seguintes situações:</w:t>
            </w:r>
          </w:p>
        </w:tc>
        <w:tc>
          <w:tcPr>
            <w:tcW w:w="3107" w:type="dxa"/>
          </w:tcPr>
          <w:p w14:paraId="37B4B3C2" w14:textId="77777777" w:rsidR="00F62F78" w:rsidRPr="00D511FC" w:rsidRDefault="00F62F78" w:rsidP="005C38E7">
            <w:pPr>
              <w:spacing w:after="120"/>
              <w:jc w:val="both"/>
              <w:rPr>
                <w:sz w:val="24"/>
                <w:szCs w:val="24"/>
              </w:rPr>
            </w:pPr>
          </w:p>
        </w:tc>
        <w:tc>
          <w:tcPr>
            <w:tcW w:w="2552" w:type="dxa"/>
          </w:tcPr>
          <w:p w14:paraId="17E9C78F" w14:textId="72E78A62" w:rsidR="00F62F78" w:rsidRPr="00D511FC" w:rsidRDefault="00F62F78" w:rsidP="005C38E7">
            <w:pPr>
              <w:spacing w:after="120"/>
              <w:jc w:val="both"/>
              <w:rPr>
                <w:sz w:val="24"/>
                <w:szCs w:val="24"/>
              </w:rPr>
            </w:pPr>
          </w:p>
        </w:tc>
        <w:tc>
          <w:tcPr>
            <w:tcW w:w="2505" w:type="dxa"/>
          </w:tcPr>
          <w:p w14:paraId="03010FFD" w14:textId="77777777" w:rsidR="00F62F78" w:rsidRPr="00D511FC" w:rsidRDefault="00F62F78" w:rsidP="005C38E7">
            <w:pPr>
              <w:spacing w:after="120"/>
              <w:jc w:val="both"/>
              <w:rPr>
                <w:sz w:val="24"/>
                <w:szCs w:val="24"/>
              </w:rPr>
            </w:pPr>
          </w:p>
        </w:tc>
      </w:tr>
      <w:tr w:rsidR="00F62F78" w:rsidRPr="00D511FC" w14:paraId="04DD1C65" w14:textId="5ACF030C" w:rsidTr="00E6407C">
        <w:tc>
          <w:tcPr>
            <w:tcW w:w="7252" w:type="dxa"/>
          </w:tcPr>
          <w:p w14:paraId="030C2B13" w14:textId="77777777" w:rsidR="00F62F78" w:rsidRPr="00D511FC" w:rsidRDefault="00F62F78" w:rsidP="005C38E7">
            <w:pPr>
              <w:spacing w:after="120"/>
              <w:jc w:val="both"/>
              <w:rPr>
                <w:sz w:val="24"/>
                <w:szCs w:val="24"/>
              </w:rPr>
            </w:pPr>
            <w:r w:rsidRPr="00D511FC">
              <w:rPr>
                <w:sz w:val="24"/>
                <w:szCs w:val="24"/>
              </w:rPr>
              <w:lastRenderedPageBreak/>
              <w:t>I - exclusão de determinados riscos pela sociedade seguradora; e</w:t>
            </w:r>
          </w:p>
        </w:tc>
        <w:tc>
          <w:tcPr>
            <w:tcW w:w="3107" w:type="dxa"/>
          </w:tcPr>
          <w:p w14:paraId="641E3F33" w14:textId="77777777" w:rsidR="00F62F78" w:rsidRPr="00D511FC" w:rsidRDefault="00F62F78" w:rsidP="005C38E7">
            <w:pPr>
              <w:spacing w:after="120"/>
              <w:jc w:val="both"/>
              <w:rPr>
                <w:sz w:val="24"/>
                <w:szCs w:val="24"/>
              </w:rPr>
            </w:pPr>
          </w:p>
        </w:tc>
        <w:tc>
          <w:tcPr>
            <w:tcW w:w="2552" w:type="dxa"/>
          </w:tcPr>
          <w:p w14:paraId="5FCFF889" w14:textId="2A60F185" w:rsidR="00F62F78" w:rsidRPr="00D511FC" w:rsidRDefault="00F62F78" w:rsidP="005C38E7">
            <w:pPr>
              <w:spacing w:after="120"/>
              <w:jc w:val="both"/>
              <w:rPr>
                <w:sz w:val="24"/>
                <w:szCs w:val="24"/>
              </w:rPr>
            </w:pPr>
          </w:p>
        </w:tc>
        <w:tc>
          <w:tcPr>
            <w:tcW w:w="2505" w:type="dxa"/>
          </w:tcPr>
          <w:p w14:paraId="52B4CEA9" w14:textId="77777777" w:rsidR="00F62F78" w:rsidRPr="00D511FC" w:rsidRDefault="00F62F78" w:rsidP="005C38E7">
            <w:pPr>
              <w:spacing w:after="120"/>
              <w:jc w:val="both"/>
              <w:rPr>
                <w:sz w:val="24"/>
                <w:szCs w:val="24"/>
              </w:rPr>
            </w:pPr>
          </w:p>
        </w:tc>
      </w:tr>
      <w:tr w:rsidR="00F62F78" w:rsidRPr="00D511FC" w14:paraId="0BDE95E6" w14:textId="7D68F811" w:rsidTr="00E6407C">
        <w:tc>
          <w:tcPr>
            <w:tcW w:w="7252" w:type="dxa"/>
          </w:tcPr>
          <w:p w14:paraId="319713C7" w14:textId="77777777" w:rsidR="00F62F78" w:rsidRPr="00D511FC" w:rsidRDefault="00F62F78" w:rsidP="005C38E7">
            <w:pPr>
              <w:spacing w:after="120"/>
              <w:jc w:val="both"/>
              <w:rPr>
                <w:sz w:val="24"/>
                <w:szCs w:val="24"/>
              </w:rPr>
            </w:pPr>
            <w:r w:rsidRPr="00D511FC">
              <w:rPr>
                <w:sz w:val="24"/>
                <w:szCs w:val="24"/>
              </w:rPr>
              <w:t>II - recusa de participantes ou assistidos pela sociedade seguradora.</w:t>
            </w:r>
          </w:p>
        </w:tc>
        <w:tc>
          <w:tcPr>
            <w:tcW w:w="3107" w:type="dxa"/>
          </w:tcPr>
          <w:p w14:paraId="70C4BF50" w14:textId="77777777" w:rsidR="00F62F78" w:rsidRPr="00D511FC" w:rsidRDefault="00F62F78" w:rsidP="005C38E7">
            <w:pPr>
              <w:spacing w:after="120"/>
              <w:jc w:val="both"/>
              <w:rPr>
                <w:sz w:val="24"/>
                <w:szCs w:val="24"/>
              </w:rPr>
            </w:pPr>
          </w:p>
        </w:tc>
        <w:tc>
          <w:tcPr>
            <w:tcW w:w="2552" w:type="dxa"/>
          </w:tcPr>
          <w:p w14:paraId="3779626E" w14:textId="776B7718" w:rsidR="00F62F78" w:rsidRPr="00D511FC" w:rsidRDefault="00F62F78" w:rsidP="005C38E7">
            <w:pPr>
              <w:spacing w:after="120"/>
              <w:jc w:val="both"/>
              <w:rPr>
                <w:sz w:val="24"/>
                <w:szCs w:val="24"/>
              </w:rPr>
            </w:pPr>
          </w:p>
        </w:tc>
        <w:tc>
          <w:tcPr>
            <w:tcW w:w="2505" w:type="dxa"/>
          </w:tcPr>
          <w:p w14:paraId="3F0199BD" w14:textId="77777777" w:rsidR="00F62F78" w:rsidRPr="00D511FC" w:rsidRDefault="00F62F78" w:rsidP="005C38E7">
            <w:pPr>
              <w:spacing w:after="120"/>
              <w:jc w:val="both"/>
              <w:rPr>
                <w:sz w:val="24"/>
                <w:szCs w:val="24"/>
              </w:rPr>
            </w:pPr>
          </w:p>
        </w:tc>
      </w:tr>
      <w:tr w:rsidR="00F62F78" w:rsidRPr="00D511FC" w14:paraId="4CF90945" w14:textId="3B73C15A" w:rsidTr="00E6407C">
        <w:tc>
          <w:tcPr>
            <w:tcW w:w="7252" w:type="dxa"/>
          </w:tcPr>
          <w:p w14:paraId="7529504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95.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3107" w:type="dxa"/>
          </w:tcPr>
          <w:p w14:paraId="282CE563" w14:textId="77777777" w:rsidR="00F62F78" w:rsidRDefault="00A8216A"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74446D4F" w14:textId="328C9225" w:rsidR="00A8216A" w:rsidRPr="00D511FC" w:rsidRDefault="00A8216A" w:rsidP="005C38E7">
            <w:pPr>
              <w:spacing w:after="120"/>
              <w:jc w:val="both"/>
              <w:rPr>
                <w:rFonts w:ascii="Calibri" w:eastAsia="Calibri" w:hAnsi="Calibri" w:cs="Calibri"/>
                <w:sz w:val="24"/>
                <w:szCs w:val="24"/>
              </w:rPr>
            </w:pPr>
            <w:r w:rsidRPr="00A8216A">
              <w:rPr>
                <w:rFonts w:ascii="Calibri" w:eastAsia="Calibri" w:hAnsi="Calibri" w:cs="Calibri"/>
                <w:sz w:val="24"/>
                <w:szCs w:val="24"/>
              </w:rPr>
              <w:t xml:space="preserve">Art. 95. Nenhum recurso financeiro destinado ao pagamento de prêmio ou de indenização pode transitar diretamente entre a sociedade seguradora e o participante ou assistido, ressalvada a hipótese de ausência de vínculo entre o segurado e a EFPC, </w:t>
            </w:r>
            <w:r w:rsidRPr="00A8216A">
              <w:rPr>
                <w:rFonts w:ascii="Calibri" w:eastAsia="Calibri" w:hAnsi="Calibri" w:cs="Calibri"/>
                <w:color w:val="FF0000"/>
                <w:sz w:val="24"/>
                <w:szCs w:val="24"/>
              </w:rPr>
              <w:t>observado o disposto nos artigos 96 e 97 abaixo e demais legislação aplicável.</w:t>
            </w:r>
          </w:p>
        </w:tc>
        <w:tc>
          <w:tcPr>
            <w:tcW w:w="2552" w:type="dxa"/>
          </w:tcPr>
          <w:p w14:paraId="721DB436" w14:textId="77777777" w:rsidR="00F62F78" w:rsidRDefault="00A8216A"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188F635B" w14:textId="462C87E2" w:rsidR="00A8216A" w:rsidRPr="00D511FC" w:rsidRDefault="00A8216A" w:rsidP="005C38E7">
            <w:pPr>
              <w:spacing w:after="120"/>
              <w:jc w:val="both"/>
              <w:rPr>
                <w:rFonts w:ascii="Calibri" w:eastAsia="Calibri" w:hAnsi="Calibri" w:cs="Calibri"/>
                <w:sz w:val="24"/>
                <w:szCs w:val="24"/>
              </w:rPr>
            </w:pPr>
            <w:r w:rsidRPr="00A8216A">
              <w:rPr>
                <w:rFonts w:ascii="Calibri" w:eastAsia="Calibri" w:hAnsi="Calibri" w:cs="Calibri"/>
                <w:sz w:val="24"/>
                <w:szCs w:val="24"/>
              </w:rPr>
              <w:t>Inclusão de menção específica.</w:t>
            </w:r>
          </w:p>
        </w:tc>
        <w:tc>
          <w:tcPr>
            <w:tcW w:w="2505" w:type="dxa"/>
          </w:tcPr>
          <w:p w14:paraId="62CD5D6E" w14:textId="2A54122A" w:rsidR="00F62F78" w:rsidRPr="00D511FC" w:rsidRDefault="00A8216A" w:rsidP="005C38E7">
            <w:pPr>
              <w:spacing w:after="120"/>
              <w:jc w:val="both"/>
              <w:rPr>
                <w:rFonts w:ascii="Calibri" w:eastAsia="Calibri" w:hAnsi="Calibri" w:cs="Calibri"/>
                <w:sz w:val="24"/>
                <w:szCs w:val="24"/>
              </w:rPr>
            </w:pPr>
            <w:r w:rsidRPr="00A8216A">
              <w:rPr>
                <w:rFonts w:ascii="Calibri" w:eastAsia="Calibri" w:hAnsi="Calibri" w:cs="Calibri"/>
                <w:b/>
                <w:bCs/>
                <w:sz w:val="24"/>
                <w:szCs w:val="24"/>
              </w:rPr>
              <w:t>NÃO ACATAR.</w:t>
            </w:r>
            <w:r>
              <w:rPr>
                <w:rFonts w:ascii="Calibri" w:eastAsia="Calibri" w:hAnsi="Calibri" w:cs="Calibri"/>
                <w:sz w:val="24"/>
                <w:szCs w:val="24"/>
              </w:rPr>
              <w:t xml:space="preserve"> </w:t>
            </w:r>
            <w:r w:rsidRPr="00A8216A">
              <w:rPr>
                <w:rFonts w:ascii="Calibri" w:eastAsia="Calibri" w:hAnsi="Calibri" w:cs="Calibri"/>
                <w:sz w:val="24"/>
                <w:szCs w:val="24"/>
              </w:rPr>
              <w:t>Desnecessário, pois toda a Resolução deve ser sempre observada.</w:t>
            </w:r>
          </w:p>
        </w:tc>
      </w:tr>
      <w:tr w:rsidR="00F62F78" w:rsidRPr="00D511FC" w14:paraId="6855FB04" w14:textId="7B862697" w:rsidTr="00E6407C">
        <w:tc>
          <w:tcPr>
            <w:tcW w:w="7252" w:type="dxa"/>
          </w:tcPr>
          <w:p w14:paraId="08E58618"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96.  Qualquer pagamento da sociedade seguradora à EFPC, que não seja a título de indenização, deve:</w:t>
            </w:r>
          </w:p>
        </w:tc>
        <w:tc>
          <w:tcPr>
            <w:tcW w:w="3107" w:type="dxa"/>
          </w:tcPr>
          <w:p w14:paraId="454855F0"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5EF708DF" w14:textId="00227753" w:rsidR="00F62F78" w:rsidRPr="00D511FC" w:rsidRDefault="00F62F78" w:rsidP="005C38E7">
            <w:pPr>
              <w:spacing w:after="120"/>
              <w:jc w:val="both"/>
              <w:rPr>
                <w:rFonts w:ascii="Calibri" w:eastAsia="Calibri" w:hAnsi="Calibri" w:cs="Calibri"/>
                <w:sz w:val="24"/>
                <w:szCs w:val="24"/>
              </w:rPr>
            </w:pPr>
          </w:p>
        </w:tc>
        <w:tc>
          <w:tcPr>
            <w:tcW w:w="2505" w:type="dxa"/>
          </w:tcPr>
          <w:p w14:paraId="648362B1"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1D6174EE" w14:textId="1F6E199D" w:rsidTr="00E6407C">
        <w:tc>
          <w:tcPr>
            <w:tcW w:w="7252" w:type="dxa"/>
          </w:tcPr>
          <w:p w14:paraId="458BC06A"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 - ter previsão contratual;</w:t>
            </w:r>
          </w:p>
        </w:tc>
        <w:tc>
          <w:tcPr>
            <w:tcW w:w="3107" w:type="dxa"/>
          </w:tcPr>
          <w:p w14:paraId="70BAC95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22AF648" w14:textId="0315A72B" w:rsidR="00F62F78" w:rsidRPr="00D511FC" w:rsidRDefault="00F62F78" w:rsidP="005C38E7">
            <w:pPr>
              <w:spacing w:after="120"/>
              <w:jc w:val="both"/>
              <w:rPr>
                <w:rFonts w:ascii="Calibri" w:eastAsia="Calibri" w:hAnsi="Calibri" w:cs="Calibri"/>
                <w:sz w:val="24"/>
                <w:szCs w:val="24"/>
              </w:rPr>
            </w:pPr>
          </w:p>
        </w:tc>
        <w:tc>
          <w:tcPr>
            <w:tcW w:w="2505" w:type="dxa"/>
          </w:tcPr>
          <w:p w14:paraId="5DD9526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3E58F094" w14:textId="753C4137" w:rsidTr="00E6407C">
        <w:tc>
          <w:tcPr>
            <w:tcW w:w="7252" w:type="dxa"/>
          </w:tcPr>
          <w:p w14:paraId="3ECFA0CF"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II - ser destinado ao respectivo plano de benefícios; e</w:t>
            </w:r>
          </w:p>
        </w:tc>
        <w:tc>
          <w:tcPr>
            <w:tcW w:w="3107" w:type="dxa"/>
          </w:tcPr>
          <w:p w14:paraId="1480DF08" w14:textId="77777777" w:rsidR="00F62F78" w:rsidRDefault="00A35F09"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5848040E" w14:textId="77777777" w:rsidR="00A35F09" w:rsidRDefault="00A35F09" w:rsidP="005C38E7">
            <w:pPr>
              <w:spacing w:after="120"/>
              <w:jc w:val="both"/>
              <w:rPr>
                <w:rFonts w:ascii="Calibri" w:eastAsia="Calibri" w:hAnsi="Calibri" w:cs="Calibri"/>
                <w:sz w:val="24"/>
                <w:szCs w:val="24"/>
              </w:rPr>
            </w:pPr>
            <w:r w:rsidRPr="00A35F09">
              <w:rPr>
                <w:rFonts w:ascii="Calibri" w:eastAsia="Calibri" w:hAnsi="Calibri" w:cs="Calibri"/>
                <w:sz w:val="24"/>
                <w:szCs w:val="24"/>
              </w:rPr>
              <w:t xml:space="preserve">II - ser destinado ao respectivo plano de benefícios </w:t>
            </w:r>
            <w:r w:rsidRPr="00A35F09">
              <w:rPr>
                <w:rFonts w:ascii="Calibri" w:eastAsia="Calibri" w:hAnsi="Calibri" w:cs="Calibri"/>
                <w:color w:val="4472C4" w:themeColor="accent1"/>
                <w:sz w:val="24"/>
                <w:szCs w:val="24"/>
              </w:rPr>
              <w:t>ou ao PGA</w:t>
            </w:r>
            <w:r w:rsidRPr="00A35F09">
              <w:rPr>
                <w:rFonts w:ascii="Calibri" w:eastAsia="Calibri" w:hAnsi="Calibri" w:cs="Calibri"/>
                <w:sz w:val="24"/>
                <w:szCs w:val="24"/>
              </w:rPr>
              <w:t>;</w:t>
            </w:r>
          </w:p>
          <w:p w14:paraId="7DDDD4EB" w14:textId="77777777" w:rsidR="004A730F" w:rsidRDefault="004A730F" w:rsidP="005C38E7">
            <w:pPr>
              <w:spacing w:after="120"/>
              <w:jc w:val="both"/>
              <w:rPr>
                <w:rFonts w:ascii="Calibri" w:eastAsia="Calibri" w:hAnsi="Calibri" w:cs="Calibri"/>
                <w:sz w:val="24"/>
                <w:szCs w:val="24"/>
              </w:rPr>
            </w:pPr>
            <w:r>
              <w:rPr>
                <w:rFonts w:ascii="Calibri" w:eastAsia="Calibri" w:hAnsi="Calibri" w:cs="Calibri"/>
                <w:sz w:val="24"/>
                <w:szCs w:val="24"/>
              </w:rPr>
              <w:t>ANCEP:</w:t>
            </w:r>
          </w:p>
          <w:p w14:paraId="3F0A426C" w14:textId="6DA7B3D8" w:rsidR="004A730F" w:rsidRPr="00D511FC" w:rsidRDefault="004A730F" w:rsidP="004A730F">
            <w:pPr>
              <w:spacing w:after="120"/>
              <w:jc w:val="both"/>
              <w:rPr>
                <w:rFonts w:ascii="Calibri" w:eastAsia="Calibri" w:hAnsi="Calibri" w:cs="Calibri"/>
                <w:sz w:val="24"/>
                <w:szCs w:val="24"/>
              </w:rPr>
            </w:pPr>
            <w:r w:rsidRPr="004A730F">
              <w:rPr>
                <w:rFonts w:ascii="Calibri" w:eastAsia="Calibri" w:hAnsi="Calibri" w:cs="Calibri"/>
                <w:sz w:val="24"/>
                <w:szCs w:val="24"/>
              </w:rPr>
              <w:t>II - ser destinado ao respectivo plano de benefícios</w:t>
            </w:r>
            <w:r>
              <w:rPr>
                <w:rFonts w:ascii="Calibri" w:eastAsia="Calibri" w:hAnsi="Calibri" w:cs="Calibri"/>
                <w:sz w:val="24"/>
                <w:szCs w:val="24"/>
              </w:rPr>
              <w:t xml:space="preserve"> </w:t>
            </w:r>
            <w:r w:rsidRPr="004A730F">
              <w:rPr>
                <w:rFonts w:ascii="Calibri" w:eastAsia="Calibri" w:hAnsi="Calibri" w:cs="Calibri"/>
                <w:color w:val="4472C4" w:themeColor="accent1"/>
                <w:sz w:val="24"/>
                <w:szCs w:val="24"/>
              </w:rPr>
              <w:t>ou ao PGA</w:t>
            </w:r>
            <w:r w:rsidRPr="004A730F">
              <w:rPr>
                <w:rFonts w:ascii="Calibri" w:eastAsia="Calibri" w:hAnsi="Calibri" w:cs="Calibri"/>
                <w:sz w:val="24"/>
                <w:szCs w:val="24"/>
              </w:rPr>
              <w:t>, dependendo do caso;</w:t>
            </w:r>
          </w:p>
        </w:tc>
        <w:tc>
          <w:tcPr>
            <w:tcW w:w="2552" w:type="dxa"/>
          </w:tcPr>
          <w:p w14:paraId="2AA4D207" w14:textId="77777777" w:rsidR="00F62F78" w:rsidRDefault="00A35F09" w:rsidP="005C38E7">
            <w:pPr>
              <w:spacing w:after="120"/>
              <w:jc w:val="both"/>
              <w:rPr>
                <w:rFonts w:ascii="Calibri" w:eastAsia="Calibri" w:hAnsi="Calibri" w:cs="Calibri"/>
                <w:sz w:val="24"/>
                <w:szCs w:val="24"/>
              </w:rPr>
            </w:pPr>
            <w:r>
              <w:rPr>
                <w:rFonts w:ascii="Calibri" w:eastAsia="Calibri" w:hAnsi="Calibri" w:cs="Calibri"/>
                <w:sz w:val="24"/>
                <w:szCs w:val="24"/>
              </w:rPr>
              <w:t xml:space="preserve">ABRAPP: </w:t>
            </w:r>
            <w:r w:rsidRPr="00A35F09">
              <w:rPr>
                <w:rFonts w:ascii="Calibri" w:eastAsia="Calibri" w:hAnsi="Calibri" w:cs="Calibri"/>
                <w:sz w:val="24"/>
                <w:szCs w:val="24"/>
              </w:rPr>
              <w:t>Inclusão da possibilidade de destinação ao PGA.</w:t>
            </w:r>
          </w:p>
          <w:p w14:paraId="54B9B410" w14:textId="77777777" w:rsidR="004A730F" w:rsidRDefault="004A730F" w:rsidP="005C38E7">
            <w:pPr>
              <w:spacing w:after="120"/>
              <w:jc w:val="both"/>
              <w:rPr>
                <w:rFonts w:ascii="Calibri" w:eastAsia="Calibri" w:hAnsi="Calibri" w:cs="Calibri"/>
                <w:sz w:val="24"/>
                <w:szCs w:val="24"/>
              </w:rPr>
            </w:pPr>
          </w:p>
          <w:p w14:paraId="2968AFEA" w14:textId="7B5A03C2" w:rsidR="004A730F" w:rsidRPr="00D511FC" w:rsidRDefault="004A730F" w:rsidP="005C38E7">
            <w:pPr>
              <w:spacing w:after="120"/>
              <w:jc w:val="both"/>
              <w:rPr>
                <w:rFonts w:ascii="Calibri" w:eastAsia="Calibri" w:hAnsi="Calibri" w:cs="Calibri"/>
                <w:sz w:val="24"/>
                <w:szCs w:val="24"/>
              </w:rPr>
            </w:pPr>
            <w:r>
              <w:rPr>
                <w:rFonts w:ascii="Calibri" w:eastAsia="Calibri" w:hAnsi="Calibri" w:cs="Calibri"/>
                <w:sz w:val="24"/>
                <w:szCs w:val="24"/>
              </w:rPr>
              <w:t xml:space="preserve">ANCEP: </w:t>
            </w:r>
            <w:r w:rsidRPr="004A730F">
              <w:rPr>
                <w:rFonts w:ascii="Calibri" w:eastAsia="Calibri" w:hAnsi="Calibri" w:cs="Calibri"/>
                <w:sz w:val="24"/>
                <w:szCs w:val="24"/>
              </w:rPr>
              <w:t>Incluir o PGA</w:t>
            </w:r>
            <w:r>
              <w:rPr>
                <w:rFonts w:ascii="Calibri" w:eastAsia="Calibri" w:hAnsi="Calibri" w:cs="Calibri"/>
                <w:sz w:val="24"/>
                <w:szCs w:val="24"/>
              </w:rPr>
              <w:t>.</w:t>
            </w:r>
          </w:p>
        </w:tc>
        <w:tc>
          <w:tcPr>
            <w:tcW w:w="2505" w:type="dxa"/>
          </w:tcPr>
          <w:p w14:paraId="239ED378" w14:textId="288569DF" w:rsidR="00F62F78" w:rsidRPr="00A35F09" w:rsidRDefault="00A35F09" w:rsidP="005C38E7">
            <w:pPr>
              <w:spacing w:after="120"/>
              <w:jc w:val="both"/>
              <w:rPr>
                <w:rFonts w:ascii="Calibri" w:eastAsia="Calibri" w:hAnsi="Calibri" w:cs="Calibri"/>
                <w:b/>
                <w:bCs/>
                <w:sz w:val="24"/>
                <w:szCs w:val="24"/>
              </w:rPr>
            </w:pPr>
            <w:r w:rsidRPr="00A35F09">
              <w:rPr>
                <w:rFonts w:ascii="Calibri" w:eastAsia="Calibri" w:hAnsi="Calibri" w:cs="Calibri"/>
                <w:b/>
                <w:bCs/>
                <w:sz w:val="24"/>
                <w:szCs w:val="24"/>
              </w:rPr>
              <w:t xml:space="preserve">ACATAR. </w:t>
            </w:r>
          </w:p>
        </w:tc>
      </w:tr>
      <w:tr w:rsidR="00F62F78" w:rsidRPr="00D511FC" w14:paraId="555F58D4" w14:textId="1F235912" w:rsidTr="00E6407C">
        <w:tc>
          <w:tcPr>
            <w:tcW w:w="7252" w:type="dxa"/>
          </w:tcPr>
          <w:p w14:paraId="75122D43"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lastRenderedPageBreak/>
              <w:t>III - ser divulgado aos participantes e assistidos no Relatório Anual de Informações.</w:t>
            </w:r>
          </w:p>
        </w:tc>
        <w:tc>
          <w:tcPr>
            <w:tcW w:w="3107" w:type="dxa"/>
          </w:tcPr>
          <w:p w14:paraId="125DF13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48ACCF3" w14:textId="07A2FA03" w:rsidR="00F62F78" w:rsidRPr="00D511FC" w:rsidRDefault="00F62F78" w:rsidP="005C38E7">
            <w:pPr>
              <w:spacing w:after="120"/>
              <w:jc w:val="both"/>
              <w:rPr>
                <w:rFonts w:ascii="Calibri" w:eastAsia="Calibri" w:hAnsi="Calibri" w:cs="Calibri"/>
                <w:sz w:val="24"/>
                <w:szCs w:val="24"/>
              </w:rPr>
            </w:pPr>
          </w:p>
        </w:tc>
        <w:tc>
          <w:tcPr>
            <w:tcW w:w="2505" w:type="dxa"/>
          </w:tcPr>
          <w:p w14:paraId="2A1CBD0A"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C972DA6" w14:textId="2B8CF6A2" w:rsidTr="00E6407C">
        <w:tc>
          <w:tcPr>
            <w:tcW w:w="7252" w:type="dxa"/>
          </w:tcPr>
          <w:p w14:paraId="45DF8FA9"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97.  A EFPC deve dar publicidade aos participantes e assistidos sobre a contratação do seguro, informando as respectivas condições e formas de acesso, quando houver.</w:t>
            </w:r>
          </w:p>
        </w:tc>
        <w:tc>
          <w:tcPr>
            <w:tcW w:w="3107" w:type="dxa"/>
          </w:tcPr>
          <w:p w14:paraId="7ABCDE70" w14:textId="77777777" w:rsidR="00F62F78" w:rsidRDefault="0045651A" w:rsidP="005C38E7">
            <w:pPr>
              <w:spacing w:after="120"/>
              <w:jc w:val="both"/>
              <w:rPr>
                <w:rFonts w:ascii="Calibri" w:eastAsia="Calibri" w:hAnsi="Calibri" w:cs="Calibri"/>
                <w:sz w:val="24"/>
                <w:szCs w:val="24"/>
              </w:rPr>
            </w:pPr>
            <w:r>
              <w:rPr>
                <w:rFonts w:ascii="Calibri" w:eastAsia="Calibri" w:hAnsi="Calibri" w:cs="Calibri"/>
                <w:sz w:val="24"/>
                <w:szCs w:val="24"/>
              </w:rPr>
              <w:t>ABRAPP:</w:t>
            </w:r>
          </w:p>
          <w:p w14:paraId="345A3A70" w14:textId="144F5AFE" w:rsidR="0045651A" w:rsidRPr="00D511FC" w:rsidRDefault="0045651A" w:rsidP="005C38E7">
            <w:pPr>
              <w:spacing w:after="120"/>
              <w:jc w:val="both"/>
              <w:rPr>
                <w:rFonts w:ascii="Calibri" w:eastAsia="Calibri" w:hAnsi="Calibri" w:cs="Calibri"/>
                <w:sz w:val="24"/>
                <w:szCs w:val="24"/>
              </w:rPr>
            </w:pPr>
            <w:r w:rsidRPr="0045651A">
              <w:rPr>
                <w:rFonts w:ascii="Calibri" w:eastAsia="Calibri" w:hAnsi="Calibri" w:cs="Calibri"/>
                <w:sz w:val="24"/>
                <w:szCs w:val="24"/>
              </w:rPr>
              <w:t xml:space="preserve">Art. 97. A EFPC deve dar publicidade aos participantes e assistidos sobre a contratação de seguro </w:t>
            </w:r>
            <w:r w:rsidRPr="0045651A">
              <w:rPr>
                <w:rFonts w:ascii="Calibri" w:eastAsia="Calibri" w:hAnsi="Calibri" w:cs="Calibri"/>
                <w:color w:val="FF0000"/>
                <w:sz w:val="24"/>
                <w:szCs w:val="24"/>
              </w:rPr>
              <w:t>ou de produtos disponibilizados em programas que lhes forem opcionais</w:t>
            </w:r>
            <w:r w:rsidRPr="0045651A">
              <w:rPr>
                <w:rFonts w:ascii="Calibri" w:eastAsia="Calibri" w:hAnsi="Calibri" w:cs="Calibri"/>
                <w:sz w:val="24"/>
                <w:szCs w:val="24"/>
              </w:rPr>
              <w:t>, informando as respectivas condições e formas de acesso, quando houver.</w:t>
            </w:r>
          </w:p>
        </w:tc>
        <w:tc>
          <w:tcPr>
            <w:tcW w:w="2552" w:type="dxa"/>
          </w:tcPr>
          <w:p w14:paraId="0050A3D4" w14:textId="1F577520" w:rsidR="00F62F78" w:rsidRPr="00D511FC" w:rsidRDefault="0045651A" w:rsidP="005C38E7">
            <w:pPr>
              <w:spacing w:after="120"/>
              <w:jc w:val="both"/>
              <w:rPr>
                <w:rFonts w:ascii="Calibri" w:eastAsia="Calibri" w:hAnsi="Calibri" w:cs="Calibri"/>
                <w:sz w:val="24"/>
                <w:szCs w:val="24"/>
              </w:rPr>
            </w:pPr>
            <w:r>
              <w:rPr>
                <w:rFonts w:ascii="Calibri" w:eastAsia="Calibri" w:hAnsi="Calibri" w:cs="Calibri"/>
                <w:sz w:val="24"/>
                <w:szCs w:val="24"/>
              </w:rPr>
              <w:t xml:space="preserve">ABRAPP: </w:t>
            </w:r>
            <w:r w:rsidRPr="0045651A">
              <w:rPr>
                <w:rFonts w:ascii="Calibri" w:eastAsia="Calibri" w:hAnsi="Calibri" w:cs="Calibri"/>
                <w:sz w:val="24"/>
                <w:szCs w:val="24"/>
              </w:rPr>
              <w:t>Inclusão da possibilidade de outros programas que forem opcionais.</w:t>
            </w:r>
          </w:p>
        </w:tc>
        <w:tc>
          <w:tcPr>
            <w:tcW w:w="2505" w:type="dxa"/>
          </w:tcPr>
          <w:p w14:paraId="59DE8210" w14:textId="6D35AD55" w:rsidR="00F62F78" w:rsidRPr="00D511FC" w:rsidRDefault="0045651A" w:rsidP="005C38E7">
            <w:pPr>
              <w:spacing w:after="120"/>
              <w:jc w:val="both"/>
              <w:rPr>
                <w:rFonts w:ascii="Calibri" w:eastAsia="Calibri" w:hAnsi="Calibri" w:cs="Calibri"/>
                <w:sz w:val="24"/>
                <w:szCs w:val="24"/>
              </w:rPr>
            </w:pPr>
            <w:r w:rsidRPr="0045651A">
              <w:rPr>
                <w:rFonts w:ascii="Calibri" w:eastAsia="Calibri" w:hAnsi="Calibri" w:cs="Calibri"/>
                <w:b/>
                <w:bCs/>
                <w:sz w:val="24"/>
                <w:szCs w:val="24"/>
              </w:rPr>
              <w:t>NÃO ACATAR.</w:t>
            </w:r>
            <w:r>
              <w:rPr>
                <w:rFonts w:ascii="Calibri" w:eastAsia="Calibri" w:hAnsi="Calibri" w:cs="Calibri"/>
                <w:sz w:val="24"/>
                <w:szCs w:val="24"/>
              </w:rPr>
              <w:t xml:space="preserve"> </w:t>
            </w:r>
            <w:r w:rsidRPr="0045651A">
              <w:rPr>
                <w:rFonts w:ascii="Calibri" w:eastAsia="Calibri" w:hAnsi="Calibri" w:cs="Calibri"/>
                <w:sz w:val="24"/>
                <w:szCs w:val="24"/>
              </w:rPr>
              <w:t>Não cabível no capítulo que fala especificamente da contratação de seguros.</w:t>
            </w:r>
          </w:p>
        </w:tc>
      </w:tr>
      <w:tr w:rsidR="00F62F78" w:rsidRPr="00D511FC" w14:paraId="3F49326A" w14:textId="48307827" w:rsidTr="00E6407C">
        <w:tc>
          <w:tcPr>
            <w:tcW w:w="7252" w:type="dxa"/>
          </w:tcPr>
          <w:p w14:paraId="3EBEF852"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Art. 98.  Os documentos elaborados para atendimento ao estabelecido neste Capítulo devem ser mantidos na EFPC à disposição da Previc.</w:t>
            </w:r>
          </w:p>
        </w:tc>
        <w:tc>
          <w:tcPr>
            <w:tcW w:w="3107" w:type="dxa"/>
          </w:tcPr>
          <w:p w14:paraId="571C21EA"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7AD20E85" w14:textId="0480AA91" w:rsidR="00F62F78" w:rsidRPr="00D511FC" w:rsidRDefault="00F62F78" w:rsidP="005C38E7">
            <w:pPr>
              <w:spacing w:after="120"/>
              <w:jc w:val="both"/>
              <w:rPr>
                <w:rFonts w:ascii="Calibri" w:eastAsia="Calibri" w:hAnsi="Calibri" w:cs="Calibri"/>
                <w:sz w:val="24"/>
                <w:szCs w:val="24"/>
              </w:rPr>
            </w:pPr>
          </w:p>
        </w:tc>
        <w:tc>
          <w:tcPr>
            <w:tcW w:w="2505" w:type="dxa"/>
          </w:tcPr>
          <w:p w14:paraId="067E4FEE"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053976EB" w14:textId="740F6384" w:rsidTr="00E6407C">
        <w:tc>
          <w:tcPr>
            <w:tcW w:w="7252" w:type="dxa"/>
          </w:tcPr>
          <w:p w14:paraId="1D529C0E"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§1º  A notificação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3107" w:type="dxa"/>
          </w:tcPr>
          <w:p w14:paraId="09F69215"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5DBC744" w14:textId="7343C557" w:rsidR="00F62F78" w:rsidRPr="00D511FC" w:rsidRDefault="00F62F78" w:rsidP="005C38E7">
            <w:pPr>
              <w:spacing w:after="120"/>
              <w:jc w:val="both"/>
              <w:rPr>
                <w:rFonts w:ascii="Calibri" w:eastAsia="Calibri" w:hAnsi="Calibri" w:cs="Calibri"/>
                <w:sz w:val="24"/>
                <w:szCs w:val="24"/>
              </w:rPr>
            </w:pPr>
          </w:p>
        </w:tc>
        <w:tc>
          <w:tcPr>
            <w:tcW w:w="2505" w:type="dxa"/>
          </w:tcPr>
          <w:p w14:paraId="0D69C022"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27596C58" w14:textId="2CFC9186" w:rsidTr="00E6407C">
        <w:tc>
          <w:tcPr>
            <w:tcW w:w="7252" w:type="dxa"/>
          </w:tcPr>
          <w:p w14:paraId="0893C0D5"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tc>
        <w:tc>
          <w:tcPr>
            <w:tcW w:w="3107" w:type="dxa"/>
          </w:tcPr>
          <w:p w14:paraId="15290BF3"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4D889FF1" w14:textId="534EE80D" w:rsidR="00F62F78" w:rsidRPr="00D511FC" w:rsidRDefault="00F62F78" w:rsidP="005C38E7">
            <w:pPr>
              <w:spacing w:after="120"/>
              <w:jc w:val="both"/>
              <w:rPr>
                <w:rFonts w:ascii="Calibri" w:eastAsia="Calibri" w:hAnsi="Calibri" w:cs="Calibri"/>
                <w:sz w:val="24"/>
                <w:szCs w:val="24"/>
              </w:rPr>
            </w:pPr>
          </w:p>
        </w:tc>
        <w:tc>
          <w:tcPr>
            <w:tcW w:w="2505" w:type="dxa"/>
          </w:tcPr>
          <w:p w14:paraId="70678BDB" w14:textId="77777777" w:rsidR="00F62F78" w:rsidRPr="00D511FC" w:rsidRDefault="00F62F78" w:rsidP="005C38E7">
            <w:pPr>
              <w:spacing w:after="120"/>
              <w:jc w:val="both"/>
              <w:rPr>
                <w:rFonts w:ascii="Calibri" w:eastAsia="Calibri" w:hAnsi="Calibri" w:cs="Calibri"/>
                <w:sz w:val="24"/>
                <w:szCs w:val="24"/>
              </w:rPr>
            </w:pPr>
          </w:p>
        </w:tc>
      </w:tr>
      <w:tr w:rsidR="00F62F78" w:rsidRPr="00D511FC" w14:paraId="4BEF2A24" w14:textId="4F6D4A04" w:rsidTr="00E6407C">
        <w:tc>
          <w:tcPr>
            <w:tcW w:w="7252" w:type="dxa"/>
          </w:tcPr>
          <w:p w14:paraId="2C9E31F4" w14:textId="77777777" w:rsidR="00F62F78" w:rsidRPr="00D511FC" w:rsidRDefault="00F62F78" w:rsidP="005C38E7">
            <w:pPr>
              <w:spacing w:after="120"/>
              <w:jc w:val="both"/>
              <w:rPr>
                <w:sz w:val="24"/>
                <w:szCs w:val="24"/>
              </w:rPr>
            </w:pPr>
            <w:r w:rsidRPr="00D511FC">
              <w:rPr>
                <w:rFonts w:ascii="Calibri" w:eastAsia="Calibri" w:hAnsi="Calibri" w:cs="Calibri"/>
                <w:sz w:val="24"/>
                <w:szCs w:val="24"/>
              </w:rPr>
              <w:t xml:space="preserve">§3º  Sem prejuízo do disposto no §2º, incumbe ao participante ou assistido manter atualizados junto à EFPC os seus endereços residencial e eletrônico e os dados relativos à conta referida no inciso I do art. 140, </w:t>
            </w:r>
            <w:r w:rsidRPr="00D511FC">
              <w:rPr>
                <w:rFonts w:ascii="Calibri" w:eastAsia="Calibri" w:hAnsi="Calibri" w:cs="Calibri"/>
                <w:sz w:val="24"/>
                <w:szCs w:val="24"/>
              </w:rPr>
              <w:lastRenderedPageBreak/>
              <w:t>bem como incumbe à EFPC adotar as medidas necessárias para o controle dessas atualizações.</w:t>
            </w:r>
          </w:p>
        </w:tc>
        <w:tc>
          <w:tcPr>
            <w:tcW w:w="3107" w:type="dxa"/>
          </w:tcPr>
          <w:p w14:paraId="65127082" w14:textId="77777777" w:rsidR="00F62F78" w:rsidRPr="00D511FC" w:rsidRDefault="00F62F78" w:rsidP="005C38E7">
            <w:pPr>
              <w:spacing w:after="120"/>
              <w:jc w:val="both"/>
              <w:rPr>
                <w:rFonts w:ascii="Calibri" w:eastAsia="Calibri" w:hAnsi="Calibri" w:cs="Calibri"/>
                <w:sz w:val="24"/>
                <w:szCs w:val="24"/>
              </w:rPr>
            </w:pPr>
          </w:p>
        </w:tc>
        <w:tc>
          <w:tcPr>
            <w:tcW w:w="2552" w:type="dxa"/>
          </w:tcPr>
          <w:p w14:paraId="2011D62C" w14:textId="62BC18DB" w:rsidR="00F62F78" w:rsidRPr="00D511FC" w:rsidRDefault="00F62F78" w:rsidP="005C38E7">
            <w:pPr>
              <w:spacing w:after="120"/>
              <w:jc w:val="both"/>
              <w:rPr>
                <w:rFonts w:ascii="Calibri" w:eastAsia="Calibri" w:hAnsi="Calibri" w:cs="Calibri"/>
                <w:sz w:val="24"/>
                <w:szCs w:val="24"/>
              </w:rPr>
            </w:pPr>
          </w:p>
        </w:tc>
        <w:tc>
          <w:tcPr>
            <w:tcW w:w="2505" w:type="dxa"/>
          </w:tcPr>
          <w:p w14:paraId="2EBD663A" w14:textId="77777777" w:rsidR="00F62F78" w:rsidRPr="00D511FC" w:rsidRDefault="00F62F78" w:rsidP="005C38E7">
            <w:pPr>
              <w:spacing w:after="120"/>
              <w:jc w:val="both"/>
              <w:rPr>
                <w:rFonts w:ascii="Calibri" w:eastAsia="Calibri" w:hAnsi="Calibri" w:cs="Calibri"/>
                <w:sz w:val="24"/>
                <w:szCs w:val="24"/>
              </w:rPr>
            </w:pPr>
          </w:p>
        </w:tc>
      </w:tr>
      <w:tr w:rsidR="009B3B43" w:rsidRPr="00D511FC" w14:paraId="11CBF405" w14:textId="2D0BABEB" w:rsidTr="00E6407C">
        <w:tc>
          <w:tcPr>
            <w:tcW w:w="7252" w:type="dxa"/>
          </w:tcPr>
          <w:p w14:paraId="7906B7F4" w14:textId="77777777" w:rsidR="009B3B43" w:rsidRPr="00D511FC" w:rsidRDefault="009B3B43" w:rsidP="009B3B43">
            <w:pPr>
              <w:spacing w:before="120" w:after="120"/>
              <w:jc w:val="center"/>
              <w:rPr>
                <w:rFonts w:ascii="Calibri" w:hAnsi="Calibri" w:cstheme="minorHAnsi"/>
                <w:sz w:val="24"/>
                <w:szCs w:val="24"/>
              </w:rPr>
            </w:pPr>
            <w:r w:rsidRPr="00D511FC">
              <w:rPr>
                <w:rFonts w:ascii="Calibri" w:hAnsi="Calibri" w:cstheme="minorHAnsi"/>
                <w:sz w:val="24"/>
                <w:szCs w:val="24"/>
              </w:rPr>
              <w:t>CAPÍTULO XII</w:t>
            </w:r>
          </w:p>
        </w:tc>
        <w:tc>
          <w:tcPr>
            <w:tcW w:w="3107" w:type="dxa"/>
          </w:tcPr>
          <w:p w14:paraId="216D06BA" w14:textId="77777777" w:rsidR="009B3B43" w:rsidRPr="00D511FC" w:rsidRDefault="009B3B43" w:rsidP="009B3B43">
            <w:pPr>
              <w:spacing w:before="120" w:after="120"/>
              <w:jc w:val="center"/>
              <w:rPr>
                <w:rFonts w:ascii="Calibri" w:hAnsi="Calibri" w:cstheme="minorHAnsi"/>
                <w:sz w:val="24"/>
                <w:szCs w:val="24"/>
              </w:rPr>
            </w:pPr>
          </w:p>
        </w:tc>
        <w:tc>
          <w:tcPr>
            <w:tcW w:w="2552" w:type="dxa"/>
          </w:tcPr>
          <w:p w14:paraId="008C79AB" w14:textId="0641B297" w:rsidR="009B3B43" w:rsidRPr="00D511FC" w:rsidRDefault="009B3B43" w:rsidP="009B3B43">
            <w:pPr>
              <w:spacing w:before="120" w:after="120"/>
              <w:jc w:val="center"/>
              <w:rPr>
                <w:rFonts w:ascii="Calibri" w:hAnsi="Calibri" w:cstheme="minorHAnsi"/>
                <w:sz w:val="24"/>
                <w:szCs w:val="24"/>
              </w:rPr>
            </w:pPr>
          </w:p>
        </w:tc>
        <w:tc>
          <w:tcPr>
            <w:tcW w:w="2505" w:type="dxa"/>
          </w:tcPr>
          <w:p w14:paraId="33CF1889" w14:textId="77777777" w:rsidR="009B3B43" w:rsidRPr="00D511FC" w:rsidRDefault="009B3B43" w:rsidP="009B3B43">
            <w:pPr>
              <w:spacing w:before="120" w:after="120"/>
              <w:jc w:val="center"/>
              <w:rPr>
                <w:rFonts w:ascii="Calibri" w:hAnsi="Calibri" w:cstheme="minorHAnsi"/>
                <w:sz w:val="24"/>
                <w:szCs w:val="24"/>
              </w:rPr>
            </w:pPr>
          </w:p>
        </w:tc>
      </w:tr>
      <w:tr w:rsidR="009B3B43" w:rsidRPr="00D511FC" w14:paraId="067BA81C" w14:textId="2AED0228" w:rsidTr="00E6407C">
        <w:tc>
          <w:tcPr>
            <w:tcW w:w="7252" w:type="dxa"/>
          </w:tcPr>
          <w:p w14:paraId="585D1857" w14:textId="77777777" w:rsidR="009B3B43" w:rsidRPr="00D511FC" w:rsidRDefault="009B3B43" w:rsidP="009B3B43">
            <w:pPr>
              <w:spacing w:before="120" w:after="120"/>
              <w:jc w:val="center"/>
              <w:rPr>
                <w:rFonts w:ascii="Calibri" w:hAnsi="Calibri" w:cstheme="minorHAnsi"/>
                <w:sz w:val="24"/>
                <w:szCs w:val="24"/>
              </w:rPr>
            </w:pPr>
            <w:r w:rsidRPr="00D511FC">
              <w:rPr>
                <w:rFonts w:ascii="Calibri" w:hAnsi="Calibri"/>
                <w:sz w:val="24"/>
                <w:szCs w:val="24"/>
              </w:rPr>
              <w:t>DOS DADOS A SEREM ENVIADOS À PREVIC</w:t>
            </w:r>
          </w:p>
        </w:tc>
        <w:tc>
          <w:tcPr>
            <w:tcW w:w="3107" w:type="dxa"/>
          </w:tcPr>
          <w:p w14:paraId="371F6083" w14:textId="77777777" w:rsidR="009B3B43" w:rsidRPr="00D511FC" w:rsidRDefault="009B3B43" w:rsidP="009B3B43">
            <w:pPr>
              <w:spacing w:before="120" w:after="120"/>
              <w:jc w:val="center"/>
              <w:rPr>
                <w:rFonts w:ascii="Calibri" w:hAnsi="Calibri"/>
                <w:sz w:val="24"/>
                <w:szCs w:val="24"/>
              </w:rPr>
            </w:pPr>
          </w:p>
        </w:tc>
        <w:tc>
          <w:tcPr>
            <w:tcW w:w="2552" w:type="dxa"/>
          </w:tcPr>
          <w:p w14:paraId="12E5288D" w14:textId="6EA7D18F" w:rsidR="009B3B43" w:rsidRPr="00D511FC" w:rsidRDefault="009B3B43" w:rsidP="009B3B43">
            <w:pPr>
              <w:spacing w:before="120" w:after="120"/>
              <w:jc w:val="center"/>
              <w:rPr>
                <w:rFonts w:ascii="Calibri" w:hAnsi="Calibri"/>
                <w:sz w:val="24"/>
                <w:szCs w:val="24"/>
              </w:rPr>
            </w:pPr>
          </w:p>
        </w:tc>
        <w:tc>
          <w:tcPr>
            <w:tcW w:w="2505" w:type="dxa"/>
          </w:tcPr>
          <w:p w14:paraId="61788FD2" w14:textId="77777777" w:rsidR="009B3B43" w:rsidRPr="00D511FC" w:rsidRDefault="009B3B43" w:rsidP="009B3B43">
            <w:pPr>
              <w:spacing w:before="120" w:after="120"/>
              <w:jc w:val="center"/>
              <w:rPr>
                <w:rFonts w:ascii="Calibri" w:hAnsi="Calibri"/>
                <w:sz w:val="24"/>
                <w:szCs w:val="24"/>
              </w:rPr>
            </w:pPr>
          </w:p>
        </w:tc>
      </w:tr>
      <w:tr w:rsidR="009B3B43" w:rsidRPr="00D511FC" w14:paraId="2F2EAAE8" w14:textId="69325C94" w:rsidTr="00E6407C">
        <w:tc>
          <w:tcPr>
            <w:tcW w:w="7252" w:type="dxa"/>
          </w:tcPr>
          <w:p w14:paraId="50ED003B" w14:textId="77777777" w:rsidR="009B3B43" w:rsidRPr="00D511FC" w:rsidRDefault="009B3B43" w:rsidP="009B3B43">
            <w:pPr>
              <w:spacing w:after="120"/>
              <w:jc w:val="center"/>
              <w:rPr>
                <w:sz w:val="24"/>
                <w:szCs w:val="24"/>
              </w:rPr>
            </w:pPr>
            <w:r w:rsidRPr="00D511FC">
              <w:rPr>
                <w:rFonts w:ascii="Calibri" w:eastAsia="Calibri" w:hAnsi="Calibri" w:cs="Calibri"/>
                <w:b/>
                <w:bCs/>
                <w:sz w:val="24"/>
                <w:szCs w:val="24"/>
              </w:rPr>
              <w:t>Seção I</w:t>
            </w:r>
          </w:p>
        </w:tc>
        <w:tc>
          <w:tcPr>
            <w:tcW w:w="3107" w:type="dxa"/>
          </w:tcPr>
          <w:p w14:paraId="5586CC7B" w14:textId="77777777" w:rsidR="009B3B43" w:rsidRPr="00D511FC" w:rsidRDefault="009B3B43" w:rsidP="009B3B43">
            <w:pPr>
              <w:spacing w:after="120"/>
              <w:jc w:val="center"/>
              <w:rPr>
                <w:rFonts w:ascii="Calibri" w:eastAsia="Calibri" w:hAnsi="Calibri" w:cs="Calibri"/>
                <w:b/>
                <w:bCs/>
                <w:sz w:val="24"/>
                <w:szCs w:val="24"/>
              </w:rPr>
            </w:pPr>
          </w:p>
        </w:tc>
        <w:tc>
          <w:tcPr>
            <w:tcW w:w="2552" w:type="dxa"/>
          </w:tcPr>
          <w:p w14:paraId="5A7348B5" w14:textId="49C63FB5" w:rsidR="009B3B43" w:rsidRPr="00D511FC" w:rsidRDefault="009B3B43" w:rsidP="009B3B43">
            <w:pPr>
              <w:spacing w:after="120"/>
              <w:jc w:val="center"/>
              <w:rPr>
                <w:rFonts w:ascii="Calibri" w:eastAsia="Calibri" w:hAnsi="Calibri" w:cs="Calibri"/>
                <w:b/>
                <w:bCs/>
                <w:sz w:val="24"/>
                <w:szCs w:val="24"/>
              </w:rPr>
            </w:pPr>
          </w:p>
        </w:tc>
        <w:tc>
          <w:tcPr>
            <w:tcW w:w="2505" w:type="dxa"/>
          </w:tcPr>
          <w:p w14:paraId="4C168C2E" w14:textId="77777777" w:rsidR="009B3B43" w:rsidRPr="00D511FC" w:rsidRDefault="009B3B43" w:rsidP="009B3B43">
            <w:pPr>
              <w:spacing w:after="120"/>
              <w:jc w:val="center"/>
              <w:rPr>
                <w:rFonts w:ascii="Calibri" w:eastAsia="Calibri" w:hAnsi="Calibri" w:cs="Calibri"/>
                <w:b/>
                <w:bCs/>
                <w:sz w:val="24"/>
                <w:szCs w:val="24"/>
              </w:rPr>
            </w:pPr>
          </w:p>
        </w:tc>
      </w:tr>
      <w:tr w:rsidR="00E6407C" w:rsidRPr="00D511FC" w14:paraId="5E374220" w14:textId="180CA890" w:rsidTr="00E6407C">
        <w:tc>
          <w:tcPr>
            <w:tcW w:w="7252" w:type="dxa"/>
          </w:tcPr>
          <w:p w14:paraId="2C5F4719"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Informações Atuariais</w:t>
            </w:r>
          </w:p>
        </w:tc>
        <w:tc>
          <w:tcPr>
            <w:tcW w:w="3107" w:type="dxa"/>
          </w:tcPr>
          <w:p w14:paraId="7DD909B9" w14:textId="76120D9F" w:rsidR="00E6407C" w:rsidRPr="007C7939" w:rsidRDefault="00E6407C" w:rsidP="00E6407C">
            <w:pPr>
              <w:spacing w:after="120"/>
              <w:jc w:val="both"/>
              <w:rPr>
                <w:rFonts w:ascii="Calibri" w:eastAsia="Calibri" w:hAnsi="Calibri" w:cs="Calibri"/>
                <w:sz w:val="24"/>
                <w:szCs w:val="24"/>
              </w:rPr>
            </w:pPr>
          </w:p>
        </w:tc>
        <w:tc>
          <w:tcPr>
            <w:tcW w:w="2552" w:type="dxa"/>
          </w:tcPr>
          <w:p w14:paraId="17973936" w14:textId="77777777" w:rsidR="00E6407C" w:rsidRPr="00E6407C" w:rsidRDefault="00E6407C" w:rsidP="00E6407C">
            <w:pPr>
              <w:spacing w:after="120"/>
              <w:jc w:val="both"/>
              <w:rPr>
                <w:rFonts w:ascii="Calibri" w:eastAsia="Calibri" w:hAnsi="Calibri" w:cs="Calibri"/>
                <w:sz w:val="24"/>
                <w:szCs w:val="24"/>
              </w:rPr>
            </w:pPr>
            <w:r w:rsidRPr="00E6407C">
              <w:rPr>
                <w:rFonts w:ascii="Calibri" w:eastAsia="Calibri" w:hAnsi="Calibri" w:cs="Calibri"/>
                <w:sz w:val="24"/>
                <w:szCs w:val="24"/>
              </w:rPr>
              <w:t>APEP/IPCOM:</w:t>
            </w:r>
          </w:p>
          <w:p w14:paraId="438670A5" w14:textId="456B0B15" w:rsidR="00E6407C" w:rsidRPr="00E6407C" w:rsidRDefault="00E6407C" w:rsidP="00E6407C">
            <w:pPr>
              <w:spacing w:after="120"/>
              <w:jc w:val="both"/>
              <w:rPr>
                <w:rFonts w:ascii="Calibri" w:eastAsia="Calibri" w:hAnsi="Calibri" w:cs="Calibri"/>
                <w:b/>
                <w:bCs/>
                <w:sz w:val="24"/>
                <w:szCs w:val="24"/>
              </w:rPr>
            </w:pPr>
            <w:r w:rsidRPr="00E6407C">
              <w:rPr>
                <w:rFonts w:ascii="Calibri" w:eastAsia="Calibri" w:hAnsi="Calibri" w:cs="Calibri"/>
                <w:sz w:val="24"/>
                <w:szCs w:val="24"/>
              </w:rPr>
              <w:t>Pelas mesmas razões apresentadas anteriormente, entendemos que enquanto não terminar a revisão da Resolução CNPC 30/18, não é adequada a publicação /alteração de normas infra relacionadas à matéria.</w:t>
            </w:r>
          </w:p>
        </w:tc>
        <w:tc>
          <w:tcPr>
            <w:tcW w:w="2505" w:type="dxa"/>
          </w:tcPr>
          <w:p w14:paraId="38AB6CB6" w14:textId="23C519D7" w:rsidR="00E6407C" w:rsidRPr="00D511FC" w:rsidRDefault="00E6407C" w:rsidP="00E6407C">
            <w:pPr>
              <w:spacing w:after="120"/>
              <w:jc w:val="both"/>
              <w:rPr>
                <w:rFonts w:ascii="Calibri" w:eastAsia="Calibri" w:hAnsi="Calibri" w:cs="Calibri"/>
                <w:b/>
                <w:bCs/>
                <w:sz w:val="24"/>
                <w:szCs w:val="24"/>
              </w:rPr>
            </w:pPr>
            <w:r>
              <w:rPr>
                <w:rFonts w:ascii="Calibri" w:eastAsia="Calibri" w:hAnsi="Calibri" w:cs="Calibri"/>
                <w:b/>
                <w:bCs/>
                <w:sz w:val="24"/>
                <w:szCs w:val="24"/>
              </w:rPr>
              <w:t xml:space="preserve">NÃO ACATAR. </w:t>
            </w:r>
            <w:r>
              <w:rPr>
                <w:rFonts w:ascii="Calibri" w:eastAsia="Calibri" w:hAnsi="Calibri" w:cs="Calibri"/>
                <w:sz w:val="24"/>
                <w:szCs w:val="24"/>
              </w:rPr>
              <w:t>A</w:t>
            </w:r>
            <w:r w:rsidRPr="007C7939">
              <w:rPr>
                <w:rFonts w:ascii="Calibri" w:eastAsia="Calibri" w:hAnsi="Calibri" w:cs="Calibri"/>
                <w:sz w:val="24"/>
                <w:szCs w:val="24"/>
              </w:rPr>
              <w:t xml:space="preserve">lgumas alterações </w:t>
            </w:r>
            <w:r>
              <w:rPr>
                <w:rFonts w:ascii="Calibri" w:eastAsia="Calibri" w:hAnsi="Calibri" w:cs="Calibri"/>
                <w:sz w:val="24"/>
                <w:szCs w:val="24"/>
              </w:rPr>
              <w:t>são</w:t>
            </w:r>
            <w:r w:rsidRPr="007C7939">
              <w:rPr>
                <w:rFonts w:ascii="Calibri" w:eastAsia="Calibri" w:hAnsi="Calibri" w:cs="Calibri"/>
                <w:sz w:val="24"/>
                <w:szCs w:val="24"/>
              </w:rPr>
              <w:t xml:space="preserve"> necessárias antes mesmo da publicação das novas regras de solvência pelo CNPC</w:t>
            </w:r>
            <w:r>
              <w:rPr>
                <w:rFonts w:ascii="Calibri" w:eastAsia="Calibri" w:hAnsi="Calibri" w:cs="Calibri"/>
                <w:sz w:val="24"/>
                <w:szCs w:val="24"/>
              </w:rPr>
              <w:t>, com vistas à simplificação normativa e desoneração das EFPC.</w:t>
            </w:r>
          </w:p>
        </w:tc>
      </w:tr>
      <w:tr w:rsidR="00E6407C" w:rsidRPr="00D511FC" w14:paraId="171EB07C" w14:textId="23765823" w:rsidTr="00E6407C">
        <w:tc>
          <w:tcPr>
            <w:tcW w:w="7252" w:type="dxa"/>
          </w:tcPr>
          <w:p w14:paraId="08F0C0BC"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Subseção I</w:t>
            </w:r>
          </w:p>
        </w:tc>
        <w:tc>
          <w:tcPr>
            <w:tcW w:w="3107" w:type="dxa"/>
          </w:tcPr>
          <w:p w14:paraId="441AAE88"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612BDDF7" w14:textId="0A56EEFA" w:rsidR="00E6407C" w:rsidRPr="00D511FC" w:rsidRDefault="00E6407C" w:rsidP="00E6407C">
            <w:pPr>
              <w:spacing w:after="120"/>
              <w:jc w:val="center"/>
              <w:rPr>
                <w:rFonts w:ascii="Calibri" w:eastAsia="Calibri" w:hAnsi="Calibri" w:cs="Calibri"/>
                <w:b/>
                <w:bCs/>
                <w:sz w:val="24"/>
                <w:szCs w:val="24"/>
              </w:rPr>
            </w:pPr>
          </w:p>
        </w:tc>
        <w:tc>
          <w:tcPr>
            <w:tcW w:w="2505" w:type="dxa"/>
          </w:tcPr>
          <w:p w14:paraId="0E1FFE46"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3AE56AF4" w14:textId="7C6A88CF" w:rsidTr="00E6407C">
        <w:tc>
          <w:tcPr>
            <w:tcW w:w="7252" w:type="dxa"/>
          </w:tcPr>
          <w:p w14:paraId="0F6543C4"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Demonstrações Atuariais</w:t>
            </w:r>
          </w:p>
        </w:tc>
        <w:tc>
          <w:tcPr>
            <w:tcW w:w="3107" w:type="dxa"/>
          </w:tcPr>
          <w:p w14:paraId="640B1BC5"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74C6F3C7" w14:textId="4EA67CB5" w:rsidR="00E6407C" w:rsidRPr="00D511FC" w:rsidRDefault="00E6407C" w:rsidP="00E6407C">
            <w:pPr>
              <w:spacing w:after="120"/>
              <w:jc w:val="center"/>
              <w:rPr>
                <w:rFonts w:ascii="Calibri" w:eastAsia="Calibri" w:hAnsi="Calibri" w:cs="Calibri"/>
                <w:b/>
                <w:bCs/>
                <w:sz w:val="24"/>
                <w:szCs w:val="24"/>
              </w:rPr>
            </w:pPr>
          </w:p>
        </w:tc>
        <w:tc>
          <w:tcPr>
            <w:tcW w:w="2505" w:type="dxa"/>
          </w:tcPr>
          <w:p w14:paraId="1E0F750C"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047904A3" w14:textId="520A0CF9" w:rsidTr="00E6407C">
        <w:tc>
          <w:tcPr>
            <w:tcW w:w="7252" w:type="dxa"/>
          </w:tcPr>
          <w:p w14:paraId="0E44E7B0"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343.  As demonstrações atuariais podem ser:</w:t>
            </w:r>
          </w:p>
        </w:tc>
        <w:tc>
          <w:tcPr>
            <w:tcW w:w="3107" w:type="dxa"/>
          </w:tcPr>
          <w:p w14:paraId="2B6F98D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F26208C" w14:textId="1935439D" w:rsidR="00E6407C" w:rsidRPr="00D511FC" w:rsidRDefault="00E6407C" w:rsidP="00E6407C">
            <w:pPr>
              <w:spacing w:after="120"/>
              <w:jc w:val="both"/>
              <w:rPr>
                <w:rFonts w:ascii="Calibri" w:eastAsia="Calibri" w:hAnsi="Calibri" w:cs="Calibri"/>
                <w:sz w:val="24"/>
                <w:szCs w:val="24"/>
              </w:rPr>
            </w:pPr>
          </w:p>
        </w:tc>
        <w:tc>
          <w:tcPr>
            <w:tcW w:w="2505" w:type="dxa"/>
          </w:tcPr>
          <w:p w14:paraId="66A08E76"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092E506" w14:textId="3886352F" w:rsidTr="00E6407C">
        <w:tc>
          <w:tcPr>
            <w:tcW w:w="7252" w:type="dxa"/>
          </w:tcPr>
          <w:p w14:paraId="31B38F72"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 - demonstrações atuariais completas:  aquelas preenchidas com todas as informações sobre a avaliação atuarial; ou</w:t>
            </w:r>
          </w:p>
        </w:tc>
        <w:tc>
          <w:tcPr>
            <w:tcW w:w="3107" w:type="dxa"/>
          </w:tcPr>
          <w:p w14:paraId="258D0D0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3230F1D" w14:textId="7347D396" w:rsidR="00E6407C" w:rsidRPr="00D511FC" w:rsidRDefault="00E6407C" w:rsidP="00E6407C">
            <w:pPr>
              <w:spacing w:after="120"/>
              <w:jc w:val="both"/>
              <w:rPr>
                <w:rFonts w:ascii="Calibri" w:eastAsia="Calibri" w:hAnsi="Calibri" w:cs="Calibri"/>
                <w:sz w:val="24"/>
                <w:szCs w:val="24"/>
              </w:rPr>
            </w:pPr>
          </w:p>
        </w:tc>
        <w:tc>
          <w:tcPr>
            <w:tcW w:w="2505" w:type="dxa"/>
          </w:tcPr>
          <w:p w14:paraId="0FB330A2"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DDE7CDE" w14:textId="685D612F" w:rsidTr="00E6407C">
        <w:tc>
          <w:tcPr>
            <w:tcW w:w="7252" w:type="dxa"/>
          </w:tcPr>
          <w:p w14:paraId="2E690480"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II - demonstrações atuariais simplificadas: aquelas preenchidas com informações sobre a avaliação atuarial estabelecidas na forma do art. 375.</w:t>
            </w:r>
          </w:p>
        </w:tc>
        <w:tc>
          <w:tcPr>
            <w:tcW w:w="3107" w:type="dxa"/>
          </w:tcPr>
          <w:p w14:paraId="3D6B21AE" w14:textId="4D797CB5" w:rsidR="00E6407C" w:rsidRPr="00D511FC" w:rsidRDefault="00E6407C" w:rsidP="00E6407C">
            <w:pPr>
              <w:spacing w:after="120"/>
              <w:jc w:val="both"/>
              <w:rPr>
                <w:rFonts w:ascii="Calibri" w:eastAsia="Calibri" w:hAnsi="Calibri" w:cs="Calibri"/>
                <w:sz w:val="24"/>
                <w:szCs w:val="24"/>
              </w:rPr>
            </w:pPr>
          </w:p>
        </w:tc>
        <w:tc>
          <w:tcPr>
            <w:tcW w:w="2552" w:type="dxa"/>
          </w:tcPr>
          <w:p w14:paraId="48B1FC9A" w14:textId="77777777" w:rsidR="00E6407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ABRAPP:</w:t>
            </w:r>
          </w:p>
          <w:p w14:paraId="01024EE2" w14:textId="6F347968" w:rsidR="00E6407C" w:rsidRPr="00D511FC" w:rsidRDefault="00E6407C" w:rsidP="00E6407C">
            <w:pPr>
              <w:spacing w:after="120"/>
              <w:jc w:val="both"/>
              <w:rPr>
                <w:rFonts w:ascii="Calibri" w:eastAsia="Calibri" w:hAnsi="Calibri" w:cs="Calibri"/>
                <w:sz w:val="24"/>
                <w:szCs w:val="24"/>
              </w:rPr>
            </w:pPr>
            <w:r w:rsidRPr="0045651A">
              <w:rPr>
                <w:rFonts w:ascii="Calibri" w:eastAsia="Calibri" w:hAnsi="Calibri" w:cs="Calibri"/>
                <w:sz w:val="24"/>
                <w:szCs w:val="24"/>
              </w:rPr>
              <w:t>Conferir remissão, pois aparentemente está equivocada.</w:t>
            </w:r>
          </w:p>
        </w:tc>
        <w:tc>
          <w:tcPr>
            <w:tcW w:w="2505" w:type="dxa"/>
          </w:tcPr>
          <w:p w14:paraId="116B1430" w14:textId="77777777" w:rsidR="00E6407C" w:rsidRPr="0045651A" w:rsidRDefault="00E6407C" w:rsidP="00E6407C">
            <w:pPr>
              <w:spacing w:after="120"/>
              <w:jc w:val="both"/>
              <w:rPr>
                <w:rFonts w:ascii="Calibri" w:eastAsia="Calibri" w:hAnsi="Calibri" w:cs="Calibri"/>
                <w:b/>
                <w:bCs/>
                <w:sz w:val="24"/>
                <w:szCs w:val="24"/>
              </w:rPr>
            </w:pPr>
            <w:r w:rsidRPr="0045651A">
              <w:rPr>
                <w:rFonts w:ascii="Calibri" w:eastAsia="Calibri" w:hAnsi="Calibri" w:cs="Calibri"/>
                <w:b/>
                <w:bCs/>
                <w:sz w:val="24"/>
                <w:szCs w:val="24"/>
              </w:rPr>
              <w:t xml:space="preserve">ACATAR: </w:t>
            </w:r>
          </w:p>
          <w:p w14:paraId="616639F7" w14:textId="16E21536" w:rsidR="00E6407C" w:rsidRPr="00D511FC" w:rsidRDefault="00E6407C" w:rsidP="00E6407C">
            <w:pPr>
              <w:spacing w:after="120"/>
              <w:jc w:val="both"/>
              <w:rPr>
                <w:rFonts w:ascii="Calibri" w:eastAsia="Calibri" w:hAnsi="Calibri" w:cs="Calibri"/>
                <w:sz w:val="24"/>
                <w:szCs w:val="24"/>
              </w:rPr>
            </w:pPr>
            <w:r w:rsidRPr="0045651A">
              <w:rPr>
                <w:rFonts w:ascii="Calibri" w:eastAsia="Calibri" w:hAnsi="Calibri" w:cs="Calibri"/>
                <w:sz w:val="24"/>
                <w:szCs w:val="24"/>
              </w:rPr>
              <w:t xml:space="preserve">II - demonstrações atuariais simplificadas: aquelas preenchidas </w:t>
            </w:r>
            <w:r w:rsidRPr="0045651A">
              <w:rPr>
                <w:rFonts w:ascii="Calibri" w:eastAsia="Calibri" w:hAnsi="Calibri" w:cs="Calibri"/>
                <w:color w:val="4472C4" w:themeColor="accent1"/>
                <w:sz w:val="24"/>
                <w:szCs w:val="24"/>
              </w:rPr>
              <w:t xml:space="preserve">com as informações </w:t>
            </w:r>
            <w:r w:rsidRPr="0045651A">
              <w:rPr>
                <w:rFonts w:ascii="Calibri" w:eastAsia="Calibri" w:hAnsi="Calibri" w:cs="Calibri"/>
                <w:color w:val="4472C4" w:themeColor="accent1"/>
                <w:sz w:val="24"/>
                <w:szCs w:val="24"/>
              </w:rPr>
              <w:lastRenderedPageBreak/>
              <w:t>mínimas sobre a avaliação atuarial.</w:t>
            </w:r>
          </w:p>
        </w:tc>
      </w:tr>
      <w:tr w:rsidR="00E6407C" w:rsidRPr="00D511FC" w14:paraId="3D5D5158" w14:textId="77777777" w:rsidTr="00E6407C">
        <w:tc>
          <w:tcPr>
            <w:tcW w:w="7252" w:type="dxa"/>
          </w:tcPr>
          <w:p w14:paraId="1633E4BC" w14:textId="00BF33D0" w:rsidR="00E6407C" w:rsidRPr="00D511FC" w:rsidRDefault="00E6407C" w:rsidP="00E6407C">
            <w:pPr>
              <w:spacing w:after="120"/>
              <w:jc w:val="both"/>
              <w:rPr>
                <w:rFonts w:ascii="Calibri" w:eastAsia="Calibri" w:hAnsi="Calibri" w:cs="Calibri"/>
                <w:sz w:val="24"/>
                <w:szCs w:val="24"/>
              </w:rPr>
            </w:pPr>
          </w:p>
        </w:tc>
        <w:tc>
          <w:tcPr>
            <w:tcW w:w="3107" w:type="dxa"/>
          </w:tcPr>
          <w:p w14:paraId="3DDD39B6" w14:textId="49D80E44" w:rsidR="00E6407C" w:rsidRPr="007C37FB" w:rsidRDefault="00E6407C" w:rsidP="00E6407C">
            <w:pPr>
              <w:spacing w:after="120"/>
              <w:jc w:val="both"/>
              <w:rPr>
                <w:rFonts w:ascii="Calibri" w:eastAsia="Calibri" w:hAnsi="Calibri" w:cs="Calibri"/>
                <w:color w:val="000000" w:themeColor="text1"/>
                <w:sz w:val="24"/>
                <w:szCs w:val="24"/>
              </w:rPr>
            </w:pPr>
            <w:r w:rsidRPr="007C37FB">
              <w:rPr>
                <w:rFonts w:ascii="Calibri" w:eastAsia="Calibri" w:hAnsi="Calibri" w:cs="Calibri"/>
                <w:color w:val="000000" w:themeColor="text1"/>
                <w:sz w:val="24"/>
                <w:szCs w:val="24"/>
              </w:rPr>
              <w:t>IBA:</w:t>
            </w:r>
          </w:p>
          <w:p w14:paraId="5FDAC0A9" w14:textId="42BBE8C2" w:rsidR="00E6407C" w:rsidRPr="00D511FC" w:rsidRDefault="00E6407C" w:rsidP="00E6407C">
            <w:pPr>
              <w:spacing w:after="120"/>
              <w:jc w:val="both"/>
              <w:rPr>
                <w:rFonts w:ascii="Calibri" w:eastAsia="Calibri" w:hAnsi="Calibri" w:cs="Calibri"/>
                <w:sz w:val="24"/>
                <w:szCs w:val="24"/>
              </w:rPr>
            </w:pPr>
            <w:r w:rsidRPr="000C7403">
              <w:rPr>
                <w:rFonts w:ascii="Calibri" w:eastAsia="Calibri" w:hAnsi="Calibri" w:cs="Calibri"/>
                <w:color w:val="4472C4" w:themeColor="accent1"/>
                <w:sz w:val="24"/>
                <w:szCs w:val="24"/>
              </w:rPr>
              <w:t>Parágrafo único.  O grupo de custeio corresponde a qualquer grupo de participantes tratado, em decorrência das regras do plano de benefícios, mediante a utilização de plano de custeio específico.</w:t>
            </w:r>
          </w:p>
        </w:tc>
        <w:tc>
          <w:tcPr>
            <w:tcW w:w="2552" w:type="dxa"/>
          </w:tcPr>
          <w:p w14:paraId="661DEE5B" w14:textId="743D29D0"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 xml:space="preserve">IBA: </w:t>
            </w:r>
            <w:r w:rsidRPr="000C7403">
              <w:rPr>
                <w:rFonts w:ascii="Calibri" w:eastAsia="Calibri" w:hAnsi="Calibri" w:cs="Calibri"/>
                <w:sz w:val="24"/>
                <w:szCs w:val="24"/>
              </w:rPr>
              <w:t>Os membros do Comitê Técnico entendem que é importante constar na norma a</w:t>
            </w:r>
            <w:r>
              <w:rPr>
                <w:rFonts w:ascii="Calibri" w:eastAsia="Calibri" w:hAnsi="Calibri" w:cs="Calibri"/>
                <w:sz w:val="24"/>
                <w:szCs w:val="24"/>
              </w:rPr>
              <w:t xml:space="preserve"> </w:t>
            </w:r>
            <w:r w:rsidRPr="000C7403">
              <w:rPr>
                <w:rFonts w:ascii="Calibri" w:eastAsia="Calibri" w:hAnsi="Calibri" w:cs="Calibri"/>
                <w:sz w:val="24"/>
                <w:szCs w:val="24"/>
              </w:rPr>
              <w:t>definição de “grupo de custeio”.</w:t>
            </w:r>
          </w:p>
        </w:tc>
        <w:tc>
          <w:tcPr>
            <w:tcW w:w="2505" w:type="dxa"/>
          </w:tcPr>
          <w:p w14:paraId="254E0688" w14:textId="1A178ACC" w:rsidR="00E6407C" w:rsidRPr="000F293D" w:rsidRDefault="00E6407C" w:rsidP="00E6407C">
            <w:pPr>
              <w:spacing w:after="120"/>
              <w:jc w:val="both"/>
              <w:rPr>
                <w:rFonts w:ascii="Calibri" w:eastAsia="Calibri" w:hAnsi="Calibri" w:cs="Calibri"/>
                <w:b/>
                <w:bCs/>
                <w:sz w:val="24"/>
                <w:szCs w:val="24"/>
              </w:rPr>
            </w:pPr>
            <w:r w:rsidRPr="000F293D">
              <w:rPr>
                <w:rFonts w:ascii="Calibri" w:eastAsia="Calibri" w:hAnsi="Calibri" w:cs="Calibri"/>
                <w:b/>
                <w:bCs/>
                <w:sz w:val="24"/>
                <w:szCs w:val="24"/>
              </w:rPr>
              <w:t>ACATAR.</w:t>
            </w:r>
          </w:p>
        </w:tc>
      </w:tr>
      <w:tr w:rsidR="00E6407C" w:rsidRPr="00D511FC" w14:paraId="77264D6A" w14:textId="29CA962B" w:rsidTr="00E6407C">
        <w:tc>
          <w:tcPr>
            <w:tcW w:w="7252" w:type="dxa"/>
          </w:tcPr>
          <w:p w14:paraId="2B690660"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344.  As demonstrações atuariais devem ser elaboradas e enviadas nos casos de planos que possuam benefícios concedidos ou a conceder.</w:t>
            </w:r>
          </w:p>
        </w:tc>
        <w:tc>
          <w:tcPr>
            <w:tcW w:w="3107" w:type="dxa"/>
          </w:tcPr>
          <w:p w14:paraId="2E3F8D61"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2134BCF" w14:textId="51F7E601" w:rsidR="00E6407C" w:rsidRPr="00D511FC" w:rsidRDefault="00E6407C" w:rsidP="00E6407C">
            <w:pPr>
              <w:spacing w:after="120"/>
              <w:jc w:val="both"/>
              <w:rPr>
                <w:rFonts w:ascii="Calibri" w:eastAsia="Calibri" w:hAnsi="Calibri" w:cs="Calibri"/>
                <w:sz w:val="24"/>
                <w:szCs w:val="24"/>
              </w:rPr>
            </w:pPr>
          </w:p>
        </w:tc>
        <w:tc>
          <w:tcPr>
            <w:tcW w:w="2505" w:type="dxa"/>
          </w:tcPr>
          <w:p w14:paraId="5BEFB680"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3C4B663" w14:textId="16394643" w:rsidTr="00E6407C">
        <w:tc>
          <w:tcPr>
            <w:tcW w:w="7252" w:type="dxa"/>
          </w:tcPr>
          <w:p w14:paraId="1374D2B9"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3107" w:type="dxa"/>
          </w:tcPr>
          <w:p w14:paraId="1FE3A623" w14:textId="77777777" w:rsidR="00E6407C" w:rsidRDefault="00E6407C" w:rsidP="00E6407C">
            <w:pPr>
              <w:tabs>
                <w:tab w:val="left" w:pos="1030"/>
              </w:tabs>
              <w:spacing w:after="120"/>
              <w:jc w:val="both"/>
              <w:rPr>
                <w:rFonts w:ascii="Calibri" w:eastAsia="Calibri" w:hAnsi="Calibri" w:cs="Calibri"/>
                <w:sz w:val="24"/>
                <w:szCs w:val="24"/>
              </w:rPr>
            </w:pPr>
            <w:r>
              <w:rPr>
                <w:rFonts w:ascii="Calibri" w:eastAsia="Calibri" w:hAnsi="Calibri" w:cs="Calibri"/>
                <w:sz w:val="24"/>
                <w:szCs w:val="24"/>
              </w:rPr>
              <w:t>IBA:</w:t>
            </w:r>
          </w:p>
          <w:p w14:paraId="717D0AE7" w14:textId="1FCB32D1" w:rsidR="00E6407C" w:rsidRPr="00D511FC" w:rsidRDefault="00E6407C" w:rsidP="00E6407C">
            <w:pPr>
              <w:tabs>
                <w:tab w:val="left" w:pos="1030"/>
              </w:tabs>
              <w:spacing w:after="120"/>
              <w:jc w:val="both"/>
              <w:rPr>
                <w:rFonts w:ascii="Calibri" w:eastAsia="Calibri" w:hAnsi="Calibri" w:cs="Calibri"/>
                <w:sz w:val="24"/>
                <w:szCs w:val="24"/>
              </w:rPr>
            </w:pPr>
            <w:r w:rsidRPr="00584281">
              <w:rPr>
                <w:rFonts w:ascii="Calibri" w:eastAsia="Calibri" w:hAnsi="Calibri" w:cs="Calibri"/>
                <w:color w:val="FF0000"/>
                <w:sz w:val="24"/>
                <w:szCs w:val="24"/>
              </w:rPr>
              <w:t>(Excluir parágrafo)</w:t>
            </w:r>
          </w:p>
        </w:tc>
        <w:tc>
          <w:tcPr>
            <w:tcW w:w="2552" w:type="dxa"/>
          </w:tcPr>
          <w:p w14:paraId="5BE05964" w14:textId="0CE32946"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 xml:space="preserve">IBA: </w:t>
            </w:r>
            <w:r w:rsidRPr="00584281">
              <w:rPr>
                <w:rFonts w:ascii="Calibri" w:eastAsia="Calibri" w:hAnsi="Calibri" w:cs="Calibri"/>
                <w:sz w:val="24"/>
                <w:szCs w:val="24"/>
              </w:rPr>
              <w:t xml:space="preserve">na opinião dos membros do Comitê Técnico, a obrigatoriedade do envio das </w:t>
            </w:r>
            <w:proofErr w:type="spellStart"/>
            <w:r w:rsidRPr="00584281">
              <w:rPr>
                <w:rFonts w:ascii="Calibri" w:eastAsia="Calibri" w:hAnsi="Calibri" w:cs="Calibri"/>
                <w:sz w:val="24"/>
                <w:szCs w:val="24"/>
              </w:rPr>
              <w:t>DAs</w:t>
            </w:r>
            <w:proofErr w:type="spellEnd"/>
            <w:r w:rsidRPr="00584281">
              <w:rPr>
                <w:rFonts w:ascii="Calibri" w:eastAsia="Calibri" w:hAnsi="Calibri" w:cs="Calibri"/>
                <w:sz w:val="24"/>
                <w:szCs w:val="24"/>
              </w:rPr>
              <w:t xml:space="preserve"> à Previc, mesmo nos casos dos planos CD puros, é essencial para garantir um monitoramento adequado e eficiente desses planos. Com essas informações em mãos, a Previc poderá realizar uma análise criteriosa, identificando eventuais situações </w:t>
            </w:r>
            <w:r w:rsidRPr="00584281">
              <w:rPr>
                <w:rFonts w:ascii="Calibri" w:eastAsia="Calibri" w:hAnsi="Calibri" w:cs="Calibri"/>
                <w:sz w:val="24"/>
                <w:szCs w:val="24"/>
              </w:rPr>
              <w:lastRenderedPageBreak/>
              <w:t>problemáticas antes que elas se agravem.</w:t>
            </w:r>
          </w:p>
        </w:tc>
        <w:tc>
          <w:tcPr>
            <w:tcW w:w="2505" w:type="dxa"/>
          </w:tcPr>
          <w:p w14:paraId="2E493230" w14:textId="28BAD3DB" w:rsidR="00E6407C" w:rsidRPr="00584281" w:rsidRDefault="00E6407C" w:rsidP="00E6407C">
            <w:pPr>
              <w:spacing w:after="120"/>
              <w:jc w:val="both"/>
              <w:rPr>
                <w:rFonts w:ascii="Calibri" w:eastAsia="Calibri" w:hAnsi="Calibri" w:cs="Calibri"/>
                <w:sz w:val="24"/>
                <w:szCs w:val="24"/>
              </w:rPr>
            </w:pPr>
            <w:r w:rsidRPr="00584281">
              <w:rPr>
                <w:rFonts w:ascii="Calibri" w:eastAsia="Calibri" w:hAnsi="Calibri" w:cs="Calibri"/>
                <w:b/>
                <w:bCs/>
                <w:sz w:val="24"/>
                <w:szCs w:val="24"/>
              </w:rPr>
              <w:lastRenderedPageBreak/>
              <w:t>NÃO ACATAR.</w:t>
            </w:r>
            <w:r w:rsidRPr="00584281">
              <w:rPr>
                <w:rFonts w:ascii="Calibri" w:eastAsia="Calibri" w:hAnsi="Calibri" w:cs="Calibri"/>
                <w:sz w:val="24"/>
                <w:szCs w:val="24"/>
              </w:rPr>
              <w:t xml:space="preserve"> </w:t>
            </w:r>
            <w:r w:rsidR="001E7E39">
              <w:rPr>
                <w:rFonts w:ascii="Calibri" w:eastAsia="Calibri" w:hAnsi="Calibri" w:cs="Calibri"/>
                <w:sz w:val="24"/>
                <w:szCs w:val="24"/>
              </w:rPr>
              <w:t>A m</w:t>
            </w:r>
            <w:r w:rsidRPr="00584281">
              <w:rPr>
                <w:rFonts w:ascii="Calibri" w:eastAsia="Calibri" w:hAnsi="Calibri" w:cs="Calibri"/>
                <w:sz w:val="24"/>
                <w:szCs w:val="24"/>
              </w:rPr>
              <w:t>edida</w:t>
            </w:r>
            <w:r>
              <w:rPr>
                <w:rFonts w:ascii="Calibri" w:eastAsia="Calibri" w:hAnsi="Calibri" w:cs="Calibri"/>
                <w:sz w:val="24"/>
                <w:szCs w:val="24"/>
              </w:rPr>
              <w:t>, que já consta da regulamentação atual,</w:t>
            </w:r>
            <w:r w:rsidRPr="00584281">
              <w:rPr>
                <w:rFonts w:ascii="Calibri" w:eastAsia="Calibri" w:hAnsi="Calibri" w:cs="Calibri"/>
                <w:sz w:val="24"/>
                <w:szCs w:val="24"/>
              </w:rPr>
              <w:t xml:space="preserve"> visa </w:t>
            </w:r>
            <w:r w:rsidR="001E7E39">
              <w:rPr>
                <w:rFonts w:ascii="Calibri" w:eastAsia="Calibri" w:hAnsi="Calibri" w:cs="Calibri"/>
                <w:sz w:val="24"/>
                <w:szCs w:val="24"/>
              </w:rPr>
              <w:t xml:space="preserve">a </w:t>
            </w:r>
            <w:r>
              <w:rPr>
                <w:rFonts w:ascii="Calibri" w:eastAsia="Calibri" w:hAnsi="Calibri" w:cs="Calibri"/>
                <w:sz w:val="24"/>
                <w:szCs w:val="24"/>
              </w:rPr>
              <w:t xml:space="preserve">desonerar as EFPC em relação aos planos CD puros (que não apresentam risco atuarial) em relação às informações a serem enviadas à Previc. </w:t>
            </w:r>
          </w:p>
        </w:tc>
      </w:tr>
      <w:tr w:rsidR="00E6407C" w:rsidRPr="00D511FC" w14:paraId="049E87B8" w14:textId="4917179B" w:rsidTr="00E6407C">
        <w:tc>
          <w:tcPr>
            <w:tcW w:w="7252" w:type="dxa"/>
          </w:tcPr>
          <w:p w14:paraId="2C95A9C4"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345.  Na ocorrência de fato relevante deve ser realizada nova avaliação atuarial, posicionada na data da efetivação do fato que a motivou.</w:t>
            </w:r>
          </w:p>
        </w:tc>
        <w:tc>
          <w:tcPr>
            <w:tcW w:w="3107" w:type="dxa"/>
          </w:tcPr>
          <w:p w14:paraId="6C05122A"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11F8A2F" w14:textId="65183062" w:rsidR="00E6407C" w:rsidRPr="00D511FC" w:rsidRDefault="00E6407C" w:rsidP="00E6407C">
            <w:pPr>
              <w:spacing w:after="120"/>
              <w:jc w:val="both"/>
              <w:rPr>
                <w:rFonts w:ascii="Calibri" w:eastAsia="Calibri" w:hAnsi="Calibri" w:cs="Calibri"/>
                <w:sz w:val="24"/>
                <w:szCs w:val="24"/>
              </w:rPr>
            </w:pPr>
          </w:p>
        </w:tc>
        <w:tc>
          <w:tcPr>
            <w:tcW w:w="2505" w:type="dxa"/>
          </w:tcPr>
          <w:p w14:paraId="15F169AE"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44A7F18" w14:textId="696FFFEA" w:rsidTr="00E6407C">
        <w:tc>
          <w:tcPr>
            <w:tcW w:w="7252" w:type="dxa"/>
          </w:tcPr>
          <w:p w14:paraId="50C94435"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346.  As informações contidas nas demonstrações atuariais devem refletir de forma individualizada todos os planos de benefícios mantidos pela EFPC e aprovados pelo órgão competente, na data de referência da avaliação atuarial.</w:t>
            </w:r>
          </w:p>
        </w:tc>
        <w:tc>
          <w:tcPr>
            <w:tcW w:w="3107" w:type="dxa"/>
          </w:tcPr>
          <w:p w14:paraId="48F8538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3438F12" w14:textId="1996CB0C" w:rsidR="00E6407C" w:rsidRPr="00D511FC" w:rsidRDefault="00E6407C" w:rsidP="00E6407C">
            <w:pPr>
              <w:spacing w:after="120"/>
              <w:jc w:val="both"/>
              <w:rPr>
                <w:rFonts w:ascii="Calibri" w:eastAsia="Calibri" w:hAnsi="Calibri" w:cs="Calibri"/>
                <w:sz w:val="24"/>
                <w:szCs w:val="24"/>
              </w:rPr>
            </w:pPr>
          </w:p>
        </w:tc>
        <w:tc>
          <w:tcPr>
            <w:tcW w:w="2505" w:type="dxa"/>
          </w:tcPr>
          <w:p w14:paraId="08B9ADB2"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F0F0EB8" w14:textId="5649388A" w:rsidTr="00E6407C">
        <w:tc>
          <w:tcPr>
            <w:tcW w:w="7252" w:type="dxa"/>
          </w:tcPr>
          <w:p w14:paraId="48FA8D64"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tc>
        <w:tc>
          <w:tcPr>
            <w:tcW w:w="3107" w:type="dxa"/>
          </w:tcPr>
          <w:p w14:paraId="5AB60AB8"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1806E65" w14:textId="79A8C5B8" w:rsidR="00E6407C" w:rsidRPr="00D511FC" w:rsidRDefault="00E6407C" w:rsidP="00E6407C">
            <w:pPr>
              <w:spacing w:after="120"/>
              <w:jc w:val="both"/>
              <w:rPr>
                <w:rFonts w:ascii="Calibri" w:eastAsia="Calibri" w:hAnsi="Calibri" w:cs="Calibri"/>
                <w:sz w:val="24"/>
                <w:szCs w:val="24"/>
              </w:rPr>
            </w:pPr>
          </w:p>
        </w:tc>
        <w:tc>
          <w:tcPr>
            <w:tcW w:w="2505" w:type="dxa"/>
          </w:tcPr>
          <w:p w14:paraId="520AECC9"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1948B94B" w14:textId="082AAF05" w:rsidTr="00E6407C">
        <w:tc>
          <w:tcPr>
            <w:tcW w:w="7252" w:type="dxa"/>
          </w:tcPr>
          <w:p w14:paraId="0FB47712"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347.  As demonstrações atuariais devem ser enviadas ao patrocinador do plano de benefícios antes do início de vigência do plano de custeio.</w:t>
            </w:r>
          </w:p>
        </w:tc>
        <w:tc>
          <w:tcPr>
            <w:tcW w:w="3107" w:type="dxa"/>
          </w:tcPr>
          <w:p w14:paraId="2C8F804B" w14:textId="26252589" w:rsidR="00E6407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IBA:</w:t>
            </w:r>
          </w:p>
          <w:p w14:paraId="0F72C720" w14:textId="6325648E" w:rsidR="00E6407C" w:rsidRPr="00D511FC" w:rsidRDefault="00E6407C" w:rsidP="00E6407C">
            <w:pPr>
              <w:spacing w:after="120"/>
              <w:jc w:val="both"/>
              <w:rPr>
                <w:rFonts w:ascii="Calibri" w:eastAsia="Calibri" w:hAnsi="Calibri" w:cs="Calibri"/>
                <w:sz w:val="24"/>
                <w:szCs w:val="24"/>
              </w:rPr>
            </w:pPr>
            <w:r w:rsidRPr="00A8165F">
              <w:rPr>
                <w:rFonts w:ascii="Calibri" w:eastAsia="Calibri" w:hAnsi="Calibri" w:cs="Calibri"/>
                <w:sz w:val="24"/>
                <w:szCs w:val="24"/>
              </w:rPr>
              <w:t xml:space="preserve">Art. 347. As demonstrações atuariais devem ser enviadas ao patrocinador do plano de benefícios </w:t>
            </w:r>
            <w:r w:rsidRPr="00A8165F">
              <w:rPr>
                <w:rFonts w:ascii="Calibri" w:eastAsia="Calibri" w:hAnsi="Calibri" w:cs="Calibri"/>
                <w:color w:val="FF0000"/>
                <w:sz w:val="24"/>
                <w:szCs w:val="24"/>
              </w:rPr>
              <w:t>em até 5 (cinco) dias úteis após o seu processamento pela Previc</w:t>
            </w:r>
            <w:r>
              <w:rPr>
                <w:rFonts w:ascii="Calibri" w:eastAsia="Calibri" w:hAnsi="Calibri" w:cs="Calibri"/>
                <w:color w:val="FF0000"/>
                <w:sz w:val="24"/>
                <w:szCs w:val="24"/>
              </w:rPr>
              <w:t>.</w:t>
            </w:r>
          </w:p>
        </w:tc>
        <w:tc>
          <w:tcPr>
            <w:tcW w:w="2552" w:type="dxa"/>
          </w:tcPr>
          <w:p w14:paraId="479018D4" w14:textId="4A0C5589"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IBA: A</w:t>
            </w:r>
            <w:r w:rsidRPr="00A8165F">
              <w:rPr>
                <w:rFonts w:ascii="Calibri" w:eastAsia="Calibri" w:hAnsi="Calibri" w:cs="Calibri"/>
                <w:sz w:val="24"/>
                <w:szCs w:val="24"/>
              </w:rPr>
              <w:t xml:space="preserve">s entidades com planos em que a vigência do Plano de Custeio é 1º de janeiro não têm condições de atender ao disposto neste artigo, que é o envio das Demonstrações Atuariais antes do início de vigência. Os membros do CT entendem que alterar esta regra não traz qualquer prejuízo aos patrocinadores e nem ao plano, visto que as informações da </w:t>
            </w:r>
            <w:proofErr w:type="spellStart"/>
            <w:r w:rsidRPr="00A8165F">
              <w:rPr>
                <w:rFonts w:ascii="Calibri" w:eastAsia="Calibri" w:hAnsi="Calibri" w:cs="Calibri"/>
                <w:sz w:val="24"/>
                <w:szCs w:val="24"/>
              </w:rPr>
              <w:t>DA</w:t>
            </w:r>
            <w:proofErr w:type="spellEnd"/>
            <w:r w:rsidRPr="00A8165F">
              <w:rPr>
                <w:rFonts w:ascii="Calibri" w:eastAsia="Calibri" w:hAnsi="Calibri" w:cs="Calibri"/>
                <w:sz w:val="24"/>
                <w:szCs w:val="24"/>
              </w:rPr>
              <w:t xml:space="preserve"> são, em grande parte, </w:t>
            </w:r>
            <w:r w:rsidRPr="00A8165F">
              <w:rPr>
                <w:rFonts w:ascii="Calibri" w:eastAsia="Calibri" w:hAnsi="Calibri" w:cs="Calibri"/>
                <w:sz w:val="24"/>
                <w:szCs w:val="24"/>
              </w:rPr>
              <w:lastRenderedPageBreak/>
              <w:t>extraídas do parecer atuarial.</w:t>
            </w:r>
          </w:p>
        </w:tc>
        <w:tc>
          <w:tcPr>
            <w:tcW w:w="2505" w:type="dxa"/>
          </w:tcPr>
          <w:p w14:paraId="6888F7AE" w14:textId="61A23036" w:rsidR="00E6407C" w:rsidRPr="00A8165F" w:rsidRDefault="00E6407C" w:rsidP="00E6407C">
            <w:pPr>
              <w:spacing w:after="120"/>
              <w:jc w:val="both"/>
              <w:rPr>
                <w:rFonts w:ascii="Calibri" w:eastAsia="Calibri" w:hAnsi="Calibri" w:cs="Calibri"/>
                <w:b/>
                <w:bCs/>
                <w:sz w:val="24"/>
                <w:szCs w:val="24"/>
              </w:rPr>
            </w:pPr>
            <w:r w:rsidRPr="00A8165F">
              <w:rPr>
                <w:rFonts w:ascii="Calibri" w:eastAsia="Calibri" w:hAnsi="Calibri" w:cs="Calibri"/>
                <w:b/>
                <w:bCs/>
                <w:sz w:val="24"/>
                <w:szCs w:val="24"/>
              </w:rPr>
              <w:lastRenderedPageBreak/>
              <w:t xml:space="preserve">NÃO ACATAR. </w:t>
            </w:r>
            <w:r w:rsidRPr="00A8165F">
              <w:rPr>
                <w:rFonts w:ascii="Calibri" w:eastAsia="Calibri" w:hAnsi="Calibri" w:cs="Calibri"/>
                <w:sz w:val="24"/>
                <w:szCs w:val="24"/>
              </w:rPr>
              <w:t>O patrocinador precisa ter conhecimento do plano de custeio antes do início de sua vigência</w:t>
            </w:r>
            <w:r>
              <w:rPr>
                <w:rFonts w:ascii="Calibri" w:eastAsia="Calibri" w:hAnsi="Calibri" w:cs="Calibri"/>
                <w:sz w:val="24"/>
                <w:szCs w:val="24"/>
              </w:rPr>
              <w:t>. O plano de custeio pode ser iniciado até 1</w:t>
            </w:r>
            <w:r w:rsidRPr="00A8165F">
              <w:rPr>
                <w:rFonts w:ascii="Calibri" w:eastAsia="Calibri" w:hAnsi="Calibri" w:cs="Calibri"/>
                <w:sz w:val="24"/>
                <w:szCs w:val="24"/>
              </w:rPr>
              <w:t>º</w:t>
            </w:r>
            <w:r>
              <w:rPr>
                <w:rFonts w:ascii="Calibri" w:eastAsia="Calibri" w:hAnsi="Calibri" w:cs="Calibri"/>
                <w:sz w:val="24"/>
                <w:szCs w:val="24"/>
              </w:rPr>
              <w:t xml:space="preserve"> de abril de cada exercício.</w:t>
            </w:r>
          </w:p>
        </w:tc>
      </w:tr>
      <w:tr w:rsidR="00E6407C" w:rsidRPr="00D511FC" w14:paraId="15D4F198" w14:textId="6992B622" w:rsidTr="00E6407C">
        <w:tc>
          <w:tcPr>
            <w:tcW w:w="7252" w:type="dxa"/>
          </w:tcPr>
          <w:p w14:paraId="15F93E3A"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1º  O plano de custeio estabelecido pela avaliação atuarial de encerramento de exercício deve entrar em vigor até o dia 1º de abril do exercício subsequente ao de referência da respectiva avaliação atuarial.</w:t>
            </w:r>
          </w:p>
        </w:tc>
        <w:tc>
          <w:tcPr>
            <w:tcW w:w="3107" w:type="dxa"/>
          </w:tcPr>
          <w:p w14:paraId="61F885FA"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17E7A95" w14:textId="414DD531" w:rsidR="00E6407C" w:rsidRPr="00D511FC" w:rsidRDefault="00E6407C" w:rsidP="00E6407C">
            <w:pPr>
              <w:spacing w:after="120"/>
              <w:jc w:val="both"/>
              <w:rPr>
                <w:rFonts w:ascii="Calibri" w:eastAsia="Calibri" w:hAnsi="Calibri" w:cs="Calibri"/>
                <w:sz w:val="24"/>
                <w:szCs w:val="24"/>
              </w:rPr>
            </w:pPr>
          </w:p>
        </w:tc>
        <w:tc>
          <w:tcPr>
            <w:tcW w:w="2505" w:type="dxa"/>
          </w:tcPr>
          <w:p w14:paraId="3C623415"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378F284" w14:textId="1E74DB87" w:rsidTr="00E6407C">
        <w:tc>
          <w:tcPr>
            <w:tcW w:w="7252" w:type="dxa"/>
          </w:tcPr>
          <w:p w14:paraId="25450260"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2º  É admitido o estabelecimento de plano de custeio com efeitos retroativos ao início do exercício, desde que haja expressa concordância do patrocinador.</w:t>
            </w:r>
          </w:p>
        </w:tc>
        <w:tc>
          <w:tcPr>
            <w:tcW w:w="3107" w:type="dxa"/>
          </w:tcPr>
          <w:p w14:paraId="1622DC1F"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C8C5DE0" w14:textId="1638A51C" w:rsidR="00E6407C" w:rsidRPr="00D511FC" w:rsidRDefault="00E6407C" w:rsidP="00E6407C">
            <w:pPr>
              <w:spacing w:after="120"/>
              <w:jc w:val="both"/>
              <w:rPr>
                <w:rFonts w:ascii="Calibri" w:eastAsia="Calibri" w:hAnsi="Calibri" w:cs="Calibri"/>
                <w:sz w:val="24"/>
                <w:szCs w:val="24"/>
              </w:rPr>
            </w:pPr>
          </w:p>
        </w:tc>
        <w:tc>
          <w:tcPr>
            <w:tcW w:w="2505" w:type="dxa"/>
          </w:tcPr>
          <w:p w14:paraId="041691FA"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41533AE" w14:textId="70EAE5AE" w:rsidTr="00E6407C">
        <w:tc>
          <w:tcPr>
            <w:tcW w:w="7252" w:type="dxa"/>
          </w:tcPr>
          <w:p w14:paraId="31FCA365"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3107" w:type="dxa"/>
          </w:tcPr>
          <w:p w14:paraId="4595D53A"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7F0D987E" w14:textId="52634689" w:rsidR="00E6407C" w:rsidRPr="00D511FC" w:rsidRDefault="00E6407C" w:rsidP="00E6407C">
            <w:pPr>
              <w:spacing w:after="120"/>
              <w:jc w:val="both"/>
              <w:rPr>
                <w:rFonts w:ascii="Calibri" w:eastAsia="Calibri" w:hAnsi="Calibri" w:cs="Calibri"/>
                <w:sz w:val="24"/>
                <w:szCs w:val="24"/>
              </w:rPr>
            </w:pPr>
          </w:p>
        </w:tc>
        <w:tc>
          <w:tcPr>
            <w:tcW w:w="2505" w:type="dxa"/>
          </w:tcPr>
          <w:p w14:paraId="7E7A3772"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88A3E6F" w14:textId="31AE1EB4" w:rsidTr="00E6407C">
        <w:tc>
          <w:tcPr>
            <w:tcW w:w="7252" w:type="dxa"/>
          </w:tcPr>
          <w:p w14:paraId="7C6C79D1"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Subseção II</w:t>
            </w:r>
          </w:p>
        </w:tc>
        <w:tc>
          <w:tcPr>
            <w:tcW w:w="3107" w:type="dxa"/>
          </w:tcPr>
          <w:p w14:paraId="52BFC028"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60CA0354" w14:textId="2021FBA6" w:rsidR="00E6407C" w:rsidRPr="00D511FC" w:rsidRDefault="00E6407C" w:rsidP="00E6407C">
            <w:pPr>
              <w:spacing w:after="120"/>
              <w:jc w:val="center"/>
              <w:rPr>
                <w:rFonts w:ascii="Calibri" w:eastAsia="Calibri" w:hAnsi="Calibri" w:cs="Calibri"/>
                <w:b/>
                <w:bCs/>
                <w:sz w:val="24"/>
                <w:szCs w:val="24"/>
              </w:rPr>
            </w:pPr>
          </w:p>
        </w:tc>
        <w:tc>
          <w:tcPr>
            <w:tcW w:w="2505" w:type="dxa"/>
          </w:tcPr>
          <w:p w14:paraId="7FDCB6D4"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3FA3A757" w14:textId="515EE23E" w:rsidTr="00E6407C">
        <w:tc>
          <w:tcPr>
            <w:tcW w:w="7252" w:type="dxa"/>
          </w:tcPr>
          <w:p w14:paraId="1A8A1DBD"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Avaliação Atuarial</w:t>
            </w:r>
          </w:p>
        </w:tc>
        <w:tc>
          <w:tcPr>
            <w:tcW w:w="3107" w:type="dxa"/>
          </w:tcPr>
          <w:p w14:paraId="08C9A9BC"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1CE1FC2B" w14:textId="213BA8DB" w:rsidR="00E6407C" w:rsidRPr="00D511FC" w:rsidRDefault="00E6407C" w:rsidP="00E6407C">
            <w:pPr>
              <w:spacing w:after="120"/>
              <w:jc w:val="center"/>
              <w:rPr>
                <w:rFonts w:ascii="Calibri" w:eastAsia="Calibri" w:hAnsi="Calibri" w:cs="Calibri"/>
                <w:b/>
                <w:bCs/>
                <w:sz w:val="24"/>
                <w:szCs w:val="24"/>
              </w:rPr>
            </w:pPr>
          </w:p>
        </w:tc>
        <w:tc>
          <w:tcPr>
            <w:tcW w:w="2505" w:type="dxa"/>
          </w:tcPr>
          <w:p w14:paraId="401A4ED9"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2AE1610A" w14:textId="4C4FAB01" w:rsidTr="00E6407C">
        <w:tc>
          <w:tcPr>
            <w:tcW w:w="7252" w:type="dxa"/>
          </w:tcPr>
          <w:p w14:paraId="0457799E"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348.  A data de referência dos dados cadastrais utilizados na avaliação atuarial não pode estar defasada em mais de seis meses em relação à data da avaliação.</w:t>
            </w:r>
          </w:p>
        </w:tc>
        <w:tc>
          <w:tcPr>
            <w:tcW w:w="3107" w:type="dxa"/>
          </w:tcPr>
          <w:p w14:paraId="6B435A10"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3902023" w14:textId="3B815269" w:rsidR="00E6407C" w:rsidRPr="00D511FC" w:rsidRDefault="00E6407C" w:rsidP="00E6407C">
            <w:pPr>
              <w:spacing w:after="120"/>
              <w:jc w:val="both"/>
              <w:rPr>
                <w:rFonts w:ascii="Calibri" w:eastAsia="Calibri" w:hAnsi="Calibri" w:cs="Calibri"/>
                <w:sz w:val="24"/>
                <w:szCs w:val="24"/>
              </w:rPr>
            </w:pPr>
          </w:p>
        </w:tc>
        <w:tc>
          <w:tcPr>
            <w:tcW w:w="2505" w:type="dxa"/>
          </w:tcPr>
          <w:p w14:paraId="27602CD7"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E42FB74" w14:textId="2FA50807" w:rsidTr="00E6407C">
        <w:tc>
          <w:tcPr>
            <w:tcW w:w="7252" w:type="dxa"/>
          </w:tcPr>
          <w:p w14:paraId="235490C8"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3107" w:type="dxa"/>
          </w:tcPr>
          <w:p w14:paraId="4CE14872"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649F787" w14:textId="11E30270" w:rsidR="00E6407C" w:rsidRPr="00D511FC" w:rsidRDefault="00E6407C" w:rsidP="00E6407C">
            <w:pPr>
              <w:spacing w:after="120"/>
              <w:jc w:val="both"/>
              <w:rPr>
                <w:rFonts w:ascii="Calibri" w:eastAsia="Calibri" w:hAnsi="Calibri" w:cs="Calibri"/>
                <w:sz w:val="24"/>
                <w:szCs w:val="24"/>
              </w:rPr>
            </w:pPr>
          </w:p>
        </w:tc>
        <w:tc>
          <w:tcPr>
            <w:tcW w:w="2505" w:type="dxa"/>
          </w:tcPr>
          <w:p w14:paraId="6931B8CD"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375E4A1" w14:textId="338B7C85" w:rsidTr="00E6407C">
        <w:tc>
          <w:tcPr>
            <w:tcW w:w="7252" w:type="dxa"/>
          </w:tcPr>
          <w:p w14:paraId="6AB5972F"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xml:space="preserve">§ 2º  Sem prejuízo do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no caso de plano de benefícios que tenha passado por alteração nos últimos doze meses em decorrência de retirada de patrocínio, saldamento, fusão, cisão, incorporação, ou qualquer outra forma de reorganização societária, a data de referência </w:t>
            </w:r>
            <w:r w:rsidRPr="00D511FC">
              <w:rPr>
                <w:rFonts w:ascii="Calibri" w:eastAsia="Calibri" w:hAnsi="Calibri" w:cs="Calibri"/>
                <w:sz w:val="24"/>
                <w:szCs w:val="24"/>
              </w:rPr>
              <w:lastRenderedPageBreak/>
              <w:t>dos dados cadastrais não pode ser anterior à data da efetivação da operação.</w:t>
            </w:r>
          </w:p>
        </w:tc>
        <w:tc>
          <w:tcPr>
            <w:tcW w:w="3107" w:type="dxa"/>
          </w:tcPr>
          <w:p w14:paraId="4E18032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B9D1EBA" w14:textId="79A51B5F" w:rsidR="00E6407C" w:rsidRPr="00D511FC" w:rsidRDefault="00E6407C" w:rsidP="00E6407C">
            <w:pPr>
              <w:spacing w:after="120"/>
              <w:jc w:val="both"/>
              <w:rPr>
                <w:rFonts w:ascii="Calibri" w:eastAsia="Calibri" w:hAnsi="Calibri" w:cs="Calibri"/>
                <w:sz w:val="24"/>
                <w:szCs w:val="24"/>
              </w:rPr>
            </w:pPr>
          </w:p>
        </w:tc>
        <w:tc>
          <w:tcPr>
            <w:tcW w:w="2505" w:type="dxa"/>
          </w:tcPr>
          <w:p w14:paraId="0934D150"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054AC07" w14:textId="4A4E991E" w:rsidTr="00E6407C">
        <w:tc>
          <w:tcPr>
            <w:tcW w:w="7252" w:type="dxa"/>
          </w:tcPr>
          <w:p w14:paraId="6CD0C64F"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349.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tc>
        <w:tc>
          <w:tcPr>
            <w:tcW w:w="3107" w:type="dxa"/>
          </w:tcPr>
          <w:p w14:paraId="1C8C92E5"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03A1AD9" w14:textId="0A3E8BF9" w:rsidR="00E6407C" w:rsidRPr="00D511FC" w:rsidRDefault="00E6407C" w:rsidP="00E6407C">
            <w:pPr>
              <w:spacing w:after="120"/>
              <w:jc w:val="both"/>
              <w:rPr>
                <w:rFonts w:ascii="Calibri" w:eastAsia="Calibri" w:hAnsi="Calibri" w:cs="Calibri"/>
                <w:sz w:val="24"/>
                <w:szCs w:val="24"/>
              </w:rPr>
            </w:pPr>
          </w:p>
        </w:tc>
        <w:tc>
          <w:tcPr>
            <w:tcW w:w="2505" w:type="dxa"/>
          </w:tcPr>
          <w:p w14:paraId="4454F06F"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35CC3D6B" w14:textId="0998B8AE" w:rsidTr="00E6407C">
        <w:tc>
          <w:tcPr>
            <w:tcW w:w="7252" w:type="dxa"/>
          </w:tcPr>
          <w:p w14:paraId="6B584E99"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350.  A expectativa de evolução das taxas de contribuição do plano de benefícios deve constar da avaliação atuarial</w:t>
            </w:r>
          </w:p>
        </w:tc>
        <w:tc>
          <w:tcPr>
            <w:tcW w:w="3107" w:type="dxa"/>
          </w:tcPr>
          <w:p w14:paraId="18B8E83D"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ED38EC0" w14:textId="57EC20F3" w:rsidR="00E6407C" w:rsidRPr="00D511FC" w:rsidRDefault="00E6407C" w:rsidP="00E6407C">
            <w:pPr>
              <w:spacing w:after="120"/>
              <w:jc w:val="both"/>
              <w:rPr>
                <w:rFonts w:ascii="Calibri" w:eastAsia="Calibri" w:hAnsi="Calibri" w:cs="Calibri"/>
                <w:sz w:val="24"/>
                <w:szCs w:val="24"/>
              </w:rPr>
            </w:pPr>
          </w:p>
        </w:tc>
        <w:tc>
          <w:tcPr>
            <w:tcW w:w="2505" w:type="dxa"/>
          </w:tcPr>
          <w:p w14:paraId="42F1A355"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3DCC1BA" w14:textId="4B13CF97" w:rsidTr="00E6407C">
        <w:tc>
          <w:tcPr>
            <w:tcW w:w="7252" w:type="dxa"/>
          </w:tcPr>
          <w:p w14:paraId="775CF2D5"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351.  A destinação das contribuições para o plano de benefícios deve ser discriminada na avaliação atuarial</w:t>
            </w:r>
          </w:p>
        </w:tc>
        <w:tc>
          <w:tcPr>
            <w:tcW w:w="3107" w:type="dxa"/>
          </w:tcPr>
          <w:p w14:paraId="38EC8E6A"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F7E947E" w14:textId="08B23D76" w:rsidR="00E6407C" w:rsidRPr="00D511FC" w:rsidRDefault="00E6407C" w:rsidP="00E6407C">
            <w:pPr>
              <w:spacing w:after="120"/>
              <w:jc w:val="both"/>
              <w:rPr>
                <w:rFonts w:ascii="Calibri" w:eastAsia="Calibri" w:hAnsi="Calibri" w:cs="Calibri"/>
                <w:sz w:val="24"/>
                <w:szCs w:val="24"/>
              </w:rPr>
            </w:pPr>
          </w:p>
        </w:tc>
        <w:tc>
          <w:tcPr>
            <w:tcW w:w="2505" w:type="dxa"/>
          </w:tcPr>
          <w:p w14:paraId="520FBA48"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4346294" w14:textId="406A419C" w:rsidTr="00E6407C">
        <w:tc>
          <w:tcPr>
            <w:tcW w:w="7252" w:type="dxa"/>
          </w:tcPr>
          <w:p w14:paraId="0700C93A"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352.  Os relatórios complementares apresentados pelo atuário à diretoria executiva ou aos conselhos devem ser arquivados em conjunto com as demonstrações atuariais e apresentados à Previc, quando solicitado</w:t>
            </w:r>
          </w:p>
        </w:tc>
        <w:tc>
          <w:tcPr>
            <w:tcW w:w="3107" w:type="dxa"/>
          </w:tcPr>
          <w:p w14:paraId="025CE27D"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0847036" w14:textId="66205B56" w:rsidR="00E6407C" w:rsidRPr="00D511FC" w:rsidRDefault="00E6407C" w:rsidP="00E6407C">
            <w:pPr>
              <w:spacing w:after="120"/>
              <w:jc w:val="both"/>
              <w:rPr>
                <w:rFonts w:ascii="Calibri" w:eastAsia="Calibri" w:hAnsi="Calibri" w:cs="Calibri"/>
                <w:sz w:val="24"/>
                <w:szCs w:val="24"/>
              </w:rPr>
            </w:pPr>
          </w:p>
        </w:tc>
        <w:tc>
          <w:tcPr>
            <w:tcW w:w="2505" w:type="dxa"/>
          </w:tcPr>
          <w:p w14:paraId="4763D543"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0C74FF8" w14:textId="5BF95224" w:rsidTr="00E6407C">
        <w:tc>
          <w:tcPr>
            <w:tcW w:w="7252" w:type="dxa"/>
          </w:tcPr>
          <w:p w14:paraId="28B69D8F"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Subseção III</w:t>
            </w:r>
          </w:p>
        </w:tc>
        <w:tc>
          <w:tcPr>
            <w:tcW w:w="3107" w:type="dxa"/>
          </w:tcPr>
          <w:p w14:paraId="2C44F7AD"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1FA12F58" w14:textId="40698CA2" w:rsidR="00E6407C" w:rsidRPr="00D511FC" w:rsidRDefault="00E6407C" w:rsidP="00E6407C">
            <w:pPr>
              <w:spacing w:after="120"/>
              <w:jc w:val="center"/>
              <w:rPr>
                <w:rFonts w:ascii="Calibri" w:eastAsia="Calibri" w:hAnsi="Calibri" w:cs="Calibri"/>
                <w:b/>
                <w:bCs/>
                <w:sz w:val="24"/>
                <w:szCs w:val="24"/>
              </w:rPr>
            </w:pPr>
          </w:p>
        </w:tc>
        <w:tc>
          <w:tcPr>
            <w:tcW w:w="2505" w:type="dxa"/>
          </w:tcPr>
          <w:p w14:paraId="06D11103"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14A790AF" w14:textId="1D866314" w:rsidTr="00E6407C">
        <w:tc>
          <w:tcPr>
            <w:tcW w:w="7252" w:type="dxa"/>
          </w:tcPr>
          <w:p w14:paraId="79538879"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Nota Técnica Atuarial</w:t>
            </w:r>
          </w:p>
        </w:tc>
        <w:tc>
          <w:tcPr>
            <w:tcW w:w="3107" w:type="dxa"/>
          </w:tcPr>
          <w:p w14:paraId="2AA16278"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36A84957" w14:textId="6CDE63A3" w:rsidR="00E6407C" w:rsidRPr="00D511FC" w:rsidRDefault="00E6407C" w:rsidP="00E6407C">
            <w:pPr>
              <w:spacing w:after="120"/>
              <w:jc w:val="center"/>
              <w:rPr>
                <w:rFonts w:ascii="Calibri" w:eastAsia="Calibri" w:hAnsi="Calibri" w:cs="Calibri"/>
                <w:b/>
                <w:bCs/>
                <w:sz w:val="24"/>
                <w:szCs w:val="24"/>
              </w:rPr>
            </w:pPr>
          </w:p>
        </w:tc>
        <w:tc>
          <w:tcPr>
            <w:tcW w:w="2505" w:type="dxa"/>
          </w:tcPr>
          <w:p w14:paraId="4793B894"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1B9FF4A4" w14:textId="091CD618" w:rsidTr="00E6407C">
        <w:tc>
          <w:tcPr>
            <w:tcW w:w="7252" w:type="dxa"/>
          </w:tcPr>
          <w:p w14:paraId="7B6638DA"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353.  A nota técnica atuarial deve:</w:t>
            </w:r>
          </w:p>
        </w:tc>
        <w:tc>
          <w:tcPr>
            <w:tcW w:w="3107" w:type="dxa"/>
          </w:tcPr>
          <w:p w14:paraId="4560829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68ED981" w14:textId="0C4B71FC" w:rsidR="00E6407C" w:rsidRPr="00D511FC" w:rsidRDefault="00E6407C" w:rsidP="00E6407C">
            <w:pPr>
              <w:spacing w:after="120"/>
              <w:jc w:val="both"/>
              <w:rPr>
                <w:rFonts w:ascii="Calibri" w:eastAsia="Calibri" w:hAnsi="Calibri" w:cs="Calibri"/>
                <w:sz w:val="24"/>
                <w:szCs w:val="24"/>
              </w:rPr>
            </w:pPr>
          </w:p>
        </w:tc>
        <w:tc>
          <w:tcPr>
            <w:tcW w:w="2505" w:type="dxa"/>
          </w:tcPr>
          <w:p w14:paraId="324DFF68"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3E9C93D" w14:textId="754C0475" w:rsidTr="00E6407C">
        <w:tc>
          <w:tcPr>
            <w:tcW w:w="7252" w:type="dxa"/>
          </w:tcPr>
          <w:p w14:paraId="6278EB5A"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 - estar atualizada e consistente com o regulamento do plano de benefícios;</w:t>
            </w:r>
          </w:p>
        </w:tc>
        <w:tc>
          <w:tcPr>
            <w:tcW w:w="3107" w:type="dxa"/>
          </w:tcPr>
          <w:p w14:paraId="7F54C7A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1575310" w14:textId="227F0E50" w:rsidR="00E6407C" w:rsidRPr="00D511FC" w:rsidRDefault="00E6407C" w:rsidP="00E6407C">
            <w:pPr>
              <w:spacing w:after="120"/>
              <w:jc w:val="both"/>
              <w:rPr>
                <w:rFonts w:ascii="Calibri" w:eastAsia="Calibri" w:hAnsi="Calibri" w:cs="Calibri"/>
                <w:sz w:val="24"/>
                <w:szCs w:val="24"/>
              </w:rPr>
            </w:pPr>
          </w:p>
        </w:tc>
        <w:tc>
          <w:tcPr>
            <w:tcW w:w="2505" w:type="dxa"/>
          </w:tcPr>
          <w:p w14:paraId="0053E7E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BE803B0" w14:textId="2DF36174" w:rsidTr="00E6407C">
        <w:tc>
          <w:tcPr>
            <w:tcW w:w="7252" w:type="dxa"/>
          </w:tcPr>
          <w:p w14:paraId="4ADA186E"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II - ser elaborada observando as características específicas de cada plano de benefícios; e</w:t>
            </w:r>
          </w:p>
        </w:tc>
        <w:tc>
          <w:tcPr>
            <w:tcW w:w="3107" w:type="dxa"/>
          </w:tcPr>
          <w:p w14:paraId="2F0E85A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32945A3" w14:textId="727C8BDD" w:rsidR="00E6407C" w:rsidRPr="00D511FC" w:rsidRDefault="00E6407C" w:rsidP="00E6407C">
            <w:pPr>
              <w:spacing w:after="120"/>
              <w:jc w:val="both"/>
              <w:rPr>
                <w:rFonts w:ascii="Calibri" w:eastAsia="Calibri" w:hAnsi="Calibri" w:cs="Calibri"/>
                <w:sz w:val="24"/>
                <w:szCs w:val="24"/>
              </w:rPr>
            </w:pPr>
          </w:p>
        </w:tc>
        <w:tc>
          <w:tcPr>
            <w:tcW w:w="2505" w:type="dxa"/>
          </w:tcPr>
          <w:p w14:paraId="6CEE7A4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708E497" w14:textId="13D4F30C" w:rsidTr="00E6407C">
        <w:tc>
          <w:tcPr>
            <w:tcW w:w="7252" w:type="dxa"/>
          </w:tcPr>
          <w:p w14:paraId="7EE2349A"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III - ser enviada à Previc:</w:t>
            </w:r>
          </w:p>
        </w:tc>
        <w:tc>
          <w:tcPr>
            <w:tcW w:w="3107" w:type="dxa"/>
          </w:tcPr>
          <w:p w14:paraId="0861D3A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E64E3CB" w14:textId="5B2A7F48" w:rsidR="00E6407C" w:rsidRPr="00D511FC" w:rsidRDefault="00E6407C" w:rsidP="00E6407C">
            <w:pPr>
              <w:spacing w:after="120"/>
              <w:jc w:val="both"/>
              <w:rPr>
                <w:rFonts w:ascii="Calibri" w:eastAsia="Calibri" w:hAnsi="Calibri" w:cs="Calibri"/>
                <w:sz w:val="24"/>
                <w:szCs w:val="24"/>
              </w:rPr>
            </w:pPr>
          </w:p>
        </w:tc>
        <w:tc>
          <w:tcPr>
            <w:tcW w:w="2505" w:type="dxa"/>
          </w:tcPr>
          <w:p w14:paraId="6B7CC855"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FA93AFD" w14:textId="2D1E4ED4" w:rsidTr="00E6407C">
        <w:tc>
          <w:tcPr>
            <w:tcW w:w="7252" w:type="dxa"/>
          </w:tcPr>
          <w:p w14:paraId="3B365D62"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tc>
        <w:tc>
          <w:tcPr>
            <w:tcW w:w="3107" w:type="dxa"/>
          </w:tcPr>
          <w:p w14:paraId="5A40F59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B066241" w14:textId="2C01C074" w:rsidR="00E6407C" w:rsidRPr="00D511FC" w:rsidRDefault="00E6407C" w:rsidP="00E6407C">
            <w:pPr>
              <w:spacing w:after="120"/>
              <w:jc w:val="both"/>
              <w:rPr>
                <w:rFonts w:ascii="Calibri" w:eastAsia="Calibri" w:hAnsi="Calibri" w:cs="Calibri"/>
                <w:sz w:val="24"/>
                <w:szCs w:val="24"/>
              </w:rPr>
            </w:pPr>
          </w:p>
        </w:tc>
        <w:tc>
          <w:tcPr>
            <w:tcW w:w="2505" w:type="dxa"/>
          </w:tcPr>
          <w:p w14:paraId="7EC2EEDB"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6DB3CD2" w14:textId="17525194" w:rsidTr="00E6407C">
        <w:tc>
          <w:tcPr>
            <w:tcW w:w="7252" w:type="dxa"/>
          </w:tcPr>
          <w:p w14:paraId="0A48D335"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lastRenderedPageBreak/>
              <w:t>b) contendo a identificação do atuário habilitado e legalmente responsável pelo plano de benefícios, acompanhada de manifestação de ciência e concordância do administrador responsável pelos planos de benefícios com seu inteiro teor, para cada um dos planos de benefícios administrados pela EFPC.</w:t>
            </w:r>
          </w:p>
        </w:tc>
        <w:tc>
          <w:tcPr>
            <w:tcW w:w="3107" w:type="dxa"/>
          </w:tcPr>
          <w:p w14:paraId="76C68B3D"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576AAB6" w14:textId="091B48DA" w:rsidR="00E6407C" w:rsidRPr="00D511FC" w:rsidRDefault="00E6407C" w:rsidP="00E6407C">
            <w:pPr>
              <w:spacing w:after="120"/>
              <w:jc w:val="both"/>
              <w:rPr>
                <w:rFonts w:ascii="Calibri" w:eastAsia="Calibri" w:hAnsi="Calibri" w:cs="Calibri"/>
                <w:sz w:val="24"/>
                <w:szCs w:val="24"/>
              </w:rPr>
            </w:pPr>
          </w:p>
        </w:tc>
        <w:tc>
          <w:tcPr>
            <w:tcW w:w="2505" w:type="dxa"/>
          </w:tcPr>
          <w:p w14:paraId="4C1064B8"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AEC4C71" w14:textId="77777777" w:rsidTr="00E6407C">
        <w:tc>
          <w:tcPr>
            <w:tcW w:w="7252" w:type="dxa"/>
          </w:tcPr>
          <w:p w14:paraId="61FAC5BC" w14:textId="23722B9E" w:rsidR="00E6407C" w:rsidRPr="00D511FC" w:rsidRDefault="00E6407C" w:rsidP="00E6407C">
            <w:pPr>
              <w:spacing w:after="120"/>
              <w:jc w:val="both"/>
              <w:rPr>
                <w:rFonts w:ascii="Calibri" w:eastAsia="Calibri" w:hAnsi="Calibri" w:cs="Calibri"/>
                <w:sz w:val="24"/>
                <w:szCs w:val="24"/>
              </w:rPr>
            </w:pPr>
          </w:p>
        </w:tc>
        <w:tc>
          <w:tcPr>
            <w:tcW w:w="3107" w:type="dxa"/>
          </w:tcPr>
          <w:p w14:paraId="058EE96A" w14:textId="25F55FB9" w:rsidR="00E6407C" w:rsidRPr="007C37FB" w:rsidRDefault="00E6407C" w:rsidP="00E6407C">
            <w:pPr>
              <w:spacing w:after="120"/>
              <w:jc w:val="both"/>
              <w:rPr>
                <w:rFonts w:ascii="Calibri" w:eastAsia="Calibri" w:hAnsi="Calibri" w:cs="Calibri"/>
                <w:color w:val="000000" w:themeColor="text1"/>
                <w:sz w:val="24"/>
                <w:szCs w:val="24"/>
              </w:rPr>
            </w:pPr>
            <w:r w:rsidRPr="007C37FB">
              <w:rPr>
                <w:rFonts w:ascii="Calibri" w:eastAsia="Calibri" w:hAnsi="Calibri" w:cs="Calibri"/>
                <w:color w:val="000000" w:themeColor="text1"/>
                <w:sz w:val="24"/>
                <w:szCs w:val="24"/>
              </w:rPr>
              <w:t>IBA:</w:t>
            </w:r>
          </w:p>
          <w:p w14:paraId="6C809F00" w14:textId="7BAF0CE7" w:rsidR="00E6407C" w:rsidRPr="00D511FC" w:rsidRDefault="00E6407C" w:rsidP="00E6407C">
            <w:pPr>
              <w:spacing w:after="120"/>
              <w:jc w:val="both"/>
              <w:rPr>
                <w:rFonts w:ascii="Calibri" w:eastAsia="Calibri" w:hAnsi="Calibri" w:cs="Calibri"/>
                <w:sz w:val="24"/>
                <w:szCs w:val="24"/>
              </w:rPr>
            </w:pPr>
            <w:r w:rsidRPr="000C7403">
              <w:rPr>
                <w:rFonts w:ascii="Calibri" w:eastAsia="Calibri" w:hAnsi="Calibri" w:cs="Calibri"/>
                <w:color w:val="4472C4" w:themeColor="accent1"/>
                <w:sz w:val="24"/>
                <w:szCs w:val="24"/>
              </w:rPr>
              <w:t xml:space="preserve">§ 1º A nota técnica atuarial consiste em documento técnico elaborado por atuário devidamente habilitado, em observância à modelagem do plano de benefícios. </w:t>
            </w:r>
          </w:p>
        </w:tc>
        <w:tc>
          <w:tcPr>
            <w:tcW w:w="2552" w:type="dxa"/>
          </w:tcPr>
          <w:p w14:paraId="1D60BDCF" w14:textId="695797CB"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 xml:space="preserve">IBA: </w:t>
            </w:r>
            <w:r w:rsidRPr="000C7403">
              <w:rPr>
                <w:rFonts w:ascii="Calibri" w:eastAsia="Calibri" w:hAnsi="Calibri" w:cs="Calibri"/>
                <w:sz w:val="24"/>
                <w:szCs w:val="24"/>
              </w:rPr>
              <w:t>Os membros do Comitê Técnico entendem que é importante constar na norma a</w:t>
            </w:r>
            <w:r>
              <w:rPr>
                <w:rFonts w:ascii="Calibri" w:eastAsia="Calibri" w:hAnsi="Calibri" w:cs="Calibri"/>
                <w:sz w:val="24"/>
                <w:szCs w:val="24"/>
              </w:rPr>
              <w:t xml:space="preserve"> </w:t>
            </w:r>
            <w:r w:rsidRPr="000C7403">
              <w:rPr>
                <w:rFonts w:ascii="Calibri" w:eastAsia="Calibri" w:hAnsi="Calibri" w:cs="Calibri"/>
                <w:sz w:val="24"/>
                <w:szCs w:val="24"/>
              </w:rPr>
              <w:t>definição de “nota técnica atuarial”</w:t>
            </w:r>
            <w:r>
              <w:rPr>
                <w:rFonts w:ascii="Calibri" w:eastAsia="Calibri" w:hAnsi="Calibri" w:cs="Calibri"/>
                <w:sz w:val="24"/>
                <w:szCs w:val="24"/>
              </w:rPr>
              <w:t>.</w:t>
            </w:r>
          </w:p>
        </w:tc>
        <w:tc>
          <w:tcPr>
            <w:tcW w:w="2505" w:type="dxa"/>
          </w:tcPr>
          <w:p w14:paraId="235E7CF3" w14:textId="7EED1B87" w:rsidR="00E6407C" w:rsidRPr="000F293D" w:rsidRDefault="00E6407C" w:rsidP="00E6407C">
            <w:pPr>
              <w:spacing w:after="120"/>
              <w:jc w:val="both"/>
              <w:rPr>
                <w:rFonts w:ascii="Calibri" w:eastAsia="Calibri" w:hAnsi="Calibri" w:cs="Calibri"/>
                <w:b/>
                <w:bCs/>
                <w:sz w:val="24"/>
                <w:szCs w:val="24"/>
              </w:rPr>
            </w:pPr>
            <w:r w:rsidRPr="000F293D">
              <w:rPr>
                <w:rFonts w:ascii="Calibri" w:eastAsia="Calibri" w:hAnsi="Calibri" w:cs="Calibri"/>
                <w:b/>
                <w:bCs/>
                <w:sz w:val="24"/>
                <w:szCs w:val="24"/>
              </w:rPr>
              <w:t>ACATAR</w:t>
            </w:r>
            <w:r>
              <w:rPr>
                <w:rFonts w:ascii="Calibri" w:eastAsia="Calibri" w:hAnsi="Calibri" w:cs="Calibri"/>
                <w:b/>
                <w:bCs/>
                <w:sz w:val="24"/>
                <w:szCs w:val="24"/>
              </w:rPr>
              <w:t>.</w:t>
            </w:r>
          </w:p>
        </w:tc>
      </w:tr>
      <w:tr w:rsidR="00E6407C" w:rsidRPr="00D511FC" w14:paraId="2DB4C175" w14:textId="2BF4CB66" w:rsidTr="00E6407C">
        <w:tc>
          <w:tcPr>
            <w:tcW w:w="7252" w:type="dxa"/>
          </w:tcPr>
          <w:p w14:paraId="43B91057" w14:textId="15B6BE32" w:rsidR="00E6407C" w:rsidRPr="00D511FC" w:rsidRDefault="00E6407C" w:rsidP="00E6407C">
            <w:pPr>
              <w:spacing w:after="120"/>
              <w:jc w:val="both"/>
              <w:rPr>
                <w:rFonts w:ascii="Calibri" w:eastAsia="Calibri" w:hAnsi="Calibri" w:cs="Calibri"/>
                <w:sz w:val="24"/>
                <w:szCs w:val="24"/>
              </w:rPr>
            </w:pPr>
            <w:r w:rsidRPr="000C7403">
              <w:rPr>
                <w:rFonts w:ascii="Calibri" w:eastAsia="Calibri" w:hAnsi="Calibri" w:cs="Calibri"/>
                <w:color w:val="4472C4" w:themeColor="accent1"/>
                <w:sz w:val="24"/>
                <w:szCs w:val="24"/>
              </w:rPr>
              <w:t xml:space="preserve">§ </w:t>
            </w:r>
            <w:r>
              <w:rPr>
                <w:rFonts w:ascii="Calibri" w:eastAsia="Calibri" w:hAnsi="Calibri" w:cs="Calibri"/>
                <w:color w:val="4472C4" w:themeColor="accent1"/>
                <w:sz w:val="24"/>
                <w:szCs w:val="24"/>
              </w:rPr>
              <w:t>2</w:t>
            </w:r>
            <w:r w:rsidRPr="000C7403">
              <w:rPr>
                <w:rFonts w:ascii="Calibri" w:eastAsia="Calibri" w:hAnsi="Calibri" w:cs="Calibri"/>
                <w:color w:val="4472C4" w:themeColor="accent1"/>
                <w:sz w:val="24"/>
                <w:szCs w:val="24"/>
              </w:rPr>
              <w:t xml:space="preserve">º </w:t>
            </w:r>
            <w:r w:rsidRPr="00D511FC">
              <w:rPr>
                <w:rFonts w:ascii="Calibri" w:eastAsia="Calibri" w:hAnsi="Calibri" w:cs="Calibri"/>
                <w:sz w:val="24"/>
                <w:szCs w:val="24"/>
              </w:rPr>
              <w:t>Os planos de benefícios dispensados de envio das demonstrações atuariais, nos termos do parágrafo único do art. 344, também estão dispensados do envio da nota técnica atuarial.</w:t>
            </w:r>
          </w:p>
        </w:tc>
        <w:tc>
          <w:tcPr>
            <w:tcW w:w="3107" w:type="dxa"/>
          </w:tcPr>
          <w:p w14:paraId="463C8153"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D9B512C" w14:textId="39D89E45" w:rsidR="00E6407C" w:rsidRPr="00D511FC" w:rsidRDefault="00E6407C" w:rsidP="00E6407C">
            <w:pPr>
              <w:spacing w:after="120"/>
              <w:jc w:val="both"/>
              <w:rPr>
                <w:rFonts w:ascii="Calibri" w:eastAsia="Calibri" w:hAnsi="Calibri" w:cs="Calibri"/>
                <w:sz w:val="24"/>
                <w:szCs w:val="24"/>
              </w:rPr>
            </w:pPr>
          </w:p>
        </w:tc>
        <w:tc>
          <w:tcPr>
            <w:tcW w:w="2505" w:type="dxa"/>
          </w:tcPr>
          <w:p w14:paraId="692BD8C0" w14:textId="533263BF"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4AADF4EF" w14:textId="52272FA4" w:rsidTr="00E6407C">
        <w:tc>
          <w:tcPr>
            <w:tcW w:w="7252" w:type="dxa"/>
          </w:tcPr>
          <w:p w14:paraId="0A6E75E8"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354.  A EFPC deve assegurar que o atuário, ao assumir a responsabilidade pelo plano de benefícios:</w:t>
            </w:r>
          </w:p>
        </w:tc>
        <w:tc>
          <w:tcPr>
            <w:tcW w:w="3107" w:type="dxa"/>
          </w:tcPr>
          <w:p w14:paraId="46B13085"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92A3FB6" w14:textId="1A3A3934" w:rsidR="00E6407C" w:rsidRPr="00D511FC" w:rsidRDefault="00E6407C" w:rsidP="00E6407C">
            <w:pPr>
              <w:spacing w:after="120"/>
              <w:jc w:val="both"/>
              <w:rPr>
                <w:rFonts w:ascii="Calibri" w:eastAsia="Calibri" w:hAnsi="Calibri" w:cs="Calibri"/>
                <w:sz w:val="24"/>
                <w:szCs w:val="24"/>
              </w:rPr>
            </w:pPr>
          </w:p>
        </w:tc>
        <w:tc>
          <w:tcPr>
            <w:tcW w:w="2505" w:type="dxa"/>
          </w:tcPr>
          <w:p w14:paraId="445B840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3CAFEC5" w14:textId="05E45457" w:rsidTr="00E6407C">
        <w:tc>
          <w:tcPr>
            <w:tcW w:w="7252" w:type="dxa"/>
          </w:tcPr>
          <w:p w14:paraId="0E9A62BF"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 - ratifique formalmente a nota técnica atuarial em vigor, caso considere o documento apropriado às regras regulamentares do plano e aderente aos requisitos técnico-atuariais pertinentes; ou</w:t>
            </w:r>
          </w:p>
        </w:tc>
        <w:tc>
          <w:tcPr>
            <w:tcW w:w="3107" w:type="dxa"/>
          </w:tcPr>
          <w:p w14:paraId="74908FD5"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D642CD6" w14:textId="169F33BD" w:rsidR="00E6407C" w:rsidRPr="00D511FC" w:rsidRDefault="00E6407C" w:rsidP="00E6407C">
            <w:pPr>
              <w:spacing w:after="120"/>
              <w:jc w:val="both"/>
              <w:rPr>
                <w:rFonts w:ascii="Calibri" w:eastAsia="Calibri" w:hAnsi="Calibri" w:cs="Calibri"/>
                <w:sz w:val="24"/>
                <w:szCs w:val="24"/>
              </w:rPr>
            </w:pPr>
          </w:p>
        </w:tc>
        <w:tc>
          <w:tcPr>
            <w:tcW w:w="2505" w:type="dxa"/>
          </w:tcPr>
          <w:p w14:paraId="23843AA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EA78B42" w14:textId="22CA5F6D" w:rsidTr="00E6407C">
        <w:tc>
          <w:tcPr>
            <w:tcW w:w="7252" w:type="dxa"/>
          </w:tcPr>
          <w:p w14:paraId="2D9CAD0D"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II - elabore nota técnica atuarial, com as justificativas da alteração.</w:t>
            </w:r>
          </w:p>
        </w:tc>
        <w:tc>
          <w:tcPr>
            <w:tcW w:w="3107" w:type="dxa"/>
          </w:tcPr>
          <w:p w14:paraId="118A1892"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1849049" w14:textId="68EAC4BB" w:rsidR="00E6407C" w:rsidRPr="00D511FC" w:rsidRDefault="00E6407C" w:rsidP="00E6407C">
            <w:pPr>
              <w:spacing w:after="120"/>
              <w:jc w:val="both"/>
              <w:rPr>
                <w:rFonts w:ascii="Calibri" w:eastAsia="Calibri" w:hAnsi="Calibri" w:cs="Calibri"/>
                <w:sz w:val="24"/>
                <w:szCs w:val="24"/>
              </w:rPr>
            </w:pPr>
          </w:p>
        </w:tc>
        <w:tc>
          <w:tcPr>
            <w:tcW w:w="2505" w:type="dxa"/>
          </w:tcPr>
          <w:p w14:paraId="48BB94C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095AB64" w14:textId="5F46F792" w:rsidTr="00E6407C">
        <w:tc>
          <w:tcPr>
            <w:tcW w:w="7252" w:type="dxa"/>
          </w:tcPr>
          <w:p w14:paraId="2C966461"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Subseção IV</w:t>
            </w:r>
          </w:p>
        </w:tc>
        <w:tc>
          <w:tcPr>
            <w:tcW w:w="3107" w:type="dxa"/>
          </w:tcPr>
          <w:p w14:paraId="3C2BBA56"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37966A52" w14:textId="79DD5C52" w:rsidR="00E6407C" w:rsidRPr="00D511FC" w:rsidRDefault="00E6407C" w:rsidP="00E6407C">
            <w:pPr>
              <w:spacing w:after="120"/>
              <w:jc w:val="center"/>
              <w:rPr>
                <w:rFonts w:ascii="Calibri" w:eastAsia="Calibri" w:hAnsi="Calibri" w:cs="Calibri"/>
                <w:b/>
                <w:bCs/>
                <w:sz w:val="24"/>
                <w:szCs w:val="24"/>
              </w:rPr>
            </w:pPr>
          </w:p>
        </w:tc>
        <w:tc>
          <w:tcPr>
            <w:tcW w:w="2505" w:type="dxa"/>
          </w:tcPr>
          <w:p w14:paraId="40948A1C"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3C8E88A2" w14:textId="1D83277F" w:rsidTr="00E6407C">
        <w:tc>
          <w:tcPr>
            <w:tcW w:w="7252" w:type="dxa"/>
          </w:tcPr>
          <w:p w14:paraId="28DCE01D"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Envio das Informações Atuariais</w:t>
            </w:r>
          </w:p>
        </w:tc>
        <w:tc>
          <w:tcPr>
            <w:tcW w:w="3107" w:type="dxa"/>
          </w:tcPr>
          <w:p w14:paraId="13FBD4D6"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775AD192" w14:textId="74985B84" w:rsidR="00E6407C" w:rsidRPr="00D511FC" w:rsidRDefault="00E6407C" w:rsidP="00E6407C">
            <w:pPr>
              <w:spacing w:after="120"/>
              <w:jc w:val="center"/>
              <w:rPr>
                <w:rFonts w:ascii="Calibri" w:eastAsia="Calibri" w:hAnsi="Calibri" w:cs="Calibri"/>
                <w:b/>
                <w:bCs/>
                <w:sz w:val="24"/>
                <w:szCs w:val="24"/>
              </w:rPr>
            </w:pPr>
          </w:p>
        </w:tc>
        <w:tc>
          <w:tcPr>
            <w:tcW w:w="2505" w:type="dxa"/>
          </w:tcPr>
          <w:p w14:paraId="4B8EE603"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39B49477" w14:textId="441AE7BE" w:rsidTr="00E6407C">
        <w:tc>
          <w:tcPr>
            <w:tcW w:w="7252" w:type="dxa"/>
          </w:tcPr>
          <w:p w14:paraId="431C8F5C"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355.  O envio de documentos e informações atuariais à Previc deve ser realizado:</w:t>
            </w:r>
          </w:p>
        </w:tc>
        <w:tc>
          <w:tcPr>
            <w:tcW w:w="3107" w:type="dxa"/>
          </w:tcPr>
          <w:p w14:paraId="68BA30A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230DB65" w14:textId="3F20CF36" w:rsidR="00E6407C" w:rsidRPr="00D511FC" w:rsidRDefault="00E6407C" w:rsidP="00E6407C">
            <w:pPr>
              <w:spacing w:after="120"/>
              <w:jc w:val="both"/>
              <w:rPr>
                <w:rFonts w:ascii="Calibri" w:eastAsia="Calibri" w:hAnsi="Calibri" w:cs="Calibri"/>
                <w:sz w:val="24"/>
                <w:szCs w:val="24"/>
              </w:rPr>
            </w:pPr>
          </w:p>
        </w:tc>
        <w:tc>
          <w:tcPr>
            <w:tcW w:w="2505" w:type="dxa"/>
          </w:tcPr>
          <w:p w14:paraId="5739380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BF1111B" w14:textId="4926E30B" w:rsidTr="00E6407C">
        <w:tc>
          <w:tcPr>
            <w:tcW w:w="7252" w:type="dxa"/>
          </w:tcPr>
          <w:p w14:paraId="5FB05D1D"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I - até 31 de março do exercício subsequente, para as demonstrações atuariais relativas ao encerramento do exercício de referência; e</w:t>
            </w:r>
          </w:p>
        </w:tc>
        <w:tc>
          <w:tcPr>
            <w:tcW w:w="3107" w:type="dxa"/>
          </w:tcPr>
          <w:p w14:paraId="3005F9E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CA75C18" w14:textId="49E9F918" w:rsidR="00E6407C" w:rsidRPr="00D511FC" w:rsidRDefault="00E6407C" w:rsidP="00E6407C">
            <w:pPr>
              <w:spacing w:after="120"/>
              <w:jc w:val="both"/>
              <w:rPr>
                <w:rFonts w:ascii="Calibri" w:eastAsia="Calibri" w:hAnsi="Calibri" w:cs="Calibri"/>
                <w:sz w:val="24"/>
                <w:szCs w:val="24"/>
              </w:rPr>
            </w:pPr>
          </w:p>
        </w:tc>
        <w:tc>
          <w:tcPr>
            <w:tcW w:w="2505" w:type="dxa"/>
          </w:tcPr>
          <w:p w14:paraId="73E104EB"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803BF8A" w14:textId="1A86A91A" w:rsidTr="00E6407C">
        <w:tc>
          <w:tcPr>
            <w:tcW w:w="7252" w:type="dxa"/>
          </w:tcPr>
          <w:p w14:paraId="3A29FE0B"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lastRenderedPageBreak/>
              <w:t>II - até noventa dias após a conclusão do fato que motivou a nova avaliação atuarial, para as demonstrações atuariais por fato relevante.</w:t>
            </w:r>
          </w:p>
        </w:tc>
        <w:tc>
          <w:tcPr>
            <w:tcW w:w="3107" w:type="dxa"/>
          </w:tcPr>
          <w:p w14:paraId="7E80465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1C877BB" w14:textId="70516AEF" w:rsidR="00E6407C" w:rsidRPr="00D511FC" w:rsidRDefault="00E6407C" w:rsidP="00E6407C">
            <w:pPr>
              <w:spacing w:after="120"/>
              <w:jc w:val="both"/>
              <w:rPr>
                <w:rFonts w:ascii="Calibri" w:eastAsia="Calibri" w:hAnsi="Calibri" w:cs="Calibri"/>
                <w:sz w:val="24"/>
                <w:szCs w:val="24"/>
              </w:rPr>
            </w:pPr>
          </w:p>
        </w:tc>
        <w:tc>
          <w:tcPr>
            <w:tcW w:w="2505" w:type="dxa"/>
          </w:tcPr>
          <w:p w14:paraId="3B121C7E"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38EC017" w14:textId="667FA55E" w:rsidTr="00E6407C">
        <w:tc>
          <w:tcPr>
            <w:tcW w:w="7252" w:type="dxa"/>
          </w:tcPr>
          <w:p w14:paraId="5116D24D"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Art. 380.  Ficam revogadas as seguintes normas:</w:t>
            </w:r>
            <w:r w:rsidRPr="00D511FC">
              <w:rPr>
                <w:rFonts w:ascii="Calibri" w:hAnsi="Calibri"/>
                <w:sz w:val="24"/>
                <w:szCs w:val="24"/>
              </w:rPr>
              <w:t xml:space="preserve"> </w:t>
            </w:r>
          </w:p>
        </w:tc>
        <w:tc>
          <w:tcPr>
            <w:tcW w:w="3107" w:type="dxa"/>
          </w:tcPr>
          <w:p w14:paraId="456E5BAF"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CED8948" w14:textId="6044AB59" w:rsidR="00E6407C" w:rsidRPr="00D511FC" w:rsidRDefault="00E6407C" w:rsidP="00E6407C">
            <w:pPr>
              <w:spacing w:after="120"/>
              <w:jc w:val="both"/>
              <w:rPr>
                <w:rFonts w:ascii="Calibri" w:eastAsia="Calibri" w:hAnsi="Calibri" w:cs="Calibri"/>
                <w:sz w:val="24"/>
                <w:szCs w:val="24"/>
              </w:rPr>
            </w:pPr>
          </w:p>
        </w:tc>
        <w:tc>
          <w:tcPr>
            <w:tcW w:w="2505" w:type="dxa"/>
          </w:tcPr>
          <w:p w14:paraId="49F7F6CB"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07A82A9" w14:textId="48C395F3" w:rsidTr="00E6407C">
        <w:tc>
          <w:tcPr>
            <w:tcW w:w="7252" w:type="dxa"/>
          </w:tcPr>
          <w:p w14:paraId="466C36AE" w14:textId="77777777" w:rsidR="00E6407C" w:rsidRPr="00D511FC" w:rsidRDefault="00E6407C" w:rsidP="00E6407C">
            <w:pPr>
              <w:spacing w:after="120"/>
              <w:jc w:val="both"/>
              <w:rPr>
                <w:sz w:val="24"/>
                <w:szCs w:val="24"/>
              </w:rPr>
            </w:pPr>
            <w:r w:rsidRPr="00D511FC">
              <w:rPr>
                <w:rFonts w:ascii="Calibri" w:eastAsia="Calibri" w:hAnsi="Calibri" w:cs="Calibri"/>
                <w:sz w:val="24"/>
                <w:szCs w:val="24"/>
              </w:rPr>
              <w:t xml:space="preserve">I - Instrução SPC nº 16 de 23 de março de 2007; </w:t>
            </w:r>
          </w:p>
        </w:tc>
        <w:tc>
          <w:tcPr>
            <w:tcW w:w="3107" w:type="dxa"/>
          </w:tcPr>
          <w:p w14:paraId="27A7462A"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3CE4BB7" w14:textId="35C0270F" w:rsidR="00E6407C" w:rsidRPr="00D511FC" w:rsidRDefault="00E6407C" w:rsidP="00E6407C">
            <w:pPr>
              <w:spacing w:after="120"/>
              <w:jc w:val="both"/>
              <w:rPr>
                <w:rFonts w:ascii="Calibri" w:eastAsia="Calibri" w:hAnsi="Calibri" w:cs="Calibri"/>
                <w:sz w:val="24"/>
                <w:szCs w:val="24"/>
              </w:rPr>
            </w:pPr>
          </w:p>
        </w:tc>
        <w:tc>
          <w:tcPr>
            <w:tcW w:w="2505" w:type="dxa"/>
          </w:tcPr>
          <w:p w14:paraId="125C5AB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F98FF54" w14:textId="7C10738B" w:rsidTr="00E6407C">
        <w:tc>
          <w:tcPr>
            <w:tcW w:w="7252" w:type="dxa"/>
          </w:tcPr>
          <w:p w14:paraId="36F351E1"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 - Instrução SPC nº 17, de 18 de abril de 2017; </w:t>
            </w:r>
          </w:p>
        </w:tc>
        <w:tc>
          <w:tcPr>
            <w:tcW w:w="3107" w:type="dxa"/>
          </w:tcPr>
          <w:p w14:paraId="1FAA243F"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A5829F7" w14:textId="573B7952" w:rsidR="00E6407C" w:rsidRPr="00D511FC" w:rsidRDefault="00E6407C" w:rsidP="00E6407C">
            <w:pPr>
              <w:spacing w:after="120"/>
              <w:jc w:val="both"/>
              <w:rPr>
                <w:rFonts w:ascii="Calibri" w:eastAsia="Calibri" w:hAnsi="Calibri" w:cs="Calibri"/>
                <w:sz w:val="24"/>
                <w:szCs w:val="24"/>
              </w:rPr>
            </w:pPr>
          </w:p>
        </w:tc>
        <w:tc>
          <w:tcPr>
            <w:tcW w:w="2505" w:type="dxa"/>
          </w:tcPr>
          <w:p w14:paraId="1E2D98A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C13D5FC" w14:textId="56451926" w:rsidTr="00E6407C">
        <w:tc>
          <w:tcPr>
            <w:tcW w:w="7252" w:type="dxa"/>
          </w:tcPr>
          <w:p w14:paraId="1B880426"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III - Instrução nº 15, de 8 dezembro de 2017; </w:t>
            </w:r>
          </w:p>
        </w:tc>
        <w:tc>
          <w:tcPr>
            <w:tcW w:w="3107" w:type="dxa"/>
          </w:tcPr>
          <w:p w14:paraId="1051DD57"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D8E639A" w14:textId="5D3D361D" w:rsidR="00E6407C" w:rsidRPr="00D511FC" w:rsidRDefault="00E6407C" w:rsidP="00E6407C">
            <w:pPr>
              <w:spacing w:after="120"/>
              <w:jc w:val="both"/>
              <w:rPr>
                <w:rFonts w:ascii="Calibri" w:eastAsia="Calibri" w:hAnsi="Calibri" w:cs="Calibri"/>
                <w:sz w:val="24"/>
                <w:szCs w:val="24"/>
              </w:rPr>
            </w:pPr>
          </w:p>
        </w:tc>
        <w:tc>
          <w:tcPr>
            <w:tcW w:w="2505" w:type="dxa"/>
          </w:tcPr>
          <w:p w14:paraId="33E2BDA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9721B37" w14:textId="1C921991" w:rsidTr="00E6407C">
        <w:tc>
          <w:tcPr>
            <w:tcW w:w="7252" w:type="dxa"/>
          </w:tcPr>
          <w:p w14:paraId="3004F685"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IV - Instrução Previc nº 3, de 24 de agosto de 2018; </w:t>
            </w:r>
          </w:p>
        </w:tc>
        <w:tc>
          <w:tcPr>
            <w:tcW w:w="3107" w:type="dxa"/>
          </w:tcPr>
          <w:p w14:paraId="6A1D9755"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D4BA490" w14:textId="2FA50E2D" w:rsidR="00E6407C" w:rsidRPr="00D511FC" w:rsidRDefault="00E6407C" w:rsidP="00E6407C">
            <w:pPr>
              <w:spacing w:after="120"/>
              <w:jc w:val="both"/>
              <w:rPr>
                <w:rFonts w:ascii="Calibri" w:eastAsia="Calibri" w:hAnsi="Calibri" w:cs="Calibri"/>
                <w:sz w:val="24"/>
                <w:szCs w:val="24"/>
              </w:rPr>
            </w:pPr>
          </w:p>
        </w:tc>
        <w:tc>
          <w:tcPr>
            <w:tcW w:w="2505" w:type="dxa"/>
          </w:tcPr>
          <w:p w14:paraId="2BEB931D"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24FA63F" w14:textId="0777854C" w:rsidTr="00E6407C">
        <w:tc>
          <w:tcPr>
            <w:tcW w:w="7252" w:type="dxa"/>
          </w:tcPr>
          <w:p w14:paraId="398AF116"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V - Instrução Previc nº 12, de 21 de janeiro de 2019; </w:t>
            </w:r>
          </w:p>
        </w:tc>
        <w:tc>
          <w:tcPr>
            <w:tcW w:w="3107" w:type="dxa"/>
          </w:tcPr>
          <w:p w14:paraId="14A797E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6B10BBA" w14:textId="0C43808F" w:rsidR="00E6407C" w:rsidRPr="00D511FC" w:rsidRDefault="00E6407C" w:rsidP="00E6407C">
            <w:pPr>
              <w:spacing w:after="120"/>
              <w:jc w:val="both"/>
              <w:rPr>
                <w:rFonts w:ascii="Calibri" w:eastAsia="Calibri" w:hAnsi="Calibri" w:cs="Calibri"/>
                <w:sz w:val="24"/>
                <w:szCs w:val="24"/>
              </w:rPr>
            </w:pPr>
          </w:p>
        </w:tc>
        <w:tc>
          <w:tcPr>
            <w:tcW w:w="2505" w:type="dxa"/>
          </w:tcPr>
          <w:p w14:paraId="0F416C36"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524B97B" w14:textId="5BE0FE8D" w:rsidTr="00E6407C">
        <w:tc>
          <w:tcPr>
            <w:tcW w:w="7252" w:type="dxa"/>
          </w:tcPr>
          <w:p w14:paraId="64A97CC7"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VI - Instrução Previc nº 09, de 13 de setembro de 2019;</w:t>
            </w:r>
          </w:p>
        </w:tc>
        <w:tc>
          <w:tcPr>
            <w:tcW w:w="3107" w:type="dxa"/>
          </w:tcPr>
          <w:p w14:paraId="2C043C58"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29AA1FF" w14:textId="7C7B94B1" w:rsidR="00E6407C" w:rsidRPr="00D511FC" w:rsidRDefault="00E6407C" w:rsidP="00E6407C">
            <w:pPr>
              <w:spacing w:after="120"/>
              <w:jc w:val="both"/>
              <w:rPr>
                <w:rFonts w:ascii="Calibri" w:eastAsia="Calibri" w:hAnsi="Calibri" w:cs="Calibri"/>
                <w:sz w:val="24"/>
                <w:szCs w:val="24"/>
              </w:rPr>
            </w:pPr>
          </w:p>
        </w:tc>
        <w:tc>
          <w:tcPr>
            <w:tcW w:w="2505" w:type="dxa"/>
          </w:tcPr>
          <w:p w14:paraId="61924422"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17EBAB9B" w14:textId="434CAF2F" w:rsidTr="00E6407C">
        <w:tc>
          <w:tcPr>
            <w:tcW w:w="7252" w:type="dxa"/>
          </w:tcPr>
          <w:p w14:paraId="7CEC7FB1"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VII - Instrução Previc nº 17, de 13 de setembro de 2019; </w:t>
            </w:r>
          </w:p>
        </w:tc>
        <w:tc>
          <w:tcPr>
            <w:tcW w:w="3107" w:type="dxa"/>
          </w:tcPr>
          <w:p w14:paraId="417CDB91"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FE7A5D1" w14:textId="398BC121" w:rsidR="00E6407C" w:rsidRPr="00D511FC" w:rsidRDefault="00E6407C" w:rsidP="00E6407C">
            <w:pPr>
              <w:spacing w:after="120"/>
              <w:jc w:val="both"/>
              <w:rPr>
                <w:rFonts w:ascii="Calibri" w:eastAsia="Calibri" w:hAnsi="Calibri" w:cs="Calibri"/>
                <w:sz w:val="24"/>
                <w:szCs w:val="24"/>
              </w:rPr>
            </w:pPr>
          </w:p>
        </w:tc>
        <w:tc>
          <w:tcPr>
            <w:tcW w:w="2505" w:type="dxa"/>
          </w:tcPr>
          <w:p w14:paraId="6FE967F3"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5F654F8" w14:textId="6845D939" w:rsidTr="00E6407C">
        <w:tc>
          <w:tcPr>
            <w:tcW w:w="7252" w:type="dxa"/>
          </w:tcPr>
          <w:p w14:paraId="472307FD"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VIII - Instrução Previc nº 25, de 22 de abril de 2020; </w:t>
            </w:r>
          </w:p>
        </w:tc>
        <w:tc>
          <w:tcPr>
            <w:tcW w:w="3107" w:type="dxa"/>
          </w:tcPr>
          <w:p w14:paraId="1448A8AF"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79E96E1F" w14:textId="6E001593" w:rsidR="00E6407C" w:rsidRPr="00D511FC" w:rsidRDefault="00E6407C" w:rsidP="00E6407C">
            <w:pPr>
              <w:spacing w:after="120"/>
              <w:jc w:val="both"/>
              <w:rPr>
                <w:rFonts w:ascii="Calibri" w:eastAsia="Calibri" w:hAnsi="Calibri" w:cs="Calibri"/>
                <w:sz w:val="24"/>
                <w:szCs w:val="24"/>
              </w:rPr>
            </w:pPr>
          </w:p>
        </w:tc>
        <w:tc>
          <w:tcPr>
            <w:tcW w:w="2505" w:type="dxa"/>
          </w:tcPr>
          <w:p w14:paraId="5AAB5AF6"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3E70768D" w14:textId="7ACD87D9" w:rsidTr="00E6407C">
        <w:tc>
          <w:tcPr>
            <w:tcW w:w="7252" w:type="dxa"/>
          </w:tcPr>
          <w:p w14:paraId="762682AF"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IX - Instrução Previc nº 26, de 28 de abril de 2020;</w:t>
            </w:r>
          </w:p>
        </w:tc>
        <w:tc>
          <w:tcPr>
            <w:tcW w:w="3107" w:type="dxa"/>
          </w:tcPr>
          <w:p w14:paraId="2846C777"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C21BCFB" w14:textId="427BF3DA" w:rsidR="00E6407C" w:rsidRPr="00D511FC" w:rsidRDefault="00E6407C" w:rsidP="00E6407C">
            <w:pPr>
              <w:spacing w:after="120"/>
              <w:jc w:val="both"/>
              <w:rPr>
                <w:rFonts w:ascii="Calibri" w:eastAsia="Calibri" w:hAnsi="Calibri" w:cs="Calibri"/>
                <w:sz w:val="24"/>
                <w:szCs w:val="24"/>
              </w:rPr>
            </w:pPr>
          </w:p>
        </w:tc>
        <w:tc>
          <w:tcPr>
            <w:tcW w:w="2505" w:type="dxa"/>
          </w:tcPr>
          <w:p w14:paraId="39E19308"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163FAD14" w14:textId="1DD275D8" w:rsidTr="00E6407C">
        <w:tc>
          <w:tcPr>
            <w:tcW w:w="7252" w:type="dxa"/>
          </w:tcPr>
          <w:p w14:paraId="7B80C62D"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 - Instrução Previc nº 29, de 21 de julho de 2020; </w:t>
            </w:r>
          </w:p>
        </w:tc>
        <w:tc>
          <w:tcPr>
            <w:tcW w:w="3107" w:type="dxa"/>
          </w:tcPr>
          <w:p w14:paraId="5AFD299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A86C3AC" w14:textId="3E5EEED5" w:rsidR="00E6407C" w:rsidRPr="00D511FC" w:rsidRDefault="00E6407C" w:rsidP="00E6407C">
            <w:pPr>
              <w:spacing w:after="120"/>
              <w:jc w:val="both"/>
              <w:rPr>
                <w:rFonts w:ascii="Calibri" w:eastAsia="Calibri" w:hAnsi="Calibri" w:cs="Calibri"/>
                <w:sz w:val="24"/>
                <w:szCs w:val="24"/>
              </w:rPr>
            </w:pPr>
          </w:p>
        </w:tc>
        <w:tc>
          <w:tcPr>
            <w:tcW w:w="2505" w:type="dxa"/>
          </w:tcPr>
          <w:p w14:paraId="2DFFB470"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25CC58E" w14:textId="45BA05C7" w:rsidTr="00E6407C">
        <w:tc>
          <w:tcPr>
            <w:tcW w:w="7252" w:type="dxa"/>
          </w:tcPr>
          <w:p w14:paraId="23DF8E24"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 - a Portaria </w:t>
            </w:r>
            <w:proofErr w:type="spellStart"/>
            <w:r w:rsidRPr="00D511FC">
              <w:rPr>
                <w:rFonts w:ascii="Calibri" w:eastAsia="Calibri" w:hAnsi="Calibri" w:cs="Calibri"/>
                <w:sz w:val="24"/>
                <w:szCs w:val="24"/>
              </w:rPr>
              <w:t>Difis</w:t>
            </w:r>
            <w:proofErr w:type="spellEnd"/>
            <w:r w:rsidRPr="00D511FC">
              <w:rPr>
                <w:rFonts w:ascii="Calibri" w:eastAsia="Calibri" w:hAnsi="Calibri" w:cs="Calibri"/>
                <w:sz w:val="24"/>
                <w:szCs w:val="24"/>
              </w:rPr>
              <w:t xml:space="preserve"> nº 585, de 19 de agosto de 2020;</w:t>
            </w:r>
          </w:p>
        </w:tc>
        <w:tc>
          <w:tcPr>
            <w:tcW w:w="3107" w:type="dxa"/>
          </w:tcPr>
          <w:p w14:paraId="47852F8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34484A13" w14:textId="3D322368" w:rsidR="00E6407C" w:rsidRPr="00D511FC" w:rsidRDefault="00E6407C" w:rsidP="00E6407C">
            <w:pPr>
              <w:spacing w:after="120"/>
              <w:jc w:val="both"/>
              <w:rPr>
                <w:rFonts w:ascii="Calibri" w:eastAsia="Calibri" w:hAnsi="Calibri" w:cs="Calibri"/>
                <w:sz w:val="24"/>
                <w:szCs w:val="24"/>
              </w:rPr>
            </w:pPr>
          </w:p>
        </w:tc>
        <w:tc>
          <w:tcPr>
            <w:tcW w:w="2505" w:type="dxa"/>
          </w:tcPr>
          <w:p w14:paraId="0C7C7C03"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2DDB6CCD" w14:textId="1EAE34F7" w:rsidTr="00E6407C">
        <w:tc>
          <w:tcPr>
            <w:tcW w:w="7252" w:type="dxa"/>
          </w:tcPr>
          <w:p w14:paraId="4C13C78E"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XII - Instrução Previc nº 30, de 19 de agosto de 2020; </w:t>
            </w:r>
          </w:p>
        </w:tc>
        <w:tc>
          <w:tcPr>
            <w:tcW w:w="3107" w:type="dxa"/>
          </w:tcPr>
          <w:p w14:paraId="793F7BB3"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24BD59F" w14:textId="5B7D840B" w:rsidR="00E6407C" w:rsidRPr="00D511FC" w:rsidRDefault="00E6407C" w:rsidP="00E6407C">
            <w:pPr>
              <w:spacing w:after="120"/>
              <w:jc w:val="both"/>
              <w:rPr>
                <w:rFonts w:ascii="Calibri" w:eastAsia="Calibri" w:hAnsi="Calibri" w:cs="Calibri"/>
                <w:sz w:val="24"/>
                <w:szCs w:val="24"/>
              </w:rPr>
            </w:pPr>
          </w:p>
        </w:tc>
        <w:tc>
          <w:tcPr>
            <w:tcW w:w="2505" w:type="dxa"/>
          </w:tcPr>
          <w:p w14:paraId="1C32B236"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3DC38EA" w14:textId="5FEB8A39" w:rsidTr="00E6407C">
        <w:tc>
          <w:tcPr>
            <w:tcW w:w="7252" w:type="dxa"/>
          </w:tcPr>
          <w:p w14:paraId="55E9C29F"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XIII - Instrução Previc nº 33, de 23 de outubro de 2020; </w:t>
            </w:r>
          </w:p>
        </w:tc>
        <w:tc>
          <w:tcPr>
            <w:tcW w:w="3107" w:type="dxa"/>
          </w:tcPr>
          <w:p w14:paraId="36B6EC7E"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7FCA4646" w14:textId="13797CD6" w:rsidR="00E6407C" w:rsidRPr="00D511FC" w:rsidRDefault="00E6407C" w:rsidP="00E6407C">
            <w:pPr>
              <w:spacing w:after="120"/>
              <w:jc w:val="both"/>
              <w:rPr>
                <w:rFonts w:ascii="Calibri" w:eastAsia="Calibri" w:hAnsi="Calibri" w:cs="Calibri"/>
                <w:sz w:val="24"/>
                <w:szCs w:val="24"/>
              </w:rPr>
            </w:pPr>
          </w:p>
        </w:tc>
        <w:tc>
          <w:tcPr>
            <w:tcW w:w="2505" w:type="dxa"/>
          </w:tcPr>
          <w:p w14:paraId="6A2286EB"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65BE387" w14:textId="499ED9E2" w:rsidTr="00E6407C">
        <w:tc>
          <w:tcPr>
            <w:tcW w:w="7252" w:type="dxa"/>
          </w:tcPr>
          <w:p w14:paraId="328012BE"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XIV - Instrução Previc nº 34, de 28 de outubro de 2020; </w:t>
            </w:r>
          </w:p>
        </w:tc>
        <w:tc>
          <w:tcPr>
            <w:tcW w:w="3107" w:type="dxa"/>
          </w:tcPr>
          <w:p w14:paraId="40BBBA0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63E8637" w14:textId="229B73F1" w:rsidR="00E6407C" w:rsidRPr="00D511FC" w:rsidRDefault="00E6407C" w:rsidP="00E6407C">
            <w:pPr>
              <w:spacing w:after="120"/>
              <w:jc w:val="both"/>
              <w:rPr>
                <w:rFonts w:ascii="Calibri" w:eastAsia="Calibri" w:hAnsi="Calibri" w:cs="Calibri"/>
                <w:sz w:val="24"/>
                <w:szCs w:val="24"/>
              </w:rPr>
            </w:pPr>
          </w:p>
        </w:tc>
        <w:tc>
          <w:tcPr>
            <w:tcW w:w="2505" w:type="dxa"/>
          </w:tcPr>
          <w:p w14:paraId="6E199E3F"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661EFBE" w14:textId="67D8CD59" w:rsidTr="00E6407C">
        <w:tc>
          <w:tcPr>
            <w:tcW w:w="7252" w:type="dxa"/>
          </w:tcPr>
          <w:p w14:paraId="3E34B073"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XV - Instrução Previc nº 35, de 11 de novembro de 2020;</w:t>
            </w:r>
          </w:p>
        </w:tc>
        <w:tc>
          <w:tcPr>
            <w:tcW w:w="3107" w:type="dxa"/>
          </w:tcPr>
          <w:p w14:paraId="4974DFB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C6784EB" w14:textId="7CDD1B7F" w:rsidR="00E6407C" w:rsidRPr="00D511FC" w:rsidRDefault="00E6407C" w:rsidP="00E6407C">
            <w:pPr>
              <w:spacing w:after="120"/>
              <w:jc w:val="both"/>
              <w:rPr>
                <w:rFonts w:ascii="Calibri" w:eastAsia="Calibri" w:hAnsi="Calibri" w:cs="Calibri"/>
                <w:sz w:val="24"/>
                <w:szCs w:val="24"/>
              </w:rPr>
            </w:pPr>
          </w:p>
        </w:tc>
        <w:tc>
          <w:tcPr>
            <w:tcW w:w="2505" w:type="dxa"/>
          </w:tcPr>
          <w:p w14:paraId="034AAFEB"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3581D3DB" w14:textId="634B8304" w:rsidTr="00E6407C">
        <w:tc>
          <w:tcPr>
            <w:tcW w:w="7252" w:type="dxa"/>
          </w:tcPr>
          <w:p w14:paraId="7636F5D5"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XVI - Instrução Previc nº 21, de 20 de fevereiro de 2020;</w:t>
            </w:r>
          </w:p>
        </w:tc>
        <w:tc>
          <w:tcPr>
            <w:tcW w:w="3107" w:type="dxa"/>
          </w:tcPr>
          <w:p w14:paraId="61470ECE"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54A0917" w14:textId="23B7E7DF" w:rsidR="00E6407C" w:rsidRPr="00D511FC" w:rsidRDefault="00E6407C" w:rsidP="00E6407C">
            <w:pPr>
              <w:spacing w:after="120"/>
              <w:jc w:val="both"/>
              <w:rPr>
                <w:rFonts w:ascii="Calibri" w:eastAsia="Calibri" w:hAnsi="Calibri" w:cs="Calibri"/>
                <w:sz w:val="24"/>
                <w:szCs w:val="24"/>
              </w:rPr>
            </w:pPr>
          </w:p>
        </w:tc>
        <w:tc>
          <w:tcPr>
            <w:tcW w:w="2505" w:type="dxa"/>
          </w:tcPr>
          <w:p w14:paraId="62EE1695"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09EAAED1" w14:textId="62E532B6" w:rsidTr="00E6407C">
        <w:tc>
          <w:tcPr>
            <w:tcW w:w="7252" w:type="dxa"/>
          </w:tcPr>
          <w:p w14:paraId="50A94C8D"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XVII - Resolução Previc nº 01, de 8 de dezembro de 2020;</w:t>
            </w:r>
          </w:p>
        </w:tc>
        <w:tc>
          <w:tcPr>
            <w:tcW w:w="3107" w:type="dxa"/>
          </w:tcPr>
          <w:p w14:paraId="4366A741"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05630A1" w14:textId="7E0FE8E5" w:rsidR="00E6407C" w:rsidRPr="00D511FC" w:rsidRDefault="00E6407C" w:rsidP="00E6407C">
            <w:pPr>
              <w:spacing w:after="120"/>
              <w:jc w:val="both"/>
              <w:rPr>
                <w:rFonts w:ascii="Calibri" w:eastAsia="Calibri" w:hAnsi="Calibri" w:cs="Calibri"/>
                <w:sz w:val="24"/>
                <w:szCs w:val="24"/>
              </w:rPr>
            </w:pPr>
          </w:p>
        </w:tc>
        <w:tc>
          <w:tcPr>
            <w:tcW w:w="2505" w:type="dxa"/>
          </w:tcPr>
          <w:p w14:paraId="0DD74F2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2AD17C6" w14:textId="180364C1" w:rsidTr="00E6407C">
        <w:tc>
          <w:tcPr>
            <w:tcW w:w="7252" w:type="dxa"/>
          </w:tcPr>
          <w:p w14:paraId="0B41497E"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XVIII - Instrução Previc nº 39, de 20 de abril de 2021; </w:t>
            </w:r>
          </w:p>
        </w:tc>
        <w:tc>
          <w:tcPr>
            <w:tcW w:w="3107" w:type="dxa"/>
          </w:tcPr>
          <w:p w14:paraId="1CE013F3"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20B0328F" w14:textId="542B5170" w:rsidR="00E6407C" w:rsidRPr="00D511FC" w:rsidRDefault="00E6407C" w:rsidP="00E6407C">
            <w:pPr>
              <w:spacing w:after="120"/>
              <w:jc w:val="both"/>
              <w:rPr>
                <w:rFonts w:ascii="Calibri" w:eastAsia="Calibri" w:hAnsi="Calibri" w:cs="Calibri"/>
                <w:sz w:val="24"/>
                <w:szCs w:val="24"/>
              </w:rPr>
            </w:pPr>
          </w:p>
        </w:tc>
        <w:tc>
          <w:tcPr>
            <w:tcW w:w="2505" w:type="dxa"/>
          </w:tcPr>
          <w:p w14:paraId="553D09B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3ACBC2BC" w14:textId="21A9B361" w:rsidTr="00E6407C">
        <w:tc>
          <w:tcPr>
            <w:tcW w:w="7252" w:type="dxa"/>
          </w:tcPr>
          <w:p w14:paraId="2575FF31"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XIX - Resolução Previc nº 2, de 25 de maio de 2021;</w:t>
            </w:r>
          </w:p>
        </w:tc>
        <w:tc>
          <w:tcPr>
            <w:tcW w:w="3107" w:type="dxa"/>
          </w:tcPr>
          <w:p w14:paraId="102AD06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4F778CD" w14:textId="5B6A1815" w:rsidR="00E6407C" w:rsidRPr="00D511FC" w:rsidRDefault="00E6407C" w:rsidP="00E6407C">
            <w:pPr>
              <w:spacing w:after="120"/>
              <w:jc w:val="both"/>
              <w:rPr>
                <w:rFonts w:ascii="Calibri" w:eastAsia="Calibri" w:hAnsi="Calibri" w:cs="Calibri"/>
                <w:sz w:val="24"/>
                <w:szCs w:val="24"/>
              </w:rPr>
            </w:pPr>
          </w:p>
        </w:tc>
        <w:tc>
          <w:tcPr>
            <w:tcW w:w="2505" w:type="dxa"/>
          </w:tcPr>
          <w:p w14:paraId="06534F2F"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27AB9C5" w14:textId="4511615E" w:rsidTr="00E6407C">
        <w:tc>
          <w:tcPr>
            <w:tcW w:w="7252" w:type="dxa"/>
          </w:tcPr>
          <w:p w14:paraId="35FA6829"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 - Instrução Previc nº 41, de 3 de agosto de 2021; </w:t>
            </w:r>
          </w:p>
        </w:tc>
        <w:tc>
          <w:tcPr>
            <w:tcW w:w="3107" w:type="dxa"/>
          </w:tcPr>
          <w:p w14:paraId="3CF1EFAF"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E4C9C8D" w14:textId="558A7D33" w:rsidR="00E6407C" w:rsidRPr="00D511FC" w:rsidRDefault="00E6407C" w:rsidP="00E6407C">
            <w:pPr>
              <w:spacing w:after="120"/>
              <w:jc w:val="both"/>
              <w:rPr>
                <w:rFonts w:ascii="Calibri" w:eastAsia="Calibri" w:hAnsi="Calibri" w:cs="Calibri"/>
                <w:sz w:val="24"/>
                <w:szCs w:val="24"/>
              </w:rPr>
            </w:pPr>
          </w:p>
        </w:tc>
        <w:tc>
          <w:tcPr>
            <w:tcW w:w="2505" w:type="dxa"/>
          </w:tcPr>
          <w:p w14:paraId="46D11BD4"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39A1D366" w14:textId="5F257532" w:rsidTr="00E6407C">
        <w:tc>
          <w:tcPr>
            <w:tcW w:w="7252" w:type="dxa"/>
          </w:tcPr>
          <w:p w14:paraId="1935A258"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xml:space="preserve">XXI - Instrução Previc nº 43, de 14 de outubro de 2021; </w:t>
            </w:r>
          </w:p>
        </w:tc>
        <w:tc>
          <w:tcPr>
            <w:tcW w:w="3107" w:type="dxa"/>
          </w:tcPr>
          <w:p w14:paraId="0D3D858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3A391952" w14:textId="2884E478" w:rsidR="00E6407C" w:rsidRPr="00D511FC" w:rsidRDefault="00E6407C" w:rsidP="00E6407C">
            <w:pPr>
              <w:spacing w:after="120"/>
              <w:jc w:val="both"/>
              <w:rPr>
                <w:rFonts w:ascii="Calibri" w:eastAsia="Calibri" w:hAnsi="Calibri" w:cs="Calibri"/>
                <w:sz w:val="24"/>
                <w:szCs w:val="24"/>
              </w:rPr>
            </w:pPr>
          </w:p>
        </w:tc>
        <w:tc>
          <w:tcPr>
            <w:tcW w:w="2505" w:type="dxa"/>
          </w:tcPr>
          <w:p w14:paraId="3B0DEF8F"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4754A759" w14:textId="20AC061C" w:rsidTr="00E6407C">
        <w:tc>
          <w:tcPr>
            <w:tcW w:w="7252" w:type="dxa"/>
          </w:tcPr>
          <w:p w14:paraId="1037CA32"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XXII - Portaria </w:t>
            </w:r>
            <w:proofErr w:type="spellStart"/>
            <w:r w:rsidRPr="00D511FC">
              <w:rPr>
                <w:rFonts w:ascii="Calibri" w:eastAsia="Calibri" w:hAnsi="Calibri" w:cs="Calibri"/>
                <w:sz w:val="24"/>
                <w:szCs w:val="24"/>
              </w:rPr>
              <w:t>Dilic</w:t>
            </w:r>
            <w:proofErr w:type="spellEnd"/>
            <w:r w:rsidRPr="00D511FC">
              <w:rPr>
                <w:rFonts w:ascii="Calibri" w:eastAsia="Calibri" w:hAnsi="Calibri" w:cs="Calibri"/>
                <w:sz w:val="24"/>
                <w:szCs w:val="24"/>
              </w:rPr>
              <w:t xml:space="preserve"> nº 681, de 19 de outubro de 2021;</w:t>
            </w:r>
          </w:p>
        </w:tc>
        <w:tc>
          <w:tcPr>
            <w:tcW w:w="3107" w:type="dxa"/>
          </w:tcPr>
          <w:p w14:paraId="00666667"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311BE8AF" w14:textId="0C38F6F2" w:rsidR="00E6407C" w:rsidRPr="00D511FC" w:rsidRDefault="00E6407C" w:rsidP="00E6407C">
            <w:pPr>
              <w:spacing w:after="120"/>
              <w:jc w:val="both"/>
              <w:rPr>
                <w:rFonts w:ascii="Calibri" w:eastAsia="Calibri" w:hAnsi="Calibri" w:cs="Calibri"/>
                <w:sz w:val="24"/>
                <w:szCs w:val="24"/>
              </w:rPr>
            </w:pPr>
          </w:p>
        </w:tc>
        <w:tc>
          <w:tcPr>
            <w:tcW w:w="2505" w:type="dxa"/>
          </w:tcPr>
          <w:p w14:paraId="02732CC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6DEF55E2" w14:textId="17888DA8" w:rsidTr="00E6407C">
        <w:tc>
          <w:tcPr>
            <w:tcW w:w="7252" w:type="dxa"/>
          </w:tcPr>
          <w:p w14:paraId="15A4CA3D"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XXIII - Instrução Previc nº 45, de 13 de julho de 2022; </w:t>
            </w:r>
          </w:p>
        </w:tc>
        <w:tc>
          <w:tcPr>
            <w:tcW w:w="3107" w:type="dxa"/>
          </w:tcPr>
          <w:p w14:paraId="25445193"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2862EE5" w14:textId="737331A4" w:rsidR="00E6407C" w:rsidRPr="00D511FC" w:rsidRDefault="00E6407C" w:rsidP="00E6407C">
            <w:pPr>
              <w:spacing w:after="120"/>
              <w:jc w:val="both"/>
              <w:rPr>
                <w:rFonts w:ascii="Calibri" w:eastAsia="Calibri" w:hAnsi="Calibri" w:cs="Calibri"/>
                <w:sz w:val="24"/>
                <w:szCs w:val="24"/>
              </w:rPr>
            </w:pPr>
          </w:p>
        </w:tc>
        <w:tc>
          <w:tcPr>
            <w:tcW w:w="2505" w:type="dxa"/>
          </w:tcPr>
          <w:p w14:paraId="6CAF1995"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598515B5" w14:textId="147558C6" w:rsidTr="00E6407C">
        <w:tc>
          <w:tcPr>
            <w:tcW w:w="7252" w:type="dxa"/>
          </w:tcPr>
          <w:p w14:paraId="11BEA322"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XXIV - Resolução Previc nº 4, de 18 de outubro de 2021; </w:t>
            </w:r>
          </w:p>
        </w:tc>
        <w:tc>
          <w:tcPr>
            <w:tcW w:w="3107" w:type="dxa"/>
          </w:tcPr>
          <w:p w14:paraId="41822145"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4D7F023" w14:textId="48FA32F8" w:rsidR="00E6407C" w:rsidRPr="00D511FC" w:rsidRDefault="00E6407C" w:rsidP="00E6407C">
            <w:pPr>
              <w:spacing w:after="120"/>
              <w:jc w:val="both"/>
              <w:rPr>
                <w:rFonts w:ascii="Calibri" w:eastAsia="Calibri" w:hAnsi="Calibri" w:cs="Calibri"/>
                <w:sz w:val="24"/>
                <w:szCs w:val="24"/>
              </w:rPr>
            </w:pPr>
          </w:p>
        </w:tc>
        <w:tc>
          <w:tcPr>
            <w:tcW w:w="2505" w:type="dxa"/>
          </w:tcPr>
          <w:p w14:paraId="74DB7047"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1FD685C7" w14:textId="216F5785" w:rsidTr="00E6407C">
        <w:tc>
          <w:tcPr>
            <w:tcW w:w="7252" w:type="dxa"/>
          </w:tcPr>
          <w:p w14:paraId="619EB018" w14:textId="77777777" w:rsidR="00E6407C" w:rsidRPr="00D511FC" w:rsidRDefault="00E6407C" w:rsidP="00E6407C">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XXV - Resolução Previc nº 5, de 27 de outubro de 2021; </w:t>
            </w:r>
          </w:p>
        </w:tc>
        <w:tc>
          <w:tcPr>
            <w:tcW w:w="3107" w:type="dxa"/>
          </w:tcPr>
          <w:p w14:paraId="04C92902"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3B816FEE" w14:textId="3843315A" w:rsidR="00E6407C" w:rsidRPr="00D511FC" w:rsidRDefault="00E6407C" w:rsidP="00E6407C">
            <w:pPr>
              <w:spacing w:after="120"/>
              <w:jc w:val="both"/>
              <w:rPr>
                <w:rFonts w:ascii="Calibri" w:eastAsia="Calibri" w:hAnsi="Calibri" w:cs="Calibri"/>
                <w:sz w:val="24"/>
                <w:szCs w:val="24"/>
              </w:rPr>
            </w:pPr>
          </w:p>
        </w:tc>
        <w:tc>
          <w:tcPr>
            <w:tcW w:w="2505" w:type="dxa"/>
          </w:tcPr>
          <w:p w14:paraId="477D4961" w14:textId="77777777" w:rsidR="00E6407C" w:rsidRPr="00D511FC" w:rsidRDefault="00E6407C" w:rsidP="00E6407C">
            <w:pPr>
              <w:spacing w:after="120"/>
              <w:jc w:val="both"/>
              <w:rPr>
                <w:rFonts w:ascii="Calibri" w:eastAsia="Calibri" w:hAnsi="Calibri" w:cs="Calibri"/>
                <w:sz w:val="24"/>
                <w:szCs w:val="24"/>
              </w:rPr>
            </w:pPr>
          </w:p>
        </w:tc>
      </w:tr>
      <w:tr w:rsidR="00E6407C" w:rsidRPr="00D511FC" w14:paraId="7FAB1F9F" w14:textId="77777777" w:rsidTr="00E6407C">
        <w:tc>
          <w:tcPr>
            <w:tcW w:w="7252" w:type="dxa"/>
          </w:tcPr>
          <w:p w14:paraId="7A004DD0" w14:textId="77777777" w:rsidR="00E6407C" w:rsidRPr="00D511FC" w:rsidRDefault="00E6407C" w:rsidP="00E6407C">
            <w:pPr>
              <w:spacing w:after="120"/>
              <w:jc w:val="both"/>
              <w:rPr>
                <w:rFonts w:ascii="Calibri" w:eastAsia="Calibri" w:hAnsi="Calibri" w:cs="Calibri"/>
                <w:sz w:val="24"/>
                <w:szCs w:val="24"/>
              </w:rPr>
            </w:pPr>
          </w:p>
        </w:tc>
        <w:tc>
          <w:tcPr>
            <w:tcW w:w="3107" w:type="dxa"/>
          </w:tcPr>
          <w:p w14:paraId="510A42D4" w14:textId="6160C62E" w:rsidR="00E6407C" w:rsidRPr="007C37FB" w:rsidRDefault="00E6407C" w:rsidP="00E6407C">
            <w:pPr>
              <w:spacing w:after="120"/>
              <w:jc w:val="both"/>
              <w:rPr>
                <w:rFonts w:ascii="Calibri" w:eastAsia="Calibri" w:hAnsi="Calibri" w:cs="Calibri"/>
                <w:color w:val="000000" w:themeColor="text1"/>
                <w:sz w:val="24"/>
                <w:szCs w:val="24"/>
              </w:rPr>
            </w:pPr>
            <w:r w:rsidRPr="007C37FB">
              <w:rPr>
                <w:rFonts w:ascii="Calibri" w:eastAsia="Calibri" w:hAnsi="Calibri" w:cs="Calibri"/>
                <w:color w:val="000000" w:themeColor="text1"/>
                <w:sz w:val="24"/>
                <w:szCs w:val="24"/>
              </w:rPr>
              <w:t>IBA:</w:t>
            </w:r>
          </w:p>
          <w:p w14:paraId="78B60DFC" w14:textId="5165FF91"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 xml:space="preserve">XXVI - </w:t>
            </w:r>
            <w:r>
              <w:rPr>
                <w:rFonts w:ascii="Calibri" w:eastAsia="Calibri" w:hAnsi="Calibri" w:cs="Calibri"/>
                <w:color w:val="4472C4" w:themeColor="accent1"/>
                <w:sz w:val="24"/>
                <w:szCs w:val="24"/>
              </w:rPr>
              <w:t>Portaria</w:t>
            </w:r>
            <w:r w:rsidRPr="005A52BB">
              <w:rPr>
                <w:rFonts w:ascii="Calibri" w:eastAsia="Calibri" w:hAnsi="Calibri" w:cs="Calibri"/>
                <w:color w:val="4472C4" w:themeColor="accent1"/>
                <w:sz w:val="24"/>
                <w:szCs w:val="24"/>
              </w:rPr>
              <w:t xml:space="preserve"> Previc nº </w:t>
            </w:r>
            <w:r>
              <w:rPr>
                <w:rFonts w:ascii="Calibri" w:eastAsia="Calibri" w:hAnsi="Calibri" w:cs="Calibri"/>
                <w:color w:val="4472C4" w:themeColor="accent1"/>
                <w:sz w:val="24"/>
                <w:szCs w:val="24"/>
              </w:rPr>
              <w:t>801</w:t>
            </w:r>
            <w:r w:rsidRPr="005A52BB">
              <w:rPr>
                <w:rFonts w:ascii="Calibri" w:eastAsia="Calibri" w:hAnsi="Calibri" w:cs="Calibri"/>
                <w:color w:val="4472C4" w:themeColor="accent1"/>
                <w:sz w:val="24"/>
                <w:szCs w:val="24"/>
              </w:rPr>
              <w:t>, de</w:t>
            </w:r>
            <w:r>
              <w:rPr>
                <w:rFonts w:ascii="Calibri" w:eastAsia="Calibri" w:hAnsi="Calibri" w:cs="Calibri"/>
                <w:color w:val="4472C4" w:themeColor="accent1"/>
                <w:sz w:val="24"/>
                <w:szCs w:val="24"/>
              </w:rPr>
              <w:t xml:space="preserve"> 1</w:t>
            </w:r>
            <w:r w:rsidRPr="005049D1">
              <w:rPr>
                <w:rFonts w:ascii="Calibri" w:eastAsia="Calibri" w:hAnsi="Calibri" w:cs="Calibri"/>
                <w:color w:val="4472C4" w:themeColor="accent1"/>
                <w:sz w:val="24"/>
                <w:szCs w:val="24"/>
              </w:rPr>
              <w:t>º</w:t>
            </w:r>
            <w:r w:rsidRPr="005A52BB">
              <w:rPr>
                <w:rFonts w:ascii="Calibri" w:eastAsia="Calibri" w:hAnsi="Calibri" w:cs="Calibri"/>
                <w:color w:val="4472C4" w:themeColor="accent1"/>
                <w:sz w:val="24"/>
                <w:szCs w:val="24"/>
              </w:rPr>
              <w:t xml:space="preserve"> de </w:t>
            </w:r>
            <w:r>
              <w:rPr>
                <w:rFonts w:ascii="Calibri" w:eastAsia="Calibri" w:hAnsi="Calibri" w:cs="Calibri"/>
                <w:color w:val="4472C4" w:themeColor="accent1"/>
                <w:sz w:val="24"/>
                <w:szCs w:val="24"/>
              </w:rPr>
              <w:t>dezembro</w:t>
            </w:r>
            <w:r w:rsidRPr="005A52BB">
              <w:rPr>
                <w:rFonts w:ascii="Calibri" w:eastAsia="Calibri" w:hAnsi="Calibri" w:cs="Calibri"/>
                <w:color w:val="4472C4" w:themeColor="accent1"/>
                <w:sz w:val="24"/>
                <w:szCs w:val="24"/>
              </w:rPr>
              <w:t xml:space="preserve"> de 2021;</w:t>
            </w:r>
          </w:p>
        </w:tc>
        <w:tc>
          <w:tcPr>
            <w:tcW w:w="2552" w:type="dxa"/>
          </w:tcPr>
          <w:p w14:paraId="7B436C43" w14:textId="61636BEA"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 xml:space="preserve">IBA: </w:t>
            </w:r>
            <w:r w:rsidRPr="005A52BB">
              <w:rPr>
                <w:rFonts w:ascii="Calibri" w:eastAsia="Calibri" w:hAnsi="Calibri" w:cs="Calibri"/>
                <w:sz w:val="24"/>
                <w:szCs w:val="24"/>
              </w:rPr>
              <w:t>Importante observar que a Portaria Previc</w:t>
            </w:r>
            <w:r>
              <w:rPr>
                <w:rFonts w:ascii="Calibri" w:eastAsia="Calibri" w:hAnsi="Calibri" w:cs="Calibri"/>
                <w:sz w:val="24"/>
                <w:szCs w:val="24"/>
              </w:rPr>
              <w:t xml:space="preserve"> </w:t>
            </w:r>
            <w:r w:rsidRPr="005A52BB">
              <w:rPr>
                <w:rFonts w:ascii="Calibri" w:eastAsia="Calibri" w:hAnsi="Calibri" w:cs="Calibri"/>
                <w:sz w:val="24"/>
                <w:szCs w:val="24"/>
              </w:rPr>
              <w:t>nº 801/2021 não foi revogada e só existe por conta desse parágrafo</w:t>
            </w:r>
            <w:r>
              <w:rPr>
                <w:rFonts w:ascii="Calibri" w:eastAsia="Calibri" w:hAnsi="Calibri" w:cs="Calibri"/>
                <w:sz w:val="24"/>
                <w:szCs w:val="24"/>
              </w:rPr>
              <w:t>.</w:t>
            </w:r>
          </w:p>
        </w:tc>
        <w:tc>
          <w:tcPr>
            <w:tcW w:w="2505" w:type="dxa"/>
          </w:tcPr>
          <w:p w14:paraId="649D3FF2" w14:textId="39C8B05E" w:rsidR="00E6407C" w:rsidRPr="000F293D" w:rsidRDefault="00E6407C" w:rsidP="00E6407C">
            <w:pPr>
              <w:spacing w:after="120"/>
              <w:jc w:val="both"/>
              <w:rPr>
                <w:rFonts w:ascii="Calibri" w:eastAsia="Calibri" w:hAnsi="Calibri" w:cs="Calibri"/>
                <w:b/>
                <w:bCs/>
                <w:sz w:val="24"/>
                <w:szCs w:val="24"/>
              </w:rPr>
            </w:pPr>
            <w:r w:rsidRPr="000F293D">
              <w:rPr>
                <w:rFonts w:ascii="Calibri" w:eastAsia="Calibri" w:hAnsi="Calibri" w:cs="Calibri"/>
                <w:b/>
                <w:bCs/>
                <w:sz w:val="24"/>
                <w:szCs w:val="24"/>
              </w:rPr>
              <w:t>ACATAR.</w:t>
            </w:r>
          </w:p>
        </w:tc>
      </w:tr>
      <w:tr w:rsidR="00E6407C" w:rsidRPr="00D511FC" w14:paraId="64E2EAC3" w14:textId="2C74F3B1" w:rsidTr="00E6407C">
        <w:tc>
          <w:tcPr>
            <w:tcW w:w="7252" w:type="dxa"/>
          </w:tcPr>
          <w:p w14:paraId="03D6DCD8" w14:textId="3C5F200D"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XXVII</w:t>
            </w:r>
            <w:r w:rsidRPr="00D511FC">
              <w:rPr>
                <w:rFonts w:ascii="Calibri" w:eastAsia="Calibri" w:hAnsi="Calibri" w:cs="Calibri"/>
                <w:sz w:val="24"/>
                <w:szCs w:val="24"/>
              </w:rPr>
              <w:t xml:space="preserve"> - Resolução Previc nº 06, de 23 de março de 2022; </w:t>
            </w:r>
          </w:p>
        </w:tc>
        <w:tc>
          <w:tcPr>
            <w:tcW w:w="3107" w:type="dxa"/>
          </w:tcPr>
          <w:p w14:paraId="3948CA76"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58D918B" w14:textId="3436E700" w:rsidR="00E6407C" w:rsidRPr="00D511FC" w:rsidRDefault="00E6407C" w:rsidP="00E6407C">
            <w:pPr>
              <w:spacing w:after="120"/>
              <w:jc w:val="both"/>
              <w:rPr>
                <w:rFonts w:ascii="Calibri" w:eastAsia="Calibri" w:hAnsi="Calibri" w:cs="Calibri"/>
                <w:sz w:val="24"/>
                <w:szCs w:val="24"/>
              </w:rPr>
            </w:pPr>
          </w:p>
        </w:tc>
        <w:tc>
          <w:tcPr>
            <w:tcW w:w="2505" w:type="dxa"/>
          </w:tcPr>
          <w:p w14:paraId="1DB5A4E5" w14:textId="69461688"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0CADB5E0" w14:textId="5C83A5A1" w:rsidTr="00E6407C">
        <w:tc>
          <w:tcPr>
            <w:tcW w:w="7252" w:type="dxa"/>
          </w:tcPr>
          <w:p w14:paraId="70551FB1" w14:textId="6E4EBBB7"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XXVIII</w:t>
            </w:r>
            <w:r w:rsidRPr="00D511FC">
              <w:rPr>
                <w:rFonts w:ascii="Calibri" w:eastAsia="Calibri" w:hAnsi="Calibri" w:cs="Calibri"/>
                <w:sz w:val="24"/>
                <w:szCs w:val="24"/>
              </w:rPr>
              <w:t xml:space="preserve"> - Resolução Previc nº 07, 23 de março de 2022; </w:t>
            </w:r>
          </w:p>
        </w:tc>
        <w:tc>
          <w:tcPr>
            <w:tcW w:w="3107" w:type="dxa"/>
          </w:tcPr>
          <w:p w14:paraId="6753DA7B"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474C2DAB" w14:textId="388BD414" w:rsidR="00E6407C" w:rsidRPr="00D511FC" w:rsidRDefault="00E6407C" w:rsidP="00E6407C">
            <w:pPr>
              <w:spacing w:after="120"/>
              <w:jc w:val="both"/>
              <w:rPr>
                <w:rFonts w:ascii="Calibri" w:eastAsia="Calibri" w:hAnsi="Calibri" w:cs="Calibri"/>
                <w:sz w:val="24"/>
                <w:szCs w:val="24"/>
              </w:rPr>
            </w:pPr>
          </w:p>
        </w:tc>
        <w:tc>
          <w:tcPr>
            <w:tcW w:w="2505" w:type="dxa"/>
          </w:tcPr>
          <w:p w14:paraId="4175F36B" w14:textId="40DB4F6D"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183D80AE" w14:textId="65083938" w:rsidTr="00E6407C">
        <w:tc>
          <w:tcPr>
            <w:tcW w:w="7252" w:type="dxa"/>
          </w:tcPr>
          <w:p w14:paraId="7F270D7D" w14:textId="5EEC14E7"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XXIX</w:t>
            </w:r>
            <w:r w:rsidRPr="00D511FC">
              <w:rPr>
                <w:rFonts w:ascii="Calibri" w:eastAsia="Calibri" w:hAnsi="Calibri" w:cs="Calibri"/>
                <w:sz w:val="24"/>
                <w:szCs w:val="24"/>
              </w:rPr>
              <w:t xml:space="preserve"> - Resolução Previc nº 8, de 23 de março de 2022; </w:t>
            </w:r>
          </w:p>
        </w:tc>
        <w:tc>
          <w:tcPr>
            <w:tcW w:w="3107" w:type="dxa"/>
          </w:tcPr>
          <w:p w14:paraId="4B6E9BE6"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7C1B1727" w14:textId="16F18B02" w:rsidR="00E6407C" w:rsidRPr="00D511FC" w:rsidRDefault="00E6407C" w:rsidP="00E6407C">
            <w:pPr>
              <w:spacing w:after="120"/>
              <w:jc w:val="both"/>
              <w:rPr>
                <w:rFonts w:ascii="Calibri" w:eastAsia="Calibri" w:hAnsi="Calibri" w:cs="Calibri"/>
                <w:sz w:val="24"/>
                <w:szCs w:val="24"/>
              </w:rPr>
            </w:pPr>
          </w:p>
        </w:tc>
        <w:tc>
          <w:tcPr>
            <w:tcW w:w="2505" w:type="dxa"/>
          </w:tcPr>
          <w:p w14:paraId="07880206" w14:textId="3882D147"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29989D8B" w14:textId="07C24A25" w:rsidTr="00E6407C">
        <w:tc>
          <w:tcPr>
            <w:tcW w:w="7252" w:type="dxa"/>
          </w:tcPr>
          <w:p w14:paraId="0A7E47E4" w14:textId="21EACBCB"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w:t>
            </w:r>
            <w:r w:rsidRPr="00D511FC">
              <w:rPr>
                <w:rFonts w:ascii="Calibri" w:eastAsia="Calibri" w:hAnsi="Calibri" w:cs="Calibri"/>
                <w:sz w:val="24"/>
                <w:szCs w:val="24"/>
              </w:rPr>
              <w:t xml:space="preserve"> - Resolução Previc nº 9, de 30 de março de 2022; </w:t>
            </w:r>
          </w:p>
        </w:tc>
        <w:tc>
          <w:tcPr>
            <w:tcW w:w="3107" w:type="dxa"/>
          </w:tcPr>
          <w:p w14:paraId="0AA43CD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65D9F9B" w14:textId="6D5FAE07" w:rsidR="00E6407C" w:rsidRPr="00D511FC" w:rsidRDefault="00E6407C" w:rsidP="00E6407C">
            <w:pPr>
              <w:spacing w:after="120"/>
              <w:jc w:val="both"/>
              <w:rPr>
                <w:rFonts w:ascii="Calibri" w:eastAsia="Calibri" w:hAnsi="Calibri" w:cs="Calibri"/>
                <w:sz w:val="24"/>
                <w:szCs w:val="24"/>
              </w:rPr>
            </w:pPr>
          </w:p>
        </w:tc>
        <w:tc>
          <w:tcPr>
            <w:tcW w:w="2505" w:type="dxa"/>
          </w:tcPr>
          <w:p w14:paraId="43A31621" w14:textId="0DA371FA"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69B32048" w14:textId="6294BBAA" w:rsidTr="00E6407C">
        <w:tc>
          <w:tcPr>
            <w:tcW w:w="7252" w:type="dxa"/>
          </w:tcPr>
          <w:p w14:paraId="5EE09B4F" w14:textId="4798F779"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XXXI</w:t>
            </w:r>
            <w:r w:rsidRPr="00D511FC">
              <w:rPr>
                <w:rFonts w:ascii="Calibri" w:eastAsia="Calibri" w:hAnsi="Calibri" w:cs="Calibri"/>
                <w:sz w:val="24"/>
                <w:szCs w:val="24"/>
              </w:rPr>
              <w:t xml:space="preserve"> - Resolução Previc nº 10, de 3 de maio de 2022; </w:t>
            </w:r>
          </w:p>
        </w:tc>
        <w:tc>
          <w:tcPr>
            <w:tcW w:w="3107" w:type="dxa"/>
          </w:tcPr>
          <w:p w14:paraId="75DA4A79"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FAECE20" w14:textId="59BE5546" w:rsidR="00E6407C" w:rsidRPr="00D511FC" w:rsidRDefault="00E6407C" w:rsidP="00E6407C">
            <w:pPr>
              <w:spacing w:after="120"/>
              <w:jc w:val="both"/>
              <w:rPr>
                <w:rFonts w:ascii="Calibri" w:eastAsia="Calibri" w:hAnsi="Calibri" w:cs="Calibri"/>
                <w:sz w:val="24"/>
                <w:szCs w:val="24"/>
              </w:rPr>
            </w:pPr>
          </w:p>
        </w:tc>
        <w:tc>
          <w:tcPr>
            <w:tcW w:w="2505" w:type="dxa"/>
          </w:tcPr>
          <w:p w14:paraId="7EF05420" w14:textId="52584DD9"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1230D473" w14:textId="64D85AFD" w:rsidTr="00E6407C">
        <w:tc>
          <w:tcPr>
            <w:tcW w:w="7252" w:type="dxa"/>
          </w:tcPr>
          <w:p w14:paraId="17EA4A4B" w14:textId="525AB6CC"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XXXII</w:t>
            </w:r>
            <w:r w:rsidRPr="00D511FC">
              <w:rPr>
                <w:rFonts w:ascii="Calibri" w:eastAsia="Calibri" w:hAnsi="Calibri" w:cs="Calibri"/>
                <w:sz w:val="24"/>
                <w:szCs w:val="24"/>
              </w:rPr>
              <w:t xml:space="preserve"> - Resolução Previc nº 11, de 7 de junho de 2022;</w:t>
            </w:r>
          </w:p>
        </w:tc>
        <w:tc>
          <w:tcPr>
            <w:tcW w:w="3107" w:type="dxa"/>
          </w:tcPr>
          <w:p w14:paraId="7B072F8D"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F4736CE" w14:textId="52680150" w:rsidR="00E6407C" w:rsidRPr="00D511FC" w:rsidRDefault="00E6407C" w:rsidP="00E6407C">
            <w:pPr>
              <w:spacing w:after="120"/>
              <w:jc w:val="both"/>
              <w:rPr>
                <w:rFonts w:ascii="Calibri" w:eastAsia="Calibri" w:hAnsi="Calibri" w:cs="Calibri"/>
                <w:sz w:val="24"/>
                <w:szCs w:val="24"/>
              </w:rPr>
            </w:pPr>
          </w:p>
        </w:tc>
        <w:tc>
          <w:tcPr>
            <w:tcW w:w="2505" w:type="dxa"/>
          </w:tcPr>
          <w:p w14:paraId="5B27966B" w14:textId="20AF695B"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6717189C" w14:textId="18C2600A" w:rsidTr="00E6407C">
        <w:tc>
          <w:tcPr>
            <w:tcW w:w="7252" w:type="dxa"/>
          </w:tcPr>
          <w:p w14:paraId="7652F1E7" w14:textId="7D2381C7"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XXXIII</w:t>
            </w:r>
            <w:r w:rsidRPr="00D511FC">
              <w:rPr>
                <w:rFonts w:ascii="Calibri" w:eastAsia="Calibri" w:hAnsi="Calibri" w:cs="Calibri"/>
                <w:sz w:val="24"/>
                <w:szCs w:val="24"/>
              </w:rPr>
              <w:t xml:space="preserve"> - Resolução Previc nº 13, de 16 de agosto de 2022; </w:t>
            </w:r>
          </w:p>
        </w:tc>
        <w:tc>
          <w:tcPr>
            <w:tcW w:w="3107" w:type="dxa"/>
          </w:tcPr>
          <w:p w14:paraId="0032DA97"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37616BA8" w14:textId="5DB83E17" w:rsidR="00E6407C" w:rsidRPr="00D511FC" w:rsidRDefault="00E6407C" w:rsidP="00E6407C">
            <w:pPr>
              <w:spacing w:after="120"/>
              <w:jc w:val="both"/>
              <w:rPr>
                <w:rFonts w:ascii="Calibri" w:eastAsia="Calibri" w:hAnsi="Calibri" w:cs="Calibri"/>
                <w:sz w:val="24"/>
                <w:szCs w:val="24"/>
              </w:rPr>
            </w:pPr>
          </w:p>
        </w:tc>
        <w:tc>
          <w:tcPr>
            <w:tcW w:w="2505" w:type="dxa"/>
          </w:tcPr>
          <w:p w14:paraId="73EB18F3" w14:textId="046994A4"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430C2038" w14:textId="1D2920C2" w:rsidTr="00E6407C">
        <w:tc>
          <w:tcPr>
            <w:tcW w:w="7252" w:type="dxa"/>
          </w:tcPr>
          <w:p w14:paraId="7C1815E0" w14:textId="767CF25E"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XXXIV</w:t>
            </w:r>
            <w:r w:rsidRPr="00D511FC">
              <w:rPr>
                <w:rFonts w:ascii="Calibri" w:eastAsia="Calibri" w:hAnsi="Calibri" w:cs="Calibri"/>
                <w:sz w:val="24"/>
                <w:szCs w:val="24"/>
              </w:rPr>
              <w:t xml:space="preserve"> - Resolução Previc nº 14, de 13 de setembro de 2022; </w:t>
            </w:r>
          </w:p>
        </w:tc>
        <w:tc>
          <w:tcPr>
            <w:tcW w:w="3107" w:type="dxa"/>
          </w:tcPr>
          <w:p w14:paraId="0F06D3E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574AA59C" w14:textId="39F88B5A" w:rsidR="00E6407C" w:rsidRPr="00D511FC" w:rsidRDefault="00E6407C" w:rsidP="00E6407C">
            <w:pPr>
              <w:spacing w:after="120"/>
              <w:jc w:val="both"/>
              <w:rPr>
                <w:rFonts w:ascii="Calibri" w:eastAsia="Calibri" w:hAnsi="Calibri" w:cs="Calibri"/>
                <w:sz w:val="24"/>
                <w:szCs w:val="24"/>
              </w:rPr>
            </w:pPr>
          </w:p>
        </w:tc>
        <w:tc>
          <w:tcPr>
            <w:tcW w:w="2505" w:type="dxa"/>
          </w:tcPr>
          <w:p w14:paraId="4DDA7D54" w14:textId="6177FD1E"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12CDEF9C" w14:textId="5206EAF6" w:rsidTr="00E6407C">
        <w:tc>
          <w:tcPr>
            <w:tcW w:w="7252" w:type="dxa"/>
          </w:tcPr>
          <w:p w14:paraId="433CE946" w14:textId="326AF783"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XXXV</w:t>
            </w:r>
            <w:r w:rsidRPr="00D511FC">
              <w:rPr>
                <w:rFonts w:ascii="Calibri" w:eastAsia="Calibri" w:hAnsi="Calibri" w:cs="Calibri"/>
                <w:sz w:val="24"/>
                <w:szCs w:val="24"/>
              </w:rPr>
              <w:t xml:space="preserve"> - Resolução Previc nº 15, de 20 de setembro de 2022; </w:t>
            </w:r>
          </w:p>
        </w:tc>
        <w:tc>
          <w:tcPr>
            <w:tcW w:w="3107" w:type="dxa"/>
          </w:tcPr>
          <w:p w14:paraId="342A280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1785FB72" w14:textId="13FB8BAD" w:rsidR="00E6407C" w:rsidRPr="00D511FC" w:rsidRDefault="00E6407C" w:rsidP="00E6407C">
            <w:pPr>
              <w:spacing w:after="120"/>
              <w:jc w:val="both"/>
              <w:rPr>
                <w:rFonts w:ascii="Calibri" w:eastAsia="Calibri" w:hAnsi="Calibri" w:cs="Calibri"/>
                <w:sz w:val="24"/>
                <w:szCs w:val="24"/>
              </w:rPr>
            </w:pPr>
          </w:p>
        </w:tc>
        <w:tc>
          <w:tcPr>
            <w:tcW w:w="2505" w:type="dxa"/>
          </w:tcPr>
          <w:p w14:paraId="6E70CB56" w14:textId="533641D0"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70CDA886" w14:textId="783598A0" w:rsidTr="00E6407C">
        <w:tc>
          <w:tcPr>
            <w:tcW w:w="7252" w:type="dxa"/>
          </w:tcPr>
          <w:p w14:paraId="016DEA99" w14:textId="4CA61DB4"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XXXVI</w:t>
            </w:r>
            <w:r w:rsidRPr="00D511FC">
              <w:rPr>
                <w:rFonts w:ascii="Calibri" w:eastAsia="Calibri" w:hAnsi="Calibri" w:cs="Calibri"/>
                <w:sz w:val="24"/>
                <w:szCs w:val="24"/>
              </w:rPr>
              <w:t xml:space="preserve"> - Resolução Previc nº 17, de 16 de novembro de 2022; </w:t>
            </w:r>
          </w:p>
        </w:tc>
        <w:tc>
          <w:tcPr>
            <w:tcW w:w="3107" w:type="dxa"/>
          </w:tcPr>
          <w:p w14:paraId="59DC675C"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0BBB2EC4" w14:textId="504DF5D2" w:rsidR="00E6407C" w:rsidRPr="00D511FC" w:rsidRDefault="00E6407C" w:rsidP="00E6407C">
            <w:pPr>
              <w:spacing w:after="120"/>
              <w:jc w:val="both"/>
              <w:rPr>
                <w:rFonts w:ascii="Calibri" w:eastAsia="Calibri" w:hAnsi="Calibri" w:cs="Calibri"/>
                <w:sz w:val="24"/>
                <w:szCs w:val="24"/>
              </w:rPr>
            </w:pPr>
          </w:p>
        </w:tc>
        <w:tc>
          <w:tcPr>
            <w:tcW w:w="2505" w:type="dxa"/>
          </w:tcPr>
          <w:p w14:paraId="3B2D3207" w14:textId="6387A133"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1DF0E449" w14:textId="4FE512C7" w:rsidTr="00E6407C">
        <w:tc>
          <w:tcPr>
            <w:tcW w:w="7252" w:type="dxa"/>
          </w:tcPr>
          <w:p w14:paraId="1CC71EAF" w14:textId="1BCE5650"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XXXVII</w:t>
            </w:r>
            <w:r w:rsidRPr="00D511FC">
              <w:rPr>
                <w:rFonts w:ascii="Calibri" w:eastAsia="Calibri" w:hAnsi="Calibri" w:cs="Calibri"/>
                <w:sz w:val="24"/>
                <w:szCs w:val="24"/>
              </w:rPr>
              <w:t xml:space="preserve"> - Resolução Previc nº 20, de 22 de dezembro de 2022; e </w:t>
            </w:r>
          </w:p>
        </w:tc>
        <w:tc>
          <w:tcPr>
            <w:tcW w:w="3107" w:type="dxa"/>
          </w:tcPr>
          <w:p w14:paraId="0613DD4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71E5E2EC" w14:textId="777607BD" w:rsidR="00E6407C" w:rsidRPr="00D511FC" w:rsidRDefault="00E6407C" w:rsidP="00E6407C">
            <w:pPr>
              <w:spacing w:after="120"/>
              <w:jc w:val="both"/>
              <w:rPr>
                <w:rFonts w:ascii="Calibri" w:eastAsia="Calibri" w:hAnsi="Calibri" w:cs="Calibri"/>
                <w:sz w:val="24"/>
                <w:szCs w:val="24"/>
              </w:rPr>
            </w:pPr>
          </w:p>
        </w:tc>
        <w:tc>
          <w:tcPr>
            <w:tcW w:w="2505" w:type="dxa"/>
          </w:tcPr>
          <w:p w14:paraId="220E4D23" w14:textId="65401D28"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6EB0FDEE" w14:textId="19B20053" w:rsidTr="00E6407C">
        <w:tc>
          <w:tcPr>
            <w:tcW w:w="7252" w:type="dxa"/>
          </w:tcPr>
          <w:p w14:paraId="3D728DA6" w14:textId="55D1FF52" w:rsidR="00E6407C" w:rsidRPr="00D511FC" w:rsidRDefault="00E6407C" w:rsidP="00E6407C">
            <w:pPr>
              <w:spacing w:after="120"/>
              <w:jc w:val="both"/>
              <w:rPr>
                <w:rFonts w:ascii="Calibri" w:eastAsia="Calibri" w:hAnsi="Calibri" w:cs="Calibri"/>
                <w:sz w:val="24"/>
                <w:szCs w:val="24"/>
              </w:rPr>
            </w:pPr>
            <w:r w:rsidRPr="005A52BB">
              <w:rPr>
                <w:rFonts w:ascii="Calibri" w:eastAsia="Calibri" w:hAnsi="Calibri" w:cs="Calibri"/>
                <w:color w:val="4472C4" w:themeColor="accent1"/>
                <w:sz w:val="24"/>
                <w:szCs w:val="24"/>
              </w:rPr>
              <w:t>XXXVIII</w:t>
            </w:r>
            <w:r w:rsidRPr="00D511FC">
              <w:rPr>
                <w:rFonts w:ascii="Calibri" w:eastAsia="Calibri" w:hAnsi="Calibri" w:cs="Calibri"/>
                <w:sz w:val="24"/>
                <w:szCs w:val="24"/>
              </w:rPr>
              <w:t xml:space="preserve"> - Resolução Previc nº 21, de 21 de março de 2023.</w:t>
            </w:r>
          </w:p>
        </w:tc>
        <w:tc>
          <w:tcPr>
            <w:tcW w:w="3107" w:type="dxa"/>
          </w:tcPr>
          <w:p w14:paraId="2CEC7924" w14:textId="77777777" w:rsidR="00E6407C" w:rsidRPr="00D511FC" w:rsidRDefault="00E6407C" w:rsidP="00E6407C">
            <w:pPr>
              <w:spacing w:after="120"/>
              <w:jc w:val="both"/>
              <w:rPr>
                <w:rFonts w:ascii="Calibri" w:eastAsia="Calibri" w:hAnsi="Calibri" w:cs="Calibri"/>
                <w:sz w:val="24"/>
                <w:szCs w:val="24"/>
              </w:rPr>
            </w:pPr>
          </w:p>
        </w:tc>
        <w:tc>
          <w:tcPr>
            <w:tcW w:w="2552" w:type="dxa"/>
          </w:tcPr>
          <w:p w14:paraId="6B4836C2" w14:textId="431C3A11" w:rsidR="00E6407C" w:rsidRPr="00D511FC" w:rsidRDefault="00E6407C" w:rsidP="00E6407C">
            <w:pPr>
              <w:spacing w:after="120"/>
              <w:jc w:val="both"/>
              <w:rPr>
                <w:rFonts w:ascii="Calibri" w:eastAsia="Calibri" w:hAnsi="Calibri" w:cs="Calibri"/>
                <w:sz w:val="24"/>
                <w:szCs w:val="24"/>
              </w:rPr>
            </w:pPr>
          </w:p>
        </w:tc>
        <w:tc>
          <w:tcPr>
            <w:tcW w:w="2505" w:type="dxa"/>
          </w:tcPr>
          <w:p w14:paraId="5CC32400" w14:textId="67AB7C7E" w:rsidR="00E6407C" w:rsidRPr="00D511FC" w:rsidRDefault="00E6407C" w:rsidP="00E6407C">
            <w:pPr>
              <w:spacing w:after="120"/>
              <w:jc w:val="both"/>
              <w:rPr>
                <w:rFonts w:ascii="Calibri" w:eastAsia="Calibri" w:hAnsi="Calibri" w:cs="Calibri"/>
                <w:sz w:val="24"/>
                <w:szCs w:val="24"/>
              </w:rPr>
            </w:pPr>
            <w:r>
              <w:rPr>
                <w:rFonts w:ascii="Calibri" w:eastAsia="Calibri" w:hAnsi="Calibri" w:cs="Calibri"/>
                <w:sz w:val="24"/>
                <w:szCs w:val="24"/>
              </w:rPr>
              <w:t>Renumerar.</w:t>
            </w:r>
          </w:p>
        </w:tc>
      </w:tr>
      <w:tr w:rsidR="00E6407C" w:rsidRPr="00D511FC" w14:paraId="0B7C5655" w14:textId="45490883" w:rsidTr="00E6407C">
        <w:tc>
          <w:tcPr>
            <w:tcW w:w="7252" w:type="dxa"/>
          </w:tcPr>
          <w:p w14:paraId="170A917E" w14:textId="77777777" w:rsidR="00E6407C" w:rsidRPr="00D511FC" w:rsidRDefault="00E6407C" w:rsidP="00E6407C">
            <w:pPr>
              <w:spacing w:after="120"/>
              <w:rPr>
                <w:sz w:val="24"/>
                <w:szCs w:val="24"/>
              </w:rPr>
            </w:pPr>
            <w:r w:rsidRPr="00D511FC">
              <w:rPr>
                <w:rFonts w:ascii="Calibri" w:eastAsia="Calibri" w:hAnsi="Calibri" w:cs="Calibri"/>
                <w:sz w:val="24"/>
                <w:szCs w:val="24"/>
              </w:rPr>
              <w:t>Art. 381.  Esta Resolução entra em vigor em XX de XXXX de 2023.</w:t>
            </w:r>
          </w:p>
        </w:tc>
        <w:tc>
          <w:tcPr>
            <w:tcW w:w="3107" w:type="dxa"/>
          </w:tcPr>
          <w:p w14:paraId="4535F060" w14:textId="77777777" w:rsidR="00E6407C" w:rsidRPr="00D511FC" w:rsidRDefault="00E6407C" w:rsidP="00E6407C">
            <w:pPr>
              <w:spacing w:after="120"/>
              <w:rPr>
                <w:rFonts w:ascii="Calibri" w:eastAsia="Calibri" w:hAnsi="Calibri" w:cs="Calibri"/>
                <w:sz w:val="24"/>
                <w:szCs w:val="24"/>
              </w:rPr>
            </w:pPr>
          </w:p>
        </w:tc>
        <w:tc>
          <w:tcPr>
            <w:tcW w:w="2552" w:type="dxa"/>
          </w:tcPr>
          <w:p w14:paraId="0D4179D2" w14:textId="06F02130" w:rsidR="00E6407C" w:rsidRPr="00D511FC" w:rsidRDefault="00E6407C" w:rsidP="00E6407C">
            <w:pPr>
              <w:spacing w:after="120"/>
              <w:rPr>
                <w:rFonts w:ascii="Calibri" w:eastAsia="Calibri" w:hAnsi="Calibri" w:cs="Calibri"/>
                <w:sz w:val="24"/>
                <w:szCs w:val="24"/>
              </w:rPr>
            </w:pPr>
          </w:p>
        </w:tc>
        <w:tc>
          <w:tcPr>
            <w:tcW w:w="2505" w:type="dxa"/>
          </w:tcPr>
          <w:p w14:paraId="1DD874BD" w14:textId="77777777" w:rsidR="00E6407C" w:rsidRPr="00D511FC" w:rsidRDefault="00E6407C" w:rsidP="00E6407C">
            <w:pPr>
              <w:spacing w:after="120"/>
              <w:rPr>
                <w:rFonts w:ascii="Calibri" w:eastAsia="Calibri" w:hAnsi="Calibri" w:cs="Calibri"/>
                <w:sz w:val="24"/>
                <w:szCs w:val="24"/>
              </w:rPr>
            </w:pPr>
          </w:p>
        </w:tc>
      </w:tr>
      <w:tr w:rsidR="00E6407C" w:rsidRPr="00D511FC" w14:paraId="36C4ABD3" w14:textId="140346C3" w:rsidTr="00E6407C">
        <w:tc>
          <w:tcPr>
            <w:tcW w:w="7252" w:type="dxa"/>
          </w:tcPr>
          <w:p w14:paraId="3C08C043" w14:textId="77777777" w:rsidR="00E6407C" w:rsidRPr="00D511FC" w:rsidRDefault="00E6407C" w:rsidP="00E6407C">
            <w:pPr>
              <w:spacing w:after="120"/>
              <w:jc w:val="right"/>
              <w:rPr>
                <w:rFonts w:eastAsia="Times New Roman" w:cstheme="minorHAnsi"/>
                <w:sz w:val="24"/>
                <w:szCs w:val="24"/>
                <w:lang w:eastAsia="pt-BR"/>
              </w:rPr>
            </w:pPr>
          </w:p>
        </w:tc>
        <w:tc>
          <w:tcPr>
            <w:tcW w:w="3107" w:type="dxa"/>
          </w:tcPr>
          <w:p w14:paraId="37988480" w14:textId="77777777" w:rsidR="00E6407C" w:rsidRPr="00D511FC" w:rsidRDefault="00E6407C" w:rsidP="00E6407C">
            <w:pPr>
              <w:spacing w:after="120"/>
              <w:jc w:val="right"/>
              <w:rPr>
                <w:rFonts w:eastAsia="Times New Roman" w:cstheme="minorHAnsi"/>
                <w:sz w:val="24"/>
                <w:szCs w:val="24"/>
                <w:lang w:eastAsia="pt-BR"/>
              </w:rPr>
            </w:pPr>
          </w:p>
        </w:tc>
        <w:tc>
          <w:tcPr>
            <w:tcW w:w="2552" w:type="dxa"/>
          </w:tcPr>
          <w:p w14:paraId="1034DB48" w14:textId="415366B8" w:rsidR="00E6407C" w:rsidRPr="00D511FC" w:rsidRDefault="00E6407C" w:rsidP="00E6407C">
            <w:pPr>
              <w:spacing w:after="120"/>
              <w:jc w:val="right"/>
              <w:rPr>
                <w:rFonts w:eastAsia="Times New Roman" w:cstheme="minorHAnsi"/>
                <w:sz w:val="24"/>
                <w:szCs w:val="24"/>
                <w:lang w:eastAsia="pt-BR"/>
              </w:rPr>
            </w:pPr>
          </w:p>
        </w:tc>
        <w:tc>
          <w:tcPr>
            <w:tcW w:w="2505" w:type="dxa"/>
          </w:tcPr>
          <w:p w14:paraId="5CBE60FC" w14:textId="77777777" w:rsidR="00E6407C" w:rsidRPr="00D511FC" w:rsidRDefault="00E6407C" w:rsidP="00E6407C">
            <w:pPr>
              <w:spacing w:after="120"/>
              <w:jc w:val="right"/>
              <w:rPr>
                <w:rFonts w:eastAsia="Times New Roman" w:cstheme="minorHAnsi"/>
                <w:sz w:val="24"/>
                <w:szCs w:val="24"/>
                <w:lang w:eastAsia="pt-BR"/>
              </w:rPr>
            </w:pPr>
          </w:p>
        </w:tc>
      </w:tr>
      <w:tr w:rsidR="00E6407C" w:rsidRPr="00D511FC" w14:paraId="57CF9BD6" w14:textId="0E9B7B97" w:rsidTr="00E6407C">
        <w:tc>
          <w:tcPr>
            <w:tcW w:w="7252" w:type="dxa"/>
          </w:tcPr>
          <w:p w14:paraId="32007D31" w14:textId="77777777" w:rsidR="00E6407C" w:rsidRPr="00D511FC" w:rsidRDefault="00E6407C" w:rsidP="00E6407C">
            <w:pPr>
              <w:spacing w:after="120"/>
              <w:jc w:val="center"/>
              <w:rPr>
                <w:rFonts w:eastAsia="Times New Roman" w:cstheme="minorHAnsi"/>
                <w:b/>
                <w:bCs/>
                <w:sz w:val="24"/>
                <w:szCs w:val="24"/>
                <w:lang w:eastAsia="pt-BR"/>
              </w:rPr>
            </w:pPr>
            <w:r w:rsidRPr="00D511FC">
              <w:rPr>
                <w:rFonts w:eastAsia="Times New Roman" w:cstheme="minorHAnsi"/>
                <w:b/>
                <w:bCs/>
                <w:sz w:val="24"/>
                <w:szCs w:val="24"/>
                <w:lang w:eastAsia="pt-BR"/>
              </w:rPr>
              <w:t>Ricardo Pena Pinheiro</w:t>
            </w:r>
          </w:p>
        </w:tc>
        <w:tc>
          <w:tcPr>
            <w:tcW w:w="3107" w:type="dxa"/>
          </w:tcPr>
          <w:p w14:paraId="70B942F3" w14:textId="77777777" w:rsidR="00E6407C" w:rsidRPr="00D511FC" w:rsidRDefault="00E6407C" w:rsidP="00E6407C">
            <w:pPr>
              <w:spacing w:after="120"/>
              <w:jc w:val="center"/>
              <w:rPr>
                <w:rFonts w:eastAsia="Times New Roman" w:cstheme="minorHAnsi"/>
                <w:b/>
                <w:bCs/>
                <w:sz w:val="24"/>
                <w:szCs w:val="24"/>
                <w:lang w:eastAsia="pt-BR"/>
              </w:rPr>
            </w:pPr>
          </w:p>
        </w:tc>
        <w:tc>
          <w:tcPr>
            <w:tcW w:w="2552" w:type="dxa"/>
          </w:tcPr>
          <w:p w14:paraId="13B2514B" w14:textId="711FEC4D" w:rsidR="00E6407C" w:rsidRPr="00D511FC" w:rsidRDefault="00E6407C" w:rsidP="00E6407C">
            <w:pPr>
              <w:spacing w:after="120"/>
              <w:jc w:val="center"/>
              <w:rPr>
                <w:rFonts w:eastAsia="Times New Roman" w:cstheme="minorHAnsi"/>
                <w:b/>
                <w:bCs/>
                <w:sz w:val="24"/>
                <w:szCs w:val="24"/>
                <w:lang w:eastAsia="pt-BR"/>
              </w:rPr>
            </w:pPr>
          </w:p>
        </w:tc>
        <w:tc>
          <w:tcPr>
            <w:tcW w:w="2505" w:type="dxa"/>
          </w:tcPr>
          <w:p w14:paraId="7DE113BD" w14:textId="77777777" w:rsidR="00E6407C" w:rsidRPr="00D511FC" w:rsidRDefault="00E6407C" w:rsidP="00E6407C">
            <w:pPr>
              <w:spacing w:after="120"/>
              <w:jc w:val="center"/>
              <w:rPr>
                <w:rFonts w:eastAsia="Times New Roman" w:cstheme="minorHAnsi"/>
                <w:b/>
                <w:bCs/>
                <w:sz w:val="24"/>
                <w:szCs w:val="24"/>
                <w:lang w:eastAsia="pt-BR"/>
              </w:rPr>
            </w:pPr>
          </w:p>
        </w:tc>
      </w:tr>
      <w:tr w:rsidR="00E6407C" w:rsidRPr="00D511FC" w14:paraId="05C2A9E5" w14:textId="3EBF293B" w:rsidTr="00E6407C">
        <w:tc>
          <w:tcPr>
            <w:tcW w:w="7252" w:type="dxa"/>
          </w:tcPr>
          <w:p w14:paraId="529A552E" w14:textId="77777777" w:rsidR="00E6407C" w:rsidRPr="00D511FC" w:rsidRDefault="00E6407C" w:rsidP="00E6407C">
            <w:pPr>
              <w:spacing w:after="120"/>
              <w:jc w:val="center"/>
              <w:rPr>
                <w:sz w:val="24"/>
                <w:szCs w:val="24"/>
              </w:rPr>
            </w:pPr>
            <w:r w:rsidRPr="00D511FC">
              <w:rPr>
                <w:rFonts w:eastAsia="Times New Roman" w:cstheme="minorHAnsi"/>
                <w:sz w:val="24"/>
                <w:szCs w:val="24"/>
                <w:lang w:eastAsia="pt-BR"/>
              </w:rPr>
              <w:t>Diretor-superintendente</w:t>
            </w:r>
          </w:p>
        </w:tc>
        <w:tc>
          <w:tcPr>
            <w:tcW w:w="3107" w:type="dxa"/>
          </w:tcPr>
          <w:p w14:paraId="56DB15FB" w14:textId="77777777" w:rsidR="00E6407C" w:rsidRPr="00D511FC" w:rsidRDefault="00E6407C" w:rsidP="00E6407C">
            <w:pPr>
              <w:spacing w:after="120"/>
              <w:jc w:val="center"/>
              <w:rPr>
                <w:rFonts w:eastAsia="Times New Roman" w:cstheme="minorHAnsi"/>
                <w:sz w:val="24"/>
                <w:szCs w:val="24"/>
                <w:lang w:eastAsia="pt-BR"/>
              </w:rPr>
            </w:pPr>
          </w:p>
        </w:tc>
        <w:tc>
          <w:tcPr>
            <w:tcW w:w="2552" w:type="dxa"/>
          </w:tcPr>
          <w:p w14:paraId="0E06DFD6" w14:textId="0E4A6395" w:rsidR="00E6407C" w:rsidRPr="00D511FC" w:rsidRDefault="00E6407C" w:rsidP="00E6407C">
            <w:pPr>
              <w:spacing w:after="120"/>
              <w:jc w:val="center"/>
              <w:rPr>
                <w:rFonts w:eastAsia="Times New Roman" w:cstheme="minorHAnsi"/>
                <w:sz w:val="24"/>
                <w:szCs w:val="24"/>
                <w:lang w:eastAsia="pt-BR"/>
              </w:rPr>
            </w:pPr>
          </w:p>
        </w:tc>
        <w:tc>
          <w:tcPr>
            <w:tcW w:w="2505" w:type="dxa"/>
          </w:tcPr>
          <w:p w14:paraId="469D81BE" w14:textId="77777777" w:rsidR="00E6407C" w:rsidRPr="00D511FC" w:rsidRDefault="00E6407C" w:rsidP="00E6407C">
            <w:pPr>
              <w:spacing w:after="120"/>
              <w:jc w:val="center"/>
              <w:rPr>
                <w:rFonts w:eastAsia="Times New Roman" w:cstheme="minorHAnsi"/>
                <w:sz w:val="24"/>
                <w:szCs w:val="24"/>
                <w:lang w:eastAsia="pt-BR"/>
              </w:rPr>
            </w:pPr>
          </w:p>
        </w:tc>
      </w:tr>
      <w:tr w:rsidR="00E6407C" w:rsidRPr="00D511FC" w14:paraId="799AC090" w14:textId="2387308A" w:rsidTr="00E6407C">
        <w:tc>
          <w:tcPr>
            <w:tcW w:w="7252" w:type="dxa"/>
          </w:tcPr>
          <w:p w14:paraId="2D3ED017" w14:textId="77777777" w:rsidR="00E6407C" w:rsidRPr="00D511FC" w:rsidRDefault="00E6407C" w:rsidP="00E6407C">
            <w:pPr>
              <w:spacing w:before="120" w:after="120"/>
              <w:jc w:val="center"/>
              <w:rPr>
                <w:b/>
                <w:bCs/>
                <w:sz w:val="24"/>
                <w:szCs w:val="24"/>
              </w:rPr>
            </w:pPr>
          </w:p>
        </w:tc>
        <w:tc>
          <w:tcPr>
            <w:tcW w:w="3107" w:type="dxa"/>
          </w:tcPr>
          <w:p w14:paraId="5DC1D24D" w14:textId="77777777" w:rsidR="00E6407C" w:rsidRPr="00D511FC" w:rsidRDefault="00E6407C" w:rsidP="00E6407C">
            <w:pPr>
              <w:spacing w:before="120" w:after="120"/>
              <w:jc w:val="center"/>
              <w:rPr>
                <w:b/>
                <w:bCs/>
                <w:sz w:val="24"/>
                <w:szCs w:val="24"/>
              </w:rPr>
            </w:pPr>
          </w:p>
        </w:tc>
        <w:tc>
          <w:tcPr>
            <w:tcW w:w="2552" w:type="dxa"/>
          </w:tcPr>
          <w:p w14:paraId="6FADCCE8" w14:textId="77777777" w:rsidR="00E6407C" w:rsidRPr="00D511FC" w:rsidRDefault="00E6407C" w:rsidP="00E6407C">
            <w:pPr>
              <w:spacing w:before="120" w:after="120"/>
              <w:jc w:val="center"/>
              <w:rPr>
                <w:b/>
                <w:bCs/>
                <w:sz w:val="24"/>
                <w:szCs w:val="24"/>
              </w:rPr>
            </w:pPr>
          </w:p>
        </w:tc>
        <w:tc>
          <w:tcPr>
            <w:tcW w:w="2505" w:type="dxa"/>
          </w:tcPr>
          <w:p w14:paraId="145DE1CC" w14:textId="77777777" w:rsidR="00E6407C" w:rsidRPr="00D511FC" w:rsidRDefault="00E6407C" w:rsidP="00E6407C">
            <w:pPr>
              <w:spacing w:before="120" w:after="120"/>
              <w:jc w:val="center"/>
              <w:rPr>
                <w:b/>
                <w:bCs/>
                <w:sz w:val="24"/>
                <w:szCs w:val="24"/>
              </w:rPr>
            </w:pPr>
          </w:p>
        </w:tc>
      </w:tr>
      <w:tr w:rsidR="00E6407C" w:rsidRPr="00D511FC" w14:paraId="20A7C092" w14:textId="70AC0368" w:rsidTr="00E6407C">
        <w:tc>
          <w:tcPr>
            <w:tcW w:w="7252" w:type="dxa"/>
          </w:tcPr>
          <w:p w14:paraId="75217C3A" w14:textId="77777777" w:rsidR="00E6407C" w:rsidRPr="00D511FC" w:rsidRDefault="00E6407C" w:rsidP="00E6407C">
            <w:pPr>
              <w:spacing w:before="120" w:after="120"/>
              <w:jc w:val="center"/>
              <w:rPr>
                <w:b/>
                <w:bCs/>
                <w:sz w:val="24"/>
                <w:szCs w:val="24"/>
              </w:rPr>
            </w:pPr>
            <w:r w:rsidRPr="00D511FC">
              <w:rPr>
                <w:b/>
                <w:bCs/>
                <w:sz w:val="24"/>
                <w:szCs w:val="24"/>
              </w:rPr>
              <w:t>ANEXO I</w:t>
            </w:r>
          </w:p>
        </w:tc>
        <w:tc>
          <w:tcPr>
            <w:tcW w:w="3107" w:type="dxa"/>
          </w:tcPr>
          <w:p w14:paraId="17418107" w14:textId="77777777" w:rsidR="00E6407C" w:rsidRPr="00D511FC" w:rsidRDefault="00E6407C" w:rsidP="00E6407C">
            <w:pPr>
              <w:spacing w:before="120" w:after="120"/>
              <w:jc w:val="center"/>
              <w:rPr>
                <w:b/>
                <w:bCs/>
                <w:sz w:val="24"/>
                <w:szCs w:val="24"/>
              </w:rPr>
            </w:pPr>
          </w:p>
        </w:tc>
        <w:tc>
          <w:tcPr>
            <w:tcW w:w="2552" w:type="dxa"/>
          </w:tcPr>
          <w:p w14:paraId="621590BA" w14:textId="4FEECD29" w:rsidR="00E6407C" w:rsidRPr="00D511FC" w:rsidRDefault="00E6407C" w:rsidP="00E6407C">
            <w:pPr>
              <w:spacing w:before="120" w:after="120"/>
              <w:jc w:val="center"/>
              <w:rPr>
                <w:b/>
                <w:bCs/>
                <w:sz w:val="24"/>
                <w:szCs w:val="24"/>
              </w:rPr>
            </w:pPr>
          </w:p>
        </w:tc>
        <w:tc>
          <w:tcPr>
            <w:tcW w:w="2505" w:type="dxa"/>
          </w:tcPr>
          <w:p w14:paraId="120BA4BF" w14:textId="77777777" w:rsidR="00E6407C" w:rsidRPr="00D511FC" w:rsidRDefault="00E6407C" w:rsidP="00E6407C">
            <w:pPr>
              <w:spacing w:before="120" w:after="120"/>
              <w:jc w:val="center"/>
              <w:rPr>
                <w:b/>
                <w:bCs/>
                <w:sz w:val="24"/>
                <w:szCs w:val="24"/>
              </w:rPr>
            </w:pPr>
          </w:p>
        </w:tc>
      </w:tr>
      <w:tr w:rsidR="00E6407C" w:rsidRPr="00D511FC" w14:paraId="599BE9E5" w14:textId="63BBDF85" w:rsidTr="00E6407C">
        <w:tc>
          <w:tcPr>
            <w:tcW w:w="7252" w:type="dxa"/>
          </w:tcPr>
          <w:p w14:paraId="5E93727C" w14:textId="77777777" w:rsidR="00E6407C" w:rsidRPr="00D511FC" w:rsidRDefault="00E6407C" w:rsidP="00E6407C">
            <w:pPr>
              <w:spacing w:before="120" w:after="120"/>
              <w:jc w:val="center"/>
              <w:rPr>
                <w:sz w:val="24"/>
                <w:szCs w:val="24"/>
              </w:rPr>
            </w:pPr>
            <w:r w:rsidRPr="00D511FC">
              <w:rPr>
                <w:noProof/>
                <w:sz w:val="24"/>
                <w:szCs w:val="24"/>
              </w:rPr>
              <w:drawing>
                <wp:inline distT="0" distB="0" distL="0" distR="0" wp14:anchorId="7425385A" wp14:editId="52EFC550">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tc>
        <w:tc>
          <w:tcPr>
            <w:tcW w:w="3107" w:type="dxa"/>
          </w:tcPr>
          <w:p w14:paraId="5900A5ED" w14:textId="77777777" w:rsidR="00E6407C" w:rsidRPr="00D511FC" w:rsidRDefault="00E6407C" w:rsidP="00E6407C">
            <w:pPr>
              <w:spacing w:before="120" w:after="120"/>
              <w:jc w:val="center"/>
              <w:rPr>
                <w:noProof/>
                <w:sz w:val="24"/>
                <w:szCs w:val="24"/>
              </w:rPr>
            </w:pPr>
          </w:p>
        </w:tc>
        <w:tc>
          <w:tcPr>
            <w:tcW w:w="2552" w:type="dxa"/>
          </w:tcPr>
          <w:p w14:paraId="642B60D7" w14:textId="46FFA8EF" w:rsidR="00E6407C" w:rsidRPr="00D511FC" w:rsidRDefault="00E6407C" w:rsidP="00E6407C">
            <w:pPr>
              <w:spacing w:before="120" w:after="120"/>
              <w:jc w:val="center"/>
              <w:rPr>
                <w:noProof/>
                <w:sz w:val="24"/>
                <w:szCs w:val="24"/>
              </w:rPr>
            </w:pPr>
          </w:p>
        </w:tc>
        <w:tc>
          <w:tcPr>
            <w:tcW w:w="2505" w:type="dxa"/>
          </w:tcPr>
          <w:p w14:paraId="397ACAA2" w14:textId="77777777" w:rsidR="00E6407C" w:rsidRPr="00D511FC" w:rsidRDefault="00E6407C" w:rsidP="00E6407C">
            <w:pPr>
              <w:spacing w:before="120" w:after="120"/>
              <w:jc w:val="center"/>
              <w:rPr>
                <w:noProof/>
                <w:sz w:val="24"/>
                <w:szCs w:val="24"/>
              </w:rPr>
            </w:pPr>
          </w:p>
        </w:tc>
      </w:tr>
      <w:tr w:rsidR="00E6407C" w:rsidRPr="00D511FC" w14:paraId="4199097A" w14:textId="36BC701C" w:rsidTr="00E6407C">
        <w:tc>
          <w:tcPr>
            <w:tcW w:w="7252" w:type="dxa"/>
          </w:tcPr>
          <w:p w14:paraId="05E1C6EC" w14:textId="77777777" w:rsidR="00E6407C" w:rsidRPr="00D511FC" w:rsidRDefault="00E6407C" w:rsidP="00E6407C">
            <w:pPr>
              <w:spacing w:before="120" w:after="120"/>
              <w:rPr>
                <w:sz w:val="24"/>
                <w:szCs w:val="24"/>
              </w:rPr>
            </w:pPr>
            <w:r w:rsidRPr="00D511FC">
              <w:rPr>
                <w:rFonts w:ascii="Calibri" w:eastAsia="Calibri" w:hAnsi="Calibri" w:cs="Calibri"/>
                <w:sz w:val="24"/>
                <w:szCs w:val="24"/>
              </w:rPr>
              <w:t>1. Em que:</w:t>
            </w:r>
          </w:p>
        </w:tc>
        <w:tc>
          <w:tcPr>
            <w:tcW w:w="3107" w:type="dxa"/>
          </w:tcPr>
          <w:p w14:paraId="7C990096" w14:textId="77777777" w:rsidR="00E6407C" w:rsidRPr="00D511FC" w:rsidRDefault="00E6407C" w:rsidP="00E6407C">
            <w:pPr>
              <w:spacing w:before="120" w:after="120"/>
              <w:rPr>
                <w:rFonts w:ascii="Calibri" w:eastAsia="Calibri" w:hAnsi="Calibri" w:cs="Calibri"/>
                <w:sz w:val="24"/>
                <w:szCs w:val="24"/>
              </w:rPr>
            </w:pPr>
          </w:p>
        </w:tc>
        <w:tc>
          <w:tcPr>
            <w:tcW w:w="2552" w:type="dxa"/>
          </w:tcPr>
          <w:p w14:paraId="1440CB00" w14:textId="4BD9C64B" w:rsidR="00E6407C" w:rsidRPr="00D511FC" w:rsidRDefault="00E6407C" w:rsidP="00E6407C">
            <w:pPr>
              <w:spacing w:before="120" w:after="120"/>
              <w:rPr>
                <w:rFonts w:ascii="Calibri" w:eastAsia="Calibri" w:hAnsi="Calibri" w:cs="Calibri"/>
                <w:sz w:val="24"/>
                <w:szCs w:val="24"/>
              </w:rPr>
            </w:pPr>
          </w:p>
        </w:tc>
        <w:tc>
          <w:tcPr>
            <w:tcW w:w="2505" w:type="dxa"/>
          </w:tcPr>
          <w:p w14:paraId="7625B20B" w14:textId="77777777" w:rsidR="00E6407C" w:rsidRPr="00D511FC" w:rsidRDefault="00E6407C" w:rsidP="00E6407C">
            <w:pPr>
              <w:spacing w:before="120" w:after="120"/>
              <w:rPr>
                <w:rFonts w:ascii="Calibri" w:eastAsia="Calibri" w:hAnsi="Calibri" w:cs="Calibri"/>
                <w:sz w:val="24"/>
                <w:szCs w:val="24"/>
              </w:rPr>
            </w:pPr>
          </w:p>
        </w:tc>
      </w:tr>
      <w:tr w:rsidR="00E6407C" w:rsidRPr="00D511FC" w14:paraId="2B896A74" w14:textId="77777777" w:rsidTr="00E6407C">
        <w:tc>
          <w:tcPr>
            <w:tcW w:w="7252" w:type="dxa"/>
          </w:tcPr>
          <w:p w14:paraId="01350B3E" w14:textId="6DAAEB2B" w:rsidR="00E6407C" w:rsidRPr="002A3544" w:rsidRDefault="00E6407C" w:rsidP="00E6407C">
            <w:pPr>
              <w:spacing w:before="120" w:after="120"/>
              <w:jc w:val="both"/>
              <w:rPr>
                <w:rFonts w:ascii="Calibri" w:eastAsia="Calibri" w:hAnsi="Calibri" w:cs="Calibri"/>
                <w:color w:val="4472C4" w:themeColor="accent1"/>
                <w:sz w:val="24"/>
                <w:szCs w:val="24"/>
              </w:rPr>
            </w:pPr>
          </w:p>
        </w:tc>
        <w:tc>
          <w:tcPr>
            <w:tcW w:w="3107" w:type="dxa"/>
          </w:tcPr>
          <w:p w14:paraId="4D141C56" w14:textId="7A982B59" w:rsidR="00E6407C" w:rsidRDefault="00E6407C" w:rsidP="00E6407C">
            <w:pPr>
              <w:spacing w:before="120" w:after="120"/>
              <w:jc w:val="both"/>
              <w:rPr>
                <w:rFonts w:ascii="Calibri" w:eastAsia="Calibri" w:hAnsi="Calibri" w:cs="Calibri"/>
                <w:color w:val="4472C4" w:themeColor="accent1"/>
                <w:sz w:val="24"/>
                <w:szCs w:val="24"/>
              </w:rPr>
            </w:pPr>
            <w:r>
              <w:rPr>
                <w:rFonts w:ascii="Calibri" w:eastAsia="Calibri" w:hAnsi="Calibri" w:cs="Calibri"/>
                <w:color w:val="4472C4" w:themeColor="accent1"/>
                <w:sz w:val="24"/>
                <w:szCs w:val="24"/>
              </w:rPr>
              <w:t>IBA:</w:t>
            </w:r>
          </w:p>
          <w:p w14:paraId="6AFCEBEA" w14:textId="3E2FDBE8" w:rsidR="00E6407C" w:rsidRPr="00D511FC" w:rsidRDefault="00E6407C" w:rsidP="00E6407C">
            <w:pPr>
              <w:spacing w:before="120" w:after="120"/>
              <w:jc w:val="both"/>
              <w:rPr>
                <w:rFonts w:ascii="Calibri" w:eastAsia="Calibri" w:hAnsi="Calibri" w:cs="Calibri"/>
                <w:sz w:val="24"/>
                <w:szCs w:val="24"/>
              </w:rPr>
            </w:pPr>
            <w:r w:rsidRPr="002A3544">
              <w:rPr>
                <w:rFonts w:ascii="Calibri" w:eastAsia="Calibri" w:hAnsi="Calibri" w:cs="Calibri"/>
                <w:color w:val="4472C4" w:themeColor="accent1"/>
                <w:sz w:val="24"/>
                <w:szCs w:val="24"/>
              </w:rPr>
              <w:t>Duração = média dos prazos dos fluxos de pagamentos de benefícios de cada plano, líquidos de contribuições normais e extraordinárias incidentes sobre esses benefícios, ponderada pelos valores presentes desses fluxos.</w:t>
            </w:r>
            <w:r w:rsidRPr="002A3544">
              <w:rPr>
                <w:rFonts w:ascii="Calibri" w:eastAsia="Calibri" w:hAnsi="Calibri" w:cs="Calibri"/>
                <w:color w:val="4472C4" w:themeColor="accent1"/>
                <w:sz w:val="24"/>
                <w:szCs w:val="24"/>
              </w:rPr>
              <w:tab/>
            </w:r>
          </w:p>
        </w:tc>
        <w:tc>
          <w:tcPr>
            <w:tcW w:w="2552" w:type="dxa"/>
          </w:tcPr>
          <w:p w14:paraId="03F3582A" w14:textId="5C5B2D97" w:rsidR="00E6407C" w:rsidRPr="00D511FC" w:rsidRDefault="00E6407C" w:rsidP="00E6407C">
            <w:pPr>
              <w:spacing w:before="120" w:after="120"/>
              <w:jc w:val="both"/>
              <w:rPr>
                <w:rFonts w:ascii="Calibri" w:eastAsia="Calibri" w:hAnsi="Calibri" w:cs="Calibri"/>
                <w:sz w:val="24"/>
                <w:szCs w:val="24"/>
              </w:rPr>
            </w:pPr>
            <w:r>
              <w:rPr>
                <w:rFonts w:ascii="Calibri" w:eastAsia="Calibri" w:hAnsi="Calibri" w:cs="Calibri"/>
                <w:sz w:val="24"/>
                <w:szCs w:val="24"/>
              </w:rPr>
              <w:t>IBA</w:t>
            </w:r>
            <w:r w:rsidRPr="002A3544">
              <w:rPr>
                <w:rFonts w:ascii="Calibri" w:eastAsia="Calibri" w:hAnsi="Calibri" w:cs="Calibri"/>
                <w:sz w:val="24"/>
                <w:szCs w:val="24"/>
              </w:rPr>
              <w:t>: os membros do Comitê Técnico entendem que é de suma importância incluir na norma a definição de "duração do passivo".</w:t>
            </w:r>
          </w:p>
        </w:tc>
        <w:tc>
          <w:tcPr>
            <w:tcW w:w="2505" w:type="dxa"/>
          </w:tcPr>
          <w:p w14:paraId="2989EE58" w14:textId="38D3DC5E" w:rsidR="00E6407C" w:rsidRPr="002A3544" w:rsidRDefault="00E6407C" w:rsidP="00E6407C">
            <w:pPr>
              <w:spacing w:before="120" w:after="120"/>
              <w:jc w:val="both"/>
              <w:rPr>
                <w:rFonts w:ascii="Calibri" w:eastAsia="Calibri" w:hAnsi="Calibri" w:cs="Calibri"/>
                <w:b/>
                <w:bCs/>
                <w:sz w:val="24"/>
                <w:szCs w:val="24"/>
              </w:rPr>
            </w:pPr>
            <w:r w:rsidRPr="002A3544">
              <w:rPr>
                <w:rFonts w:ascii="Calibri" w:eastAsia="Calibri" w:hAnsi="Calibri" w:cs="Calibri"/>
                <w:b/>
                <w:bCs/>
                <w:sz w:val="24"/>
                <w:szCs w:val="24"/>
              </w:rPr>
              <w:t>ACATAR</w:t>
            </w:r>
            <w:r>
              <w:rPr>
                <w:rFonts w:ascii="Calibri" w:eastAsia="Calibri" w:hAnsi="Calibri" w:cs="Calibri"/>
                <w:b/>
                <w:bCs/>
                <w:sz w:val="24"/>
                <w:szCs w:val="24"/>
              </w:rPr>
              <w:t>.</w:t>
            </w:r>
          </w:p>
        </w:tc>
      </w:tr>
      <w:tr w:rsidR="00E6407C" w:rsidRPr="00D511FC" w14:paraId="4658774B" w14:textId="1F2C41F7" w:rsidTr="00E6407C">
        <w:tc>
          <w:tcPr>
            <w:tcW w:w="7252" w:type="dxa"/>
          </w:tcPr>
          <w:p w14:paraId="270D5A93" w14:textId="77777777" w:rsidR="00E6407C" w:rsidRPr="00D511FC" w:rsidRDefault="00E6407C" w:rsidP="00E6407C">
            <w:pPr>
              <w:spacing w:before="120" w:after="120"/>
              <w:jc w:val="both"/>
              <w:rPr>
                <w:sz w:val="24"/>
                <w:szCs w:val="24"/>
              </w:rPr>
            </w:pPr>
            <w:proofErr w:type="spellStart"/>
            <w:r w:rsidRPr="00D511FC">
              <w:rPr>
                <w:rFonts w:ascii="Calibri" w:eastAsia="Calibri" w:hAnsi="Calibri" w:cs="Calibri"/>
                <w:sz w:val="24"/>
                <w:szCs w:val="24"/>
              </w:rPr>
              <w:t>Fi</w:t>
            </w:r>
            <w:proofErr w:type="spellEnd"/>
            <w:r w:rsidRPr="00D511FC">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D511FC">
              <w:rPr>
                <w:rFonts w:ascii="Calibri" w:eastAsia="Calibri" w:hAnsi="Calibri" w:cs="Calibri"/>
                <w:sz w:val="24"/>
                <w:szCs w:val="24"/>
              </w:rPr>
              <w:t>ésimo</w:t>
            </w:r>
            <w:proofErr w:type="spellEnd"/>
            <w:r w:rsidRPr="00D511FC">
              <w:rPr>
                <w:rFonts w:ascii="Calibri" w:eastAsia="Calibri" w:hAnsi="Calibri" w:cs="Calibri"/>
                <w:sz w:val="24"/>
                <w:szCs w:val="24"/>
              </w:rPr>
              <w:t xml:space="preserve"> prazo;</w:t>
            </w:r>
          </w:p>
        </w:tc>
        <w:tc>
          <w:tcPr>
            <w:tcW w:w="3107" w:type="dxa"/>
          </w:tcPr>
          <w:p w14:paraId="03A3F7DD"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63CDF44" w14:textId="14B8766D" w:rsidR="00E6407C" w:rsidRPr="00D511FC" w:rsidRDefault="00E6407C" w:rsidP="00E6407C">
            <w:pPr>
              <w:spacing w:before="120" w:after="120"/>
              <w:jc w:val="both"/>
              <w:rPr>
                <w:rFonts w:ascii="Calibri" w:eastAsia="Calibri" w:hAnsi="Calibri" w:cs="Calibri"/>
                <w:sz w:val="24"/>
                <w:szCs w:val="24"/>
              </w:rPr>
            </w:pPr>
          </w:p>
        </w:tc>
        <w:tc>
          <w:tcPr>
            <w:tcW w:w="2505" w:type="dxa"/>
          </w:tcPr>
          <w:p w14:paraId="7FEB5ED8"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5ABEA556" w14:textId="03A27491" w:rsidTr="00E6407C">
        <w:tc>
          <w:tcPr>
            <w:tcW w:w="7252" w:type="dxa"/>
          </w:tcPr>
          <w:p w14:paraId="4AE5536F"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lastRenderedPageBreak/>
              <w:t>TA = a taxa real anual de juros aplicada no ano anterior pelo respectivo plano de benefícios.</w:t>
            </w:r>
          </w:p>
        </w:tc>
        <w:tc>
          <w:tcPr>
            <w:tcW w:w="3107" w:type="dxa"/>
          </w:tcPr>
          <w:p w14:paraId="76E7A94C"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126DC192" w14:textId="4468789B" w:rsidR="00E6407C" w:rsidRPr="00D511FC" w:rsidRDefault="00E6407C" w:rsidP="00E6407C">
            <w:pPr>
              <w:spacing w:before="120" w:after="120"/>
              <w:jc w:val="both"/>
              <w:rPr>
                <w:rFonts w:ascii="Calibri" w:eastAsia="Calibri" w:hAnsi="Calibri" w:cs="Calibri"/>
                <w:sz w:val="24"/>
                <w:szCs w:val="24"/>
              </w:rPr>
            </w:pPr>
          </w:p>
        </w:tc>
        <w:tc>
          <w:tcPr>
            <w:tcW w:w="2505" w:type="dxa"/>
          </w:tcPr>
          <w:p w14:paraId="0A5E87F7"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6048A9AE" w14:textId="6792C56D" w:rsidTr="00E6407C">
        <w:tc>
          <w:tcPr>
            <w:tcW w:w="7252" w:type="dxa"/>
          </w:tcPr>
          <w:p w14:paraId="5ED9B02D"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tc>
        <w:tc>
          <w:tcPr>
            <w:tcW w:w="3107" w:type="dxa"/>
          </w:tcPr>
          <w:p w14:paraId="0BB90CDE"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1A8DC162" w14:textId="3056C464" w:rsidR="00E6407C" w:rsidRPr="00D511FC" w:rsidRDefault="00E6407C" w:rsidP="00E6407C">
            <w:pPr>
              <w:spacing w:before="120" w:after="120"/>
              <w:jc w:val="both"/>
              <w:rPr>
                <w:rFonts w:ascii="Calibri" w:eastAsia="Calibri" w:hAnsi="Calibri" w:cs="Calibri"/>
                <w:sz w:val="24"/>
                <w:szCs w:val="24"/>
              </w:rPr>
            </w:pPr>
          </w:p>
        </w:tc>
        <w:tc>
          <w:tcPr>
            <w:tcW w:w="2505" w:type="dxa"/>
          </w:tcPr>
          <w:p w14:paraId="04ACD75E"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1415CFB1" w14:textId="75CEF2C8" w:rsidTr="00E6407C">
        <w:tc>
          <w:tcPr>
            <w:tcW w:w="7252" w:type="dxa"/>
          </w:tcPr>
          <w:p w14:paraId="5EA2514D"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2.1. Arredonda-se para o número inteiro inferior, quando os algarismos relativos à primeira e segunda casas decimais estiverem compreendidos no intervalo de 01 a 24;</w:t>
            </w:r>
          </w:p>
        </w:tc>
        <w:tc>
          <w:tcPr>
            <w:tcW w:w="3107" w:type="dxa"/>
          </w:tcPr>
          <w:p w14:paraId="159B2BB4"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4C90D94" w14:textId="552F60A3" w:rsidR="00E6407C" w:rsidRPr="00D511FC" w:rsidRDefault="00E6407C" w:rsidP="00E6407C">
            <w:pPr>
              <w:spacing w:before="120" w:after="120"/>
              <w:jc w:val="both"/>
              <w:rPr>
                <w:rFonts w:ascii="Calibri" w:eastAsia="Calibri" w:hAnsi="Calibri" w:cs="Calibri"/>
                <w:sz w:val="24"/>
                <w:szCs w:val="24"/>
              </w:rPr>
            </w:pPr>
          </w:p>
        </w:tc>
        <w:tc>
          <w:tcPr>
            <w:tcW w:w="2505" w:type="dxa"/>
          </w:tcPr>
          <w:p w14:paraId="1F44E75B"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1B2EDBD4" w14:textId="316C5BE9" w:rsidTr="00E6407C">
        <w:tc>
          <w:tcPr>
            <w:tcW w:w="7252" w:type="dxa"/>
          </w:tcPr>
          <w:p w14:paraId="23CD6F2D"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tc>
        <w:tc>
          <w:tcPr>
            <w:tcW w:w="3107" w:type="dxa"/>
          </w:tcPr>
          <w:p w14:paraId="76FB3216"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8BB8144" w14:textId="7CE84DBC" w:rsidR="00E6407C" w:rsidRPr="00D511FC" w:rsidRDefault="00E6407C" w:rsidP="00E6407C">
            <w:pPr>
              <w:spacing w:before="120" w:after="120"/>
              <w:jc w:val="both"/>
              <w:rPr>
                <w:rFonts w:ascii="Calibri" w:eastAsia="Calibri" w:hAnsi="Calibri" w:cs="Calibri"/>
                <w:sz w:val="24"/>
                <w:szCs w:val="24"/>
              </w:rPr>
            </w:pPr>
          </w:p>
        </w:tc>
        <w:tc>
          <w:tcPr>
            <w:tcW w:w="2505" w:type="dxa"/>
          </w:tcPr>
          <w:p w14:paraId="250EC8EC"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6BBAD9F9" w14:textId="433EBFF4" w:rsidTr="00E6407C">
        <w:tc>
          <w:tcPr>
            <w:tcW w:w="7252" w:type="dxa"/>
          </w:tcPr>
          <w:p w14:paraId="6FB41C9E"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tc>
        <w:tc>
          <w:tcPr>
            <w:tcW w:w="3107" w:type="dxa"/>
          </w:tcPr>
          <w:p w14:paraId="046CDBF4"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621C0316" w14:textId="1DBD5B86" w:rsidR="00E6407C" w:rsidRPr="00D511FC" w:rsidRDefault="00E6407C" w:rsidP="00E6407C">
            <w:pPr>
              <w:spacing w:before="120" w:after="120"/>
              <w:jc w:val="both"/>
              <w:rPr>
                <w:rFonts w:ascii="Calibri" w:eastAsia="Calibri" w:hAnsi="Calibri" w:cs="Calibri"/>
                <w:sz w:val="24"/>
                <w:szCs w:val="24"/>
              </w:rPr>
            </w:pPr>
          </w:p>
        </w:tc>
        <w:tc>
          <w:tcPr>
            <w:tcW w:w="2505" w:type="dxa"/>
          </w:tcPr>
          <w:p w14:paraId="5956D2A6"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0296874B" w14:textId="72DC106E" w:rsidTr="00E6407C">
        <w:tc>
          <w:tcPr>
            <w:tcW w:w="7252" w:type="dxa"/>
          </w:tcPr>
          <w:p w14:paraId="0F83CED6" w14:textId="77777777" w:rsidR="00E6407C" w:rsidRPr="00D511FC" w:rsidRDefault="00E6407C" w:rsidP="00E6407C">
            <w:pPr>
              <w:spacing w:before="120" w:after="120"/>
              <w:jc w:val="center"/>
              <w:rPr>
                <w:b/>
                <w:bCs/>
                <w:sz w:val="24"/>
                <w:szCs w:val="24"/>
              </w:rPr>
            </w:pPr>
          </w:p>
        </w:tc>
        <w:tc>
          <w:tcPr>
            <w:tcW w:w="3107" w:type="dxa"/>
          </w:tcPr>
          <w:p w14:paraId="4EA2A94E" w14:textId="77777777" w:rsidR="00E6407C" w:rsidRPr="00D511FC" w:rsidRDefault="00E6407C" w:rsidP="00E6407C">
            <w:pPr>
              <w:spacing w:before="120" w:after="120"/>
              <w:jc w:val="center"/>
              <w:rPr>
                <w:b/>
                <w:bCs/>
                <w:sz w:val="24"/>
                <w:szCs w:val="24"/>
              </w:rPr>
            </w:pPr>
          </w:p>
        </w:tc>
        <w:tc>
          <w:tcPr>
            <w:tcW w:w="2552" w:type="dxa"/>
          </w:tcPr>
          <w:p w14:paraId="5145ECB4" w14:textId="77777777" w:rsidR="00E6407C" w:rsidRPr="00D511FC" w:rsidRDefault="00E6407C" w:rsidP="00E6407C">
            <w:pPr>
              <w:spacing w:before="120" w:after="120"/>
              <w:jc w:val="center"/>
              <w:rPr>
                <w:b/>
                <w:bCs/>
                <w:sz w:val="24"/>
                <w:szCs w:val="24"/>
              </w:rPr>
            </w:pPr>
          </w:p>
        </w:tc>
        <w:tc>
          <w:tcPr>
            <w:tcW w:w="2505" w:type="dxa"/>
          </w:tcPr>
          <w:p w14:paraId="7F6F3BE6" w14:textId="77777777" w:rsidR="00E6407C" w:rsidRPr="00D511FC" w:rsidRDefault="00E6407C" w:rsidP="00E6407C">
            <w:pPr>
              <w:spacing w:before="120" w:after="120"/>
              <w:jc w:val="center"/>
              <w:rPr>
                <w:b/>
                <w:bCs/>
                <w:sz w:val="24"/>
                <w:szCs w:val="24"/>
              </w:rPr>
            </w:pPr>
          </w:p>
        </w:tc>
      </w:tr>
      <w:tr w:rsidR="00E6407C" w:rsidRPr="00D511FC" w14:paraId="73D90002" w14:textId="6959F524" w:rsidTr="00E6407C">
        <w:tc>
          <w:tcPr>
            <w:tcW w:w="7252" w:type="dxa"/>
          </w:tcPr>
          <w:p w14:paraId="1C86A0F1" w14:textId="77777777" w:rsidR="00E6407C" w:rsidRPr="00D511FC" w:rsidRDefault="00E6407C" w:rsidP="00E6407C">
            <w:pPr>
              <w:spacing w:before="120" w:after="120"/>
              <w:jc w:val="center"/>
              <w:rPr>
                <w:rFonts w:cstheme="minorHAnsi"/>
                <w:b/>
                <w:bCs/>
                <w:sz w:val="24"/>
                <w:szCs w:val="24"/>
              </w:rPr>
            </w:pPr>
            <w:r w:rsidRPr="00D511FC">
              <w:rPr>
                <w:b/>
                <w:bCs/>
                <w:sz w:val="24"/>
                <w:szCs w:val="24"/>
              </w:rPr>
              <w:t>ANEXO II</w:t>
            </w:r>
          </w:p>
        </w:tc>
        <w:tc>
          <w:tcPr>
            <w:tcW w:w="3107" w:type="dxa"/>
          </w:tcPr>
          <w:p w14:paraId="701A63DA" w14:textId="77777777" w:rsidR="00E6407C" w:rsidRPr="00D511FC" w:rsidRDefault="00E6407C" w:rsidP="00E6407C">
            <w:pPr>
              <w:spacing w:before="120" w:after="120"/>
              <w:jc w:val="center"/>
              <w:rPr>
                <w:b/>
                <w:bCs/>
                <w:sz w:val="24"/>
                <w:szCs w:val="24"/>
              </w:rPr>
            </w:pPr>
          </w:p>
        </w:tc>
        <w:tc>
          <w:tcPr>
            <w:tcW w:w="2552" w:type="dxa"/>
          </w:tcPr>
          <w:p w14:paraId="216A0959" w14:textId="40CC13A4" w:rsidR="00E6407C" w:rsidRPr="00D511FC" w:rsidRDefault="00E6407C" w:rsidP="00E6407C">
            <w:pPr>
              <w:spacing w:before="120" w:after="120"/>
              <w:jc w:val="center"/>
              <w:rPr>
                <w:b/>
                <w:bCs/>
                <w:sz w:val="24"/>
                <w:szCs w:val="24"/>
              </w:rPr>
            </w:pPr>
          </w:p>
        </w:tc>
        <w:tc>
          <w:tcPr>
            <w:tcW w:w="2505" w:type="dxa"/>
          </w:tcPr>
          <w:p w14:paraId="3B1E5965" w14:textId="77777777" w:rsidR="00E6407C" w:rsidRPr="00D511FC" w:rsidRDefault="00E6407C" w:rsidP="00E6407C">
            <w:pPr>
              <w:spacing w:before="120" w:after="120"/>
              <w:jc w:val="center"/>
              <w:rPr>
                <w:b/>
                <w:bCs/>
                <w:sz w:val="24"/>
                <w:szCs w:val="24"/>
              </w:rPr>
            </w:pPr>
          </w:p>
        </w:tc>
      </w:tr>
      <w:tr w:rsidR="00E6407C" w:rsidRPr="00D511FC" w14:paraId="1357B0A8" w14:textId="16584013" w:rsidTr="00E6407C">
        <w:tc>
          <w:tcPr>
            <w:tcW w:w="7252" w:type="dxa"/>
          </w:tcPr>
          <w:p w14:paraId="66E25159"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Conteúdo Programático para a Prova de Conhecimentos</w:t>
            </w:r>
          </w:p>
        </w:tc>
        <w:tc>
          <w:tcPr>
            <w:tcW w:w="3107" w:type="dxa"/>
          </w:tcPr>
          <w:p w14:paraId="1A52095D" w14:textId="77777777" w:rsidR="00E6407C" w:rsidRPr="00D511FC" w:rsidRDefault="00E6407C" w:rsidP="00E6407C">
            <w:pPr>
              <w:spacing w:before="120" w:after="120"/>
              <w:jc w:val="center"/>
              <w:rPr>
                <w:rFonts w:ascii="Calibri" w:eastAsia="Calibri" w:hAnsi="Calibri" w:cs="Calibri"/>
                <w:b/>
                <w:bCs/>
                <w:sz w:val="24"/>
                <w:szCs w:val="24"/>
              </w:rPr>
            </w:pPr>
          </w:p>
        </w:tc>
        <w:tc>
          <w:tcPr>
            <w:tcW w:w="2552" w:type="dxa"/>
          </w:tcPr>
          <w:p w14:paraId="0F02342C" w14:textId="3F7583E7" w:rsidR="00E6407C" w:rsidRPr="00D511FC" w:rsidRDefault="00E6407C" w:rsidP="00E6407C">
            <w:pPr>
              <w:spacing w:before="120" w:after="120"/>
              <w:jc w:val="center"/>
              <w:rPr>
                <w:rFonts w:ascii="Calibri" w:eastAsia="Calibri" w:hAnsi="Calibri" w:cs="Calibri"/>
                <w:b/>
                <w:bCs/>
                <w:sz w:val="24"/>
                <w:szCs w:val="24"/>
              </w:rPr>
            </w:pPr>
          </w:p>
        </w:tc>
        <w:tc>
          <w:tcPr>
            <w:tcW w:w="2505" w:type="dxa"/>
          </w:tcPr>
          <w:p w14:paraId="529EDE36" w14:textId="77777777" w:rsidR="00E6407C" w:rsidRPr="00D511FC" w:rsidRDefault="00E6407C" w:rsidP="00E6407C">
            <w:pPr>
              <w:spacing w:before="120" w:after="120"/>
              <w:jc w:val="center"/>
              <w:rPr>
                <w:rFonts w:ascii="Calibri" w:eastAsia="Calibri" w:hAnsi="Calibri" w:cs="Calibri"/>
                <w:b/>
                <w:bCs/>
                <w:sz w:val="24"/>
                <w:szCs w:val="24"/>
              </w:rPr>
            </w:pPr>
          </w:p>
        </w:tc>
      </w:tr>
      <w:tr w:rsidR="00E6407C" w:rsidRPr="00D511FC" w14:paraId="53FFFBFE" w14:textId="33BF9822" w:rsidTr="00E6407C">
        <w:tc>
          <w:tcPr>
            <w:tcW w:w="7252" w:type="dxa"/>
          </w:tcPr>
          <w:p w14:paraId="2620D109"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tc>
        <w:tc>
          <w:tcPr>
            <w:tcW w:w="3107" w:type="dxa"/>
          </w:tcPr>
          <w:p w14:paraId="5E179511"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619343F" w14:textId="583E0375" w:rsidR="00E6407C" w:rsidRPr="00D511FC" w:rsidRDefault="00E6407C" w:rsidP="00E6407C">
            <w:pPr>
              <w:spacing w:before="120" w:after="120"/>
              <w:jc w:val="both"/>
              <w:rPr>
                <w:rFonts w:ascii="Calibri" w:eastAsia="Calibri" w:hAnsi="Calibri" w:cs="Calibri"/>
                <w:sz w:val="24"/>
                <w:szCs w:val="24"/>
              </w:rPr>
            </w:pPr>
          </w:p>
        </w:tc>
        <w:tc>
          <w:tcPr>
            <w:tcW w:w="2505" w:type="dxa"/>
          </w:tcPr>
          <w:p w14:paraId="583C1403"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41F30F8F" w14:textId="13D891C2" w:rsidTr="00E6407C">
        <w:tc>
          <w:tcPr>
            <w:tcW w:w="7252" w:type="dxa"/>
          </w:tcPr>
          <w:p w14:paraId="1E73222E"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lastRenderedPageBreak/>
              <w:t xml:space="preserve">III - ATUÁRIA - Noções de matemática financeira e atuarial. Fundamentos de estatística. Regimes financeiros e tipos de planos de benefícios previdenciários. Demonstrativos e notas técnicas atuariais. Hipóteses econômicas e atuariais. </w:t>
            </w:r>
          </w:p>
        </w:tc>
        <w:tc>
          <w:tcPr>
            <w:tcW w:w="3107" w:type="dxa"/>
          </w:tcPr>
          <w:p w14:paraId="2D45D684"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6CA029F9" w14:textId="49BE86CA" w:rsidR="00E6407C" w:rsidRPr="00D511FC" w:rsidRDefault="00E6407C" w:rsidP="00E6407C">
            <w:pPr>
              <w:spacing w:before="120" w:after="120"/>
              <w:jc w:val="both"/>
              <w:rPr>
                <w:rFonts w:ascii="Calibri" w:eastAsia="Calibri" w:hAnsi="Calibri" w:cs="Calibri"/>
                <w:sz w:val="24"/>
                <w:szCs w:val="24"/>
              </w:rPr>
            </w:pPr>
          </w:p>
        </w:tc>
        <w:tc>
          <w:tcPr>
            <w:tcW w:w="2505" w:type="dxa"/>
          </w:tcPr>
          <w:p w14:paraId="765C6AB5"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780449B3" w14:textId="52769A8A" w:rsidTr="00E6407C">
        <w:tc>
          <w:tcPr>
            <w:tcW w:w="7252" w:type="dxa"/>
          </w:tcPr>
          <w:p w14:paraId="24A8BA6A"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tc>
        <w:tc>
          <w:tcPr>
            <w:tcW w:w="3107" w:type="dxa"/>
          </w:tcPr>
          <w:p w14:paraId="0EC80E13"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FF9CCAF" w14:textId="6B434557" w:rsidR="00E6407C" w:rsidRPr="00D511FC" w:rsidRDefault="00E6407C" w:rsidP="00E6407C">
            <w:pPr>
              <w:spacing w:before="120" w:after="120"/>
              <w:jc w:val="both"/>
              <w:rPr>
                <w:rFonts w:ascii="Calibri" w:eastAsia="Calibri" w:hAnsi="Calibri" w:cs="Calibri"/>
                <w:sz w:val="24"/>
                <w:szCs w:val="24"/>
              </w:rPr>
            </w:pPr>
          </w:p>
        </w:tc>
        <w:tc>
          <w:tcPr>
            <w:tcW w:w="2505" w:type="dxa"/>
          </w:tcPr>
          <w:p w14:paraId="2B13727B"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3B672088" w14:textId="241BA410" w:rsidTr="00E6407C">
        <w:tc>
          <w:tcPr>
            <w:tcW w:w="7252" w:type="dxa"/>
          </w:tcPr>
          <w:p w14:paraId="578C4605"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tc>
        <w:tc>
          <w:tcPr>
            <w:tcW w:w="3107" w:type="dxa"/>
          </w:tcPr>
          <w:p w14:paraId="7D6DFADB"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6B295D5D" w14:textId="2BD09EEF" w:rsidR="00E6407C" w:rsidRPr="00D511FC" w:rsidRDefault="00E6407C" w:rsidP="00E6407C">
            <w:pPr>
              <w:spacing w:before="120" w:after="120"/>
              <w:jc w:val="both"/>
              <w:rPr>
                <w:rFonts w:ascii="Calibri" w:eastAsia="Calibri" w:hAnsi="Calibri" w:cs="Calibri"/>
                <w:sz w:val="24"/>
                <w:szCs w:val="24"/>
              </w:rPr>
            </w:pPr>
          </w:p>
        </w:tc>
        <w:tc>
          <w:tcPr>
            <w:tcW w:w="2505" w:type="dxa"/>
          </w:tcPr>
          <w:p w14:paraId="5371C950"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0C09EB7C" w14:textId="4F44D130" w:rsidTr="00E6407C">
        <w:tc>
          <w:tcPr>
            <w:tcW w:w="7252" w:type="dxa"/>
          </w:tcPr>
          <w:p w14:paraId="7E57DEC3"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D511FC">
              <w:rPr>
                <w:rFonts w:ascii="Calibri" w:eastAsia="Calibri" w:hAnsi="Calibri" w:cs="Calibri"/>
                <w:sz w:val="24"/>
                <w:szCs w:val="24"/>
              </w:rPr>
              <w:t>asset</w:t>
            </w:r>
            <w:proofErr w:type="spellEnd"/>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and</w:t>
            </w:r>
            <w:proofErr w:type="spellEnd"/>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liability</w:t>
            </w:r>
            <w:proofErr w:type="spellEnd"/>
            <w:r w:rsidRPr="00D511FC">
              <w:rPr>
                <w:rFonts w:ascii="Calibri" w:eastAsia="Calibri" w:hAnsi="Calibri" w:cs="Calibri"/>
                <w:sz w:val="24"/>
                <w:szCs w:val="24"/>
              </w:rPr>
              <w:t xml:space="preserve"> management - ALM). Ativos financeiros de renda fixa, renda variável, derivativos, fundos de investimentos e investimentos no exterior. </w:t>
            </w:r>
          </w:p>
        </w:tc>
        <w:tc>
          <w:tcPr>
            <w:tcW w:w="3107" w:type="dxa"/>
          </w:tcPr>
          <w:p w14:paraId="7A58C63D"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39893A9" w14:textId="7F3DA10F" w:rsidR="00E6407C" w:rsidRPr="00D511FC" w:rsidRDefault="00E6407C" w:rsidP="00E6407C">
            <w:pPr>
              <w:spacing w:before="120" w:after="120"/>
              <w:jc w:val="both"/>
              <w:rPr>
                <w:rFonts w:ascii="Calibri" w:eastAsia="Calibri" w:hAnsi="Calibri" w:cs="Calibri"/>
                <w:sz w:val="24"/>
                <w:szCs w:val="24"/>
              </w:rPr>
            </w:pPr>
          </w:p>
        </w:tc>
        <w:tc>
          <w:tcPr>
            <w:tcW w:w="2505" w:type="dxa"/>
          </w:tcPr>
          <w:p w14:paraId="1E19F116"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3520553B" w14:textId="644299E1" w:rsidTr="00E6407C">
        <w:tc>
          <w:tcPr>
            <w:tcW w:w="7252" w:type="dxa"/>
          </w:tcPr>
          <w:p w14:paraId="739BA546"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tc>
        <w:tc>
          <w:tcPr>
            <w:tcW w:w="3107" w:type="dxa"/>
          </w:tcPr>
          <w:p w14:paraId="0F98C8F3"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422EEA6F" w14:textId="3ABA13DD" w:rsidR="00E6407C" w:rsidRPr="00D511FC" w:rsidRDefault="00E6407C" w:rsidP="00E6407C">
            <w:pPr>
              <w:spacing w:before="120" w:after="120"/>
              <w:jc w:val="both"/>
              <w:rPr>
                <w:rFonts w:ascii="Calibri" w:eastAsia="Calibri" w:hAnsi="Calibri" w:cs="Calibri"/>
                <w:sz w:val="24"/>
                <w:szCs w:val="24"/>
              </w:rPr>
            </w:pPr>
          </w:p>
        </w:tc>
        <w:tc>
          <w:tcPr>
            <w:tcW w:w="2505" w:type="dxa"/>
          </w:tcPr>
          <w:p w14:paraId="6A16321D"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2B98CB23" w14:textId="708D7985" w:rsidTr="00E6407C">
        <w:tc>
          <w:tcPr>
            <w:tcW w:w="7252" w:type="dxa"/>
          </w:tcPr>
          <w:p w14:paraId="34729A5E"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tc>
        <w:tc>
          <w:tcPr>
            <w:tcW w:w="3107" w:type="dxa"/>
          </w:tcPr>
          <w:p w14:paraId="090BED5E" w14:textId="77777777" w:rsidR="00E6407C" w:rsidRPr="00D511FC" w:rsidRDefault="00E6407C" w:rsidP="00E6407C">
            <w:pPr>
              <w:spacing w:before="120" w:after="120"/>
              <w:jc w:val="both"/>
              <w:rPr>
                <w:rFonts w:ascii="Calibri" w:eastAsia="Calibri" w:hAnsi="Calibri" w:cs="Calibri"/>
                <w:sz w:val="24"/>
                <w:szCs w:val="24"/>
              </w:rPr>
            </w:pPr>
          </w:p>
        </w:tc>
        <w:tc>
          <w:tcPr>
            <w:tcW w:w="2552" w:type="dxa"/>
          </w:tcPr>
          <w:p w14:paraId="02BADA9A" w14:textId="7361C693" w:rsidR="00E6407C" w:rsidRPr="00D511FC" w:rsidRDefault="00E6407C" w:rsidP="00E6407C">
            <w:pPr>
              <w:spacing w:before="120" w:after="120"/>
              <w:jc w:val="both"/>
              <w:rPr>
                <w:rFonts w:ascii="Calibri" w:eastAsia="Calibri" w:hAnsi="Calibri" w:cs="Calibri"/>
                <w:sz w:val="24"/>
                <w:szCs w:val="24"/>
              </w:rPr>
            </w:pPr>
          </w:p>
        </w:tc>
        <w:tc>
          <w:tcPr>
            <w:tcW w:w="2505" w:type="dxa"/>
          </w:tcPr>
          <w:p w14:paraId="7E7BCE3C" w14:textId="77777777" w:rsidR="00E6407C" w:rsidRPr="00D511FC" w:rsidRDefault="00E6407C" w:rsidP="00E6407C">
            <w:pPr>
              <w:spacing w:before="120" w:after="120"/>
              <w:jc w:val="both"/>
              <w:rPr>
                <w:rFonts w:ascii="Calibri" w:eastAsia="Calibri" w:hAnsi="Calibri" w:cs="Calibri"/>
                <w:sz w:val="24"/>
                <w:szCs w:val="24"/>
              </w:rPr>
            </w:pPr>
          </w:p>
        </w:tc>
      </w:tr>
      <w:tr w:rsidR="00E6407C" w:rsidRPr="00D511FC" w14:paraId="7561CED3" w14:textId="6EA3DBCA" w:rsidTr="00E6407C">
        <w:tc>
          <w:tcPr>
            <w:tcW w:w="7252" w:type="dxa"/>
          </w:tcPr>
          <w:p w14:paraId="2299460D" w14:textId="77777777" w:rsidR="00E6407C" w:rsidRPr="00D511FC" w:rsidRDefault="00E6407C" w:rsidP="00E6407C">
            <w:pPr>
              <w:spacing w:before="120" w:after="120"/>
              <w:jc w:val="center"/>
              <w:rPr>
                <w:b/>
                <w:bCs/>
                <w:sz w:val="24"/>
                <w:szCs w:val="24"/>
              </w:rPr>
            </w:pPr>
          </w:p>
        </w:tc>
        <w:tc>
          <w:tcPr>
            <w:tcW w:w="3107" w:type="dxa"/>
          </w:tcPr>
          <w:p w14:paraId="6D212AF9" w14:textId="77777777" w:rsidR="00E6407C" w:rsidRPr="00D511FC" w:rsidRDefault="00E6407C" w:rsidP="00E6407C">
            <w:pPr>
              <w:spacing w:before="120" w:after="120"/>
              <w:jc w:val="center"/>
              <w:rPr>
                <w:b/>
                <w:bCs/>
                <w:sz w:val="24"/>
                <w:szCs w:val="24"/>
              </w:rPr>
            </w:pPr>
          </w:p>
        </w:tc>
        <w:tc>
          <w:tcPr>
            <w:tcW w:w="2552" w:type="dxa"/>
          </w:tcPr>
          <w:p w14:paraId="2C7A92E3" w14:textId="77777777" w:rsidR="00E6407C" w:rsidRPr="00D511FC" w:rsidRDefault="00E6407C" w:rsidP="00E6407C">
            <w:pPr>
              <w:spacing w:before="120" w:after="120"/>
              <w:jc w:val="center"/>
              <w:rPr>
                <w:b/>
                <w:bCs/>
                <w:sz w:val="24"/>
                <w:szCs w:val="24"/>
              </w:rPr>
            </w:pPr>
          </w:p>
        </w:tc>
        <w:tc>
          <w:tcPr>
            <w:tcW w:w="2505" w:type="dxa"/>
          </w:tcPr>
          <w:p w14:paraId="1F33C84D" w14:textId="77777777" w:rsidR="00E6407C" w:rsidRPr="00D511FC" w:rsidRDefault="00E6407C" w:rsidP="00E6407C">
            <w:pPr>
              <w:spacing w:before="120" w:after="120"/>
              <w:jc w:val="center"/>
              <w:rPr>
                <w:b/>
                <w:bCs/>
                <w:sz w:val="24"/>
                <w:szCs w:val="24"/>
              </w:rPr>
            </w:pPr>
          </w:p>
        </w:tc>
      </w:tr>
      <w:tr w:rsidR="00E6407C" w:rsidRPr="00D511FC" w14:paraId="16ABF37B" w14:textId="2097E573" w:rsidTr="00E6407C">
        <w:tc>
          <w:tcPr>
            <w:tcW w:w="7252" w:type="dxa"/>
          </w:tcPr>
          <w:p w14:paraId="3D44E257" w14:textId="77777777" w:rsidR="00E6407C" w:rsidRPr="00D511FC" w:rsidRDefault="00E6407C" w:rsidP="00E6407C">
            <w:pPr>
              <w:spacing w:before="120" w:after="120"/>
              <w:jc w:val="center"/>
              <w:rPr>
                <w:rFonts w:cstheme="minorHAnsi"/>
                <w:b/>
                <w:bCs/>
                <w:sz w:val="24"/>
                <w:szCs w:val="24"/>
              </w:rPr>
            </w:pPr>
            <w:r w:rsidRPr="00D511FC">
              <w:rPr>
                <w:b/>
                <w:bCs/>
                <w:sz w:val="24"/>
                <w:szCs w:val="24"/>
              </w:rPr>
              <w:lastRenderedPageBreak/>
              <w:t>ANEXO III</w:t>
            </w:r>
          </w:p>
        </w:tc>
        <w:tc>
          <w:tcPr>
            <w:tcW w:w="3107" w:type="dxa"/>
          </w:tcPr>
          <w:p w14:paraId="36F46D01" w14:textId="77777777" w:rsidR="00E6407C" w:rsidRPr="00D511FC" w:rsidRDefault="00E6407C" w:rsidP="00E6407C">
            <w:pPr>
              <w:spacing w:before="120" w:after="120"/>
              <w:jc w:val="center"/>
              <w:rPr>
                <w:b/>
                <w:bCs/>
                <w:sz w:val="24"/>
                <w:szCs w:val="24"/>
              </w:rPr>
            </w:pPr>
          </w:p>
        </w:tc>
        <w:tc>
          <w:tcPr>
            <w:tcW w:w="2552" w:type="dxa"/>
          </w:tcPr>
          <w:p w14:paraId="4D353B3A" w14:textId="2DB5EA90" w:rsidR="00E6407C" w:rsidRPr="00D511FC" w:rsidRDefault="00E6407C" w:rsidP="00E6407C">
            <w:pPr>
              <w:spacing w:before="120" w:after="120"/>
              <w:jc w:val="center"/>
              <w:rPr>
                <w:b/>
                <w:bCs/>
                <w:sz w:val="24"/>
                <w:szCs w:val="24"/>
              </w:rPr>
            </w:pPr>
          </w:p>
        </w:tc>
        <w:tc>
          <w:tcPr>
            <w:tcW w:w="2505" w:type="dxa"/>
          </w:tcPr>
          <w:p w14:paraId="7E4A3E72" w14:textId="77777777" w:rsidR="00E6407C" w:rsidRPr="00D511FC" w:rsidRDefault="00E6407C" w:rsidP="00E6407C">
            <w:pPr>
              <w:spacing w:before="120" w:after="120"/>
              <w:jc w:val="center"/>
              <w:rPr>
                <w:b/>
                <w:bCs/>
                <w:sz w:val="24"/>
                <w:szCs w:val="24"/>
              </w:rPr>
            </w:pPr>
          </w:p>
        </w:tc>
      </w:tr>
      <w:tr w:rsidR="00E6407C" w:rsidRPr="00D511FC" w14:paraId="2474B1ED" w14:textId="014A9B2C" w:rsidTr="00E6407C">
        <w:tc>
          <w:tcPr>
            <w:tcW w:w="7252" w:type="dxa"/>
          </w:tcPr>
          <w:p w14:paraId="5DA88149"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Prazos de Análise dos Requerimentos</w:t>
            </w:r>
          </w:p>
        </w:tc>
        <w:tc>
          <w:tcPr>
            <w:tcW w:w="3107" w:type="dxa"/>
          </w:tcPr>
          <w:p w14:paraId="4B190716" w14:textId="77777777" w:rsidR="00E6407C" w:rsidRPr="00D511FC" w:rsidRDefault="00E6407C" w:rsidP="00E6407C">
            <w:pPr>
              <w:spacing w:before="120" w:after="120"/>
              <w:jc w:val="center"/>
              <w:rPr>
                <w:rFonts w:ascii="Calibri" w:eastAsia="Calibri" w:hAnsi="Calibri" w:cs="Calibri"/>
                <w:b/>
                <w:bCs/>
                <w:sz w:val="24"/>
                <w:szCs w:val="24"/>
              </w:rPr>
            </w:pPr>
          </w:p>
        </w:tc>
        <w:tc>
          <w:tcPr>
            <w:tcW w:w="2552" w:type="dxa"/>
          </w:tcPr>
          <w:p w14:paraId="175474BD" w14:textId="5A069F45" w:rsidR="00E6407C" w:rsidRPr="00D511FC" w:rsidRDefault="00E6407C" w:rsidP="00E6407C">
            <w:pPr>
              <w:spacing w:before="120" w:after="120"/>
              <w:jc w:val="center"/>
              <w:rPr>
                <w:rFonts w:ascii="Calibri" w:eastAsia="Calibri" w:hAnsi="Calibri" w:cs="Calibri"/>
                <w:b/>
                <w:bCs/>
                <w:sz w:val="24"/>
                <w:szCs w:val="24"/>
              </w:rPr>
            </w:pPr>
          </w:p>
        </w:tc>
        <w:tc>
          <w:tcPr>
            <w:tcW w:w="2505" w:type="dxa"/>
          </w:tcPr>
          <w:p w14:paraId="262F8EEC" w14:textId="77777777" w:rsidR="00E6407C" w:rsidRPr="00D511FC" w:rsidRDefault="00E6407C" w:rsidP="00E6407C">
            <w:pPr>
              <w:spacing w:before="120" w:after="120"/>
              <w:jc w:val="center"/>
              <w:rPr>
                <w:rFonts w:ascii="Calibri" w:eastAsia="Calibri" w:hAnsi="Calibri" w:cs="Calibri"/>
                <w:b/>
                <w:bCs/>
                <w:sz w:val="24"/>
                <w:szCs w:val="24"/>
              </w:rPr>
            </w:pPr>
          </w:p>
        </w:tc>
      </w:tr>
      <w:tr w:rsidR="00E6407C" w:rsidRPr="00D511FC" w14:paraId="7B6732B0" w14:textId="098AC676" w:rsidTr="00E6407C">
        <w:tc>
          <w:tcPr>
            <w:tcW w:w="7252" w:type="dxa"/>
          </w:tcPr>
          <w:p w14:paraId="2BDA93DC"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 xml:space="preserve"> </w:t>
            </w:r>
          </w:p>
        </w:tc>
        <w:tc>
          <w:tcPr>
            <w:tcW w:w="3107" w:type="dxa"/>
          </w:tcPr>
          <w:p w14:paraId="01003A0B" w14:textId="77777777" w:rsidR="00E6407C" w:rsidRPr="00D511FC" w:rsidRDefault="00E6407C" w:rsidP="00E6407C">
            <w:pPr>
              <w:spacing w:before="120" w:after="120"/>
              <w:jc w:val="center"/>
              <w:rPr>
                <w:rFonts w:ascii="Calibri" w:eastAsia="Calibri" w:hAnsi="Calibri" w:cs="Calibri"/>
                <w:b/>
                <w:bCs/>
                <w:sz w:val="24"/>
                <w:szCs w:val="24"/>
              </w:rPr>
            </w:pPr>
          </w:p>
        </w:tc>
        <w:tc>
          <w:tcPr>
            <w:tcW w:w="2552" w:type="dxa"/>
          </w:tcPr>
          <w:p w14:paraId="483D61F6" w14:textId="1A31BBD9" w:rsidR="00E6407C" w:rsidRPr="00D511FC" w:rsidRDefault="00E6407C" w:rsidP="00E6407C">
            <w:pPr>
              <w:spacing w:before="120" w:after="120"/>
              <w:jc w:val="center"/>
              <w:rPr>
                <w:rFonts w:ascii="Calibri" w:eastAsia="Calibri" w:hAnsi="Calibri" w:cs="Calibri"/>
                <w:b/>
                <w:bCs/>
                <w:sz w:val="24"/>
                <w:szCs w:val="24"/>
              </w:rPr>
            </w:pPr>
          </w:p>
        </w:tc>
        <w:tc>
          <w:tcPr>
            <w:tcW w:w="2505" w:type="dxa"/>
          </w:tcPr>
          <w:p w14:paraId="2BEC49DD" w14:textId="77777777" w:rsidR="00E6407C" w:rsidRPr="00D511FC" w:rsidRDefault="00E6407C" w:rsidP="00E6407C">
            <w:pPr>
              <w:spacing w:before="120" w:after="120"/>
              <w:jc w:val="center"/>
              <w:rPr>
                <w:rFonts w:ascii="Calibri" w:eastAsia="Calibri" w:hAnsi="Calibri" w:cs="Calibri"/>
                <w:b/>
                <w:bCs/>
                <w:sz w:val="24"/>
                <w:szCs w:val="24"/>
              </w:rPr>
            </w:pPr>
          </w:p>
        </w:tc>
      </w:tr>
      <w:tr w:rsidR="00E6407C" w:rsidRPr="00D511FC" w14:paraId="0E1CBE0A" w14:textId="22DA6CD4" w:rsidTr="00E6407C">
        <w:tc>
          <w:tcPr>
            <w:tcW w:w="7252" w:type="dxa"/>
          </w:tcPr>
          <w:tbl>
            <w:tblPr>
              <w:tblStyle w:val="Tabelacomgrade"/>
              <w:tblW w:w="0" w:type="auto"/>
              <w:tblLook w:val="04A0" w:firstRow="1" w:lastRow="0" w:firstColumn="1" w:lastColumn="0" w:noHBand="0" w:noVBand="1"/>
            </w:tblPr>
            <w:tblGrid>
              <w:gridCol w:w="677"/>
              <w:gridCol w:w="1856"/>
              <w:gridCol w:w="1392"/>
              <w:gridCol w:w="1087"/>
              <w:gridCol w:w="735"/>
              <w:gridCol w:w="1269"/>
            </w:tblGrid>
            <w:tr w:rsidR="00E6407C" w:rsidRPr="00D511FC" w14:paraId="757A1203"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08CFD"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Item</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FD93E9" w14:textId="77777777" w:rsidR="00E6407C" w:rsidRPr="00D511FC" w:rsidRDefault="00E6407C" w:rsidP="00E6407C">
                  <w:pPr>
                    <w:spacing w:after="120"/>
                    <w:rPr>
                      <w:sz w:val="24"/>
                      <w:szCs w:val="24"/>
                    </w:rPr>
                  </w:pPr>
                  <w:r w:rsidRPr="00D511FC">
                    <w:rPr>
                      <w:rFonts w:ascii="Calibri" w:eastAsia="Calibri" w:hAnsi="Calibri" w:cs="Calibri"/>
                      <w:b/>
                      <w:bCs/>
                      <w:sz w:val="24"/>
                      <w:szCs w:val="24"/>
                    </w:rPr>
                    <w:t>Tipo de Requerimento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202EDB"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Prazo de análise</w:t>
                  </w:r>
                </w:p>
                <w:p w14:paraId="7EB25FE5"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FASE DE INSTRUÇÃO</w:t>
                  </w:r>
                </w:p>
                <w:p w14:paraId="1C15DA51"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(em dias úteis)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650E4D"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Prazo de decisão</w:t>
                  </w:r>
                </w:p>
                <w:p w14:paraId="78E24E46"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FASE DE DECISÃO</w:t>
                  </w:r>
                </w:p>
                <w:p w14:paraId="1CE1DD60"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(em dias úteis)</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F66ECA"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Nível de Risco</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04F6BA" w14:textId="77777777" w:rsidR="00E6407C" w:rsidRPr="00D511FC" w:rsidRDefault="00E6407C" w:rsidP="00E6407C">
                  <w:pPr>
                    <w:spacing w:after="120"/>
                    <w:jc w:val="center"/>
                    <w:rPr>
                      <w:sz w:val="24"/>
                      <w:szCs w:val="24"/>
                    </w:rPr>
                  </w:pPr>
                  <w:r w:rsidRPr="00D511FC">
                    <w:rPr>
                      <w:rFonts w:ascii="Calibri" w:eastAsia="Calibri" w:hAnsi="Calibri" w:cs="Calibri"/>
                      <w:b/>
                      <w:bCs/>
                      <w:sz w:val="24"/>
                      <w:szCs w:val="24"/>
                    </w:rPr>
                    <w:t>Base Normativa</w:t>
                  </w:r>
                </w:p>
              </w:tc>
            </w:tr>
            <w:tr w:rsidR="00E6407C" w:rsidRPr="00D511FC" w14:paraId="4A1DF453"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11F22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2AB57" w14:textId="77777777" w:rsidR="00E6407C" w:rsidRPr="00D511FC" w:rsidRDefault="00E6407C" w:rsidP="00E6407C">
                  <w:pPr>
                    <w:spacing w:after="120"/>
                    <w:rPr>
                      <w:sz w:val="24"/>
                      <w:szCs w:val="24"/>
                    </w:rPr>
                  </w:pPr>
                  <w:r w:rsidRPr="00D511FC">
                    <w:rPr>
                      <w:rFonts w:ascii="Calibri" w:eastAsia="Calibri" w:hAnsi="Calibri" w:cs="Calibri"/>
                      <w:sz w:val="24"/>
                      <w:szCs w:val="24"/>
                    </w:rPr>
                    <w:t>Constituição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F3E9CB"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5CEBA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C88C5B"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BD451E"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2411635F"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6FB18C74"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32F28F"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90530F" w14:textId="77777777" w:rsidR="00E6407C" w:rsidRPr="00D511FC" w:rsidRDefault="00E6407C" w:rsidP="00E6407C">
                  <w:pPr>
                    <w:spacing w:after="120"/>
                    <w:rPr>
                      <w:sz w:val="24"/>
                      <w:szCs w:val="24"/>
                    </w:rPr>
                  </w:pPr>
                  <w:r w:rsidRPr="00D511FC">
                    <w:rPr>
                      <w:rFonts w:ascii="Calibri" w:eastAsia="Calibri" w:hAnsi="Calibri" w:cs="Calibri"/>
                      <w:sz w:val="24"/>
                      <w:szCs w:val="24"/>
                    </w:rPr>
                    <w:t>Implantação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CF2AB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A64DCD"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03887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9712A6"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63B346D7"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19711404"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6642FE"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24BFB3" w14:textId="77777777" w:rsidR="00E6407C" w:rsidRPr="00D511FC" w:rsidRDefault="00E6407C" w:rsidP="00E6407C">
                  <w:pPr>
                    <w:spacing w:after="120"/>
                    <w:rPr>
                      <w:sz w:val="24"/>
                      <w:szCs w:val="24"/>
                    </w:rPr>
                  </w:pPr>
                  <w:r w:rsidRPr="00D511FC">
                    <w:rPr>
                      <w:rFonts w:ascii="Calibri" w:eastAsia="Calibri" w:hAnsi="Calibri" w:cs="Calibri"/>
                      <w:sz w:val="24"/>
                      <w:szCs w:val="24"/>
                    </w:rPr>
                    <w:t>Implantação de plano de benefícios com base em modelo certificado ou modelo padronizado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DAFD1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2B09C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23159F"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1580A"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449B6B52"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457E84C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198E2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lastRenderedPageBreak/>
                    <w:t>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6F70EB" w14:textId="77777777" w:rsidR="00E6407C" w:rsidRPr="00D511FC" w:rsidRDefault="00E6407C" w:rsidP="00E6407C">
                  <w:pPr>
                    <w:spacing w:after="120"/>
                    <w:rPr>
                      <w:sz w:val="24"/>
                      <w:szCs w:val="24"/>
                    </w:rPr>
                  </w:pPr>
                  <w:r w:rsidRPr="00D511FC">
                    <w:rPr>
                      <w:rFonts w:ascii="Calibri" w:eastAsia="Calibri" w:hAnsi="Calibri" w:cs="Calibri"/>
                      <w:sz w:val="24"/>
                      <w:szCs w:val="24"/>
                    </w:rPr>
                    <w:t>Aprovação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4BBFC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0968C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4425A"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723DCE"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6FB9C9C5"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2F3B1F6B"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883A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9FBB2B" w14:textId="77777777" w:rsidR="00E6407C" w:rsidRPr="00D511FC" w:rsidRDefault="00E6407C" w:rsidP="00E6407C">
                  <w:pPr>
                    <w:spacing w:after="120"/>
                    <w:rPr>
                      <w:sz w:val="24"/>
                      <w:szCs w:val="24"/>
                    </w:rPr>
                  </w:pPr>
                  <w:r w:rsidRPr="00D511FC">
                    <w:rPr>
                      <w:rFonts w:ascii="Calibri" w:eastAsia="Calibri" w:hAnsi="Calibri" w:cs="Calibri"/>
                      <w:sz w:val="24"/>
                      <w:szCs w:val="24"/>
                    </w:rPr>
                    <w:t>Alteração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DC331F"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AA1DF3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D083C"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C31DC09"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0FD310E0"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0CBF630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310EA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0B30A0" w14:textId="77777777" w:rsidR="00E6407C" w:rsidRPr="00D511FC" w:rsidRDefault="00E6407C" w:rsidP="00E6407C">
                  <w:pPr>
                    <w:spacing w:after="120"/>
                    <w:rPr>
                      <w:sz w:val="24"/>
                      <w:szCs w:val="24"/>
                    </w:rPr>
                  </w:pPr>
                  <w:r w:rsidRPr="00D511FC">
                    <w:rPr>
                      <w:rFonts w:ascii="Calibri" w:eastAsia="Calibri" w:hAnsi="Calibri" w:cs="Calibri"/>
                      <w:sz w:val="24"/>
                      <w:szCs w:val="24"/>
                    </w:rPr>
                    <w:t>Alteração de estatuto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55207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CAA9B5"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DD34A2"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390751"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23DA6773"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489765A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46922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1CC1E" w14:textId="77777777" w:rsidR="00E6407C" w:rsidRPr="00D511FC" w:rsidRDefault="00E6407C" w:rsidP="00E6407C">
                  <w:pPr>
                    <w:spacing w:after="120"/>
                    <w:rPr>
                      <w:sz w:val="24"/>
                      <w:szCs w:val="24"/>
                    </w:rPr>
                  </w:pPr>
                  <w:r w:rsidRPr="00D511FC">
                    <w:rPr>
                      <w:rFonts w:ascii="Calibri" w:eastAsia="Calibri" w:hAnsi="Calibri" w:cs="Calibri"/>
                      <w:sz w:val="24"/>
                      <w:szCs w:val="24"/>
                    </w:rPr>
                    <w:t>Alteração de regulamento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E06E9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FF92F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B4D33C"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187AAA"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4A26ABBE"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321D7712"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23720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DAB037" w14:textId="77777777" w:rsidR="00E6407C" w:rsidRPr="00D511FC" w:rsidRDefault="00E6407C" w:rsidP="00E6407C">
                  <w:pPr>
                    <w:spacing w:after="120"/>
                    <w:rPr>
                      <w:sz w:val="24"/>
                      <w:szCs w:val="24"/>
                    </w:rPr>
                  </w:pPr>
                  <w:r w:rsidRPr="00D511FC">
                    <w:rPr>
                      <w:rFonts w:ascii="Calibri" w:eastAsia="Calibri" w:hAnsi="Calibri" w:cs="Calibri"/>
                      <w:sz w:val="24"/>
                      <w:szCs w:val="24"/>
                    </w:rPr>
                    <w:t>Alteração de regulamento de plano de benefícios por licenciamento automático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A70C04"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84CDB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D4E4A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53FE22"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20492BAE"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5B414CFD"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6DC49B"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1C4AB3"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Saldamento ou alteração de </w:t>
                  </w:r>
                  <w:r w:rsidRPr="00D511FC">
                    <w:rPr>
                      <w:rFonts w:ascii="Calibri" w:eastAsia="Calibri" w:hAnsi="Calibri" w:cs="Calibri"/>
                      <w:sz w:val="24"/>
                      <w:szCs w:val="24"/>
                    </w:rPr>
                    <w:lastRenderedPageBreak/>
                    <w:t>regulamento que repercuta no resultado do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6A6714"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lastRenderedPageBreak/>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150FD"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8CFB3D"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8F1A6C"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16F54ABF" w14:textId="77777777" w:rsidR="00E6407C" w:rsidRPr="00D511FC" w:rsidRDefault="00E6407C" w:rsidP="00E6407C">
                  <w:pPr>
                    <w:spacing w:after="120"/>
                    <w:rPr>
                      <w:sz w:val="24"/>
                      <w:szCs w:val="24"/>
                    </w:rPr>
                  </w:pPr>
                  <w:r w:rsidRPr="00D511FC">
                    <w:rPr>
                      <w:rFonts w:ascii="Calibri" w:eastAsia="Calibri" w:hAnsi="Calibri" w:cs="Calibri"/>
                      <w:sz w:val="24"/>
                      <w:szCs w:val="24"/>
                    </w:rPr>
                    <w:lastRenderedPageBreak/>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5602331C"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336A5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lastRenderedPageBreak/>
                    <w:t>10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826831" w14:textId="77777777" w:rsidR="00E6407C" w:rsidRPr="00D511FC" w:rsidRDefault="00E6407C" w:rsidP="00E6407C">
                  <w:pPr>
                    <w:spacing w:after="120"/>
                    <w:rPr>
                      <w:sz w:val="24"/>
                      <w:szCs w:val="24"/>
                    </w:rPr>
                  </w:pPr>
                  <w:r w:rsidRPr="00D511FC">
                    <w:rPr>
                      <w:rFonts w:ascii="Calibri" w:eastAsia="Calibri" w:hAnsi="Calibri" w:cs="Calibri"/>
                      <w:sz w:val="24"/>
                      <w:szCs w:val="24"/>
                    </w:rPr>
                    <w:t>Transferência de gerenciamento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E3CD49"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4726CF"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A8C35E"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5BC3D6"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3974EF04"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51/2022;</w:t>
                  </w:r>
                </w:p>
              </w:tc>
            </w:tr>
            <w:tr w:rsidR="00E6407C" w:rsidRPr="00D511FC" w14:paraId="1C41C58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6F9E0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0E38C1" w14:textId="77777777" w:rsidR="00E6407C" w:rsidRPr="00D511FC" w:rsidRDefault="00E6407C" w:rsidP="00E6407C">
                  <w:pPr>
                    <w:spacing w:after="120"/>
                    <w:rPr>
                      <w:sz w:val="24"/>
                      <w:szCs w:val="24"/>
                    </w:rPr>
                  </w:pPr>
                  <w:r w:rsidRPr="00D511FC">
                    <w:rPr>
                      <w:rFonts w:ascii="Calibri" w:eastAsia="Calibri" w:hAnsi="Calibri" w:cs="Calibri"/>
                      <w:sz w:val="24"/>
                      <w:szCs w:val="24"/>
                    </w:rPr>
                    <w:t>Fusão, cisão ou incorporação de planos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2A3FF2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80807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CD347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28DE7"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22EA9423"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6D84B5CB"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448CF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E091EF" w14:textId="77777777" w:rsidR="00E6407C" w:rsidRPr="00D511FC" w:rsidRDefault="00E6407C" w:rsidP="00E6407C">
                  <w:pPr>
                    <w:spacing w:after="120"/>
                    <w:rPr>
                      <w:sz w:val="24"/>
                      <w:szCs w:val="24"/>
                    </w:rPr>
                  </w:pPr>
                  <w:r w:rsidRPr="00D511FC">
                    <w:rPr>
                      <w:rFonts w:ascii="Calibri" w:eastAsia="Calibri" w:hAnsi="Calibri" w:cs="Calibri"/>
                      <w:sz w:val="24"/>
                      <w:szCs w:val="24"/>
                    </w:rPr>
                    <w:t>Migração de participantes e assistidos entre planos de benefícios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4B4C2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B43A5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2F303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5882B3"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7F9AB7A8"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429E2A67"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F2010"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BDCE44" w14:textId="77777777" w:rsidR="00E6407C" w:rsidRPr="00D511FC" w:rsidRDefault="00E6407C" w:rsidP="00E6407C">
                  <w:pPr>
                    <w:spacing w:after="120"/>
                    <w:rPr>
                      <w:sz w:val="24"/>
                      <w:szCs w:val="24"/>
                    </w:rPr>
                  </w:pPr>
                  <w:r w:rsidRPr="00D511FC">
                    <w:rPr>
                      <w:rFonts w:ascii="Calibri" w:eastAsia="Calibri" w:hAnsi="Calibri" w:cs="Calibri"/>
                      <w:sz w:val="24"/>
                      <w:szCs w:val="24"/>
                    </w:rPr>
                    <w:t>Operações estruturais relacionadas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9EF95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D07B8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1F22A2"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809D15"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4F170EC3"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1AF23919"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CD89E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3076FB" w14:textId="77777777" w:rsidR="00E6407C" w:rsidRPr="00D511FC" w:rsidRDefault="00E6407C" w:rsidP="00E6407C">
                  <w:pPr>
                    <w:spacing w:after="120"/>
                    <w:rPr>
                      <w:sz w:val="24"/>
                      <w:szCs w:val="24"/>
                    </w:rPr>
                  </w:pPr>
                  <w:r w:rsidRPr="00D511FC">
                    <w:rPr>
                      <w:rFonts w:ascii="Calibri" w:eastAsia="Calibri" w:hAnsi="Calibri" w:cs="Calibri"/>
                      <w:sz w:val="24"/>
                      <w:szCs w:val="24"/>
                    </w:rPr>
                    <w:t>Retirada de patrocínio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512BAA"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04E03C"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1B68F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95A4DE"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12E29EC9" w14:textId="77777777" w:rsidR="00E6407C" w:rsidRPr="00D511FC" w:rsidRDefault="00E6407C" w:rsidP="00E6407C">
                  <w:pPr>
                    <w:spacing w:after="120"/>
                    <w:rPr>
                      <w:sz w:val="24"/>
                      <w:szCs w:val="24"/>
                    </w:rPr>
                  </w:pPr>
                  <w:r w:rsidRPr="00D511FC">
                    <w:rPr>
                      <w:rFonts w:ascii="Calibri" w:eastAsia="Calibri" w:hAnsi="Calibri" w:cs="Calibri"/>
                      <w:sz w:val="24"/>
                      <w:szCs w:val="24"/>
                    </w:rPr>
                    <w:lastRenderedPageBreak/>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53/2022.</w:t>
                  </w:r>
                </w:p>
              </w:tc>
            </w:tr>
            <w:tr w:rsidR="00E6407C" w:rsidRPr="00D511FC" w14:paraId="09D2DED5"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8530C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lastRenderedPageBreak/>
                    <w:t>15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ACFAB6" w14:textId="77777777" w:rsidR="00E6407C" w:rsidRPr="00D511FC" w:rsidRDefault="00E6407C" w:rsidP="00E6407C">
                  <w:pPr>
                    <w:spacing w:after="120"/>
                    <w:rPr>
                      <w:sz w:val="24"/>
                      <w:szCs w:val="24"/>
                    </w:rPr>
                  </w:pPr>
                  <w:r w:rsidRPr="00D511FC">
                    <w:rPr>
                      <w:rFonts w:ascii="Calibri" w:eastAsia="Calibri" w:hAnsi="Calibri" w:cs="Calibri"/>
                      <w:sz w:val="24"/>
                      <w:szCs w:val="24"/>
                    </w:rPr>
                    <w:t>Rescisão unilateral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1B0FB4"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36425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9B9DD5"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02BDE4"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3E3B73B6"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53/2022.</w:t>
                  </w:r>
                </w:p>
              </w:tc>
            </w:tr>
            <w:tr w:rsidR="00E6407C" w:rsidRPr="00D511FC" w14:paraId="18052348"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BB4BAC"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52EB77" w14:textId="77777777" w:rsidR="00E6407C" w:rsidRPr="00D511FC" w:rsidRDefault="00E6407C" w:rsidP="00E6407C">
                  <w:pPr>
                    <w:spacing w:after="120"/>
                    <w:rPr>
                      <w:sz w:val="24"/>
                      <w:szCs w:val="24"/>
                    </w:rPr>
                  </w:pPr>
                  <w:r w:rsidRPr="00D511FC">
                    <w:rPr>
                      <w:rFonts w:ascii="Calibri" w:eastAsia="Calibri" w:hAnsi="Calibri" w:cs="Calibri"/>
                      <w:sz w:val="24"/>
                      <w:szCs w:val="24"/>
                    </w:rPr>
                    <w:t>Destinação de reserva especial que envolva reversão de valores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1FEFF4"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450E3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3E9AF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CBA071"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47D6D70F"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30/2018.</w:t>
                  </w:r>
                </w:p>
              </w:tc>
            </w:tr>
            <w:tr w:rsidR="00E6407C" w:rsidRPr="00D511FC" w14:paraId="5D99F7E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2749EA"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4B57CC" w14:textId="77777777" w:rsidR="00E6407C" w:rsidRPr="00D511FC" w:rsidRDefault="00E6407C" w:rsidP="00E6407C">
                  <w:pPr>
                    <w:spacing w:after="120"/>
                    <w:rPr>
                      <w:sz w:val="24"/>
                      <w:szCs w:val="24"/>
                    </w:rPr>
                  </w:pPr>
                  <w:r w:rsidRPr="00D511FC">
                    <w:rPr>
                      <w:rFonts w:ascii="Calibri" w:eastAsia="Calibri" w:hAnsi="Calibri" w:cs="Calibri"/>
                      <w:sz w:val="24"/>
                      <w:szCs w:val="24"/>
                    </w:rPr>
                    <w:t>Encerramento de plano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73F30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3ECC5A"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3261C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DCE069" w14:textId="77777777" w:rsidR="00E6407C" w:rsidRPr="00D511FC" w:rsidRDefault="00E6407C" w:rsidP="00E6407C">
                  <w:pPr>
                    <w:spacing w:after="120"/>
                    <w:rPr>
                      <w:sz w:val="24"/>
                      <w:szCs w:val="24"/>
                    </w:rPr>
                  </w:pPr>
                  <w:r w:rsidRPr="00D511FC">
                    <w:rPr>
                      <w:rFonts w:ascii="Calibri" w:eastAsia="Calibri" w:hAnsi="Calibri" w:cs="Calibri"/>
                      <w:sz w:val="24"/>
                      <w:szCs w:val="24"/>
                    </w:rPr>
                    <w:t>LC nº 109/2001.</w:t>
                  </w:r>
                </w:p>
              </w:tc>
            </w:tr>
            <w:tr w:rsidR="00E6407C" w:rsidRPr="00D511FC" w14:paraId="7DDCB18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C952DA"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7C7CE4" w14:textId="77777777" w:rsidR="00E6407C" w:rsidRPr="00D511FC" w:rsidRDefault="00E6407C" w:rsidP="00E6407C">
                  <w:pPr>
                    <w:spacing w:after="120"/>
                    <w:rPr>
                      <w:sz w:val="24"/>
                      <w:szCs w:val="24"/>
                    </w:rPr>
                  </w:pPr>
                  <w:r w:rsidRPr="00D511FC">
                    <w:rPr>
                      <w:rFonts w:ascii="Calibri" w:eastAsia="Calibri" w:hAnsi="Calibri" w:cs="Calibri"/>
                      <w:sz w:val="24"/>
                      <w:szCs w:val="24"/>
                    </w:rPr>
                    <w:t>Certificação de modelo de regulamento de plano de benefícios ou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D00EDE"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D744E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7AF4C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0CA214" w14:textId="77777777" w:rsidR="00E6407C" w:rsidRPr="00D511FC" w:rsidRDefault="00E6407C" w:rsidP="00E6407C">
                  <w:pPr>
                    <w:spacing w:after="120"/>
                    <w:rPr>
                      <w:sz w:val="24"/>
                      <w:szCs w:val="24"/>
                    </w:rPr>
                  </w:pPr>
                  <w:r w:rsidRPr="00D511FC">
                    <w:rPr>
                      <w:rFonts w:ascii="Calibri" w:eastAsia="Calibri" w:hAnsi="Calibri" w:cs="Calibri"/>
                      <w:sz w:val="24"/>
                      <w:szCs w:val="24"/>
                    </w:rPr>
                    <w:t>- LC nº 109/2001;</w:t>
                  </w:r>
                </w:p>
                <w:p w14:paraId="0AB28673" w14:textId="77777777" w:rsidR="00E6407C" w:rsidRPr="00D511FC" w:rsidRDefault="00E6407C" w:rsidP="00E6407C">
                  <w:pPr>
                    <w:spacing w:after="120"/>
                    <w:rPr>
                      <w:sz w:val="24"/>
                      <w:szCs w:val="24"/>
                    </w:rPr>
                  </w:pPr>
                  <w:r w:rsidRPr="00D511FC">
                    <w:rPr>
                      <w:rFonts w:ascii="Calibri" w:eastAsia="Calibri" w:hAnsi="Calibri" w:cs="Calibri"/>
                      <w:sz w:val="24"/>
                      <w:szCs w:val="24"/>
                    </w:rPr>
                    <w:t xml:space="preserve">- </w:t>
                  </w: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40/2021.</w:t>
                  </w:r>
                </w:p>
              </w:tc>
            </w:tr>
            <w:tr w:rsidR="00E6407C" w:rsidRPr="00D511FC" w14:paraId="091433A0"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94953E"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19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2E1A5A" w14:textId="77777777" w:rsidR="00E6407C" w:rsidRPr="00D511FC" w:rsidRDefault="00E6407C" w:rsidP="00E6407C">
                  <w:pPr>
                    <w:spacing w:after="120"/>
                    <w:rPr>
                      <w:rFonts w:ascii="Calibri" w:eastAsia="Calibri" w:hAnsi="Calibri" w:cs="Calibri"/>
                      <w:sz w:val="24"/>
                      <w:szCs w:val="24"/>
                    </w:rPr>
                  </w:pPr>
                  <w:r w:rsidRPr="00D511FC">
                    <w:rPr>
                      <w:rFonts w:ascii="Calibri" w:eastAsia="Calibri" w:hAnsi="Calibri" w:cs="Calibri"/>
                      <w:sz w:val="24"/>
                      <w:szCs w:val="24"/>
                    </w:rPr>
                    <w:t xml:space="preserve">Habilitação de membro da diretoria-executiva ou de membro do </w:t>
                  </w:r>
                  <w:r w:rsidRPr="00D511FC">
                    <w:rPr>
                      <w:rFonts w:ascii="Calibri" w:eastAsia="Calibri" w:hAnsi="Calibri" w:cs="Calibri"/>
                      <w:sz w:val="24"/>
                      <w:szCs w:val="24"/>
                    </w:rPr>
                    <w:lastRenderedPageBreak/>
                    <w:t xml:space="preserve">conselho deliberativo ou do conselho fiscal de EFPC classificada </w:t>
                  </w:r>
                  <w:r w:rsidRPr="00D511FC">
                    <w:rPr>
                      <w:rFonts w:ascii="Calibri" w:eastAsia="Times New Roman" w:hAnsi="Calibri"/>
                      <w:sz w:val="24"/>
                      <w:szCs w:val="24"/>
                      <w:lang w:eastAsia="pt-BR"/>
                    </w:rPr>
                    <w:t>no segmento S1</w:t>
                  </w:r>
                  <w:r w:rsidRPr="00D511FC">
                    <w:rPr>
                      <w:rFonts w:ascii="Calibri" w:eastAsia="Calibri" w:hAnsi="Calibri" w:cs="Calibri"/>
                      <w:sz w:val="24"/>
                      <w:szCs w:val="24"/>
                    </w:rPr>
                    <w:t xml:space="preserve"> </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B5DCB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lastRenderedPageBreak/>
                    <w:t>10</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E03EA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D06A07"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8074F9" w14:textId="77777777" w:rsidR="00E6407C" w:rsidRPr="00D511FC" w:rsidRDefault="00E6407C" w:rsidP="00E6407C">
                  <w:pPr>
                    <w:spacing w:after="120"/>
                    <w:rPr>
                      <w:sz w:val="24"/>
                      <w:szCs w:val="24"/>
                    </w:rPr>
                  </w:pP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39/2021.</w:t>
                  </w:r>
                </w:p>
              </w:tc>
            </w:tr>
            <w:tr w:rsidR="00E6407C" w:rsidRPr="00D511FC" w14:paraId="350CDE4A"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0D3952"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5CE179" w14:textId="77777777" w:rsidR="00E6407C" w:rsidRPr="00D511FC" w:rsidRDefault="00E6407C" w:rsidP="00E6407C">
                  <w:pPr>
                    <w:spacing w:after="120"/>
                    <w:rPr>
                      <w:rFonts w:ascii="Calibri" w:eastAsia="Calibri" w:hAnsi="Calibri" w:cs="Calibri"/>
                      <w:sz w:val="24"/>
                      <w:szCs w:val="24"/>
                    </w:rPr>
                  </w:pPr>
                  <w:r w:rsidRPr="00D511FC">
                    <w:rPr>
                      <w:rFonts w:ascii="Calibri" w:eastAsia="Calibri" w:hAnsi="Calibri" w:cs="Calibri"/>
                      <w:sz w:val="24"/>
                      <w:szCs w:val="24"/>
                    </w:rPr>
                    <w:t>Habilitação de membro do conselho deliberativo ou do conselho fiscal de EFPC classificada no segmento S2</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429AE6"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3D4F63"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1B4224"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C502E5" w14:textId="77777777" w:rsidR="00E6407C" w:rsidRPr="00D511FC" w:rsidRDefault="00E6407C" w:rsidP="00E6407C">
                  <w:pPr>
                    <w:spacing w:after="120"/>
                    <w:rPr>
                      <w:sz w:val="24"/>
                      <w:szCs w:val="24"/>
                    </w:rPr>
                  </w:pP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39/2021.</w:t>
                  </w:r>
                </w:p>
              </w:tc>
            </w:tr>
            <w:tr w:rsidR="00E6407C" w:rsidRPr="00D511FC" w14:paraId="05700DE1"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B8813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420DFF" w14:textId="77777777" w:rsidR="00E6407C" w:rsidRPr="00D511FC" w:rsidRDefault="00E6407C" w:rsidP="00E6407C">
                  <w:pPr>
                    <w:spacing w:after="120"/>
                    <w:rPr>
                      <w:sz w:val="24"/>
                      <w:szCs w:val="24"/>
                    </w:rPr>
                  </w:pPr>
                  <w:r w:rsidRPr="00D511FC">
                    <w:rPr>
                      <w:rFonts w:ascii="Calibri" w:eastAsia="Calibri" w:hAnsi="Calibri" w:cs="Calibri"/>
                      <w:sz w:val="24"/>
                      <w:szCs w:val="24"/>
                    </w:rPr>
                    <w:t>Reconhecimento de instituição certificadora ou certificado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1FC281"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75CB05"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FA57E8" w14:textId="77777777" w:rsidR="00E6407C" w:rsidRPr="00D511FC" w:rsidRDefault="00E6407C" w:rsidP="00E6407C">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0B37FE" w14:textId="77777777" w:rsidR="00E6407C" w:rsidRPr="00D511FC" w:rsidRDefault="00E6407C" w:rsidP="00E6407C">
                  <w:pPr>
                    <w:spacing w:after="120"/>
                    <w:rPr>
                      <w:sz w:val="24"/>
                      <w:szCs w:val="24"/>
                    </w:rPr>
                  </w:pPr>
                  <w:proofErr w:type="spellStart"/>
                  <w:r w:rsidRPr="00D511FC">
                    <w:rPr>
                      <w:rFonts w:ascii="Calibri" w:eastAsia="Calibri" w:hAnsi="Calibri" w:cs="Calibri"/>
                      <w:sz w:val="24"/>
                      <w:szCs w:val="24"/>
                    </w:rPr>
                    <w:t>Resol</w:t>
                  </w:r>
                  <w:proofErr w:type="spellEnd"/>
                  <w:r w:rsidRPr="00D511FC">
                    <w:rPr>
                      <w:rFonts w:ascii="Calibri" w:eastAsia="Calibri" w:hAnsi="Calibri" w:cs="Calibri"/>
                      <w:sz w:val="24"/>
                      <w:szCs w:val="24"/>
                    </w:rPr>
                    <w:t>. CNPC nº 39/2021.</w:t>
                  </w:r>
                </w:p>
              </w:tc>
            </w:tr>
          </w:tbl>
          <w:p w14:paraId="36D114EE" w14:textId="77777777" w:rsidR="00E6407C" w:rsidRPr="00D511FC" w:rsidRDefault="00E6407C" w:rsidP="00E6407C">
            <w:pPr>
              <w:spacing w:before="120" w:after="120"/>
              <w:jc w:val="center"/>
              <w:rPr>
                <w:rFonts w:ascii="Calibri" w:eastAsia="Calibri" w:hAnsi="Calibri" w:cs="Calibri"/>
                <w:b/>
                <w:bCs/>
                <w:sz w:val="24"/>
                <w:szCs w:val="24"/>
              </w:rPr>
            </w:pPr>
          </w:p>
        </w:tc>
        <w:tc>
          <w:tcPr>
            <w:tcW w:w="3107" w:type="dxa"/>
          </w:tcPr>
          <w:p w14:paraId="4BAD2591" w14:textId="77777777" w:rsidR="00E6407C" w:rsidRPr="00D511FC" w:rsidRDefault="00E6407C" w:rsidP="00E6407C">
            <w:pPr>
              <w:spacing w:after="120"/>
              <w:jc w:val="center"/>
              <w:rPr>
                <w:rFonts w:ascii="Calibri" w:eastAsia="Calibri" w:hAnsi="Calibri" w:cs="Calibri"/>
                <w:b/>
                <w:bCs/>
                <w:sz w:val="24"/>
                <w:szCs w:val="24"/>
              </w:rPr>
            </w:pPr>
          </w:p>
        </w:tc>
        <w:tc>
          <w:tcPr>
            <w:tcW w:w="2552" w:type="dxa"/>
          </w:tcPr>
          <w:p w14:paraId="47193009" w14:textId="00BF730B" w:rsidR="00E6407C" w:rsidRPr="00D511FC" w:rsidRDefault="00E6407C" w:rsidP="00E6407C">
            <w:pPr>
              <w:spacing w:after="120"/>
              <w:jc w:val="center"/>
              <w:rPr>
                <w:rFonts w:ascii="Calibri" w:eastAsia="Calibri" w:hAnsi="Calibri" w:cs="Calibri"/>
                <w:b/>
                <w:bCs/>
                <w:sz w:val="24"/>
                <w:szCs w:val="24"/>
              </w:rPr>
            </w:pPr>
          </w:p>
        </w:tc>
        <w:tc>
          <w:tcPr>
            <w:tcW w:w="2505" w:type="dxa"/>
          </w:tcPr>
          <w:p w14:paraId="308DD26D" w14:textId="77777777" w:rsidR="00E6407C" w:rsidRPr="00D511FC" w:rsidRDefault="00E6407C" w:rsidP="00E6407C">
            <w:pPr>
              <w:spacing w:after="120"/>
              <w:jc w:val="center"/>
              <w:rPr>
                <w:rFonts w:ascii="Calibri" w:eastAsia="Calibri" w:hAnsi="Calibri" w:cs="Calibri"/>
                <w:b/>
                <w:bCs/>
                <w:sz w:val="24"/>
                <w:szCs w:val="24"/>
              </w:rPr>
            </w:pPr>
          </w:p>
        </w:tc>
      </w:tr>
      <w:tr w:rsidR="00E6407C" w:rsidRPr="00D511FC" w14:paraId="36A329C4" w14:textId="4BCE73C7" w:rsidTr="00E6407C">
        <w:tc>
          <w:tcPr>
            <w:tcW w:w="7252" w:type="dxa"/>
          </w:tcPr>
          <w:p w14:paraId="696922B3" w14:textId="77777777" w:rsidR="00E6407C" w:rsidRPr="00D511FC" w:rsidRDefault="00E6407C" w:rsidP="00E6407C">
            <w:pPr>
              <w:spacing w:before="120" w:after="120"/>
              <w:jc w:val="center"/>
              <w:rPr>
                <w:b/>
                <w:bCs/>
                <w:sz w:val="24"/>
                <w:szCs w:val="24"/>
              </w:rPr>
            </w:pPr>
          </w:p>
        </w:tc>
        <w:tc>
          <w:tcPr>
            <w:tcW w:w="3107" w:type="dxa"/>
          </w:tcPr>
          <w:p w14:paraId="0165116F" w14:textId="77777777" w:rsidR="00E6407C" w:rsidRPr="00D511FC" w:rsidRDefault="00E6407C" w:rsidP="00E6407C">
            <w:pPr>
              <w:spacing w:before="120" w:after="120"/>
              <w:jc w:val="center"/>
              <w:rPr>
                <w:b/>
                <w:bCs/>
                <w:sz w:val="24"/>
                <w:szCs w:val="24"/>
              </w:rPr>
            </w:pPr>
          </w:p>
        </w:tc>
        <w:tc>
          <w:tcPr>
            <w:tcW w:w="2552" w:type="dxa"/>
          </w:tcPr>
          <w:p w14:paraId="1D5A9216" w14:textId="77777777" w:rsidR="00E6407C" w:rsidRPr="00D511FC" w:rsidRDefault="00E6407C" w:rsidP="00E6407C">
            <w:pPr>
              <w:spacing w:before="120" w:after="120"/>
              <w:jc w:val="center"/>
              <w:rPr>
                <w:b/>
                <w:bCs/>
                <w:sz w:val="24"/>
                <w:szCs w:val="24"/>
              </w:rPr>
            </w:pPr>
          </w:p>
        </w:tc>
        <w:tc>
          <w:tcPr>
            <w:tcW w:w="2505" w:type="dxa"/>
          </w:tcPr>
          <w:p w14:paraId="4A3C8920" w14:textId="77777777" w:rsidR="00E6407C" w:rsidRPr="00D511FC" w:rsidRDefault="00E6407C" w:rsidP="00E6407C">
            <w:pPr>
              <w:spacing w:before="120" w:after="120"/>
              <w:jc w:val="center"/>
              <w:rPr>
                <w:b/>
                <w:bCs/>
                <w:sz w:val="24"/>
                <w:szCs w:val="24"/>
              </w:rPr>
            </w:pPr>
          </w:p>
        </w:tc>
      </w:tr>
      <w:tr w:rsidR="00E6407C" w:rsidRPr="00D511FC" w14:paraId="4CC48578" w14:textId="0F655B1B" w:rsidTr="00E6407C">
        <w:tc>
          <w:tcPr>
            <w:tcW w:w="7252" w:type="dxa"/>
          </w:tcPr>
          <w:p w14:paraId="5C192C47" w14:textId="77777777" w:rsidR="00E6407C" w:rsidRPr="00D511FC" w:rsidRDefault="00E6407C" w:rsidP="00E6407C">
            <w:pPr>
              <w:spacing w:before="120" w:after="120"/>
              <w:jc w:val="center"/>
              <w:rPr>
                <w:b/>
                <w:bCs/>
                <w:sz w:val="24"/>
                <w:szCs w:val="24"/>
              </w:rPr>
            </w:pPr>
            <w:r w:rsidRPr="00D511FC">
              <w:rPr>
                <w:b/>
                <w:bCs/>
                <w:sz w:val="24"/>
                <w:szCs w:val="24"/>
              </w:rPr>
              <w:t>ANEXO IV</w:t>
            </w:r>
          </w:p>
        </w:tc>
        <w:tc>
          <w:tcPr>
            <w:tcW w:w="3107" w:type="dxa"/>
          </w:tcPr>
          <w:p w14:paraId="17AC1B27" w14:textId="77777777" w:rsidR="00E6407C" w:rsidRPr="00D511FC" w:rsidRDefault="00E6407C" w:rsidP="00E6407C">
            <w:pPr>
              <w:spacing w:before="120" w:after="120"/>
              <w:jc w:val="center"/>
              <w:rPr>
                <w:b/>
                <w:bCs/>
                <w:sz w:val="24"/>
                <w:szCs w:val="24"/>
              </w:rPr>
            </w:pPr>
          </w:p>
        </w:tc>
        <w:tc>
          <w:tcPr>
            <w:tcW w:w="2552" w:type="dxa"/>
          </w:tcPr>
          <w:p w14:paraId="770766C1" w14:textId="4A00B1A6" w:rsidR="00E6407C" w:rsidRPr="00D511FC" w:rsidRDefault="00E6407C" w:rsidP="00E6407C">
            <w:pPr>
              <w:spacing w:before="120" w:after="120"/>
              <w:jc w:val="center"/>
              <w:rPr>
                <w:b/>
                <w:bCs/>
                <w:sz w:val="24"/>
                <w:szCs w:val="24"/>
              </w:rPr>
            </w:pPr>
          </w:p>
        </w:tc>
        <w:tc>
          <w:tcPr>
            <w:tcW w:w="2505" w:type="dxa"/>
          </w:tcPr>
          <w:p w14:paraId="3E64E36A" w14:textId="77777777" w:rsidR="00E6407C" w:rsidRPr="00D511FC" w:rsidRDefault="00E6407C" w:rsidP="00E6407C">
            <w:pPr>
              <w:spacing w:before="120" w:after="120"/>
              <w:jc w:val="center"/>
              <w:rPr>
                <w:b/>
                <w:bCs/>
                <w:sz w:val="24"/>
                <w:szCs w:val="24"/>
              </w:rPr>
            </w:pPr>
          </w:p>
        </w:tc>
      </w:tr>
      <w:tr w:rsidR="00E6407C" w:rsidRPr="00D511FC" w14:paraId="233801CC" w14:textId="3F7533B9" w:rsidTr="00E6407C">
        <w:tc>
          <w:tcPr>
            <w:tcW w:w="7252" w:type="dxa"/>
          </w:tcPr>
          <w:p w14:paraId="2A413917" w14:textId="77777777" w:rsidR="00E6407C" w:rsidRPr="00D511FC" w:rsidRDefault="00E6407C" w:rsidP="00E6407C">
            <w:pPr>
              <w:spacing w:after="120" w:line="257" w:lineRule="auto"/>
              <w:jc w:val="both"/>
              <w:rPr>
                <w:sz w:val="24"/>
                <w:szCs w:val="24"/>
              </w:rPr>
            </w:pPr>
            <w:r w:rsidRPr="00D511FC">
              <w:rPr>
                <w:rFonts w:ascii="Calibri" w:eastAsia="Calibri" w:hAnsi="Calibri" w:cs="Calibri"/>
                <w:sz w:val="24"/>
                <w:szCs w:val="24"/>
              </w:rPr>
              <w:t>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rsidRPr="00D511FC">
              <w:rPr>
                <w:rFonts w:ascii="Calibri" w:eastAsia="Calibri" w:hAnsi="Calibri" w:cs="Calibri"/>
                <w:sz w:val="24"/>
                <w:szCs w:val="24"/>
              </w:rPr>
              <w:t>Taﬁc</w:t>
            </w:r>
            <w:proofErr w:type="spellEnd"/>
            <w:r w:rsidRPr="00D511FC">
              <w:rPr>
                <w:rFonts w:ascii="Calibri" w:eastAsia="Calibri" w:hAnsi="Calibri" w:cs="Calibri"/>
                <w:sz w:val="24"/>
                <w:szCs w:val="24"/>
              </w:rPr>
              <w:t>):</w:t>
            </w:r>
          </w:p>
        </w:tc>
        <w:tc>
          <w:tcPr>
            <w:tcW w:w="3107" w:type="dxa"/>
          </w:tcPr>
          <w:p w14:paraId="7E37EABA" w14:textId="77777777" w:rsidR="00E6407C" w:rsidRPr="00D511FC" w:rsidRDefault="00E6407C" w:rsidP="00E6407C">
            <w:pPr>
              <w:spacing w:after="120" w:line="257" w:lineRule="auto"/>
              <w:jc w:val="both"/>
              <w:rPr>
                <w:rFonts w:ascii="Calibri" w:eastAsia="Calibri" w:hAnsi="Calibri" w:cs="Calibri"/>
                <w:sz w:val="24"/>
                <w:szCs w:val="24"/>
              </w:rPr>
            </w:pPr>
          </w:p>
        </w:tc>
        <w:tc>
          <w:tcPr>
            <w:tcW w:w="2552" w:type="dxa"/>
          </w:tcPr>
          <w:p w14:paraId="358A5D6B" w14:textId="409A6595" w:rsidR="00E6407C" w:rsidRPr="00D511FC" w:rsidRDefault="00E6407C" w:rsidP="00E6407C">
            <w:pPr>
              <w:spacing w:after="120" w:line="257" w:lineRule="auto"/>
              <w:jc w:val="both"/>
              <w:rPr>
                <w:rFonts w:ascii="Calibri" w:eastAsia="Calibri" w:hAnsi="Calibri" w:cs="Calibri"/>
                <w:sz w:val="24"/>
                <w:szCs w:val="24"/>
              </w:rPr>
            </w:pPr>
          </w:p>
        </w:tc>
        <w:tc>
          <w:tcPr>
            <w:tcW w:w="2505" w:type="dxa"/>
          </w:tcPr>
          <w:p w14:paraId="0E4E0E5C" w14:textId="77777777" w:rsidR="00E6407C" w:rsidRPr="00D511FC" w:rsidRDefault="00E6407C" w:rsidP="00E6407C">
            <w:pPr>
              <w:spacing w:after="120" w:line="257" w:lineRule="auto"/>
              <w:jc w:val="both"/>
              <w:rPr>
                <w:rFonts w:ascii="Calibri" w:eastAsia="Calibri" w:hAnsi="Calibri" w:cs="Calibri"/>
                <w:sz w:val="24"/>
                <w:szCs w:val="24"/>
              </w:rPr>
            </w:pPr>
          </w:p>
        </w:tc>
      </w:tr>
      <w:tr w:rsidR="00E6407C" w:rsidRPr="00D511FC" w14:paraId="2F0D4C07" w14:textId="6389A434" w:rsidTr="00E6407C">
        <w:tc>
          <w:tcPr>
            <w:tcW w:w="7252" w:type="dxa"/>
          </w:tcPr>
          <w:tbl>
            <w:tblPr>
              <w:tblStyle w:val="Tabelacomgrade"/>
              <w:tblW w:w="0" w:type="auto"/>
              <w:tblInd w:w="90" w:type="dxa"/>
              <w:tblLook w:val="04A0" w:firstRow="1" w:lastRow="0" w:firstColumn="1" w:lastColumn="0" w:noHBand="0" w:noVBand="1"/>
            </w:tblPr>
            <w:tblGrid>
              <w:gridCol w:w="4243"/>
              <w:gridCol w:w="2683"/>
            </w:tblGrid>
            <w:tr w:rsidR="00E6407C" w:rsidRPr="00D511FC" w14:paraId="35CCD333" w14:textId="77777777" w:rsidTr="005C38E7">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6A9ABCD"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630B642" w14:textId="77777777" w:rsidR="00E6407C" w:rsidRPr="00D511FC" w:rsidRDefault="00E6407C" w:rsidP="00E6407C">
                  <w:pPr>
                    <w:tabs>
                      <w:tab w:val="left" w:pos="1515"/>
                    </w:tabs>
                    <w:spacing w:before="120" w:after="120"/>
                    <w:jc w:val="center"/>
                    <w:rPr>
                      <w:sz w:val="24"/>
                      <w:szCs w:val="24"/>
                    </w:rPr>
                  </w:pPr>
                  <w:r w:rsidRPr="00D511FC">
                    <w:rPr>
                      <w:rFonts w:ascii="Calibri" w:eastAsia="Calibri" w:hAnsi="Calibri" w:cs="Calibri"/>
                      <w:sz w:val="24"/>
                      <w:szCs w:val="24"/>
                    </w:rPr>
                    <w:t>Taxa quadrimestral (R$)</w:t>
                  </w:r>
                </w:p>
              </w:tc>
            </w:tr>
            <w:tr w:rsidR="00E6407C" w:rsidRPr="00D511FC" w14:paraId="6CE3C75D"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DCF2179"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lastRenderedPageBreak/>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E43DF8B"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15,00</w:t>
                  </w:r>
                </w:p>
              </w:tc>
            </w:tr>
            <w:tr w:rsidR="00E6407C" w:rsidRPr="00D511FC" w14:paraId="54B0FDF8"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9641BE4"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08EE341"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125,00</w:t>
                  </w:r>
                </w:p>
              </w:tc>
            </w:tr>
            <w:tr w:rsidR="00E6407C" w:rsidRPr="00D511FC" w14:paraId="54F43742"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50BE644"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48D8A01"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325,00</w:t>
                  </w:r>
                </w:p>
              </w:tc>
            </w:tr>
            <w:tr w:rsidR="00E6407C" w:rsidRPr="00D511FC" w14:paraId="794A8F97"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7F8B239"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ADA06FA"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625,00</w:t>
                  </w:r>
                </w:p>
              </w:tc>
            </w:tr>
            <w:tr w:rsidR="00E6407C" w:rsidRPr="00D511FC" w14:paraId="223F8AB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738DD7"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8153FDB"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1.625,00</w:t>
                  </w:r>
                </w:p>
              </w:tc>
            </w:tr>
            <w:tr w:rsidR="00E6407C" w:rsidRPr="00D511FC" w14:paraId="2D2159A9"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B9D70F"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7C6451"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3.500,00</w:t>
                  </w:r>
                </w:p>
              </w:tc>
            </w:tr>
            <w:tr w:rsidR="00E6407C" w:rsidRPr="00D511FC" w14:paraId="5BC008B6"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37960E3"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286E306"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8.000,00</w:t>
                  </w:r>
                </w:p>
              </w:tc>
            </w:tr>
            <w:tr w:rsidR="00E6407C" w:rsidRPr="00D511FC" w14:paraId="6ACF9976"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11B1C69"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81DD05F"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12.000,00</w:t>
                  </w:r>
                </w:p>
              </w:tc>
            </w:tr>
            <w:tr w:rsidR="00E6407C" w:rsidRPr="00D511FC" w14:paraId="431FA839"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3F329D"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885767E"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20.000,00</w:t>
                  </w:r>
                </w:p>
              </w:tc>
            </w:tr>
            <w:tr w:rsidR="00E6407C" w:rsidRPr="00D511FC" w14:paraId="5155FB35"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085747D"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0AD2BAD4"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40.000,00</w:t>
                  </w:r>
                </w:p>
              </w:tc>
            </w:tr>
            <w:tr w:rsidR="00E6407C" w:rsidRPr="00D511FC" w14:paraId="1217F6B3"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92EFD3"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076E1C"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80.000,00</w:t>
                  </w:r>
                </w:p>
              </w:tc>
            </w:tr>
            <w:tr w:rsidR="00E6407C" w:rsidRPr="00D511FC" w14:paraId="4CAD4F0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5FF24A"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7DEE2BD"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200.000,00</w:t>
                  </w:r>
                </w:p>
              </w:tc>
            </w:tr>
            <w:tr w:rsidR="00E6407C" w:rsidRPr="00D511FC" w14:paraId="481F5337"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FBE1F6E"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C88EE9"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425.000,00</w:t>
                  </w:r>
                </w:p>
              </w:tc>
            </w:tr>
            <w:tr w:rsidR="00E6407C" w:rsidRPr="00D511FC" w14:paraId="61C47C5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4C84543"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lastRenderedPageBreak/>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21604D7"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750.000,00</w:t>
                  </w:r>
                </w:p>
              </w:tc>
            </w:tr>
            <w:tr w:rsidR="00E6407C" w:rsidRPr="00D511FC" w14:paraId="5FF6CF5F"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9E37724"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65E6FE1"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1.025.000,00</w:t>
                  </w:r>
                </w:p>
              </w:tc>
            </w:tr>
            <w:tr w:rsidR="00E6407C" w:rsidRPr="00D511FC" w14:paraId="4932A91C"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A7E580A"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C043A04"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1.375.000,00</w:t>
                  </w:r>
                </w:p>
              </w:tc>
            </w:tr>
            <w:tr w:rsidR="00E6407C" w:rsidRPr="00D511FC" w14:paraId="33E198E1"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78E622D"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C592B5E"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1.750.000,00</w:t>
                  </w:r>
                </w:p>
              </w:tc>
            </w:tr>
            <w:tr w:rsidR="00E6407C" w:rsidRPr="00D511FC" w14:paraId="69717358"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0B2C095"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49313F6" w14:textId="77777777" w:rsidR="00E6407C" w:rsidRPr="00D511FC" w:rsidRDefault="00E6407C" w:rsidP="00E6407C">
                  <w:pPr>
                    <w:tabs>
                      <w:tab w:val="left" w:pos="1515"/>
                    </w:tabs>
                    <w:spacing w:before="120" w:after="120"/>
                    <w:jc w:val="both"/>
                    <w:rPr>
                      <w:sz w:val="24"/>
                      <w:szCs w:val="24"/>
                    </w:rPr>
                  </w:pPr>
                  <w:r w:rsidRPr="00D511FC">
                    <w:rPr>
                      <w:rFonts w:ascii="Calibri" w:eastAsia="Calibri" w:hAnsi="Calibri" w:cs="Calibri"/>
                      <w:sz w:val="24"/>
                      <w:szCs w:val="24"/>
                    </w:rPr>
                    <w:t>2.225.000,00</w:t>
                  </w:r>
                </w:p>
              </w:tc>
            </w:tr>
          </w:tbl>
          <w:p w14:paraId="4062F2E7" w14:textId="77777777" w:rsidR="00E6407C" w:rsidRPr="00D511FC" w:rsidRDefault="00E6407C" w:rsidP="00E6407C">
            <w:pPr>
              <w:spacing w:before="120" w:after="120"/>
              <w:jc w:val="center"/>
              <w:rPr>
                <w:sz w:val="24"/>
                <w:szCs w:val="24"/>
              </w:rPr>
            </w:pPr>
            <w:r w:rsidRPr="00D511FC">
              <w:rPr>
                <w:rFonts w:ascii="Calibri" w:eastAsia="Calibri" w:hAnsi="Calibri" w:cs="Calibri"/>
                <w:sz w:val="24"/>
                <w:szCs w:val="24"/>
              </w:rPr>
              <w:t xml:space="preserve"> </w:t>
            </w:r>
          </w:p>
        </w:tc>
        <w:tc>
          <w:tcPr>
            <w:tcW w:w="3107" w:type="dxa"/>
          </w:tcPr>
          <w:p w14:paraId="0386A681" w14:textId="77777777" w:rsidR="00E6407C" w:rsidRPr="00D511FC" w:rsidRDefault="00E6407C" w:rsidP="00E6407C">
            <w:pPr>
              <w:tabs>
                <w:tab w:val="left" w:pos="1515"/>
              </w:tabs>
              <w:spacing w:before="120" w:after="120"/>
              <w:jc w:val="both"/>
              <w:rPr>
                <w:rFonts w:ascii="Calibri" w:eastAsia="Calibri" w:hAnsi="Calibri" w:cs="Calibri"/>
                <w:sz w:val="24"/>
                <w:szCs w:val="24"/>
              </w:rPr>
            </w:pPr>
          </w:p>
        </w:tc>
        <w:tc>
          <w:tcPr>
            <w:tcW w:w="2552" w:type="dxa"/>
          </w:tcPr>
          <w:p w14:paraId="4F78CE11" w14:textId="4234ED76" w:rsidR="00E6407C" w:rsidRPr="00D511FC" w:rsidRDefault="00E6407C" w:rsidP="00E6407C">
            <w:pPr>
              <w:tabs>
                <w:tab w:val="left" w:pos="1515"/>
              </w:tabs>
              <w:spacing w:before="120" w:after="120"/>
              <w:jc w:val="both"/>
              <w:rPr>
                <w:rFonts w:ascii="Calibri" w:eastAsia="Calibri" w:hAnsi="Calibri" w:cs="Calibri"/>
                <w:sz w:val="24"/>
                <w:szCs w:val="24"/>
              </w:rPr>
            </w:pPr>
          </w:p>
        </w:tc>
        <w:tc>
          <w:tcPr>
            <w:tcW w:w="2505" w:type="dxa"/>
          </w:tcPr>
          <w:p w14:paraId="326D555A" w14:textId="77777777" w:rsidR="00E6407C" w:rsidRPr="00D511FC" w:rsidRDefault="00E6407C" w:rsidP="00E6407C">
            <w:pPr>
              <w:tabs>
                <w:tab w:val="left" w:pos="1515"/>
              </w:tabs>
              <w:spacing w:before="120" w:after="120"/>
              <w:jc w:val="both"/>
              <w:rPr>
                <w:rFonts w:ascii="Calibri" w:eastAsia="Calibri" w:hAnsi="Calibri" w:cs="Calibri"/>
                <w:sz w:val="24"/>
                <w:szCs w:val="24"/>
              </w:rPr>
            </w:pPr>
          </w:p>
        </w:tc>
      </w:tr>
      <w:tr w:rsidR="00E6407C" w:rsidRPr="00D511FC" w14:paraId="69C47744" w14:textId="27703E34" w:rsidTr="00E6407C">
        <w:tc>
          <w:tcPr>
            <w:tcW w:w="7252" w:type="dxa"/>
          </w:tcPr>
          <w:p w14:paraId="196E35C7" w14:textId="77777777" w:rsidR="00E6407C" w:rsidRPr="00D511FC" w:rsidRDefault="00E6407C" w:rsidP="00E6407C">
            <w:pPr>
              <w:spacing w:before="120" w:after="120"/>
              <w:jc w:val="center"/>
              <w:rPr>
                <w:b/>
                <w:bCs/>
                <w:sz w:val="24"/>
                <w:szCs w:val="24"/>
              </w:rPr>
            </w:pPr>
          </w:p>
        </w:tc>
        <w:tc>
          <w:tcPr>
            <w:tcW w:w="3107" w:type="dxa"/>
          </w:tcPr>
          <w:p w14:paraId="3411C905" w14:textId="77777777" w:rsidR="00E6407C" w:rsidRPr="00D511FC" w:rsidRDefault="00E6407C" w:rsidP="00E6407C">
            <w:pPr>
              <w:spacing w:before="120" w:after="120"/>
              <w:jc w:val="center"/>
              <w:rPr>
                <w:b/>
                <w:bCs/>
                <w:sz w:val="24"/>
                <w:szCs w:val="24"/>
              </w:rPr>
            </w:pPr>
          </w:p>
        </w:tc>
        <w:tc>
          <w:tcPr>
            <w:tcW w:w="2552" w:type="dxa"/>
          </w:tcPr>
          <w:p w14:paraId="2959815C" w14:textId="77777777" w:rsidR="00E6407C" w:rsidRPr="00D511FC" w:rsidRDefault="00E6407C" w:rsidP="00E6407C">
            <w:pPr>
              <w:spacing w:before="120" w:after="120"/>
              <w:jc w:val="center"/>
              <w:rPr>
                <w:b/>
                <w:bCs/>
                <w:sz w:val="24"/>
                <w:szCs w:val="24"/>
              </w:rPr>
            </w:pPr>
          </w:p>
        </w:tc>
        <w:tc>
          <w:tcPr>
            <w:tcW w:w="2505" w:type="dxa"/>
          </w:tcPr>
          <w:p w14:paraId="180F28EF" w14:textId="77777777" w:rsidR="00E6407C" w:rsidRPr="00D511FC" w:rsidRDefault="00E6407C" w:rsidP="00E6407C">
            <w:pPr>
              <w:spacing w:before="120" w:after="120"/>
              <w:jc w:val="center"/>
              <w:rPr>
                <w:b/>
                <w:bCs/>
                <w:sz w:val="24"/>
                <w:szCs w:val="24"/>
              </w:rPr>
            </w:pPr>
          </w:p>
        </w:tc>
      </w:tr>
      <w:tr w:rsidR="00E6407C" w:rsidRPr="00D511FC" w14:paraId="767C93E6" w14:textId="18A21CB6" w:rsidTr="00E6407C">
        <w:tc>
          <w:tcPr>
            <w:tcW w:w="7252" w:type="dxa"/>
          </w:tcPr>
          <w:p w14:paraId="2C2A86A8" w14:textId="77777777" w:rsidR="00E6407C" w:rsidRPr="00D511FC" w:rsidRDefault="00E6407C" w:rsidP="00E6407C">
            <w:pPr>
              <w:spacing w:before="120" w:after="120"/>
              <w:jc w:val="center"/>
              <w:rPr>
                <w:b/>
                <w:bCs/>
                <w:sz w:val="24"/>
                <w:szCs w:val="24"/>
              </w:rPr>
            </w:pPr>
            <w:r w:rsidRPr="00D511FC">
              <w:rPr>
                <w:b/>
                <w:bCs/>
                <w:sz w:val="24"/>
                <w:szCs w:val="24"/>
              </w:rPr>
              <w:t>ANEXO V</w:t>
            </w:r>
          </w:p>
        </w:tc>
        <w:tc>
          <w:tcPr>
            <w:tcW w:w="3107" w:type="dxa"/>
          </w:tcPr>
          <w:p w14:paraId="40919DFD" w14:textId="77777777" w:rsidR="00E6407C" w:rsidRPr="00D511FC" w:rsidRDefault="00E6407C" w:rsidP="00E6407C">
            <w:pPr>
              <w:spacing w:before="120" w:after="120"/>
              <w:jc w:val="center"/>
              <w:rPr>
                <w:b/>
                <w:bCs/>
                <w:sz w:val="24"/>
                <w:szCs w:val="24"/>
              </w:rPr>
            </w:pPr>
          </w:p>
        </w:tc>
        <w:tc>
          <w:tcPr>
            <w:tcW w:w="2552" w:type="dxa"/>
          </w:tcPr>
          <w:p w14:paraId="029661A9" w14:textId="5FAE6626" w:rsidR="00E6407C" w:rsidRPr="00D511FC" w:rsidRDefault="00E6407C" w:rsidP="00E6407C">
            <w:pPr>
              <w:spacing w:before="120" w:after="120"/>
              <w:jc w:val="center"/>
              <w:rPr>
                <w:b/>
                <w:bCs/>
                <w:sz w:val="24"/>
                <w:szCs w:val="24"/>
              </w:rPr>
            </w:pPr>
          </w:p>
        </w:tc>
        <w:tc>
          <w:tcPr>
            <w:tcW w:w="2505" w:type="dxa"/>
          </w:tcPr>
          <w:p w14:paraId="1E343B53" w14:textId="77777777" w:rsidR="00E6407C" w:rsidRPr="00D511FC" w:rsidRDefault="00E6407C" w:rsidP="00E6407C">
            <w:pPr>
              <w:spacing w:before="120" w:after="120"/>
              <w:jc w:val="center"/>
              <w:rPr>
                <w:b/>
                <w:bCs/>
                <w:sz w:val="24"/>
                <w:szCs w:val="24"/>
              </w:rPr>
            </w:pPr>
          </w:p>
        </w:tc>
      </w:tr>
      <w:tr w:rsidR="00E6407C" w:rsidRPr="00D511FC" w14:paraId="33A23339" w14:textId="54D4A463" w:rsidTr="00E6407C">
        <w:tc>
          <w:tcPr>
            <w:tcW w:w="7252" w:type="dxa"/>
          </w:tcPr>
          <w:p w14:paraId="2442D997" w14:textId="77777777" w:rsidR="00E6407C" w:rsidRPr="00D511FC" w:rsidRDefault="00E6407C" w:rsidP="00E6407C">
            <w:pPr>
              <w:tabs>
                <w:tab w:val="left" w:pos="709"/>
              </w:tabs>
              <w:spacing w:before="120" w:after="120"/>
              <w:jc w:val="both"/>
              <w:rPr>
                <w:sz w:val="24"/>
                <w:szCs w:val="24"/>
              </w:rPr>
            </w:pPr>
          </w:p>
        </w:tc>
        <w:tc>
          <w:tcPr>
            <w:tcW w:w="3107" w:type="dxa"/>
          </w:tcPr>
          <w:p w14:paraId="5DA3FE15" w14:textId="77777777" w:rsidR="00E6407C" w:rsidRPr="00D511FC" w:rsidRDefault="00E6407C" w:rsidP="00E6407C">
            <w:pPr>
              <w:tabs>
                <w:tab w:val="left" w:pos="709"/>
              </w:tabs>
              <w:spacing w:before="120" w:after="120"/>
              <w:jc w:val="both"/>
              <w:rPr>
                <w:sz w:val="24"/>
                <w:szCs w:val="24"/>
              </w:rPr>
            </w:pPr>
          </w:p>
        </w:tc>
        <w:tc>
          <w:tcPr>
            <w:tcW w:w="2552" w:type="dxa"/>
          </w:tcPr>
          <w:p w14:paraId="0A778958" w14:textId="2D66D91D" w:rsidR="00E6407C" w:rsidRPr="00D511FC" w:rsidRDefault="00E6407C" w:rsidP="00E6407C">
            <w:pPr>
              <w:tabs>
                <w:tab w:val="left" w:pos="709"/>
              </w:tabs>
              <w:spacing w:before="120" w:after="120"/>
              <w:jc w:val="both"/>
              <w:rPr>
                <w:sz w:val="24"/>
                <w:szCs w:val="24"/>
              </w:rPr>
            </w:pPr>
          </w:p>
        </w:tc>
        <w:tc>
          <w:tcPr>
            <w:tcW w:w="2505" w:type="dxa"/>
          </w:tcPr>
          <w:p w14:paraId="7CB33D82" w14:textId="77777777" w:rsidR="00E6407C" w:rsidRPr="00D511FC" w:rsidRDefault="00E6407C" w:rsidP="00E6407C">
            <w:pPr>
              <w:tabs>
                <w:tab w:val="left" w:pos="709"/>
              </w:tabs>
              <w:spacing w:before="120" w:after="120"/>
              <w:jc w:val="both"/>
              <w:rPr>
                <w:sz w:val="24"/>
                <w:szCs w:val="24"/>
              </w:rPr>
            </w:pPr>
          </w:p>
        </w:tc>
      </w:tr>
      <w:tr w:rsidR="00E6407C" w:rsidRPr="00D511FC" w14:paraId="74645B2D" w14:textId="034B9260" w:rsidTr="00E6407C">
        <w:tc>
          <w:tcPr>
            <w:tcW w:w="7252" w:type="dxa"/>
          </w:tcPr>
          <w:p w14:paraId="7093E27A" w14:textId="77777777" w:rsidR="00E6407C" w:rsidRPr="00D511FC" w:rsidRDefault="00E6407C" w:rsidP="00E6407C">
            <w:pPr>
              <w:tabs>
                <w:tab w:val="left" w:pos="709"/>
              </w:tabs>
              <w:spacing w:before="120" w:after="120"/>
              <w:jc w:val="both"/>
              <w:rPr>
                <w:sz w:val="24"/>
                <w:szCs w:val="24"/>
              </w:rPr>
            </w:pPr>
            <w:r w:rsidRPr="00D511FC">
              <w:rPr>
                <w:rFonts w:ascii="Calibri" w:eastAsia="Calibri" w:hAnsi="Calibri" w:cs="Calibri"/>
                <w:b/>
                <w:bCs/>
                <w:sz w:val="24"/>
                <w:szCs w:val="24"/>
              </w:rPr>
              <w:t>Pontos = Reservas Matemáticas + Ativo Total + Participantes Ativos + Participantes Assistidos</w:t>
            </w:r>
          </w:p>
        </w:tc>
        <w:tc>
          <w:tcPr>
            <w:tcW w:w="3107" w:type="dxa"/>
          </w:tcPr>
          <w:p w14:paraId="6B94ECCE" w14:textId="77777777" w:rsidR="00E6407C" w:rsidRPr="00D511FC" w:rsidRDefault="00E6407C" w:rsidP="00E6407C">
            <w:pPr>
              <w:tabs>
                <w:tab w:val="left" w:pos="709"/>
              </w:tabs>
              <w:spacing w:before="120" w:after="120"/>
              <w:jc w:val="both"/>
              <w:rPr>
                <w:rFonts w:ascii="Calibri" w:eastAsia="Calibri" w:hAnsi="Calibri" w:cs="Calibri"/>
                <w:b/>
                <w:bCs/>
                <w:sz w:val="24"/>
                <w:szCs w:val="24"/>
              </w:rPr>
            </w:pPr>
          </w:p>
        </w:tc>
        <w:tc>
          <w:tcPr>
            <w:tcW w:w="2552" w:type="dxa"/>
          </w:tcPr>
          <w:p w14:paraId="7A2E4F78" w14:textId="77574F95" w:rsidR="00E6407C" w:rsidRPr="00D511FC" w:rsidRDefault="00E6407C" w:rsidP="00E6407C">
            <w:pPr>
              <w:tabs>
                <w:tab w:val="left" w:pos="709"/>
              </w:tabs>
              <w:spacing w:before="120" w:after="120"/>
              <w:jc w:val="both"/>
              <w:rPr>
                <w:rFonts w:ascii="Calibri" w:eastAsia="Calibri" w:hAnsi="Calibri" w:cs="Calibri"/>
                <w:b/>
                <w:bCs/>
                <w:sz w:val="24"/>
                <w:szCs w:val="24"/>
              </w:rPr>
            </w:pPr>
          </w:p>
        </w:tc>
        <w:tc>
          <w:tcPr>
            <w:tcW w:w="2505" w:type="dxa"/>
          </w:tcPr>
          <w:p w14:paraId="053B20F4" w14:textId="77777777" w:rsidR="00E6407C" w:rsidRPr="00D511FC" w:rsidRDefault="00E6407C" w:rsidP="00E6407C">
            <w:pPr>
              <w:tabs>
                <w:tab w:val="left" w:pos="709"/>
              </w:tabs>
              <w:spacing w:before="120" w:after="120"/>
              <w:jc w:val="both"/>
              <w:rPr>
                <w:rFonts w:ascii="Calibri" w:eastAsia="Calibri" w:hAnsi="Calibri" w:cs="Calibri"/>
                <w:b/>
                <w:bCs/>
                <w:sz w:val="24"/>
                <w:szCs w:val="24"/>
              </w:rPr>
            </w:pPr>
          </w:p>
        </w:tc>
      </w:tr>
      <w:tr w:rsidR="00E6407C" w:rsidRPr="00D511FC" w14:paraId="3E6B2CBF" w14:textId="486BED56" w:rsidTr="00E6407C">
        <w:tc>
          <w:tcPr>
            <w:tcW w:w="7252" w:type="dxa"/>
          </w:tcPr>
          <w:p w14:paraId="490ACD1A" w14:textId="77777777" w:rsidR="00E6407C" w:rsidRPr="00D511FC" w:rsidRDefault="00E6407C" w:rsidP="00E6407C">
            <w:pPr>
              <w:tabs>
                <w:tab w:val="left" w:pos="709"/>
              </w:tabs>
              <w:spacing w:before="120" w:after="120"/>
              <w:jc w:val="both"/>
              <w:rPr>
                <w:sz w:val="24"/>
                <w:szCs w:val="24"/>
              </w:rPr>
            </w:pPr>
            <w:r w:rsidRPr="00D511FC">
              <w:rPr>
                <w:rFonts w:ascii="Calibri" w:eastAsia="Calibri" w:hAnsi="Calibri" w:cs="Calibri"/>
                <w:sz w:val="24"/>
                <w:szCs w:val="24"/>
              </w:rPr>
              <w:t>Onde:</w:t>
            </w:r>
          </w:p>
        </w:tc>
        <w:tc>
          <w:tcPr>
            <w:tcW w:w="3107" w:type="dxa"/>
          </w:tcPr>
          <w:p w14:paraId="78508243" w14:textId="77777777" w:rsidR="00E6407C" w:rsidRPr="00D511FC" w:rsidRDefault="00E6407C" w:rsidP="00E6407C">
            <w:pPr>
              <w:tabs>
                <w:tab w:val="left" w:pos="709"/>
              </w:tabs>
              <w:spacing w:before="120" w:after="120"/>
              <w:jc w:val="both"/>
              <w:rPr>
                <w:rFonts w:ascii="Calibri" w:eastAsia="Calibri" w:hAnsi="Calibri" w:cs="Calibri"/>
                <w:sz w:val="24"/>
                <w:szCs w:val="24"/>
              </w:rPr>
            </w:pPr>
          </w:p>
        </w:tc>
        <w:tc>
          <w:tcPr>
            <w:tcW w:w="2552" w:type="dxa"/>
          </w:tcPr>
          <w:p w14:paraId="2026A55F" w14:textId="4B4D8768" w:rsidR="00E6407C" w:rsidRPr="00D511FC" w:rsidRDefault="00E6407C" w:rsidP="00E6407C">
            <w:pPr>
              <w:tabs>
                <w:tab w:val="left" w:pos="709"/>
              </w:tabs>
              <w:spacing w:before="120" w:after="120"/>
              <w:jc w:val="both"/>
              <w:rPr>
                <w:rFonts w:ascii="Calibri" w:eastAsia="Calibri" w:hAnsi="Calibri" w:cs="Calibri"/>
                <w:sz w:val="24"/>
                <w:szCs w:val="24"/>
              </w:rPr>
            </w:pPr>
          </w:p>
        </w:tc>
        <w:tc>
          <w:tcPr>
            <w:tcW w:w="2505" w:type="dxa"/>
          </w:tcPr>
          <w:p w14:paraId="6F7CCBA7" w14:textId="77777777" w:rsidR="00E6407C" w:rsidRPr="00D511FC" w:rsidRDefault="00E6407C" w:rsidP="00E6407C">
            <w:pPr>
              <w:tabs>
                <w:tab w:val="left" w:pos="709"/>
              </w:tabs>
              <w:spacing w:before="120" w:after="120"/>
              <w:jc w:val="both"/>
              <w:rPr>
                <w:rFonts w:ascii="Calibri" w:eastAsia="Calibri" w:hAnsi="Calibri" w:cs="Calibri"/>
                <w:sz w:val="24"/>
                <w:szCs w:val="24"/>
              </w:rPr>
            </w:pPr>
          </w:p>
        </w:tc>
      </w:tr>
      <w:tr w:rsidR="00E6407C" w:rsidRPr="00D511FC" w14:paraId="15ACF008" w14:textId="219DCB44" w:rsidTr="00E6407C">
        <w:tc>
          <w:tcPr>
            <w:tcW w:w="7252" w:type="dxa"/>
          </w:tcPr>
          <w:p w14:paraId="30A06E1C" w14:textId="77777777" w:rsidR="00E6407C" w:rsidRPr="00D511FC" w:rsidRDefault="00E6407C" w:rsidP="00E6407C">
            <w:pPr>
              <w:tabs>
                <w:tab w:val="left" w:pos="709"/>
              </w:tabs>
              <w:spacing w:before="120" w:after="120"/>
              <w:jc w:val="both"/>
              <w:rPr>
                <w:sz w:val="24"/>
                <w:szCs w:val="24"/>
              </w:rPr>
            </w:pPr>
            <w:r w:rsidRPr="00D511FC">
              <w:rPr>
                <w:rFonts w:ascii="Calibri" w:eastAsia="Calibri" w:hAnsi="Calibri" w:cs="Calibri"/>
                <w:sz w:val="24"/>
                <w:szCs w:val="24"/>
              </w:rPr>
              <w:t xml:space="preserve"> </w:t>
            </w:r>
          </w:p>
        </w:tc>
        <w:tc>
          <w:tcPr>
            <w:tcW w:w="3107" w:type="dxa"/>
          </w:tcPr>
          <w:p w14:paraId="3F3B6790" w14:textId="77777777" w:rsidR="00E6407C" w:rsidRPr="00D511FC" w:rsidRDefault="00E6407C" w:rsidP="00E6407C">
            <w:pPr>
              <w:tabs>
                <w:tab w:val="left" w:pos="709"/>
              </w:tabs>
              <w:spacing w:before="120" w:after="120"/>
              <w:jc w:val="both"/>
              <w:rPr>
                <w:rFonts w:ascii="Calibri" w:eastAsia="Calibri" w:hAnsi="Calibri" w:cs="Calibri"/>
                <w:sz w:val="24"/>
                <w:szCs w:val="24"/>
              </w:rPr>
            </w:pPr>
          </w:p>
        </w:tc>
        <w:tc>
          <w:tcPr>
            <w:tcW w:w="2552" w:type="dxa"/>
          </w:tcPr>
          <w:p w14:paraId="562DA99B" w14:textId="43A22A3E" w:rsidR="00E6407C" w:rsidRPr="00D511FC" w:rsidRDefault="00E6407C" w:rsidP="00E6407C">
            <w:pPr>
              <w:tabs>
                <w:tab w:val="left" w:pos="709"/>
              </w:tabs>
              <w:spacing w:before="120" w:after="120"/>
              <w:jc w:val="both"/>
              <w:rPr>
                <w:rFonts w:ascii="Calibri" w:eastAsia="Calibri" w:hAnsi="Calibri" w:cs="Calibri"/>
                <w:sz w:val="24"/>
                <w:szCs w:val="24"/>
              </w:rPr>
            </w:pPr>
          </w:p>
        </w:tc>
        <w:tc>
          <w:tcPr>
            <w:tcW w:w="2505" w:type="dxa"/>
          </w:tcPr>
          <w:p w14:paraId="3D8BC473" w14:textId="77777777" w:rsidR="00E6407C" w:rsidRPr="00D511FC" w:rsidRDefault="00E6407C" w:rsidP="00E6407C">
            <w:pPr>
              <w:tabs>
                <w:tab w:val="left" w:pos="709"/>
              </w:tabs>
              <w:spacing w:before="120" w:after="120"/>
              <w:jc w:val="both"/>
              <w:rPr>
                <w:rFonts w:ascii="Calibri" w:eastAsia="Calibri" w:hAnsi="Calibri" w:cs="Calibri"/>
                <w:sz w:val="24"/>
                <w:szCs w:val="24"/>
              </w:rPr>
            </w:pPr>
          </w:p>
        </w:tc>
      </w:tr>
      <w:tr w:rsidR="00E6407C" w:rsidRPr="00D511FC" w14:paraId="2B68C9E0" w14:textId="35FC33F7" w:rsidTr="00E6407C">
        <w:tc>
          <w:tcPr>
            <w:tcW w:w="7252" w:type="dxa"/>
          </w:tcPr>
          <w:tbl>
            <w:tblPr>
              <w:tblW w:w="0" w:type="auto"/>
              <w:tblLook w:val="06A0" w:firstRow="1" w:lastRow="0" w:firstColumn="1" w:lastColumn="0" w:noHBand="1" w:noVBand="1"/>
            </w:tblPr>
            <w:tblGrid>
              <w:gridCol w:w="5070"/>
              <w:gridCol w:w="1575"/>
            </w:tblGrid>
            <w:tr w:rsidR="00E6407C" w:rsidRPr="00D511FC" w14:paraId="42611278"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811DCD"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RESERVAS MATEMÁTICAS</w:t>
                  </w:r>
                </w:p>
              </w:tc>
            </w:tr>
            <w:tr w:rsidR="00E6407C" w:rsidRPr="00D511FC" w14:paraId="3D2C4C3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10E6CFF"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Até R$ 100.000.000,00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41783F97"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50 pontos</w:t>
                  </w:r>
                </w:p>
              </w:tc>
            </w:tr>
            <w:tr w:rsidR="00E6407C" w:rsidRPr="00D511FC" w14:paraId="427F20D5"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7758577"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lastRenderedPageBreak/>
                    <w:t>De R$ 100.000.000,01 a R$ 300.000.000,00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28E271C"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100 pontos</w:t>
                  </w:r>
                </w:p>
              </w:tc>
            </w:tr>
            <w:tr w:rsidR="00E6407C" w:rsidRPr="00D511FC" w14:paraId="30DFEAA4"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21B660B"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R$ 300.000.000,01 a R$ 1.000.000.000,00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0268599"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150 pontos</w:t>
                  </w:r>
                </w:p>
              </w:tc>
            </w:tr>
            <w:tr w:rsidR="00E6407C" w:rsidRPr="00D511FC" w14:paraId="2F82A9D2"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93967ED"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R$ 1.000.000.000,01 a R$ 5.000.000.000,00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54BA7A"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200 pontos</w:t>
                  </w:r>
                </w:p>
              </w:tc>
            </w:tr>
            <w:tr w:rsidR="00E6407C" w:rsidRPr="00D511FC" w14:paraId="03228C6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B9AC6A"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Acima de R$ 5.000.000.00,01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8183127"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250 pontos</w:t>
                  </w:r>
                </w:p>
              </w:tc>
            </w:tr>
          </w:tbl>
          <w:p w14:paraId="5F71CA3F" w14:textId="77777777" w:rsidR="00E6407C" w:rsidRPr="00D511FC" w:rsidRDefault="00E6407C" w:rsidP="00E6407C">
            <w:pPr>
              <w:tabs>
                <w:tab w:val="left" w:pos="709"/>
              </w:tabs>
              <w:spacing w:before="120" w:after="120"/>
              <w:jc w:val="both"/>
              <w:rPr>
                <w:sz w:val="24"/>
                <w:szCs w:val="24"/>
              </w:rPr>
            </w:pPr>
            <w:r w:rsidRPr="00D511FC">
              <w:rPr>
                <w:rFonts w:ascii="Calibri" w:eastAsia="Calibri" w:hAnsi="Calibri" w:cs="Calibri"/>
                <w:sz w:val="24"/>
                <w:szCs w:val="24"/>
              </w:rPr>
              <w:t xml:space="preserve"> </w:t>
            </w:r>
          </w:p>
        </w:tc>
        <w:tc>
          <w:tcPr>
            <w:tcW w:w="3107" w:type="dxa"/>
          </w:tcPr>
          <w:p w14:paraId="6AD43324" w14:textId="77777777" w:rsidR="00E6407C" w:rsidRPr="00D511FC" w:rsidRDefault="00E6407C" w:rsidP="00E6407C">
            <w:pPr>
              <w:spacing w:before="120" w:after="120"/>
              <w:jc w:val="center"/>
              <w:rPr>
                <w:rFonts w:ascii="Calibri" w:eastAsia="Calibri" w:hAnsi="Calibri" w:cs="Calibri"/>
                <w:b/>
                <w:bCs/>
                <w:sz w:val="24"/>
                <w:szCs w:val="24"/>
              </w:rPr>
            </w:pPr>
          </w:p>
        </w:tc>
        <w:tc>
          <w:tcPr>
            <w:tcW w:w="2552" w:type="dxa"/>
          </w:tcPr>
          <w:p w14:paraId="4917D4BA" w14:textId="6500CD63" w:rsidR="00E6407C" w:rsidRPr="00D511FC" w:rsidRDefault="00E6407C" w:rsidP="00E6407C">
            <w:pPr>
              <w:spacing w:before="120" w:after="120"/>
              <w:jc w:val="center"/>
              <w:rPr>
                <w:rFonts w:ascii="Calibri" w:eastAsia="Calibri" w:hAnsi="Calibri" w:cs="Calibri"/>
                <w:b/>
                <w:bCs/>
                <w:sz w:val="24"/>
                <w:szCs w:val="24"/>
              </w:rPr>
            </w:pPr>
          </w:p>
        </w:tc>
        <w:tc>
          <w:tcPr>
            <w:tcW w:w="2505" w:type="dxa"/>
          </w:tcPr>
          <w:p w14:paraId="27624973" w14:textId="77777777" w:rsidR="00E6407C" w:rsidRPr="00D511FC" w:rsidRDefault="00E6407C" w:rsidP="00E6407C">
            <w:pPr>
              <w:spacing w:before="120" w:after="120"/>
              <w:jc w:val="center"/>
              <w:rPr>
                <w:rFonts w:ascii="Calibri" w:eastAsia="Calibri" w:hAnsi="Calibri" w:cs="Calibri"/>
                <w:b/>
                <w:bCs/>
                <w:sz w:val="24"/>
                <w:szCs w:val="24"/>
              </w:rPr>
            </w:pPr>
          </w:p>
        </w:tc>
      </w:tr>
      <w:tr w:rsidR="00E6407C" w14:paraId="6B7B4C26" w14:textId="00A87588" w:rsidTr="00E6407C">
        <w:tc>
          <w:tcPr>
            <w:tcW w:w="7252" w:type="dxa"/>
          </w:tcPr>
          <w:tbl>
            <w:tblPr>
              <w:tblW w:w="0" w:type="auto"/>
              <w:tblLook w:val="06A0" w:firstRow="1" w:lastRow="0" w:firstColumn="1" w:lastColumn="0" w:noHBand="1" w:noVBand="1"/>
            </w:tblPr>
            <w:tblGrid>
              <w:gridCol w:w="5070"/>
              <w:gridCol w:w="1575"/>
            </w:tblGrid>
            <w:tr w:rsidR="00E6407C" w:rsidRPr="00D511FC" w14:paraId="47C0DCAD"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E1571EF"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ATIVO TOTAL</w:t>
                  </w:r>
                </w:p>
              </w:tc>
            </w:tr>
            <w:tr w:rsidR="00E6407C" w:rsidRPr="00D511FC" w14:paraId="7114CFFA"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CDEC69E"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Até R$ 50.000.000,00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19767936"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50 pontos</w:t>
                  </w:r>
                </w:p>
              </w:tc>
            </w:tr>
            <w:tr w:rsidR="00E6407C" w:rsidRPr="00D511FC" w14:paraId="70A7E6CB"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67B8EF9"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R$ 50.000.000,01 a R$ 250.000.000,00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D28C8B1"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100 pontos</w:t>
                  </w:r>
                </w:p>
              </w:tc>
            </w:tr>
            <w:tr w:rsidR="00E6407C" w:rsidRPr="00D511FC" w14:paraId="79D8FA04"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44DF84C"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R$ 250.000.000,01 a R$ 2.000.000.000,00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E3B73DE"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150 pontos</w:t>
                  </w:r>
                </w:p>
              </w:tc>
            </w:tr>
            <w:tr w:rsidR="00E6407C" w:rsidRPr="00D511FC" w14:paraId="22B1805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3FC5ABA"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R$ 2.000.000.000,01 a R$ 10.000.000.000,00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3313B01"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200 pontos</w:t>
                  </w:r>
                </w:p>
              </w:tc>
            </w:tr>
            <w:tr w:rsidR="00E6407C" w:rsidRPr="00D511FC" w14:paraId="2DA4C60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E9631F3"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Acima de R$ 10.000.000.00,01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306F9AA"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250 pontos</w:t>
                  </w:r>
                </w:p>
              </w:tc>
            </w:tr>
            <w:tr w:rsidR="00E6407C" w:rsidRPr="00D511FC" w14:paraId="091507B3" w14:textId="77777777" w:rsidTr="005C38E7">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254EABA7"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561BF1B8"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 </w:t>
                  </w:r>
                </w:p>
              </w:tc>
            </w:tr>
            <w:tr w:rsidR="00E6407C" w:rsidRPr="00D511FC" w14:paraId="35A323D5"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6D50811"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PARTICIPANTES ATIVOS</w:t>
                  </w:r>
                </w:p>
              </w:tc>
            </w:tr>
            <w:tr w:rsidR="00E6407C" w:rsidRPr="00D511FC" w14:paraId="33C87F86"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A269EF"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Até 2.000 participantes ativos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47C6E192"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 xml:space="preserve">  50 pontos</w:t>
                  </w:r>
                </w:p>
              </w:tc>
            </w:tr>
            <w:tr w:rsidR="00E6407C" w:rsidRPr="00D511FC" w14:paraId="219A4FAE"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DD0F738"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2.001 a 4.000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4A8FA62"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100 pontos</w:t>
                  </w:r>
                </w:p>
              </w:tc>
            </w:tr>
            <w:tr w:rsidR="00E6407C" w:rsidRPr="00D511FC" w14:paraId="39F71CF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7EF8407"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4.001 a 6.000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A8D4C2"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150 pontos</w:t>
                  </w:r>
                </w:p>
              </w:tc>
            </w:tr>
            <w:tr w:rsidR="00E6407C" w:rsidRPr="00D511FC" w14:paraId="5E7357E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1F5818"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lastRenderedPageBreak/>
                    <w:t>De 6.001 a 8.000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583702D"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200 pontos</w:t>
                  </w:r>
                </w:p>
              </w:tc>
            </w:tr>
            <w:tr w:rsidR="00E6407C" w:rsidRPr="00D511FC" w14:paraId="32FCEF1F"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00CFF4"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Acima de 8.001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C368799"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250 pontos</w:t>
                  </w:r>
                </w:p>
              </w:tc>
            </w:tr>
            <w:tr w:rsidR="00E6407C" w:rsidRPr="00D511FC" w14:paraId="47B1B55E" w14:textId="77777777" w:rsidTr="005C38E7">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2C6E3960"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1B9BEBCC"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 xml:space="preserve"> </w:t>
                  </w:r>
                </w:p>
              </w:tc>
            </w:tr>
            <w:tr w:rsidR="00E6407C" w:rsidRPr="00D511FC" w14:paraId="7E582C27"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787C333" w14:textId="77777777" w:rsidR="00E6407C" w:rsidRPr="00D511FC" w:rsidRDefault="00E6407C" w:rsidP="00E6407C">
                  <w:pPr>
                    <w:spacing w:before="120" w:after="120"/>
                    <w:jc w:val="center"/>
                    <w:rPr>
                      <w:sz w:val="24"/>
                      <w:szCs w:val="24"/>
                    </w:rPr>
                  </w:pPr>
                  <w:r w:rsidRPr="00D511FC">
                    <w:rPr>
                      <w:rFonts w:ascii="Calibri" w:eastAsia="Calibri" w:hAnsi="Calibri" w:cs="Calibri"/>
                      <w:b/>
                      <w:bCs/>
                      <w:sz w:val="24"/>
                      <w:szCs w:val="24"/>
                    </w:rPr>
                    <w:t>PARTICIPANTES ASSISTIDOS</w:t>
                  </w:r>
                </w:p>
              </w:tc>
            </w:tr>
            <w:tr w:rsidR="00E6407C" w:rsidRPr="00D511FC" w14:paraId="7F1E06E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7A2CFF4"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Até 500 participantes assistidos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5C1079D0"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 xml:space="preserve">  50 pontos</w:t>
                  </w:r>
                </w:p>
              </w:tc>
            </w:tr>
            <w:tr w:rsidR="00E6407C" w:rsidRPr="00D511FC" w14:paraId="1B13C95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DFC1D7E"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501 a 2.000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C044690"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100 pontos</w:t>
                  </w:r>
                </w:p>
              </w:tc>
            </w:tr>
            <w:tr w:rsidR="00E6407C" w:rsidRPr="00D511FC" w14:paraId="6DE15D77"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120164D"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2.001 a 3.500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7045FF1"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150 pontos</w:t>
                  </w:r>
                </w:p>
              </w:tc>
            </w:tr>
            <w:tr w:rsidR="00E6407C" w:rsidRPr="00D511FC" w14:paraId="3A8DD15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9CB91EB"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De 3.501 a 5.000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1A9CF99"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200 pontos</w:t>
                  </w:r>
                </w:p>
              </w:tc>
            </w:tr>
            <w:tr w:rsidR="00E6407C" w:rsidRPr="00D511FC" w14:paraId="4E3FD0AB"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DA599C6" w14:textId="77777777" w:rsidR="00E6407C" w:rsidRPr="00D511FC" w:rsidRDefault="00E6407C" w:rsidP="00E6407C">
                  <w:pPr>
                    <w:spacing w:before="120" w:after="120"/>
                    <w:jc w:val="both"/>
                    <w:rPr>
                      <w:sz w:val="24"/>
                      <w:szCs w:val="24"/>
                    </w:rPr>
                  </w:pPr>
                  <w:r w:rsidRPr="00D511FC">
                    <w:rPr>
                      <w:rFonts w:ascii="Calibri" w:eastAsia="Calibri" w:hAnsi="Calibri" w:cs="Calibri"/>
                      <w:sz w:val="24"/>
                      <w:szCs w:val="24"/>
                    </w:rPr>
                    <w:t>Acima de 5.001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093B97" w14:textId="77777777" w:rsidR="00E6407C" w:rsidRPr="00D511FC" w:rsidRDefault="00E6407C" w:rsidP="00E6407C">
                  <w:pPr>
                    <w:spacing w:before="120" w:after="120"/>
                    <w:jc w:val="right"/>
                    <w:rPr>
                      <w:sz w:val="24"/>
                      <w:szCs w:val="24"/>
                    </w:rPr>
                  </w:pPr>
                  <w:r w:rsidRPr="00D511FC">
                    <w:rPr>
                      <w:rFonts w:ascii="Calibri" w:eastAsia="Calibri" w:hAnsi="Calibri" w:cs="Calibri"/>
                      <w:sz w:val="24"/>
                      <w:szCs w:val="24"/>
                    </w:rPr>
                    <w:t>250 pontos</w:t>
                  </w:r>
                </w:p>
              </w:tc>
            </w:tr>
          </w:tbl>
          <w:p w14:paraId="01350E89" w14:textId="77777777" w:rsidR="00E6407C" w:rsidRDefault="00E6407C" w:rsidP="00E6407C"/>
        </w:tc>
        <w:tc>
          <w:tcPr>
            <w:tcW w:w="3107" w:type="dxa"/>
          </w:tcPr>
          <w:p w14:paraId="422FC187" w14:textId="77777777" w:rsidR="00E6407C" w:rsidRPr="00D511FC" w:rsidRDefault="00E6407C" w:rsidP="00E6407C">
            <w:pPr>
              <w:spacing w:before="120" w:after="120"/>
              <w:jc w:val="center"/>
              <w:rPr>
                <w:rFonts w:ascii="Calibri" w:eastAsia="Calibri" w:hAnsi="Calibri" w:cs="Calibri"/>
                <w:b/>
                <w:bCs/>
                <w:sz w:val="24"/>
                <w:szCs w:val="24"/>
              </w:rPr>
            </w:pPr>
          </w:p>
        </w:tc>
        <w:tc>
          <w:tcPr>
            <w:tcW w:w="2552" w:type="dxa"/>
          </w:tcPr>
          <w:p w14:paraId="2ADC5F39" w14:textId="69BAE6A9" w:rsidR="00E6407C" w:rsidRPr="00D511FC" w:rsidRDefault="00E6407C" w:rsidP="00E6407C">
            <w:pPr>
              <w:spacing w:before="120" w:after="120"/>
              <w:jc w:val="center"/>
              <w:rPr>
                <w:rFonts w:ascii="Calibri" w:eastAsia="Calibri" w:hAnsi="Calibri" w:cs="Calibri"/>
                <w:b/>
                <w:bCs/>
                <w:sz w:val="24"/>
                <w:szCs w:val="24"/>
              </w:rPr>
            </w:pPr>
          </w:p>
        </w:tc>
        <w:tc>
          <w:tcPr>
            <w:tcW w:w="2505" w:type="dxa"/>
          </w:tcPr>
          <w:p w14:paraId="59B19116" w14:textId="77777777" w:rsidR="00E6407C" w:rsidRPr="00D511FC" w:rsidRDefault="00E6407C" w:rsidP="00E6407C">
            <w:pPr>
              <w:spacing w:before="120" w:after="120"/>
              <w:jc w:val="center"/>
              <w:rPr>
                <w:rFonts w:ascii="Calibri" w:eastAsia="Calibri" w:hAnsi="Calibri" w:cs="Calibri"/>
                <w:b/>
                <w:bCs/>
                <w:sz w:val="24"/>
                <w:szCs w:val="24"/>
              </w:rPr>
            </w:pPr>
          </w:p>
        </w:tc>
      </w:tr>
    </w:tbl>
    <w:p w14:paraId="3229C936" w14:textId="77777777" w:rsidR="005D7FBE" w:rsidRPr="009079FC" w:rsidRDefault="005D7FBE" w:rsidP="00D511FC">
      <w:pPr>
        <w:spacing w:after="120" w:line="240" w:lineRule="auto"/>
        <w:rPr>
          <w:rFonts w:ascii="Calibri" w:eastAsia="Times New Roman" w:hAnsi="Calibri" w:cs="Calibri"/>
          <w:b/>
          <w:bCs/>
          <w:kern w:val="0"/>
          <w:sz w:val="24"/>
          <w:szCs w:val="24"/>
          <w:lang w:eastAsia="pt-BR"/>
          <w14:ligatures w14:val="none"/>
        </w:rPr>
      </w:pPr>
    </w:p>
    <w:sectPr w:rsidR="005D7FBE" w:rsidRPr="009079FC" w:rsidSect="008A2022">
      <w:pgSz w:w="16838" w:h="11906" w:orient="landscape"/>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BE889" w14:textId="77777777" w:rsidR="00825DDA" w:rsidRDefault="00825DDA" w:rsidP="003A77B6">
      <w:pPr>
        <w:spacing w:after="0" w:line="240" w:lineRule="auto"/>
      </w:pPr>
      <w:r>
        <w:separator/>
      </w:r>
    </w:p>
  </w:endnote>
  <w:endnote w:type="continuationSeparator" w:id="0">
    <w:p w14:paraId="7421994C" w14:textId="77777777" w:rsidR="00825DDA" w:rsidRDefault="00825DDA" w:rsidP="003A77B6">
      <w:pPr>
        <w:spacing w:after="0" w:line="240" w:lineRule="auto"/>
      </w:pPr>
      <w:r>
        <w:continuationSeparator/>
      </w:r>
    </w:p>
  </w:endnote>
  <w:endnote w:type="continuationNotice" w:id="1">
    <w:p w14:paraId="33C2A450" w14:textId="77777777" w:rsidR="00825DDA" w:rsidRDefault="00825D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44370" w14:textId="77777777" w:rsidR="00825DDA" w:rsidRDefault="00825DDA" w:rsidP="003A77B6">
      <w:pPr>
        <w:spacing w:after="0" w:line="240" w:lineRule="auto"/>
      </w:pPr>
      <w:r>
        <w:separator/>
      </w:r>
    </w:p>
  </w:footnote>
  <w:footnote w:type="continuationSeparator" w:id="0">
    <w:p w14:paraId="55CFEA61" w14:textId="77777777" w:rsidR="00825DDA" w:rsidRDefault="00825DDA" w:rsidP="003A77B6">
      <w:pPr>
        <w:spacing w:after="0" w:line="240" w:lineRule="auto"/>
      </w:pPr>
      <w:r>
        <w:continuationSeparator/>
      </w:r>
    </w:p>
  </w:footnote>
  <w:footnote w:type="continuationNotice" w:id="1">
    <w:p w14:paraId="7BC97585" w14:textId="77777777" w:rsidR="00825DDA" w:rsidRDefault="00825DD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469636137">
    <w:abstractNumId w:val="21"/>
  </w:num>
  <w:num w:numId="2" w16cid:durableId="929000929">
    <w:abstractNumId w:val="11"/>
  </w:num>
  <w:num w:numId="3" w16cid:durableId="249511586">
    <w:abstractNumId w:val="30"/>
  </w:num>
  <w:num w:numId="4" w16cid:durableId="1582788194">
    <w:abstractNumId w:val="36"/>
  </w:num>
  <w:num w:numId="5" w16cid:durableId="379283368">
    <w:abstractNumId w:val="13"/>
  </w:num>
  <w:num w:numId="6" w16cid:durableId="352875960">
    <w:abstractNumId w:val="5"/>
  </w:num>
  <w:num w:numId="7" w16cid:durableId="1499879378">
    <w:abstractNumId w:val="8"/>
  </w:num>
  <w:num w:numId="8" w16cid:durableId="2078359630">
    <w:abstractNumId w:val="19"/>
  </w:num>
  <w:num w:numId="9" w16cid:durableId="1447234678">
    <w:abstractNumId w:val="25"/>
  </w:num>
  <w:num w:numId="10" w16cid:durableId="2069299728">
    <w:abstractNumId w:val="33"/>
  </w:num>
  <w:num w:numId="11" w16cid:durableId="1937327349">
    <w:abstractNumId w:val="20"/>
  </w:num>
  <w:num w:numId="12" w16cid:durableId="267469372">
    <w:abstractNumId w:val="34"/>
  </w:num>
  <w:num w:numId="13" w16cid:durableId="1715156625">
    <w:abstractNumId w:val="28"/>
  </w:num>
  <w:num w:numId="14" w16cid:durableId="894782207">
    <w:abstractNumId w:val="0"/>
  </w:num>
  <w:num w:numId="15" w16cid:durableId="929628183">
    <w:abstractNumId w:val="3"/>
  </w:num>
  <w:num w:numId="16" w16cid:durableId="304092084">
    <w:abstractNumId w:val="15"/>
  </w:num>
  <w:num w:numId="17" w16cid:durableId="1053037714">
    <w:abstractNumId w:val="24"/>
  </w:num>
  <w:num w:numId="18" w16cid:durableId="2144228007">
    <w:abstractNumId w:val="6"/>
  </w:num>
  <w:num w:numId="19" w16cid:durableId="1992172960">
    <w:abstractNumId w:val="23"/>
  </w:num>
  <w:num w:numId="20" w16cid:durableId="1302423381">
    <w:abstractNumId w:val="4"/>
  </w:num>
  <w:num w:numId="21" w16cid:durableId="599068200">
    <w:abstractNumId w:val="22"/>
  </w:num>
  <w:num w:numId="22" w16cid:durableId="1625692792">
    <w:abstractNumId w:val="2"/>
  </w:num>
  <w:num w:numId="23" w16cid:durableId="422842497">
    <w:abstractNumId w:val="16"/>
  </w:num>
  <w:num w:numId="24" w16cid:durableId="249048437">
    <w:abstractNumId w:val="7"/>
  </w:num>
  <w:num w:numId="25" w16cid:durableId="1416055771">
    <w:abstractNumId w:val="18"/>
  </w:num>
  <w:num w:numId="26" w16cid:durableId="637997663">
    <w:abstractNumId w:val="29"/>
  </w:num>
  <w:num w:numId="27" w16cid:durableId="1211190356">
    <w:abstractNumId w:val="12"/>
  </w:num>
  <w:num w:numId="28" w16cid:durableId="1032651197">
    <w:abstractNumId w:val="10"/>
  </w:num>
  <w:num w:numId="29" w16cid:durableId="569656998">
    <w:abstractNumId w:val="27"/>
  </w:num>
  <w:num w:numId="30" w16cid:durableId="868687835">
    <w:abstractNumId w:val="9"/>
  </w:num>
  <w:num w:numId="31" w16cid:durableId="1380326047">
    <w:abstractNumId w:val="1"/>
  </w:num>
  <w:num w:numId="32" w16cid:durableId="1915894641">
    <w:abstractNumId w:val="32"/>
  </w:num>
  <w:num w:numId="33" w16cid:durableId="713695133">
    <w:abstractNumId w:val="37"/>
  </w:num>
  <w:num w:numId="34" w16cid:durableId="1529372741">
    <w:abstractNumId w:val="26"/>
  </w:num>
  <w:num w:numId="35" w16cid:durableId="1700158035">
    <w:abstractNumId w:val="14"/>
  </w:num>
  <w:num w:numId="36" w16cid:durableId="1085539724">
    <w:abstractNumId w:val="35"/>
  </w:num>
  <w:num w:numId="37" w16cid:durableId="589580935">
    <w:abstractNumId w:val="17"/>
  </w:num>
  <w:num w:numId="38" w16cid:durableId="11682542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41E9"/>
    <w:rsid w:val="0000618D"/>
    <w:rsid w:val="0001193F"/>
    <w:rsid w:val="00017D60"/>
    <w:rsid w:val="00034296"/>
    <w:rsid w:val="00036A20"/>
    <w:rsid w:val="00040538"/>
    <w:rsid w:val="00047973"/>
    <w:rsid w:val="000568BD"/>
    <w:rsid w:val="0007292C"/>
    <w:rsid w:val="0007346C"/>
    <w:rsid w:val="000746CC"/>
    <w:rsid w:val="00074C17"/>
    <w:rsid w:val="000819C8"/>
    <w:rsid w:val="00082995"/>
    <w:rsid w:val="00086D65"/>
    <w:rsid w:val="00087A55"/>
    <w:rsid w:val="00092090"/>
    <w:rsid w:val="000A335A"/>
    <w:rsid w:val="000A50FB"/>
    <w:rsid w:val="000A7A05"/>
    <w:rsid w:val="000B7653"/>
    <w:rsid w:val="000C7403"/>
    <w:rsid w:val="000C842D"/>
    <w:rsid w:val="000D1C90"/>
    <w:rsid w:val="000D3B39"/>
    <w:rsid w:val="000D70B8"/>
    <w:rsid w:val="000E6B21"/>
    <w:rsid w:val="000F293D"/>
    <w:rsid w:val="000F3AD3"/>
    <w:rsid w:val="000F79FA"/>
    <w:rsid w:val="001068DC"/>
    <w:rsid w:val="00111D46"/>
    <w:rsid w:val="0011629E"/>
    <w:rsid w:val="001216A8"/>
    <w:rsid w:val="0012286F"/>
    <w:rsid w:val="001308BA"/>
    <w:rsid w:val="00136632"/>
    <w:rsid w:val="001448C8"/>
    <w:rsid w:val="001466F9"/>
    <w:rsid w:val="0015094B"/>
    <w:rsid w:val="00153259"/>
    <w:rsid w:val="00153708"/>
    <w:rsid w:val="001626A0"/>
    <w:rsid w:val="00171DE9"/>
    <w:rsid w:val="001727CB"/>
    <w:rsid w:val="00173137"/>
    <w:rsid w:val="0017711A"/>
    <w:rsid w:val="001815CF"/>
    <w:rsid w:val="00181717"/>
    <w:rsid w:val="00187D03"/>
    <w:rsid w:val="001B1811"/>
    <w:rsid w:val="001B38E5"/>
    <w:rsid w:val="001B3D6C"/>
    <w:rsid w:val="001C458A"/>
    <w:rsid w:val="001E1DE0"/>
    <w:rsid w:val="001E7E39"/>
    <w:rsid w:val="001F4834"/>
    <w:rsid w:val="00200B20"/>
    <w:rsid w:val="00207AF5"/>
    <w:rsid w:val="0021322C"/>
    <w:rsid w:val="00222E1E"/>
    <w:rsid w:val="00243ADA"/>
    <w:rsid w:val="00244FD1"/>
    <w:rsid w:val="00257203"/>
    <w:rsid w:val="00274136"/>
    <w:rsid w:val="00275469"/>
    <w:rsid w:val="00275B9C"/>
    <w:rsid w:val="00284A57"/>
    <w:rsid w:val="00293D36"/>
    <w:rsid w:val="002A0257"/>
    <w:rsid w:val="002A3544"/>
    <w:rsid w:val="002B4171"/>
    <w:rsid w:val="002B73CC"/>
    <w:rsid w:val="002D58E8"/>
    <w:rsid w:val="002E04FD"/>
    <w:rsid w:val="002E77B8"/>
    <w:rsid w:val="002F15CC"/>
    <w:rsid w:val="002F1F06"/>
    <w:rsid w:val="002F3E78"/>
    <w:rsid w:val="00300989"/>
    <w:rsid w:val="00305DB2"/>
    <w:rsid w:val="003127D6"/>
    <w:rsid w:val="00314B14"/>
    <w:rsid w:val="003266BF"/>
    <w:rsid w:val="00331076"/>
    <w:rsid w:val="00331CA6"/>
    <w:rsid w:val="003323F5"/>
    <w:rsid w:val="003333E8"/>
    <w:rsid w:val="0033354B"/>
    <w:rsid w:val="00337D35"/>
    <w:rsid w:val="00340295"/>
    <w:rsid w:val="003461B1"/>
    <w:rsid w:val="003520C4"/>
    <w:rsid w:val="00352440"/>
    <w:rsid w:val="00380BD2"/>
    <w:rsid w:val="00382F28"/>
    <w:rsid w:val="00385CC3"/>
    <w:rsid w:val="00394776"/>
    <w:rsid w:val="00397406"/>
    <w:rsid w:val="003A2759"/>
    <w:rsid w:val="003A77B6"/>
    <w:rsid w:val="003B473C"/>
    <w:rsid w:val="003C0734"/>
    <w:rsid w:val="003D2483"/>
    <w:rsid w:val="003E7849"/>
    <w:rsid w:val="003F0350"/>
    <w:rsid w:val="0040007F"/>
    <w:rsid w:val="004061CE"/>
    <w:rsid w:val="00406D1C"/>
    <w:rsid w:val="00411057"/>
    <w:rsid w:val="004112C2"/>
    <w:rsid w:val="004202C9"/>
    <w:rsid w:val="004215EA"/>
    <w:rsid w:val="00426D8F"/>
    <w:rsid w:val="00445138"/>
    <w:rsid w:val="0045377A"/>
    <w:rsid w:val="0045651A"/>
    <w:rsid w:val="00460082"/>
    <w:rsid w:val="00483744"/>
    <w:rsid w:val="00492BAE"/>
    <w:rsid w:val="0049783F"/>
    <w:rsid w:val="004A361A"/>
    <w:rsid w:val="004A730F"/>
    <w:rsid w:val="004B0FDF"/>
    <w:rsid w:val="004E2CFD"/>
    <w:rsid w:val="005028B3"/>
    <w:rsid w:val="005049D1"/>
    <w:rsid w:val="005059D2"/>
    <w:rsid w:val="00507C90"/>
    <w:rsid w:val="00510545"/>
    <w:rsid w:val="00512F76"/>
    <w:rsid w:val="0051306C"/>
    <w:rsid w:val="00522EC6"/>
    <w:rsid w:val="0052587B"/>
    <w:rsid w:val="00542C92"/>
    <w:rsid w:val="00543AD3"/>
    <w:rsid w:val="005506F2"/>
    <w:rsid w:val="00550BEC"/>
    <w:rsid w:val="005512A4"/>
    <w:rsid w:val="00567049"/>
    <w:rsid w:val="005800E1"/>
    <w:rsid w:val="0058264F"/>
    <w:rsid w:val="00584281"/>
    <w:rsid w:val="005901DF"/>
    <w:rsid w:val="005908E5"/>
    <w:rsid w:val="00594B76"/>
    <w:rsid w:val="005A1484"/>
    <w:rsid w:val="005A24C3"/>
    <w:rsid w:val="005A3914"/>
    <w:rsid w:val="005A3A22"/>
    <w:rsid w:val="005A52BB"/>
    <w:rsid w:val="005C0FD4"/>
    <w:rsid w:val="005D1B7F"/>
    <w:rsid w:val="005D581F"/>
    <w:rsid w:val="005D711D"/>
    <w:rsid w:val="005D7FBE"/>
    <w:rsid w:val="005E524B"/>
    <w:rsid w:val="00601816"/>
    <w:rsid w:val="00603404"/>
    <w:rsid w:val="00610A2E"/>
    <w:rsid w:val="006135F8"/>
    <w:rsid w:val="00613712"/>
    <w:rsid w:val="00622EE8"/>
    <w:rsid w:val="006265EB"/>
    <w:rsid w:val="00643D85"/>
    <w:rsid w:val="006629B7"/>
    <w:rsid w:val="00676780"/>
    <w:rsid w:val="00683B94"/>
    <w:rsid w:val="00685DFA"/>
    <w:rsid w:val="006933E6"/>
    <w:rsid w:val="00695B97"/>
    <w:rsid w:val="006C4187"/>
    <w:rsid w:val="006D096A"/>
    <w:rsid w:val="006E0ADA"/>
    <w:rsid w:val="006E3A5C"/>
    <w:rsid w:val="006E464E"/>
    <w:rsid w:val="006F1AD9"/>
    <w:rsid w:val="00703392"/>
    <w:rsid w:val="007042CB"/>
    <w:rsid w:val="007121BE"/>
    <w:rsid w:val="00715F10"/>
    <w:rsid w:val="00726C50"/>
    <w:rsid w:val="00734938"/>
    <w:rsid w:val="00735C5B"/>
    <w:rsid w:val="007360E4"/>
    <w:rsid w:val="00736C26"/>
    <w:rsid w:val="0075048D"/>
    <w:rsid w:val="00754F63"/>
    <w:rsid w:val="007666A6"/>
    <w:rsid w:val="00770CC0"/>
    <w:rsid w:val="00777320"/>
    <w:rsid w:val="00779BBE"/>
    <w:rsid w:val="007837E4"/>
    <w:rsid w:val="00792490"/>
    <w:rsid w:val="007A0CC7"/>
    <w:rsid w:val="007A6A42"/>
    <w:rsid w:val="007B7BCB"/>
    <w:rsid w:val="007C37FB"/>
    <w:rsid w:val="007C588B"/>
    <w:rsid w:val="007C68AC"/>
    <w:rsid w:val="007C7939"/>
    <w:rsid w:val="007D19C1"/>
    <w:rsid w:val="007D733C"/>
    <w:rsid w:val="007E014D"/>
    <w:rsid w:val="007E690A"/>
    <w:rsid w:val="007F4D0B"/>
    <w:rsid w:val="00802AD9"/>
    <w:rsid w:val="00815A3E"/>
    <w:rsid w:val="00825DDA"/>
    <w:rsid w:val="0085531A"/>
    <w:rsid w:val="00855751"/>
    <w:rsid w:val="00862CF1"/>
    <w:rsid w:val="00874222"/>
    <w:rsid w:val="00875ABB"/>
    <w:rsid w:val="00886519"/>
    <w:rsid w:val="008A2022"/>
    <w:rsid w:val="008A71BA"/>
    <w:rsid w:val="008B12B2"/>
    <w:rsid w:val="008C046C"/>
    <w:rsid w:val="008C4174"/>
    <w:rsid w:val="008D0F03"/>
    <w:rsid w:val="008D1D67"/>
    <w:rsid w:val="008D1FCB"/>
    <w:rsid w:val="008D5D93"/>
    <w:rsid w:val="008D638A"/>
    <w:rsid w:val="008D6D85"/>
    <w:rsid w:val="008F1347"/>
    <w:rsid w:val="008F305B"/>
    <w:rsid w:val="008F32BB"/>
    <w:rsid w:val="009079FC"/>
    <w:rsid w:val="0090A9F2"/>
    <w:rsid w:val="0092240F"/>
    <w:rsid w:val="009322FA"/>
    <w:rsid w:val="00934724"/>
    <w:rsid w:val="009377CE"/>
    <w:rsid w:val="009543E5"/>
    <w:rsid w:val="009577E8"/>
    <w:rsid w:val="00961A22"/>
    <w:rsid w:val="00962025"/>
    <w:rsid w:val="00964F2F"/>
    <w:rsid w:val="0096574A"/>
    <w:rsid w:val="0097730D"/>
    <w:rsid w:val="00977EA7"/>
    <w:rsid w:val="00984485"/>
    <w:rsid w:val="00985B96"/>
    <w:rsid w:val="009914FD"/>
    <w:rsid w:val="00992A13"/>
    <w:rsid w:val="009A468A"/>
    <w:rsid w:val="009B3B43"/>
    <w:rsid w:val="009B47DD"/>
    <w:rsid w:val="009C7301"/>
    <w:rsid w:val="009E1433"/>
    <w:rsid w:val="009F0D30"/>
    <w:rsid w:val="009F5C82"/>
    <w:rsid w:val="00A07381"/>
    <w:rsid w:val="00A3406E"/>
    <w:rsid w:val="00A35F09"/>
    <w:rsid w:val="00A42C2B"/>
    <w:rsid w:val="00A46538"/>
    <w:rsid w:val="00A50899"/>
    <w:rsid w:val="00A65AA5"/>
    <w:rsid w:val="00A67C71"/>
    <w:rsid w:val="00A70677"/>
    <w:rsid w:val="00A7523F"/>
    <w:rsid w:val="00A75300"/>
    <w:rsid w:val="00A7ADC2"/>
    <w:rsid w:val="00A7B61C"/>
    <w:rsid w:val="00A8165F"/>
    <w:rsid w:val="00A8216A"/>
    <w:rsid w:val="00A94A42"/>
    <w:rsid w:val="00A95595"/>
    <w:rsid w:val="00A95B5C"/>
    <w:rsid w:val="00AA0AD4"/>
    <w:rsid w:val="00AA20A9"/>
    <w:rsid w:val="00AA46AB"/>
    <w:rsid w:val="00AA5700"/>
    <w:rsid w:val="00AA5E7F"/>
    <w:rsid w:val="00AA73AA"/>
    <w:rsid w:val="00AC0763"/>
    <w:rsid w:val="00AC3B6F"/>
    <w:rsid w:val="00AE97C0"/>
    <w:rsid w:val="00AF37B5"/>
    <w:rsid w:val="00AF71DE"/>
    <w:rsid w:val="00B01140"/>
    <w:rsid w:val="00B11CD1"/>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33C8"/>
    <w:rsid w:val="00B74BF7"/>
    <w:rsid w:val="00B7979D"/>
    <w:rsid w:val="00B94BE3"/>
    <w:rsid w:val="00BA1E1A"/>
    <w:rsid w:val="00BA6B16"/>
    <w:rsid w:val="00BC145E"/>
    <w:rsid w:val="00BC1D0C"/>
    <w:rsid w:val="00BC2FB0"/>
    <w:rsid w:val="00BD1176"/>
    <w:rsid w:val="00BE117D"/>
    <w:rsid w:val="00BE3D00"/>
    <w:rsid w:val="00BF117A"/>
    <w:rsid w:val="00C004E9"/>
    <w:rsid w:val="00C035D9"/>
    <w:rsid w:val="00C16DCB"/>
    <w:rsid w:val="00C17359"/>
    <w:rsid w:val="00C247CB"/>
    <w:rsid w:val="00C25464"/>
    <w:rsid w:val="00C42B17"/>
    <w:rsid w:val="00C516A8"/>
    <w:rsid w:val="00C64468"/>
    <w:rsid w:val="00C67AE8"/>
    <w:rsid w:val="00C71F13"/>
    <w:rsid w:val="00C72015"/>
    <w:rsid w:val="00C7335A"/>
    <w:rsid w:val="00C85712"/>
    <w:rsid w:val="00C86347"/>
    <w:rsid w:val="00C91C84"/>
    <w:rsid w:val="00C9378A"/>
    <w:rsid w:val="00CA3E2C"/>
    <w:rsid w:val="00CA5250"/>
    <w:rsid w:val="00CA7D37"/>
    <w:rsid w:val="00CB5BEC"/>
    <w:rsid w:val="00CC0CD3"/>
    <w:rsid w:val="00CC1C9F"/>
    <w:rsid w:val="00CC50E3"/>
    <w:rsid w:val="00CD2E5B"/>
    <w:rsid w:val="00CD421B"/>
    <w:rsid w:val="00CE4321"/>
    <w:rsid w:val="00CF0DDE"/>
    <w:rsid w:val="00CF574F"/>
    <w:rsid w:val="00CF65DE"/>
    <w:rsid w:val="00D016BE"/>
    <w:rsid w:val="00D076DF"/>
    <w:rsid w:val="00D221E4"/>
    <w:rsid w:val="00D22EC8"/>
    <w:rsid w:val="00D26363"/>
    <w:rsid w:val="00D27357"/>
    <w:rsid w:val="00D278E4"/>
    <w:rsid w:val="00D32ABD"/>
    <w:rsid w:val="00D33854"/>
    <w:rsid w:val="00D408B3"/>
    <w:rsid w:val="00D41AC3"/>
    <w:rsid w:val="00D42696"/>
    <w:rsid w:val="00D42898"/>
    <w:rsid w:val="00D511FC"/>
    <w:rsid w:val="00D543A6"/>
    <w:rsid w:val="00D632CD"/>
    <w:rsid w:val="00D646D6"/>
    <w:rsid w:val="00D741DF"/>
    <w:rsid w:val="00D74D9A"/>
    <w:rsid w:val="00D7556E"/>
    <w:rsid w:val="00D83801"/>
    <w:rsid w:val="00D93018"/>
    <w:rsid w:val="00D96239"/>
    <w:rsid w:val="00DA0A86"/>
    <w:rsid w:val="00DA75CB"/>
    <w:rsid w:val="00DB078F"/>
    <w:rsid w:val="00DE0AD6"/>
    <w:rsid w:val="00DF08B0"/>
    <w:rsid w:val="00DF5F4D"/>
    <w:rsid w:val="00E140F3"/>
    <w:rsid w:val="00E2276B"/>
    <w:rsid w:val="00E26006"/>
    <w:rsid w:val="00E33DD0"/>
    <w:rsid w:val="00E40D60"/>
    <w:rsid w:val="00E447C6"/>
    <w:rsid w:val="00E57D16"/>
    <w:rsid w:val="00E6209E"/>
    <w:rsid w:val="00E6407C"/>
    <w:rsid w:val="00E71626"/>
    <w:rsid w:val="00E72F71"/>
    <w:rsid w:val="00E81C6B"/>
    <w:rsid w:val="00E91216"/>
    <w:rsid w:val="00EA4705"/>
    <w:rsid w:val="00EA67C6"/>
    <w:rsid w:val="00EB2712"/>
    <w:rsid w:val="00EB56CA"/>
    <w:rsid w:val="00EC7C4A"/>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616B5"/>
    <w:rsid w:val="00F62F78"/>
    <w:rsid w:val="00F64D85"/>
    <w:rsid w:val="00F655BF"/>
    <w:rsid w:val="00F95EC1"/>
    <w:rsid w:val="00F96E79"/>
    <w:rsid w:val="00FA099F"/>
    <w:rsid w:val="00FA46A9"/>
    <w:rsid w:val="00FB162C"/>
    <w:rsid w:val="00FB2F12"/>
    <w:rsid w:val="00FC1F41"/>
    <w:rsid w:val="00FD018F"/>
    <w:rsid w:val="00FE0371"/>
    <w:rsid w:val="00FE06AF"/>
    <w:rsid w:val="00FE47D8"/>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Props1.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59C483-1792-4D54-A35C-B53180A6955D}">
  <ds:schemaRefs>
    <ds:schemaRef ds:uri="http://schemas.microsoft.com/sharepoint/v3/contenttype/forms"/>
  </ds:schemaRefs>
</ds:datastoreItem>
</file>

<file path=customXml/itemProps3.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customXml/itemProps4.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52</Pages>
  <Words>10286</Words>
  <Characters>55548</Characters>
  <Application>Microsoft Office Word</Application>
  <DocSecurity>0</DocSecurity>
  <Lines>462</Lines>
  <Paragraphs>131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Christian Aggensteiner Catunda - PREVICDF</cp:lastModifiedBy>
  <cp:revision>54</cp:revision>
  <cp:lastPrinted>2023-07-26T21:02:00Z</cp:lastPrinted>
  <dcterms:created xsi:type="dcterms:W3CDTF">2023-08-08T20:19:00Z</dcterms:created>
  <dcterms:modified xsi:type="dcterms:W3CDTF">2023-08-09T12:32:00Z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