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tblpY="-1691"/>
        <w:tblW w:w="50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99"/>
        <w:gridCol w:w="5462"/>
        <w:gridCol w:w="4076"/>
      </w:tblGrid>
      <w:tr w:rsidR="00E31838" w:rsidRPr="0010524E" w14:paraId="51C19084" w14:textId="59C642FC" w:rsidTr="00E31838">
        <w:tc>
          <w:tcPr>
            <w:tcW w:w="4598" w:type="dxa"/>
            <w:shd w:val="clear" w:color="auto" w:fill="D0CECE" w:themeFill="background2" w:themeFillShade="E6"/>
            <w:vAlign w:val="center"/>
          </w:tcPr>
          <w:p w14:paraId="641639A0" w14:textId="49BB35EB"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DE</w:t>
            </w:r>
          </w:p>
        </w:tc>
        <w:tc>
          <w:tcPr>
            <w:tcW w:w="5462" w:type="dxa"/>
            <w:shd w:val="clear" w:color="auto" w:fill="D0CECE" w:themeFill="background2" w:themeFillShade="E6"/>
            <w:noWrap/>
            <w:vAlign w:val="center"/>
            <w:hideMark/>
          </w:tcPr>
          <w:p w14:paraId="3C23D6F5" w14:textId="2E34327C"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PARA</w:t>
            </w:r>
          </w:p>
        </w:tc>
        <w:tc>
          <w:tcPr>
            <w:tcW w:w="4076" w:type="dxa"/>
            <w:shd w:val="clear" w:color="auto" w:fill="D0CECE" w:themeFill="background2" w:themeFillShade="E6"/>
            <w:noWrap/>
            <w:vAlign w:val="center"/>
            <w:hideMark/>
          </w:tcPr>
          <w:p w14:paraId="45FA55A9" w14:textId="7366EC54"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JUSTIFICATIVA</w:t>
            </w:r>
          </w:p>
        </w:tc>
      </w:tr>
      <w:tr w:rsidR="00E31838" w:rsidRPr="0010524E" w14:paraId="61F375EE" w14:textId="1DAE4EE9" w:rsidTr="00E31838">
        <w:tc>
          <w:tcPr>
            <w:tcW w:w="4598" w:type="dxa"/>
            <w:vAlign w:val="center"/>
          </w:tcPr>
          <w:p w14:paraId="12729178"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tcPr>
          <w:p w14:paraId="5043624A" w14:textId="7E2771D3" w:rsidR="00E31838" w:rsidRPr="0010524E" w:rsidRDefault="00E31838" w:rsidP="00E31838">
            <w:pPr>
              <w:spacing w:after="120" w:line="240" w:lineRule="auto"/>
              <w:jc w:val="center"/>
              <w:rPr>
                <w:rFonts w:ascii="Calibri" w:eastAsia="Times New Roman" w:hAnsi="Calibri" w:cs="Calibri"/>
                <w:kern w:val="0"/>
                <w:sz w:val="24"/>
                <w:szCs w:val="24"/>
                <w:lang w:eastAsia="pt-BR"/>
                <w14:ligatures w14:val="none"/>
              </w:rPr>
            </w:pPr>
            <w:r w:rsidRPr="00732C5A">
              <w:rPr>
                <w:rFonts w:cstheme="minorHAnsi"/>
                <w:b/>
                <w:bCs/>
                <w:sz w:val="24"/>
                <w:szCs w:val="24"/>
              </w:rPr>
              <w:t>RESOLUÇÃO PREVIC Nº XX, DE XX DE XXXXXX DE 20XX</w:t>
            </w:r>
          </w:p>
        </w:tc>
        <w:tc>
          <w:tcPr>
            <w:tcW w:w="4076" w:type="dxa"/>
            <w:shd w:val="clear" w:color="auto" w:fill="auto"/>
            <w:noWrap/>
            <w:vAlign w:val="center"/>
          </w:tcPr>
          <w:p w14:paraId="441E857A" w14:textId="77777777" w:rsidR="00E31838" w:rsidRPr="0010524E" w:rsidRDefault="00E31838" w:rsidP="000053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02364514" w14:textId="3C5FD9A4" w:rsidTr="00E31838">
        <w:tc>
          <w:tcPr>
            <w:tcW w:w="4598" w:type="dxa"/>
            <w:vAlign w:val="center"/>
          </w:tcPr>
          <w:p w14:paraId="5249F2D3"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tcPr>
          <w:p w14:paraId="79F5597F" w14:textId="16ABADD7" w:rsidR="00E31838" w:rsidRPr="0010524E" w:rsidRDefault="00E31838" w:rsidP="00732C5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Dispõe sobre os parâmetros, critérios, procedimentos e diretrizes gerais quanto às informações atuariais, contábeis e de investimentos, as formas de participação social, de licenciamento e fiscalização a serem observadas pelas entidades fechadas de previdência complementar.</w:t>
            </w:r>
          </w:p>
        </w:tc>
        <w:tc>
          <w:tcPr>
            <w:tcW w:w="4076" w:type="dxa"/>
            <w:shd w:val="clear" w:color="auto" w:fill="auto"/>
            <w:noWrap/>
            <w:vAlign w:val="center"/>
          </w:tcPr>
          <w:p w14:paraId="54775CF7" w14:textId="77777777" w:rsidR="00E31838" w:rsidRPr="0010524E" w:rsidRDefault="00E31838" w:rsidP="000053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33ACC09" w14:textId="16DB5A3C" w:rsidTr="00E31838">
        <w:tc>
          <w:tcPr>
            <w:tcW w:w="4598" w:type="dxa"/>
            <w:vAlign w:val="center"/>
          </w:tcPr>
          <w:p w14:paraId="07DFDE64"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tcPr>
          <w:p w14:paraId="32636757" w14:textId="36C38C67" w:rsidR="00E31838" w:rsidRPr="0010524E" w:rsidRDefault="00E31838" w:rsidP="00E31838">
            <w:pPr>
              <w:spacing w:after="120" w:line="240" w:lineRule="auto"/>
              <w:jc w:val="both"/>
              <w:rPr>
                <w:rFonts w:ascii="Calibri" w:eastAsia="Times New Roman" w:hAnsi="Calibri" w:cs="Calibri"/>
                <w:kern w:val="0"/>
                <w:sz w:val="24"/>
                <w:szCs w:val="24"/>
                <w:lang w:eastAsia="pt-BR"/>
                <w14:ligatures w14:val="none"/>
              </w:rPr>
            </w:pPr>
            <w:r w:rsidRPr="0010524E">
              <w:rPr>
                <w:b/>
                <w:bCs/>
                <w:sz w:val="24"/>
                <w:szCs w:val="24"/>
              </w:rPr>
              <w:t>A DIRETORIA COLEGIADA DA SUPERINTENDÊNCIA NACIONAL DE PREVIDÊNCIA COMPLEMENTAR (PREVIC),</w:t>
            </w:r>
            <w:r w:rsidRPr="0010524E">
              <w:rPr>
                <w:sz w:val="24"/>
                <w:szCs w:val="24"/>
              </w:rPr>
              <w:t xml:space="preserve"> na sessão XX, realizada em XX de XXXXXX de 20XX, com fundamento na Lei Complementar nº 109, de 29 de maio de 2001, na Lei nº 12.154, de 23 de dezembro de 2009, e no Decreto nº 11.241, de 18 de outubro de 2022</w:t>
            </w:r>
            <w:r w:rsidRPr="0010524E">
              <w:rPr>
                <w:sz w:val="24"/>
                <w:szCs w:val="24"/>
                <w:u w:val="single"/>
              </w:rPr>
              <w:t>,</w:t>
            </w:r>
            <w:r w:rsidRPr="0010524E">
              <w:rPr>
                <w:sz w:val="24"/>
                <w:szCs w:val="24"/>
              </w:rPr>
              <w:t xml:space="preserve"> </w:t>
            </w:r>
            <w:r w:rsidRPr="0010524E">
              <w:rPr>
                <w:b/>
                <w:bCs/>
                <w:sz w:val="24"/>
                <w:szCs w:val="24"/>
              </w:rPr>
              <w:t>RESOLVE</w:t>
            </w:r>
            <w:r w:rsidRPr="0010524E">
              <w:rPr>
                <w:sz w:val="24"/>
                <w:szCs w:val="24"/>
              </w:rPr>
              <w:t>:</w:t>
            </w:r>
          </w:p>
        </w:tc>
        <w:tc>
          <w:tcPr>
            <w:tcW w:w="4076" w:type="dxa"/>
            <w:shd w:val="clear" w:color="auto" w:fill="auto"/>
            <w:noWrap/>
            <w:vAlign w:val="center"/>
          </w:tcPr>
          <w:p w14:paraId="2A80333F" w14:textId="77777777" w:rsidR="00E31838" w:rsidRPr="0010524E" w:rsidRDefault="00E31838" w:rsidP="000053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5175EA72" w14:textId="380656C5" w:rsidTr="00E31838">
        <w:tc>
          <w:tcPr>
            <w:tcW w:w="4598" w:type="dxa"/>
            <w:vAlign w:val="center"/>
          </w:tcPr>
          <w:p w14:paraId="67401B0C"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tcPr>
          <w:p w14:paraId="215A9738" w14:textId="01D40F1B" w:rsidR="00E31838" w:rsidRPr="0010524E" w:rsidRDefault="00E31838" w:rsidP="00E31838">
            <w:pPr>
              <w:spacing w:after="120" w:line="240" w:lineRule="auto"/>
              <w:jc w:val="both"/>
              <w:rPr>
                <w:rFonts w:ascii="Calibri" w:eastAsia="Times New Roman" w:hAnsi="Calibri" w:cs="Calibri"/>
                <w:kern w:val="0"/>
                <w:sz w:val="24"/>
                <w:szCs w:val="24"/>
                <w:lang w:eastAsia="pt-BR"/>
                <w14:ligatures w14:val="none"/>
              </w:rPr>
            </w:pPr>
            <w:r w:rsidRPr="0010524E">
              <w:rPr>
                <w:sz w:val="24"/>
                <w:szCs w:val="24"/>
              </w:rPr>
              <w:t>Art. 1º  Os parâmetros e as diretrizes gerais previstos na Lei Complementar nº 108, de 29 de maio de 2001, e Lei Complementar nº 109, de 29 de maio de 2001, que dispõe sobre regras gerais para organização e funcionamento das entidades fechadas de previdência complementar, nos termos do art. 40 da Constituição Federal, produção e envio de documentos e informações e adoção de padrões previstos nas Resoluções do Conselho Nacional de Previdência Complementar e do Conselho Monetário Nacional, são regidos conforme as disposições desta Resolução.</w:t>
            </w:r>
          </w:p>
        </w:tc>
        <w:tc>
          <w:tcPr>
            <w:tcW w:w="4076" w:type="dxa"/>
            <w:shd w:val="clear" w:color="auto" w:fill="auto"/>
            <w:noWrap/>
            <w:vAlign w:val="center"/>
          </w:tcPr>
          <w:p w14:paraId="2B680AE0" w14:textId="77777777" w:rsidR="00E31838" w:rsidRPr="0010524E" w:rsidRDefault="00E31838" w:rsidP="000053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A46417F" w14:textId="162F862F" w:rsidTr="00E31838">
        <w:tc>
          <w:tcPr>
            <w:tcW w:w="4598" w:type="dxa"/>
            <w:vAlign w:val="center"/>
          </w:tcPr>
          <w:p w14:paraId="13C7E4B6"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tcPr>
          <w:p w14:paraId="03598D5D" w14:textId="77777777" w:rsidR="00E31838" w:rsidRPr="0010524E" w:rsidRDefault="00E31838" w:rsidP="00E33299">
            <w:pPr>
              <w:spacing w:before="120" w:after="120" w:line="240" w:lineRule="auto"/>
              <w:jc w:val="center"/>
              <w:rPr>
                <w:rFonts w:ascii="Calibri" w:hAnsi="Calibri" w:cstheme="minorHAnsi"/>
                <w:sz w:val="24"/>
                <w:szCs w:val="24"/>
              </w:rPr>
            </w:pPr>
            <w:r w:rsidRPr="0010524E">
              <w:rPr>
                <w:rFonts w:ascii="Calibri" w:hAnsi="Calibri" w:cstheme="minorHAnsi"/>
                <w:sz w:val="24"/>
                <w:szCs w:val="24"/>
              </w:rPr>
              <w:t>CAPÍTULO I</w:t>
            </w:r>
          </w:p>
          <w:p w14:paraId="769DD023" w14:textId="076F9485" w:rsidR="00E31838" w:rsidRPr="0010524E" w:rsidRDefault="00E31838" w:rsidP="00732C5A">
            <w:pPr>
              <w:spacing w:before="120" w:after="120" w:line="240" w:lineRule="auto"/>
              <w:jc w:val="center"/>
              <w:rPr>
                <w:sz w:val="24"/>
                <w:szCs w:val="24"/>
              </w:rPr>
            </w:pPr>
            <w:r w:rsidRPr="0010524E">
              <w:rPr>
                <w:rFonts w:ascii="Calibri" w:hAnsi="Calibri"/>
                <w:sz w:val="24"/>
                <w:szCs w:val="24"/>
              </w:rPr>
              <w:t>DEFINIÇÕES</w:t>
            </w:r>
          </w:p>
        </w:tc>
        <w:tc>
          <w:tcPr>
            <w:tcW w:w="4076" w:type="dxa"/>
            <w:shd w:val="clear" w:color="auto" w:fill="auto"/>
            <w:noWrap/>
            <w:vAlign w:val="center"/>
          </w:tcPr>
          <w:p w14:paraId="1F46CD7F" w14:textId="77777777" w:rsidR="00E31838" w:rsidRPr="0010524E" w:rsidRDefault="00E31838" w:rsidP="000053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6A2599E7" w14:textId="5AF3EC91" w:rsidTr="00E31838">
        <w:tc>
          <w:tcPr>
            <w:tcW w:w="4598" w:type="dxa"/>
            <w:vAlign w:val="center"/>
          </w:tcPr>
          <w:p w14:paraId="66ECF0BA"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2ADBFD91" w14:textId="7311750D"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2º  Para fins desta Resolução, considera-se: </w:t>
            </w:r>
          </w:p>
        </w:tc>
        <w:tc>
          <w:tcPr>
            <w:tcW w:w="4076" w:type="dxa"/>
            <w:shd w:val="clear" w:color="auto" w:fill="auto"/>
            <w:noWrap/>
            <w:vAlign w:val="center"/>
          </w:tcPr>
          <w:p w14:paraId="549B7007"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5470732" w14:textId="2BB92601" w:rsidTr="00E31838">
        <w:tc>
          <w:tcPr>
            <w:tcW w:w="4598" w:type="dxa"/>
            <w:vAlign w:val="center"/>
          </w:tcPr>
          <w:p w14:paraId="15E03B46"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64EB509" w14:textId="7FC45BCB"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fato relevante: </w:t>
            </w:r>
          </w:p>
        </w:tc>
        <w:tc>
          <w:tcPr>
            <w:tcW w:w="4076" w:type="dxa"/>
            <w:shd w:val="clear" w:color="auto" w:fill="auto"/>
            <w:noWrap/>
            <w:vAlign w:val="center"/>
          </w:tcPr>
          <w:p w14:paraId="2483F47C"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401F87C1" w14:textId="3C1DB3DB" w:rsidTr="00E31838">
        <w:tc>
          <w:tcPr>
            <w:tcW w:w="4598" w:type="dxa"/>
            <w:vAlign w:val="center"/>
          </w:tcPr>
          <w:p w14:paraId="485C3FA8"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602FD34" w14:textId="2B02867D"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 a alteração do regulamento com impacto no custo, no custeio ou no resultado do plano de benefícios; </w:t>
            </w:r>
          </w:p>
        </w:tc>
        <w:tc>
          <w:tcPr>
            <w:tcW w:w="4076" w:type="dxa"/>
            <w:shd w:val="clear" w:color="auto" w:fill="auto"/>
            <w:noWrap/>
            <w:vAlign w:val="center"/>
          </w:tcPr>
          <w:p w14:paraId="0BB88052"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55094AFB" w14:textId="6FE9C096" w:rsidTr="00E31838">
        <w:tc>
          <w:tcPr>
            <w:tcW w:w="4598" w:type="dxa"/>
            <w:vAlign w:val="center"/>
          </w:tcPr>
          <w:p w14:paraId="6FE5B6DF"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AA573EF" w14:textId="1AEE3A1C"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b) a cisão, fusão ou incorporação de planos de benefícios; </w:t>
            </w:r>
          </w:p>
        </w:tc>
        <w:tc>
          <w:tcPr>
            <w:tcW w:w="4076" w:type="dxa"/>
            <w:shd w:val="clear" w:color="auto" w:fill="auto"/>
            <w:noWrap/>
            <w:vAlign w:val="center"/>
          </w:tcPr>
          <w:p w14:paraId="185D7975"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606E35A8" w14:textId="69D96E27" w:rsidTr="00E31838">
        <w:tc>
          <w:tcPr>
            <w:tcW w:w="4598" w:type="dxa"/>
            <w:vAlign w:val="center"/>
          </w:tcPr>
          <w:p w14:paraId="608E51FA"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EEBD902" w14:textId="40380FB3"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c) a migração de participantes ou assistidos entre planos de benefícios; </w:t>
            </w:r>
          </w:p>
        </w:tc>
        <w:tc>
          <w:tcPr>
            <w:tcW w:w="4076" w:type="dxa"/>
            <w:shd w:val="clear" w:color="auto" w:fill="auto"/>
            <w:noWrap/>
            <w:vAlign w:val="center"/>
          </w:tcPr>
          <w:p w14:paraId="48F0FEDD"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C54D621" w14:textId="703EAC33" w:rsidTr="00E31838">
        <w:tc>
          <w:tcPr>
            <w:tcW w:w="4598" w:type="dxa"/>
            <w:vAlign w:val="center"/>
          </w:tcPr>
          <w:p w14:paraId="7F0D51E8"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D0C365B" w14:textId="41BF2377" w:rsidR="00E31838" w:rsidRPr="0010524E" w:rsidRDefault="00E31838" w:rsidP="007D7CB9">
            <w:pPr>
              <w:spacing w:after="0" w:line="240" w:lineRule="auto"/>
              <w:jc w:val="both"/>
              <w:rPr>
                <w:rFonts w:ascii="Calibri" w:hAnsi="Calibri" w:cstheme="minorHAnsi"/>
                <w:sz w:val="24"/>
                <w:szCs w:val="24"/>
              </w:rPr>
            </w:pPr>
            <w:r w:rsidRPr="0010524E">
              <w:rPr>
                <w:rFonts w:eastAsiaTheme="minorEastAsia"/>
                <w:sz w:val="24"/>
                <w:szCs w:val="24"/>
              </w:rPr>
              <w:t xml:space="preserve">d) o saldamento de plano de benefícios; </w:t>
            </w:r>
          </w:p>
        </w:tc>
        <w:tc>
          <w:tcPr>
            <w:tcW w:w="4076" w:type="dxa"/>
            <w:shd w:val="clear" w:color="auto" w:fill="auto"/>
            <w:noWrap/>
            <w:vAlign w:val="center"/>
          </w:tcPr>
          <w:p w14:paraId="188E0B51"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2E970920" w14:textId="3A2C0EF6" w:rsidTr="00E31838">
        <w:tc>
          <w:tcPr>
            <w:tcW w:w="4598" w:type="dxa"/>
            <w:vAlign w:val="center"/>
          </w:tcPr>
          <w:p w14:paraId="4FE96765"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8306894" w14:textId="5CC0531C" w:rsidR="00E31838" w:rsidRPr="0010524E" w:rsidRDefault="00E31838" w:rsidP="007D7CB9">
            <w:pPr>
              <w:spacing w:after="0" w:line="240" w:lineRule="auto"/>
              <w:jc w:val="both"/>
              <w:rPr>
                <w:rFonts w:ascii="Calibri" w:hAnsi="Calibri" w:cstheme="minorHAnsi"/>
                <w:sz w:val="24"/>
                <w:szCs w:val="24"/>
              </w:rPr>
            </w:pPr>
            <w:r w:rsidRPr="0010524E">
              <w:rPr>
                <w:rFonts w:eastAsiaTheme="minorEastAsia"/>
                <w:sz w:val="24"/>
                <w:szCs w:val="24"/>
              </w:rPr>
              <w:t xml:space="preserve">e) a retirada parcial de patrocínio; ou </w:t>
            </w:r>
          </w:p>
        </w:tc>
        <w:tc>
          <w:tcPr>
            <w:tcW w:w="4076" w:type="dxa"/>
            <w:shd w:val="clear" w:color="auto" w:fill="auto"/>
            <w:noWrap/>
            <w:vAlign w:val="center"/>
          </w:tcPr>
          <w:p w14:paraId="0428DC46"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179068F" w14:textId="7F63FCA4" w:rsidTr="00E31838">
        <w:tc>
          <w:tcPr>
            <w:tcW w:w="4598" w:type="dxa"/>
            <w:vAlign w:val="center"/>
          </w:tcPr>
          <w:p w14:paraId="7345E418"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B4C53E5" w14:textId="594152EE"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f) outros eventos supervenientes com impacto significativo no custo, no custeio ou no resultado do plano de benefícios que necessitem de imediata resposta da entidade fechada de previdência complementar (EFPC), devidamente fundamentados; </w:t>
            </w:r>
          </w:p>
        </w:tc>
        <w:tc>
          <w:tcPr>
            <w:tcW w:w="4076" w:type="dxa"/>
            <w:shd w:val="clear" w:color="auto" w:fill="auto"/>
            <w:noWrap/>
            <w:vAlign w:val="center"/>
          </w:tcPr>
          <w:p w14:paraId="1A3B56AE"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6FF64A6" w14:textId="67246255" w:rsidTr="00E31838">
        <w:tc>
          <w:tcPr>
            <w:tcW w:w="4598" w:type="dxa"/>
            <w:vAlign w:val="center"/>
          </w:tcPr>
          <w:p w14:paraId="4AFD8260"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7A7F8266" w14:textId="3A1754AB"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duração do passivo: corresponde à média dos prazos dos fluxos de pagamentos de benefícios de cada plano, líquidos de contribuições normais e extraordinárias incidentes sobre esses benefícios, ponderada pelos valores presentes desses fluxos, conforme a fórmula constante do Anexo I a esta Resolução; </w:t>
            </w:r>
          </w:p>
        </w:tc>
        <w:tc>
          <w:tcPr>
            <w:tcW w:w="4076" w:type="dxa"/>
            <w:shd w:val="clear" w:color="auto" w:fill="auto"/>
            <w:noWrap/>
            <w:vAlign w:val="center"/>
          </w:tcPr>
          <w:p w14:paraId="08BA87FB"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E40EABC" w14:textId="3A90BBBE" w:rsidTr="00E31838">
        <w:tc>
          <w:tcPr>
            <w:tcW w:w="4598" w:type="dxa"/>
            <w:vAlign w:val="center"/>
          </w:tcPr>
          <w:p w14:paraId="3EC5248C"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2C17EC99" w14:textId="2C1806A7"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contrato de seguro: instrumento firmado entre a EFPC e a sociedade seguradora com a finalidade </w:t>
            </w:r>
            <w:r w:rsidRPr="0010524E">
              <w:rPr>
                <w:rFonts w:ascii="Calibri" w:eastAsia="Times New Roman" w:hAnsi="Calibri" w:cs="Calibri"/>
                <w:kern w:val="0"/>
                <w:sz w:val="24"/>
                <w:szCs w:val="24"/>
                <w:lang w:eastAsia="pt-BR"/>
                <w14:ligatures w14:val="none"/>
              </w:rPr>
              <w:lastRenderedPageBreak/>
              <w:t xml:space="preserve">exclusiva de disciplinar a contratação de seguro para cobertura de riscos de plano de benefícios; </w:t>
            </w:r>
          </w:p>
        </w:tc>
        <w:tc>
          <w:tcPr>
            <w:tcW w:w="4076" w:type="dxa"/>
            <w:shd w:val="clear" w:color="auto" w:fill="auto"/>
            <w:noWrap/>
            <w:vAlign w:val="center"/>
          </w:tcPr>
          <w:p w14:paraId="2CDC65FA"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07039C1" w14:textId="75175813" w:rsidTr="00E31838">
        <w:tc>
          <w:tcPr>
            <w:tcW w:w="4598" w:type="dxa"/>
            <w:vAlign w:val="center"/>
          </w:tcPr>
          <w:p w14:paraId="3B79E9A4"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F050D06" w14:textId="449FE298"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indenização: pagamento efetuado por sociedade seguradora à EFPC referente às coberturas contratadas; </w:t>
            </w:r>
          </w:p>
        </w:tc>
        <w:tc>
          <w:tcPr>
            <w:tcW w:w="4076" w:type="dxa"/>
            <w:shd w:val="clear" w:color="auto" w:fill="auto"/>
            <w:noWrap/>
            <w:vAlign w:val="center"/>
          </w:tcPr>
          <w:p w14:paraId="0FD16DDC"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3A09B993" w14:textId="1EA23B8E" w:rsidTr="00E31838">
        <w:tc>
          <w:tcPr>
            <w:tcW w:w="4598" w:type="dxa"/>
            <w:vAlign w:val="center"/>
          </w:tcPr>
          <w:p w14:paraId="1C64A118"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B84D27C" w14:textId="44C4BAD5"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prêmio: importância paga pela EFPC à sociedade seguradora, na forma prevista em contrato; </w:t>
            </w:r>
          </w:p>
        </w:tc>
        <w:tc>
          <w:tcPr>
            <w:tcW w:w="4076" w:type="dxa"/>
            <w:shd w:val="clear" w:color="auto" w:fill="auto"/>
            <w:noWrap/>
            <w:vAlign w:val="center"/>
          </w:tcPr>
          <w:p w14:paraId="118BC4CD"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40874D0B" w14:textId="5DAC2A8A" w:rsidTr="00E31838">
        <w:tc>
          <w:tcPr>
            <w:tcW w:w="4598" w:type="dxa"/>
            <w:vAlign w:val="center"/>
          </w:tcPr>
          <w:p w14:paraId="7C4A6147"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C82DEF9" w14:textId="4A406082"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 - saldo de conta total: valor correspondente à totalidade dos recursos alocados em nome do participante ou assistido com o objetivo de pagamento de benefícios, na forma prevista em regulamento do plano de benefícios; </w:t>
            </w:r>
          </w:p>
        </w:tc>
        <w:tc>
          <w:tcPr>
            <w:tcW w:w="4076" w:type="dxa"/>
            <w:shd w:val="clear" w:color="auto" w:fill="auto"/>
            <w:noWrap/>
            <w:vAlign w:val="center"/>
          </w:tcPr>
          <w:p w14:paraId="53B0CBCD"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8B4ECFB" w14:textId="6D908784" w:rsidTr="00E31838">
        <w:tc>
          <w:tcPr>
            <w:tcW w:w="4598" w:type="dxa"/>
            <w:vAlign w:val="center"/>
          </w:tcPr>
          <w:p w14:paraId="21A3631C"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41DE0EC" w14:textId="22C340FB"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VII - segurado: o participante, o assistido ou a EFPC, conforme o caso; </w:t>
            </w:r>
          </w:p>
        </w:tc>
        <w:tc>
          <w:tcPr>
            <w:tcW w:w="4076" w:type="dxa"/>
            <w:shd w:val="clear" w:color="auto" w:fill="auto"/>
            <w:noWrap/>
            <w:vAlign w:val="center"/>
          </w:tcPr>
          <w:p w14:paraId="594A769B"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37E13D44" w14:textId="42D9C501" w:rsidTr="00E31838">
        <w:tc>
          <w:tcPr>
            <w:tcW w:w="4598" w:type="dxa"/>
            <w:vAlign w:val="center"/>
          </w:tcPr>
          <w:p w14:paraId="6FF41666"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020C3042" w14:textId="37A0AA49"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VIII - cobertura parcial de risco: a cobertura contratada em valor parcial do benefício previsto em regulamento do plano de benefícios ou do fluxo de pagamento estimado; </w:t>
            </w:r>
          </w:p>
        </w:tc>
        <w:tc>
          <w:tcPr>
            <w:tcW w:w="4076" w:type="dxa"/>
            <w:shd w:val="clear" w:color="auto" w:fill="auto"/>
            <w:noWrap/>
            <w:vAlign w:val="center"/>
          </w:tcPr>
          <w:p w14:paraId="28A4085A"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50D75C85" w14:textId="1CC9D797" w:rsidTr="00E31838">
        <w:tc>
          <w:tcPr>
            <w:tcW w:w="4598" w:type="dxa"/>
            <w:vAlign w:val="center"/>
          </w:tcPr>
          <w:p w14:paraId="56F818A4"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06D63B9A" w14:textId="29B188D7"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IX - cobertura total de risco: a cobertura contratada correspondente à totalidade do valor do benefício previsto em regulamento do plano de benefícios ou do fluxo de pagamento estimado; </w:t>
            </w:r>
          </w:p>
        </w:tc>
        <w:tc>
          <w:tcPr>
            <w:tcW w:w="4076" w:type="dxa"/>
            <w:shd w:val="clear" w:color="auto" w:fill="auto"/>
            <w:noWrap/>
            <w:vAlign w:val="center"/>
          </w:tcPr>
          <w:p w14:paraId="63B92543"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59BBAD5C" w14:textId="3CEF3DCD" w:rsidTr="00E31838">
        <w:tc>
          <w:tcPr>
            <w:tcW w:w="4598" w:type="dxa"/>
            <w:vAlign w:val="center"/>
          </w:tcPr>
          <w:p w14:paraId="71054AB5"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730FED46" w14:textId="1ADB5D2D"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 - cobertura adicional de risco: a cobertura oferecida aos participantes em planos cujos benefícios decorrentes de invalidez e morte sejam estruturados unicamente com base em saldos de contas; </w:t>
            </w:r>
          </w:p>
        </w:tc>
        <w:tc>
          <w:tcPr>
            <w:tcW w:w="4076" w:type="dxa"/>
            <w:shd w:val="clear" w:color="auto" w:fill="auto"/>
            <w:noWrap/>
            <w:vAlign w:val="center"/>
          </w:tcPr>
          <w:p w14:paraId="450E8972"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46EB38D1" w14:textId="6BBDE623" w:rsidTr="00E31838">
        <w:tc>
          <w:tcPr>
            <w:tcW w:w="4598" w:type="dxa"/>
            <w:vAlign w:val="center"/>
          </w:tcPr>
          <w:p w14:paraId="0FF67F30"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7E7A02F7" w14:textId="6C923C3F"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XI - afiliado setorial: pessoa jurídica que mantenha vínculo de natureza econômica ou social com instituidor setorial; </w:t>
            </w:r>
          </w:p>
        </w:tc>
        <w:tc>
          <w:tcPr>
            <w:tcW w:w="4076" w:type="dxa"/>
            <w:shd w:val="clear" w:color="auto" w:fill="auto"/>
            <w:noWrap/>
            <w:vAlign w:val="center"/>
          </w:tcPr>
          <w:p w14:paraId="29D0B638"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056463E8" w14:textId="0AC106FD" w:rsidTr="00E31838">
        <w:tc>
          <w:tcPr>
            <w:tcW w:w="4598" w:type="dxa"/>
            <w:vAlign w:val="center"/>
          </w:tcPr>
          <w:p w14:paraId="48EF85CA"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27EC6463" w14:textId="411E1FDE"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XII - certificação de dirigente: procedimento realizado por instituição certificadora que visa atestar a comprovação de atendimento e a verificação de conformidade dos requisitos técnicos necessários para o exercício de determinado cargo ou função em EFPC; </w:t>
            </w:r>
          </w:p>
        </w:tc>
        <w:tc>
          <w:tcPr>
            <w:tcW w:w="4076" w:type="dxa"/>
            <w:shd w:val="clear" w:color="auto" w:fill="auto"/>
            <w:noWrap/>
            <w:vAlign w:val="center"/>
          </w:tcPr>
          <w:p w14:paraId="32D3E0D0"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6FE99547" w14:textId="6A7E0104" w:rsidTr="00E31838">
        <w:tc>
          <w:tcPr>
            <w:tcW w:w="4598" w:type="dxa"/>
            <w:vAlign w:val="center"/>
          </w:tcPr>
          <w:p w14:paraId="775974AC"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DDDEFEF" w14:textId="3BB95F8A"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XIII - data-base: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 </w:t>
            </w:r>
          </w:p>
        </w:tc>
        <w:tc>
          <w:tcPr>
            <w:tcW w:w="4076" w:type="dxa"/>
            <w:shd w:val="clear" w:color="auto" w:fill="auto"/>
            <w:noWrap/>
            <w:vAlign w:val="center"/>
          </w:tcPr>
          <w:p w14:paraId="064A6AA3"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0FA0AFE" w14:textId="55E8A32B" w:rsidTr="00E31838">
        <w:tc>
          <w:tcPr>
            <w:tcW w:w="4598" w:type="dxa"/>
            <w:vAlign w:val="center"/>
          </w:tcPr>
          <w:p w14:paraId="6F10A91F"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6D34EC7E" w14:textId="51930D72"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XIV - data da autorização: aquela em que for publicado, no Diário Oficial da União (DOU), o ato de autorização da Previc, referente ao requerimento de licenciamento ou a data da emissão de protocolo pelo sistema informatizado, no caso de licenciamento automático; </w:t>
            </w:r>
          </w:p>
        </w:tc>
        <w:tc>
          <w:tcPr>
            <w:tcW w:w="4076" w:type="dxa"/>
            <w:shd w:val="clear" w:color="auto" w:fill="auto"/>
            <w:noWrap/>
            <w:vAlign w:val="center"/>
          </w:tcPr>
          <w:p w14:paraId="22617CB6"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30EF9A5C" w14:textId="2152A2BF" w:rsidTr="00E31838">
        <w:tc>
          <w:tcPr>
            <w:tcW w:w="4598" w:type="dxa"/>
            <w:vAlign w:val="center"/>
          </w:tcPr>
          <w:p w14:paraId="63846094"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6879F158" w14:textId="11779FDD"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XV - data da notificação:  </w:t>
            </w:r>
          </w:p>
        </w:tc>
        <w:tc>
          <w:tcPr>
            <w:tcW w:w="4076" w:type="dxa"/>
            <w:shd w:val="clear" w:color="auto" w:fill="auto"/>
            <w:noWrap/>
            <w:vAlign w:val="center"/>
          </w:tcPr>
          <w:p w14:paraId="292CA62B"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43FC0A55" w14:textId="261F9D37" w:rsidTr="00E31838">
        <w:tc>
          <w:tcPr>
            <w:tcW w:w="4598" w:type="dxa"/>
            <w:vAlign w:val="center"/>
          </w:tcPr>
          <w:p w14:paraId="730193FC"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E971F36" w14:textId="353CA5C5"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 aquela em que a entidade de origem receber do patrocinador ou do instituidor a notificação da decisão de transferir o gerenciamento do plano de benefícios ou de retirar o patrocínio; ou  </w:t>
            </w:r>
          </w:p>
        </w:tc>
        <w:tc>
          <w:tcPr>
            <w:tcW w:w="4076" w:type="dxa"/>
            <w:shd w:val="clear" w:color="auto" w:fill="auto"/>
            <w:noWrap/>
            <w:vAlign w:val="center"/>
          </w:tcPr>
          <w:p w14:paraId="26952D6A"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501F3336" w14:textId="7A7F7B07" w:rsidTr="00E31838">
        <w:tc>
          <w:tcPr>
            <w:tcW w:w="4598" w:type="dxa"/>
            <w:vAlign w:val="center"/>
          </w:tcPr>
          <w:p w14:paraId="7B8C55A9"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1BF3D5D" w14:textId="72B05127"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b) o patrocinador ou instituidor receber a notificação da entidade sobre a decisão da rescisão unilateral de </w:t>
            </w:r>
            <w:r w:rsidRPr="0010524E">
              <w:rPr>
                <w:rFonts w:ascii="Calibri" w:eastAsia="Times New Roman" w:hAnsi="Calibri" w:cs="Calibri"/>
                <w:kern w:val="0"/>
                <w:sz w:val="24"/>
                <w:szCs w:val="24"/>
                <w:lang w:eastAsia="pt-BR"/>
                <w14:ligatures w14:val="none"/>
              </w:rPr>
              <w:lastRenderedPageBreak/>
              <w:t xml:space="preserve">convênio de adesão, relativamente a determinado plano de benefícios; </w:t>
            </w:r>
          </w:p>
        </w:tc>
        <w:tc>
          <w:tcPr>
            <w:tcW w:w="4076" w:type="dxa"/>
            <w:shd w:val="clear" w:color="auto" w:fill="auto"/>
            <w:noWrap/>
            <w:vAlign w:val="center"/>
          </w:tcPr>
          <w:p w14:paraId="30A1F420"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02344D43" w14:textId="16E99504" w:rsidTr="00E31838">
        <w:tc>
          <w:tcPr>
            <w:tcW w:w="4598" w:type="dxa"/>
            <w:vAlign w:val="center"/>
          </w:tcPr>
          <w:p w14:paraId="57FC7250"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0ABA3CC9" w14:textId="749B377E"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XVI - data do aporte</w:t>
            </w:r>
            <w:r>
              <w:rPr>
                <w:rFonts w:ascii="Calibri" w:eastAsia="Times New Roman" w:hAnsi="Calibri" w:cs="Calibri"/>
                <w:kern w:val="0"/>
                <w:sz w:val="24"/>
                <w:szCs w:val="24"/>
                <w:lang w:eastAsia="pt-BR"/>
                <w14:ligatures w14:val="none"/>
              </w:rPr>
              <w:t xml:space="preserve"> </w:t>
            </w:r>
            <w:r w:rsidRPr="0010524E">
              <w:rPr>
                <w:rFonts w:ascii="Calibri" w:eastAsia="Times New Roman" w:hAnsi="Calibri" w:cs="Calibri"/>
                <w:kern w:val="0"/>
                <w:sz w:val="24"/>
                <w:szCs w:val="24"/>
                <w:lang w:eastAsia="pt-BR"/>
                <w14:ligatures w14:val="none"/>
              </w:rPr>
              <w:t xml:space="preserve">: aquela na qual devem ocorrer os aportes de responsabilidade do patrocinador, previstos no termo da operação; </w:t>
            </w:r>
          </w:p>
        </w:tc>
        <w:tc>
          <w:tcPr>
            <w:tcW w:w="4076" w:type="dxa"/>
            <w:shd w:val="clear" w:color="auto" w:fill="auto"/>
            <w:noWrap/>
            <w:vAlign w:val="center"/>
          </w:tcPr>
          <w:p w14:paraId="25BA96B4"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6ABF3E9B" w14:textId="034F79AA" w:rsidTr="00E31838">
        <w:tc>
          <w:tcPr>
            <w:tcW w:w="4598" w:type="dxa"/>
            <w:vAlign w:val="center"/>
          </w:tcPr>
          <w:p w14:paraId="2B84BCF6"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E51F6FF" w14:textId="61F8996F"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XVII - data do cálculo: aquela correspondente ao último dia do mês em que ocorrer a data da autorização, momento em que os cálculos referenciais que servirão para a efetivação da operação devem ser posicionados; </w:t>
            </w:r>
          </w:p>
        </w:tc>
        <w:tc>
          <w:tcPr>
            <w:tcW w:w="4076" w:type="dxa"/>
            <w:shd w:val="clear" w:color="auto" w:fill="auto"/>
            <w:noWrap/>
            <w:vAlign w:val="center"/>
          </w:tcPr>
          <w:p w14:paraId="497D6602"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F654B86" w14:textId="2DEA5A28" w:rsidTr="00E31838">
        <w:tc>
          <w:tcPr>
            <w:tcW w:w="4598" w:type="dxa"/>
            <w:vAlign w:val="center"/>
          </w:tcPr>
          <w:p w14:paraId="45D19F05"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5CE4D13" w14:textId="19232FBD"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XVIII - data do protocolo: aquela em que a entidade de origem protocolar o requerimento de licenciamento da operação pretendida no sistema informatizado da Previc; </w:t>
            </w:r>
          </w:p>
        </w:tc>
        <w:tc>
          <w:tcPr>
            <w:tcW w:w="4076" w:type="dxa"/>
            <w:shd w:val="clear" w:color="auto" w:fill="auto"/>
            <w:noWrap/>
            <w:vAlign w:val="center"/>
          </w:tcPr>
          <w:p w14:paraId="266F859B"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AAE7485" w14:textId="7145D4E9" w:rsidTr="00E31838">
        <w:tc>
          <w:tcPr>
            <w:tcW w:w="4598" w:type="dxa"/>
            <w:vAlign w:val="center"/>
          </w:tcPr>
          <w:p w14:paraId="0C0F20B6"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B668F1B" w14:textId="75EB1529"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XIX - data efetiva: aquela, posterior à data da autorização, até a qual deve ocorrer a finalização da operação com o cumprimento do termo da operação; </w:t>
            </w:r>
          </w:p>
        </w:tc>
        <w:tc>
          <w:tcPr>
            <w:tcW w:w="4076" w:type="dxa"/>
            <w:shd w:val="clear" w:color="auto" w:fill="auto"/>
            <w:noWrap/>
            <w:vAlign w:val="center"/>
          </w:tcPr>
          <w:p w14:paraId="688CBFFE"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2427276" w14:textId="3EC32DF2" w:rsidTr="00E31838">
        <w:tc>
          <w:tcPr>
            <w:tcW w:w="4598" w:type="dxa"/>
            <w:vAlign w:val="center"/>
          </w:tcPr>
          <w:p w14:paraId="11B91F2F"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05EE1423" w14:textId="5697CC3D"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 - habilitação de dirigente: procedimento realizado pela Previc para verificação do atendimento aos requisitos mínimos legais para exercício de determinado cargo de membro da diretoria-executiva ou dos conselhos deliberativo e fiscal em EFPC; </w:t>
            </w:r>
          </w:p>
        </w:tc>
        <w:tc>
          <w:tcPr>
            <w:tcW w:w="4076" w:type="dxa"/>
            <w:shd w:val="clear" w:color="auto" w:fill="auto"/>
            <w:noWrap/>
            <w:vAlign w:val="center"/>
          </w:tcPr>
          <w:p w14:paraId="19872FD3"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07B1C532" w14:textId="381D036B" w:rsidTr="00E31838">
        <w:tc>
          <w:tcPr>
            <w:tcW w:w="4598" w:type="dxa"/>
            <w:vAlign w:val="center"/>
          </w:tcPr>
          <w:p w14:paraId="7A2E1DA3"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633F152" w14:textId="0AACD075"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XXI - instituidor setorial: pessoa jurídica que represente segmento econômico ou social de caráter setorial; </w:t>
            </w:r>
          </w:p>
        </w:tc>
        <w:tc>
          <w:tcPr>
            <w:tcW w:w="4076" w:type="dxa"/>
            <w:shd w:val="clear" w:color="auto" w:fill="auto"/>
            <w:noWrap/>
            <w:vAlign w:val="center"/>
          </w:tcPr>
          <w:p w14:paraId="21BDC16A"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2F974119" w14:textId="7150D967" w:rsidTr="00E31838">
        <w:tc>
          <w:tcPr>
            <w:tcW w:w="4598" w:type="dxa"/>
            <w:vAlign w:val="center"/>
          </w:tcPr>
          <w:p w14:paraId="49E6BFCB"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458A42A" w14:textId="22C5DDE4"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XXII - licenciamento automático: é o processo pelo qual a autorização ocorre na data de emissão do protocolo de requerimento de licenciamento pelo sistema informatizado da Previc; </w:t>
            </w:r>
          </w:p>
        </w:tc>
        <w:tc>
          <w:tcPr>
            <w:tcW w:w="4076" w:type="dxa"/>
            <w:shd w:val="clear" w:color="auto" w:fill="auto"/>
            <w:noWrap/>
            <w:vAlign w:val="center"/>
          </w:tcPr>
          <w:p w14:paraId="479EBBCB"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19B15DC" w14:textId="3CEA3633" w:rsidTr="00E31838">
        <w:tc>
          <w:tcPr>
            <w:tcW w:w="4598" w:type="dxa"/>
            <w:vAlign w:val="center"/>
          </w:tcPr>
          <w:p w14:paraId="58A93A91"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6F38A863" w14:textId="1BDE2EF3"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XIII - modelo certificado: modelo de regulamento ou de convênio de adesão submetido pela EFPC para aprovação da Previc e posterior utilização em requerimentos de implantação de plano de benefícios ou de aprovação de convênio de adesão; </w:t>
            </w:r>
          </w:p>
        </w:tc>
        <w:tc>
          <w:tcPr>
            <w:tcW w:w="4076" w:type="dxa"/>
            <w:shd w:val="clear" w:color="auto" w:fill="auto"/>
            <w:noWrap/>
            <w:vAlign w:val="center"/>
          </w:tcPr>
          <w:p w14:paraId="6BA0C464"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512E7692" w14:textId="05C09FC7" w:rsidTr="00E31838">
        <w:tc>
          <w:tcPr>
            <w:tcW w:w="4598" w:type="dxa"/>
            <w:vAlign w:val="center"/>
          </w:tcPr>
          <w:p w14:paraId="05A25132"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F11AE73" w14:textId="35BBDFD1"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XXIV - modelo padronizado: modelo de regulamento de plano de benefícios, de convênio de adesão ou de outros documentos disponibilizados pela Previc para utilização, pelas EFPC, em requerimentos de licenciamento; </w:t>
            </w:r>
          </w:p>
        </w:tc>
        <w:tc>
          <w:tcPr>
            <w:tcW w:w="4076" w:type="dxa"/>
            <w:shd w:val="clear" w:color="auto" w:fill="auto"/>
            <w:noWrap/>
            <w:vAlign w:val="center"/>
          </w:tcPr>
          <w:p w14:paraId="245E4FF7"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32C4E698" w14:textId="25EBD73D" w:rsidTr="00E31838">
        <w:tc>
          <w:tcPr>
            <w:tcW w:w="4598" w:type="dxa"/>
            <w:vAlign w:val="center"/>
          </w:tcPr>
          <w:p w14:paraId="7E878F95"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19C5173" w14:textId="03862FF8"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XXV - período de opção: prazo concedido aos participantes e assistidos para o exercício das opções oferecidas em face da operação licenciada ou de institutos, não podendo ser inferior a trinta dias; </w:t>
            </w:r>
          </w:p>
        </w:tc>
        <w:tc>
          <w:tcPr>
            <w:tcW w:w="4076" w:type="dxa"/>
            <w:shd w:val="clear" w:color="auto" w:fill="auto"/>
            <w:noWrap/>
            <w:vAlign w:val="center"/>
          </w:tcPr>
          <w:p w14:paraId="54ED683E"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41F1EA36" w14:textId="00D33BA0" w:rsidTr="00E31838">
        <w:tc>
          <w:tcPr>
            <w:tcW w:w="4598" w:type="dxa"/>
            <w:vAlign w:val="center"/>
          </w:tcPr>
          <w:p w14:paraId="46CF276A"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427F151" w14:textId="4DEAE4CE"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XXVI - plano setorial: plano de benefícios instituído por instituidor setorial; </w:t>
            </w:r>
          </w:p>
        </w:tc>
        <w:tc>
          <w:tcPr>
            <w:tcW w:w="4076" w:type="dxa"/>
            <w:shd w:val="clear" w:color="auto" w:fill="auto"/>
            <w:noWrap/>
            <w:vAlign w:val="center"/>
          </w:tcPr>
          <w:p w14:paraId="5B6161CD"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EB5C47B" w14:textId="08CBF7C2" w:rsidTr="00E31838">
        <w:tc>
          <w:tcPr>
            <w:tcW w:w="4598" w:type="dxa"/>
            <w:vAlign w:val="center"/>
          </w:tcPr>
          <w:p w14:paraId="78B2F34E"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042CE170" w14:textId="47589704"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XXVII - termo da operação: instrumento contratual firmado entre as partes envolvidas na operação pretendida, no qual são pactuadas as condições, os critérios e as metodologias aplicáveis ao requerimento de licenciamento; </w:t>
            </w:r>
          </w:p>
        </w:tc>
        <w:tc>
          <w:tcPr>
            <w:tcW w:w="4076" w:type="dxa"/>
            <w:shd w:val="clear" w:color="auto" w:fill="auto"/>
            <w:noWrap/>
            <w:vAlign w:val="center"/>
          </w:tcPr>
          <w:p w14:paraId="48D140F5"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5B1FE728" w14:textId="71F98F5F" w:rsidTr="00E31838">
        <w:tc>
          <w:tcPr>
            <w:tcW w:w="4598" w:type="dxa"/>
            <w:vAlign w:val="center"/>
          </w:tcPr>
          <w:p w14:paraId="3E3F757B"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238ABE83" w14:textId="2CA648AD"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XXVIII - relatório da operação: documento, posicionado na data-base, que apresenta as informações e os valores relacionados com a operação pretendida, resultantes da aplicação das condições, dos critérios e das metodologias definidas no termo da operação; </w:t>
            </w:r>
          </w:p>
        </w:tc>
        <w:tc>
          <w:tcPr>
            <w:tcW w:w="4076" w:type="dxa"/>
            <w:shd w:val="clear" w:color="auto" w:fill="auto"/>
            <w:noWrap/>
            <w:vAlign w:val="center"/>
          </w:tcPr>
          <w:p w14:paraId="1CBB5E5D"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35D13FA1" w14:textId="6A8ABBE2" w:rsidTr="00E31838">
        <w:tc>
          <w:tcPr>
            <w:tcW w:w="4598" w:type="dxa"/>
            <w:vAlign w:val="center"/>
          </w:tcPr>
          <w:p w14:paraId="71F3CD68"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11C13DB" w14:textId="023ECE9F"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XXIX - plano de gestão administrativa (PGA): plano constituído com a finalidade de registrar </w:t>
            </w:r>
            <w:r w:rsidRPr="0010524E">
              <w:rPr>
                <w:rFonts w:ascii="Calibri" w:eastAsia="Times New Roman" w:hAnsi="Calibri" w:cs="Calibri"/>
                <w:kern w:val="0"/>
                <w:sz w:val="24"/>
                <w:szCs w:val="24"/>
                <w:lang w:eastAsia="pt-BR"/>
                <w14:ligatures w14:val="none"/>
              </w:rPr>
              <w:lastRenderedPageBreak/>
              <w:t xml:space="preserve">contabilmente as atividades referentes à gestão administrativa das EFPC, na forma do seu regulamento; </w:t>
            </w:r>
          </w:p>
        </w:tc>
        <w:tc>
          <w:tcPr>
            <w:tcW w:w="4076" w:type="dxa"/>
            <w:shd w:val="clear" w:color="auto" w:fill="auto"/>
            <w:noWrap/>
            <w:vAlign w:val="center"/>
          </w:tcPr>
          <w:p w14:paraId="1D3282D1"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CEE08E6" w14:textId="07822159" w:rsidTr="00E31838">
        <w:tc>
          <w:tcPr>
            <w:tcW w:w="4598" w:type="dxa"/>
            <w:vAlign w:val="center"/>
          </w:tcPr>
          <w:p w14:paraId="3782C3B4"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2E9A9D6B" w14:textId="3E895EF6"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 - balancete do plano de benefícios: demonstrativo contábil para registro do patrimônio e dos resultados dos planos de benefícios de caráter previdencial e assistencial administrados pela EFPC; </w:t>
            </w:r>
          </w:p>
        </w:tc>
        <w:tc>
          <w:tcPr>
            <w:tcW w:w="4076" w:type="dxa"/>
            <w:shd w:val="clear" w:color="auto" w:fill="auto"/>
            <w:noWrap/>
            <w:vAlign w:val="center"/>
          </w:tcPr>
          <w:p w14:paraId="7C95E137"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27A69DBE" w14:textId="68F2D430" w:rsidTr="00E31838">
        <w:tc>
          <w:tcPr>
            <w:tcW w:w="4598" w:type="dxa"/>
            <w:vAlign w:val="center"/>
          </w:tcPr>
          <w:p w14:paraId="72D8143A"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668CE982" w14:textId="370CDBDC"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XXXI - balancete do plano de gestão administrativa: demonstrativo contábil para registro do patrimônio e dos resultados do plano de gestão administrativa; </w:t>
            </w:r>
          </w:p>
        </w:tc>
        <w:tc>
          <w:tcPr>
            <w:tcW w:w="4076" w:type="dxa"/>
            <w:shd w:val="clear" w:color="auto" w:fill="auto"/>
            <w:noWrap/>
            <w:vAlign w:val="center"/>
          </w:tcPr>
          <w:p w14:paraId="46E7048E"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015089A6" w14:textId="44EE7FCD" w:rsidTr="00E31838">
        <w:tc>
          <w:tcPr>
            <w:tcW w:w="4598" w:type="dxa"/>
            <w:vAlign w:val="center"/>
          </w:tcPr>
          <w:p w14:paraId="3DFE59EA"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61CC4251" w14:textId="035B6543"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XXXII - balancete consolidado: demonstrativo contábil de consolidação do patrimônio e dos resultados dos planos de benefícios de caráter previdencial e assistencial e do plano de gestão administrativa; </w:t>
            </w:r>
          </w:p>
        </w:tc>
        <w:tc>
          <w:tcPr>
            <w:tcW w:w="4076" w:type="dxa"/>
            <w:shd w:val="clear" w:color="auto" w:fill="auto"/>
            <w:noWrap/>
            <w:vAlign w:val="center"/>
          </w:tcPr>
          <w:p w14:paraId="7419153C"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2A613621" w14:textId="6469FD92" w:rsidTr="00E31838">
        <w:tc>
          <w:tcPr>
            <w:tcW w:w="4598" w:type="dxa"/>
            <w:vAlign w:val="center"/>
          </w:tcPr>
          <w:p w14:paraId="09BD59AF"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02640C7" w14:textId="644862C0"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XXXIII - gestão previdencial: atividade de registro e controle contábil das contribuições, dos benefícios e dos institutos previstos no art. 14 da Lei Complementar nº 109, de 29 de maio de 2001, bem como da mutação patrimonial dos planos de benefícios de caráter previdencial e dos planos assistenciais que não possuem registro na Agência Nacional de Saúde Suplementar (ANS); </w:t>
            </w:r>
          </w:p>
        </w:tc>
        <w:tc>
          <w:tcPr>
            <w:tcW w:w="4076" w:type="dxa"/>
            <w:shd w:val="clear" w:color="auto" w:fill="auto"/>
            <w:noWrap/>
            <w:vAlign w:val="center"/>
          </w:tcPr>
          <w:p w14:paraId="168FEC19"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2419273" w14:textId="7B2EC077" w:rsidTr="00E31838">
        <w:tc>
          <w:tcPr>
            <w:tcW w:w="4598" w:type="dxa"/>
            <w:vAlign w:val="center"/>
          </w:tcPr>
          <w:p w14:paraId="6E66488E"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64FA751B" w14:textId="48014E6B"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XXXIV - gestão administrativa: atividade de registro e de controle contábil inerentes à administração dos planos de benefícios de caráter previdencial e assistencial; </w:t>
            </w:r>
          </w:p>
        </w:tc>
        <w:tc>
          <w:tcPr>
            <w:tcW w:w="4076" w:type="dxa"/>
            <w:shd w:val="clear" w:color="auto" w:fill="auto"/>
            <w:noWrap/>
            <w:vAlign w:val="center"/>
          </w:tcPr>
          <w:p w14:paraId="776B8105"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377AEE33" w14:textId="01419915" w:rsidTr="00E31838">
        <w:tc>
          <w:tcPr>
            <w:tcW w:w="4598" w:type="dxa"/>
            <w:vAlign w:val="center"/>
          </w:tcPr>
          <w:p w14:paraId="589C4CDF"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7F3DF407" w14:textId="752A4392"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XXXV - gestão assistencial: atividade de registro e de controle contábil das contribuições, dos benefícios e da </w:t>
            </w:r>
            <w:r w:rsidRPr="0010524E">
              <w:rPr>
                <w:rFonts w:ascii="Calibri" w:eastAsia="Times New Roman" w:hAnsi="Calibri" w:cs="Calibri"/>
                <w:kern w:val="0"/>
                <w:sz w:val="24"/>
                <w:szCs w:val="24"/>
                <w:lang w:eastAsia="pt-BR"/>
                <w14:ligatures w14:val="none"/>
              </w:rPr>
              <w:lastRenderedPageBreak/>
              <w:t xml:space="preserve">mutação patrimonial do plano de benefícios de caráter assistencial, com registro na ANS; </w:t>
            </w:r>
          </w:p>
        </w:tc>
        <w:tc>
          <w:tcPr>
            <w:tcW w:w="4076" w:type="dxa"/>
            <w:shd w:val="clear" w:color="auto" w:fill="auto"/>
            <w:noWrap/>
            <w:vAlign w:val="center"/>
          </w:tcPr>
          <w:p w14:paraId="06C7BBC3"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0AD30AD2" w14:textId="5B427632" w:rsidTr="00E31838">
        <w:tc>
          <w:tcPr>
            <w:tcW w:w="4598" w:type="dxa"/>
            <w:vAlign w:val="center"/>
          </w:tcPr>
          <w:p w14:paraId="0210E383"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CF4C8EB" w14:textId="716F3D09"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XXXVI - grupo contábil investimentos: atividade de registro e de controle contábil das aplicações dos recursos garantidores dos planos de benefícios de caráter previdencial e assistencial e do plano de gestão administrativa; </w:t>
            </w:r>
          </w:p>
        </w:tc>
        <w:tc>
          <w:tcPr>
            <w:tcW w:w="4076" w:type="dxa"/>
            <w:shd w:val="clear" w:color="auto" w:fill="auto"/>
            <w:noWrap/>
            <w:vAlign w:val="center"/>
          </w:tcPr>
          <w:p w14:paraId="35CCBF48"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7D885B2" w14:textId="3BECB215" w:rsidTr="00E31838">
        <w:tc>
          <w:tcPr>
            <w:tcW w:w="4598" w:type="dxa"/>
            <w:vAlign w:val="center"/>
          </w:tcPr>
          <w:p w14:paraId="5D52CFB6"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CF76683" w14:textId="53856BFE"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XXXVII - derivativos: contratos representativos de instrumentos financeiros cujo valor varia em decorrência de mudanças em um ativo subjacente, que pode ser físico ou financeiro, negociado no mercado à vista ou futuro, cujo investimento inicial seja inexistente ou pequeno em relação ao valor do contrato, e que sejam liquidados em data futura; </w:t>
            </w:r>
          </w:p>
        </w:tc>
        <w:tc>
          <w:tcPr>
            <w:tcW w:w="4076" w:type="dxa"/>
            <w:shd w:val="clear" w:color="auto" w:fill="auto"/>
            <w:noWrap/>
            <w:vAlign w:val="center"/>
          </w:tcPr>
          <w:p w14:paraId="4A2490EC"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424ED0F" w14:textId="6AC229FD" w:rsidTr="00E31838">
        <w:tc>
          <w:tcPr>
            <w:tcW w:w="4598" w:type="dxa"/>
            <w:vAlign w:val="center"/>
          </w:tcPr>
          <w:p w14:paraId="05799EF5"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25D3C937" w14:textId="408CD480"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XXXVIII - operações compromissadas: compras de títulos, com compromisso de revenda, bem como vendas de títulos, com compromisso de recompra; </w:t>
            </w:r>
          </w:p>
        </w:tc>
        <w:tc>
          <w:tcPr>
            <w:tcW w:w="4076" w:type="dxa"/>
            <w:shd w:val="clear" w:color="auto" w:fill="auto"/>
            <w:noWrap/>
            <w:vAlign w:val="center"/>
          </w:tcPr>
          <w:p w14:paraId="48DAFCE6"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27F08547" w14:textId="47EA6EEC" w:rsidTr="00E31838">
        <w:tc>
          <w:tcPr>
            <w:tcW w:w="4598" w:type="dxa"/>
            <w:vAlign w:val="center"/>
          </w:tcPr>
          <w:p w14:paraId="67A70255"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0D116554" w14:textId="75C11B8C"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XXI - instituidor setorial: pessoa jurídica que represente segmento econômico ou social de caráter setorial; </w:t>
            </w:r>
          </w:p>
        </w:tc>
        <w:tc>
          <w:tcPr>
            <w:tcW w:w="4076" w:type="dxa"/>
            <w:shd w:val="clear" w:color="auto" w:fill="auto"/>
            <w:noWrap/>
            <w:vAlign w:val="center"/>
          </w:tcPr>
          <w:p w14:paraId="6F68F0F3"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4AFBD4B1" w14:textId="4316AF8B" w:rsidTr="00E31838">
        <w:tc>
          <w:tcPr>
            <w:tcW w:w="4598" w:type="dxa"/>
            <w:vAlign w:val="center"/>
          </w:tcPr>
          <w:p w14:paraId="5135B6F4"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4B89765" w14:textId="0C4ABD07"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XXII - licenciamento automático: é o processo pelo qual a autorização ocorre na data de emissão do protocolo de requerimento de licenciamento pelo sistema informatizado da Previc; </w:t>
            </w:r>
          </w:p>
        </w:tc>
        <w:tc>
          <w:tcPr>
            <w:tcW w:w="4076" w:type="dxa"/>
            <w:shd w:val="clear" w:color="auto" w:fill="auto"/>
            <w:noWrap/>
            <w:vAlign w:val="center"/>
          </w:tcPr>
          <w:p w14:paraId="0894AEA0"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39C4AAFF" w14:textId="74EF9D9B" w:rsidTr="00E31838">
        <w:tc>
          <w:tcPr>
            <w:tcW w:w="4598" w:type="dxa"/>
            <w:vAlign w:val="center"/>
          </w:tcPr>
          <w:p w14:paraId="3A1B565B"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5CCA28C" w14:textId="2A427010"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XIII - modelo certificado: modelo de regulamento ou de convênio de adesão submetido pela EFPC para aprovação da Previc e posterior utilização em requerimentos de implantação de plano de benefícios ou de aprovação de convênio de adesão; </w:t>
            </w:r>
          </w:p>
        </w:tc>
        <w:tc>
          <w:tcPr>
            <w:tcW w:w="4076" w:type="dxa"/>
            <w:shd w:val="clear" w:color="auto" w:fill="auto"/>
            <w:noWrap/>
            <w:vAlign w:val="center"/>
          </w:tcPr>
          <w:p w14:paraId="5684A542"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4D23694" w14:textId="32A5E244" w:rsidTr="00E31838">
        <w:tc>
          <w:tcPr>
            <w:tcW w:w="4598" w:type="dxa"/>
            <w:vAlign w:val="center"/>
          </w:tcPr>
          <w:p w14:paraId="48E0C031"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713A038C" w14:textId="51D1EA55"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XXIV - modelo padronizado: modelo de regulamento de plano de benefícios, de convênio de adesão ou de outros documentos disponibilizados pela Previc para utilização, pelas EFPC, em requerimentos de licenciamento; </w:t>
            </w:r>
          </w:p>
        </w:tc>
        <w:tc>
          <w:tcPr>
            <w:tcW w:w="4076" w:type="dxa"/>
            <w:shd w:val="clear" w:color="auto" w:fill="auto"/>
            <w:noWrap/>
            <w:vAlign w:val="center"/>
          </w:tcPr>
          <w:p w14:paraId="59A6F357"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8051D8B" w14:textId="35B075B7" w:rsidTr="00E31838">
        <w:tc>
          <w:tcPr>
            <w:tcW w:w="4598" w:type="dxa"/>
            <w:vAlign w:val="center"/>
          </w:tcPr>
          <w:p w14:paraId="3F84D423"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65CB0CAB" w14:textId="7D179485"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XXV - período de opção: prazo concedido aos participantes e assistidos para o exercício das opções oferecidas em face da operação licenciada ou de institutos, não podendo ser inferior a trinta dias; </w:t>
            </w:r>
          </w:p>
        </w:tc>
        <w:tc>
          <w:tcPr>
            <w:tcW w:w="4076" w:type="dxa"/>
            <w:shd w:val="clear" w:color="auto" w:fill="auto"/>
            <w:noWrap/>
            <w:vAlign w:val="center"/>
          </w:tcPr>
          <w:p w14:paraId="39B1E0AD"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3475F13D" w14:textId="2B4ACF21" w:rsidTr="00E31838">
        <w:tc>
          <w:tcPr>
            <w:tcW w:w="4598" w:type="dxa"/>
            <w:vAlign w:val="center"/>
          </w:tcPr>
          <w:p w14:paraId="774B4F62"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F316667" w14:textId="0CA9A3C3"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XXVI - plano setorial: plano de benefícios instituído por instituidor setorial; </w:t>
            </w:r>
          </w:p>
        </w:tc>
        <w:tc>
          <w:tcPr>
            <w:tcW w:w="4076" w:type="dxa"/>
            <w:shd w:val="clear" w:color="auto" w:fill="auto"/>
            <w:noWrap/>
            <w:vAlign w:val="center"/>
          </w:tcPr>
          <w:p w14:paraId="45324460"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313D58AF" w14:textId="39A6329E" w:rsidTr="00E31838">
        <w:tc>
          <w:tcPr>
            <w:tcW w:w="4598" w:type="dxa"/>
            <w:vAlign w:val="center"/>
          </w:tcPr>
          <w:p w14:paraId="2BB48D40"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89B8CCB" w14:textId="62FC239D"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XXVII - termo da operação: instrumento contratual firmado entre as partes envolvidas na operação pretendida, no qual são pactuadas as condições, os critérios e as metodologias aplicáveis ao requerimento de licenciamento; </w:t>
            </w:r>
          </w:p>
        </w:tc>
        <w:tc>
          <w:tcPr>
            <w:tcW w:w="4076" w:type="dxa"/>
            <w:shd w:val="clear" w:color="auto" w:fill="auto"/>
            <w:noWrap/>
            <w:vAlign w:val="center"/>
          </w:tcPr>
          <w:p w14:paraId="12751899"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27AD819" w14:textId="2690110F" w:rsidTr="00E31838">
        <w:tc>
          <w:tcPr>
            <w:tcW w:w="4598" w:type="dxa"/>
            <w:vAlign w:val="center"/>
          </w:tcPr>
          <w:p w14:paraId="198006C5"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F907B32" w14:textId="7DEF2B94"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XXVIII - relatório da operação: documento, posicionado na data-base, que apresenta as informações e os valores relacionados com a operação pretendida, resultantes da aplicação das condições, dos critérios e das metodologias definidas no termo da operação; </w:t>
            </w:r>
          </w:p>
        </w:tc>
        <w:tc>
          <w:tcPr>
            <w:tcW w:w="4076" w:type="dxa"/>
            <w:shd w:val="clear" w:color="auto" w:fill="auto"/>
            <w:noWrap/>
            <w:vAlign w:val="center"/>
          </w:tcPr>
          <w:p w14:paraId="44D31FE1"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64743BA1" w14:textId="7ED4E37C" w:rsidTr="00E31838">
        <w:tc>
          <w:tcPr>
            <w:tcW w:w="4598" w:type="dxa"/>
            <w:vAlign w:val="center"/>
          </w:tcPr>
          <w:p w14:paraId="6DC11D5B"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24902A04" w14:textId="5B67BC08"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XXIX - plano de gestão administrativa (PGA): plano constituído com a finalidade de registrar contabilmente as atividades referentes à gestão administrativa das EFPC, na forma do seu regulamento; </w:t>
            </w:r>
          </w:p>
        </w:tc>
        <w:tc>
          <w:tcPr>
            <w:tcW w:w="4076" w:type="dxa"/>
            <w:shd w:val="clear" w:color="auto" w:fill="auto"/>
            <w:noWrap/>
            <w:vAlign w:val="center"/>
          </w:tcPr>
          <w:p w14:paraId="49A89BF7"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20A48910" w14:textId="41E3D696" w:rsidTr="00E31838">
        <w:tc>
          <w:tcPr>
            <w:tcW w:w="4598" w:type="dxa"/>
            <w:vAlign w:val="center"/>
          </w:tcPr>
          <w:p w14:paraId="5A2074B7"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2A2A7988" w14:textId="35A57512"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 - balancete do plano de benefícios: demonstrativo contábil para registro do patrimônio e dos resultados </w:t>
            </w:r>
            <w:r w:rsidRPr="0010524E">
              <w:rPr>
                <w:rFonts w:ascii="Calibri" w:eastAsia="Times New Roman" w:hAnsi="Calibri" w:cs="Calibri"/>
                <w:kern w:val="0"/>
                <w:sz w:val="24"/>
                <w:szCs w:val="24"/>
                <w:lang w:eastAsia="pt-BR"/>
                <w14:ligatures w14:val="none"/>
              </w:rPr>
              <w:lastRenderedPageBreak/>
              <w:t xml:space="preserve">dos planos de benefícios de caráter previdencial e assistencial administrados pela EFPC; </w:t>
            </w:r>
          </w:p>
        </w:tc>
        <w:tc>
          <w:tcPr>
            <w:tcW w:w="4076" w:type="dxa"/>
            <w:shd w:val="clear" w:color="auto" w:fill="auto"/>
            <w:noWrap/>
            <w:vAlign w:val="center"/>
          </w:tcPr>
          <w:p w14:paraId="3A852335"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6E68699C" w14:textId="4F03472A" w:rsidTr="00E31838">
        <w:tc>
          <w:tcPr>
            <w:tcW w:w="4598" w:type="dxa"/>
            <w:vAlign w:val="center"/>
          </w:tcPr>
          <w:p w14:paraId="632AF85D"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0286E18E" w14:textId="2788F82D"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XXXI - balancete do plano de gestão administrativa: demonstrativo contábil para registro do patrimônio e dos resultados do plano de gestão administrativa; </w:t>
            </w:r>
          </w:p>
        </w:tc>
        <w:tc>
          <w:tcPr>
            <w:tcW w:w="4076" w:type="dxa"/>
            <w:shd w:val="clear" w:color="auto" w:fill="auto"/>
            <w:noWrap/>
            <w:vAlign w:val="center"/>
          </w:tcPr>
          <w:p w14:paraId="0B87A8EE"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6A9612A" w14:textId="373B9859" w:rsidTr="00E31838">
        <w:tc>
          <w:tcPr>
            <w:tcW w:w="4598" w:type="dxa"/>
            <w:vAlign w:val="center"/>
          </w:tcPr>
          <w:p w14:paraId="36A86A84"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760B2763" w14:textId="4CA59882"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XXXII - balancete consolidado: demonstrativo contábil de consolidação do patrimônio e dos resultados dos planos de benefícios de caráter previdencial e assistencial e do plano de gestão administrativa; </w:t>
            </w:r>
          </w:p>
        </w:tc>
        <w:tc>
          <w:tcPr>
            <w:tcW w:w="4076" w:type="dxa"/>
            <w:shd w:val="clear" w:color="auto" w:fill="auto"/>
            <w:noWrap/>
            <w:vAlign w:val="center"/>
          </w:tcPr>
          <w:p w14:paraId="24F2EE36"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3D9E0D2B" w14:textId="1BC1D145" w:rsidTr="00E31838">
        <w:tc>
          <w:tcPr>
            <w:tcW w:w="4598" w:type="dxa"/>
            <w:vAlign w:val="center"/>
          </w:tcPr>
          <w:p w14:paraId="7B015009"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7C6869EB" w14:textId="07D89BFB"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XXXIII - gestão previdencial: atividade de registro e controle contábil das contribuições, dos benefícios e dos institutos previstos no art. 14 da Lei Complementar nº 109, de 29 de maio de 2001, bem como da mutação patrimonial dos planos de benefícios de caráter previdencial e dos planos assistenciais que não possuem registro na Agência Nacional de Saúde Suplementar (ANS); </w:t>
            </w:r>
          </w:p>
        </w:tc>
        <w:tc>
          <w:tcPr>
            <w:tcW w:w="4076" w:type="dxa"/>
            <w:shd w:val="clear" w:color="auto" w:fill="auto"/>
            <w:noWrap/>
            <w:vAlign w:val="center"/>
          </w:tcPr>
          <w:p w14:paraId="4CB457ED"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11B2023" w14:textId="334A9512" w:rsidTr="00E31838">
        <w:tc>
          <w:tcPr>
            <w:tcW w:w="4598" w:type="dxa"/>
            <w:vAlign w:val="center"/>
          </w:tcPr>
          <w:p w14:paraId="736BFDF0"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0F9DFCB" w14:textId="1BE49D1D"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XXXIV - gestão administrativa: atividade de registro e de controle contábil inerentes à administração dos planos de benefícios de caráter previdencial e assistencial; </w:t>
            </w:r>
          </w:p>
        </w:tc>
        <w:tc>
          <w:tcPr>
            <w:tcW w:w="4076" w:type="dxa"/>
            <w:shd w:val="clear" w:color="auto" w:fill="auto"/>
            <w:noWrap/>
            <w:vAlign w:val="center"/>
          </w:tcPr>
          <w:p w14:paraId="5D0B2F1C"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0E3F73C3" w14:textId="3B6A5E54" w:rsidTr="00E31838">
        <w:tc>
          <w:tcPr>
            <w:tcW w:w="4598" w:type="dxa"/>
            <w:vAlign w:val="center"/>
          </w:tcPr>
          <w:p w14:paraId="58ACA5D2"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72625196" w14:textId="2C6C2C77"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XXXV - gestão assistencial: atividade de registro e de controle contábil das contribuições, dos benefícios e da mutação patrimonial do plano de benefícios de caráter assistencial, com registro na ANS; </w:t>
            </w:r>
          </w:p>
        </w:tc>
        <w:tc>
          <w:tcPr>
            <w:tcW w:w="4076" w:type="dxa"/>
            <w:shd w:val="clear" w:color="auto" w:fill="auto"/>
            <w:noWrap/>
            <w:vAlign w:val="center"/>
          </w:tcPr>
          <w:p w14:paraId="40E0E1B3"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2B611BA6" w14:textId="0B29A3FE" w:rsidTr="00E31838">
        <w:tc>
          <w:tcPr>
            <w:tcW w:w="4598" w:type="dxa"/>
            <w:vAlign w:val="center"/>
          </w:tcPr>
          <w:p w14:paraId="3348AA40"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05B82BC0" w14:textId="4CF29D48"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XXXVI - grupo contábil investimentos: atividade de registro e de controle contábil das aplicações dos recursos garantidores dos planos de benefícios de </w:t>
            </w:r>
            <w:r w:rsidRPr="0010524E">
              <w:rPr>
                <w:rFonts w:ascii="Calibri" w:eastAsia="Times New Roman" w:hAnsi="Calibri" w:cs="Calibri"/>
                <w:kern w:val="0"/>
                <w:sz w:val="24"/>
                <w:szCs w:val="24"/>
                <w:lang w:eastAsia="pt-BR"/>
                <w14:ligatures w14:val="none"/>
              </w:rPr>
              <w:lastRenderedPageBreak/>
              <w:t xml:space="preserve">caráter previdencial e assistencial e do plano de gestão administrativa; </w:t>
            </w:r>
          </w:p>
        </w:tc>
        <w:tc>
          <w:tcPr>
            <w:tcW w:w="4076" w:type="dxa"/>
            <w:shd w:val="clear" w:color="auto" w:fill="auto"/>
            <w:noWrap/>
            <w:vAlign w:val="center"/>
          </w:tcPr>
          <w:p w14:paraId="057317B5"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2554265B" w14:textId="2218FA7F" w:rsidTr="00E31838">
        <w:tc>
          <w:tcPr>
            <w:tcW w:w="4598" w:type="dxa"/>
            <w:vAlign w:val="center"/>
          </w:tcPr>
          <w:p w14:paraId="476E7F2E"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7511D350" w14:textId="1288BB03"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XXXVII - derivativos: contratos representativos de instrumentos financeiros cujo valor varia em decorrência de mudanças em um ativo subjacente, que pode ser físico ou financeiro, negociado no mercado à vista ou futuro, cujo investimento inicial seja inexistente ou pequeno em relação ao valor do contrato, e que sejam liquidados em data futura; </w:t>
            </w:r>
          </w:p>
        </w:tc>
        <w:tc>
          <w:tcPr>
            <w:tcW w:w="4076" w:type="dxa"/>
            <w:shd w:val="clear" w:color="auto" w:fill="auto"/>
            <w:noWrap/>
            <w:vAlign w:val="center"/>
          </w:tcPr>
          <w:p w14:paraId="47E48877"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52AF01AB" w14:textId="6892C695" w:rsidTr="00E31838">
        <w:tc>
          <w:tcPr>
            <w:tcW w:w="4598" w:type="dxa"/>
            <w:vAlign w:val="center"/>
          </w:tcPr>
          <w:p w14:paraId="285044D5"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2A6D55B4" w14:textId="227B0C20"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XXXVIII - operações compromissadas: compras de títulos, com compromisso de revenda, bem como vendas de títulos, com compromisso de recompra; </w:t>
            </w:r>
          </w:p>
        </w:tc>
        <w:tc>
          <w:tcPr>
            <w:tcW w:w="4076" w:type="dxa"/>
            <w:shd w:val="clear" w:color="auto" w:fill="auto"/>
            <w:noWrap/>
            <w:vAlign w:val="center"/>
          </w:tcPr>
          <w:p w14:paraId="3F7DA851"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8AD9580" w14:textId="6562991A" w:rsidTr="00E31838">
        <w:tc>
          <w:tcPr>
            <w:tcW w:w="4598" w:type="dxa"/>
            <w:vAlign w:val="center"/>
          </w:tcPr>
          <w:p w14:paraId="1EDFD996"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0CAB0884" w14:textId="658CFDA4"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XXI - instituidor setorial: pessoa jurídica que represente segmento econômico ou social de caráter setorial; </w:t>
            </w:r>
          </w:p>
        </w:tc>
        <w:tc>
          <w:tcPr>
            <w:tcW w:w="4076" w:type="dxa"/>
            <w:shd w:val="clear" w:color="auto" w:fill="auto"/>
            <w:noWrap/>
            <w:vAlign w:val="center"/>
          </w:tcPr>
          <w:p w14:paraId="18726C33"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65431AC" w14:textId="7D24D54E" w:rsidTr="00E31838">
        <w:tc>
          <w:tcPr>
            <w:tcW w:w="4598" w:type="dxa"/>
            <w:vAlign w:val="center"/>
          </w:tcPr>
          <w:p w14:paraId="364D3973"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BA1C49F" w14:textId="6CEB6A7F"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XXII - licenciamento automático: é o processo pelo qual a autorização ocorre na data de emissão do protocolo de requerimento de licenciamento pelo sistema informatizado da Previc; </w:t>
            </w:r>
          </w:p>
        </w:tc>
        <w:tc>
          <w:tcPr>
            <w:tcW w:w="4076" w:type="dxa"/>
            <w:shd w:val="clear" w:color="auto" w:fill="auto"/>
            <w:noWrap/>
            <w:vAlign w:val="center"/>
          </w:tcPr>
          <w:p w14:paraId="1800EB6B"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38DA2552" w14:textId="77D955BE" w:rsidTr="00E31838">
        <w:tc>
          <w:tcPr>
            <w:tcW w:w="4598" w:type="dxa"/>
            <w:vAlign w:val="center"/>
          </w:tcPr>
          <w:p w14:paraId="17029078"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86CFE2B" w14:textId="1E6175E3"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XIII - modelo certificado: modelo de regulamento ou de convênio de adesão submetido pela EFPC para aprovação da Previc e posterior utilização em requerimentos de implantação de plano de benefícios ou de aprovação de convênio de adesão; </w:t>
            </w:r>
          </w:p>
        </w:tc>
        <w:tc>
          <w:tcPr>
            <w:tcW w:w="4076" w:type="dxa"/>
            <w:shd w:val="clear" w:color="auto" w:fill="auto"/>
            <w:noWrap/>
            <w:vAlign w:val="center"/>
          </w:tcPr>
          <w:p w14:paraId="685FA8C3"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5178F4C" w14:textId="1A2ACD44" w:rsidTr="00E31838">
        <w:tc>
          <w:tcPr>
            <w:tcW w:w="4598" w:type="dxa"/>
            <w:vAlign w:val="center"/>
          </w:tcPr>
          <w:p w14:paraId="23D68485"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77A6B1F6" w14:textId="1BF440BC"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XXIV - modelo padronizado: modelo de regulamento de plano de benefícios, de convênio de adesão ou de outros documentos disponibilizados pela Previc para utilização, pelas EFPC, em requerimentos de licenciamento; </w:t>
            </w:r>
          </w:p>
        </w:tc>
        <w:tc>
          <w:tcPr>
            <w:tcW w:w="4076" w:type="dxa"/>
            <w:shd w:val="clear" w:color="auto" w:fill="auto"/>
            <w:noWrap/>
            <w:vAlign w:val="center"/>
          </w:tcPr>
          <w:p w14:paraId="51062DCA"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48E8094B" w14:textId="70449E7A" w:rsidTr="00E31838">
        <w:tc>
          <w:tcPr>
            <w:tcW w:w="4598" w:type="dxa"/>
            <w:vAlign w:val="center"/>
          </w:tcPr>
          <w:p w14:paraId="63188460"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E9B33A3" w14:textId="046439C7"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XXV - período de opção: prazo concedido aos participantes e assistidos para o exercício das opções oferecidas em face da operação licenciada ou de institutos, não podendo ser inferior a trinta dias; </w:t>
            </w:r>
          </w:p>
        </w:tc>
        <w:tc>
          <w:tcPr>
            <w:tcW w:w="4076" w:type="dxa"/>
            <w:shd w:val="clear" w:color="auto" w:fill="auto"/>
            <w:noWrap/>
            <w:vAlign w:val="center"/>
          </w:tcPr>
          <w:p w14:paraId="6318C91B"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43CBC024" w14:textId="46530EDD" w:rsidTr="00E31838">
        <w:tc>
          <w:tcPr>
            <w:tcW w:w="4598" w:type="dxa"/>
            <w:vAlign w:val="center"/>
          </w:tcPr>
          <w:p w14:paraId="08B95F16"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A81847E" w14:textId="140933BA"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XXVI - plano setorial: plano de benefícios instituído por instituidor setorial; </w:t>
            </w:r>
          </w:p>
        </w:tc>
        <w:tc>
          <w:tcPr>
            <w:tcW w:w="4076" w:type="dxa"/>
            <w:shd w:val="clear" w:color="auto" w:fill="auto"/>
            <w:noWrap/>
            <w:vAlign w:val="center"/>
          </w:tcPr>
          <w:p w14:paraId="65C4A3C6"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00849E1" w14:textId="487F8F07" w:rsidTr="00E31838">
        <w:tc>
          <w:tcPr>
            <w:tcW w:w="4598" w:type="dxa"/>
            <w:vAlign w:val="center"/>
          </w:tcPr>
          <w:p w14:paraId="7A96FD6A"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0D84D1A2" w14:textId="40123565"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XXVII - termo da operação: instrumento contratual firmado entre as partes envolvidas na operação pretendida, no qual são pactuadas as condições, os critérios e as metodologias aplicáveis ao requerimento de licenciamento; </w:t>
            </w:r>
          </w:p>
        </w:tc>
        <w:tc>
          <w:tcPr>
            <w:tcW w:w="4076" w:type="dxa"/>
            <w:shd w:val="clear" w:color="auto" w:fill="auto"/>
            <w:noWrap/>
            <w:vAlign w:val="center"/>
          </w:tcPr>
          <w:p w14:paraId="3B6AECB9"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4D109F09" w14:textId="4B95B8C9" w:rsidTr="00E31838">
        <w:tc>
          <w:tcPr>
            <w:tcW w:w="4598" w:type="dxa"/>
            <w:vAlign w:val="center"/>
          </w:tcPr>
          <w:p w14:paraId="2906F9F5"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0BAFEED8" w14:textId="159740D5"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XXVIII - relatório da operação: documento, posicionado na data-base, que apresenta as informações e os valores relacionados com a operação pretendida, resultantes da aplicação das condições, dos critérios e das metodologias definidas no termo da operação; </w:t>
            </w:r>
          </w:p>
        </w:tc>
        <w:tc>
          <w:tcPr>
            <w:tcW w:w="4076" w:type="dxa"/>
            <w:shd w:val="clear" w:color="auto" w:fill="auto"/>
            <w:noWrap/>
            <w:vAlign w:val="center"/>
          </w:tcPr>
          <w:p w14:paraId="776A88D7"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6AB14B66" w14:textId="06D978C0" w:rsidTr="00E31838">
        <w:tc>
          <w:tcPr>
            <w:tcW w:w="4598" w:type="dxa"/>
            <w:vAlign w:val="center"/>
          </w:tcPr>
          <w:p w14:paraId="11B1EAB9"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71867580" w14:textId="669ED663"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XXIX - plano de gestão administrativa (PGA): plano constituído com a finalidade de registrar contabilmente as atividades referentes à gestão administrativa das EFPC, na forma do seu regulamento; </w:t>
            </w:r>
          </w:p>
        </w:tc>
        <w:tc>
          <w:tcPr>
            <w:tcW w:w="4076" w:type="dxa"/>
            <w:shd w:val="clear" w:color="auto" w:fill="auto"/>
            <w:noWrap/>
            <w:vAlign w:val="center"/>
          </w:tcPr>
          <w:p w14:paraId="4E56957A"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37CE2CC3" w14:textId="15BEC367" w:rsidTr="00E31838">
        <w:tc>
          <w:tcPr>
            <w:tcW w:w="4598" w:type="dxa"/>
            <w:vAlign w:val="center"/>
          </w:tcPr>
          <w:p w14:paraId="2EA67F58"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4700D0A" w14:textId="769377D7"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 - balancete do plano de benefícios: demonstrativo contábil para registro do patrimônio e dos resultados dos planos de benefícios de caráter previdencial e assistencial administrados pela EFPC; </w:t>
            </w:r>
          </w:p>
        </w:tc>
        <w:tc>
          <w:tcPr>
            <w:tcW w:w="4076" w:type="dxa"/>
            <w:shd w:val="clear" w:color="auto" w:fill="auto"/>
            <w:noWrap/>
            <w:vAlign w:val="center"/>
          </w:tcPr>
          <w:p w14:paraId="19B109B5"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605F36D7" w14:textId="090342EB" w:rsidTr="00E31838">
        <w:tc>
          <w:tcPr>
            <w:tcW w:w="4598" w:type="dxa"/>
            <w:vAlign w:val="center"/>
          </w:tcPr>
          <w:p w14:paraId="7B97FDAB"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0EB783E" w14:textId="1269782E"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XXXI - balancete do plano de gestão administrativa: demonstrativo contábil para registro do patrimônio e dos resultados do plano de gestão administrativa; </w:t>
            </w:r>
          </w:p>
        </w:tc>
        <w:tc>
          <w:tcPr>
            <w:tcW w:w="4076" w:type="dxa"/>
            <w:shd w:val="clear" w:color="auto" w:fill="auto"/>
            <w:noWrap/>
            <w:vAlign w:val="center"/>
          </w:tcPr>
          <w:p w14:paraId="3470A463"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5871011D" w14:textId="4F38C5EC" w:rsidTr="00E31838">
        <w:tc>
          <w:tcPr>
            <w:tcW w:w="4598" w:type="dxa"/>
            <w:vAlign w:val="center"/>
          </w:tcPr>
          <w:p w14:paraId="3FC7BDE2"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6CCC5087" w14:textId="733446F6"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XXXII - balancete consolidado: demonstrativo contábil de consolidação do patrimônio e dos resultados dos planos de benefícios de caráter previdencial e assistencial e do plano de gestão administrativa; </w:t>
            </w:r>
          </w:p>
        </w:tc>
        <w:tc>
          <w:tcPr>
            <w:tcW w:w="4076" w:type="dxa"/>
            <w:shd w:val="clear" w:color="auto" w:fill="auto"/>
            <w:noWrap/>
            <w:vAlign w:val="center"/>
          </w:tcPr>
          <w:p w14:paraId="753A4B8B"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02EE2C89" w14:textId="3A75D0DA" w:rsidTr="00E31838">
        <w:tc>
          <w:tcPr>
            <w:tcW w:w="4598" w:type="dxa"/>
            <w:vAlign w:val="center"/>
          </w:tcPr>
          <w:p w14:paraId="0244ABDA"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F817668" w14:textId="37934BCC"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XXXIII - gestão previdencial: atividade de registro e controle contábil das contribuições, dos benefícios e dos institutos previstos no art. 14 da Lei Complementar nº 109, de 29 de maio de 2001, bem como da mutação patrimonial dos planos de benefícios de caráter previdencial e dos planos assistenciais que não possuem registro na Agência Nacional de Saúde Suplementar (ANS); </w:t>
            </w:r>
          </w:p>
        </w:tc>
        <w:tc>
          <w:tcPr>
            <w:tcW w:w="4076" w:type="dxa"/>
            <w:shd w:val="clear" w:color="auto" w:fill="auto"/>
            <w:noWrap/>
            <w:vAlign w:val="center"/>
          </w:tcPr>
          <w:p w14:paraId="44A82DB4"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2367A1A1" w14:textId="4DEFC5BC" w:rsidTr="00E31838">
        <w:tc>
          <w:tcPr>
            <w:tcW w:w="4598" w:type="dxa"/>
            <w:vAlign w:val="center"/>
          </w:tcPr>
          <w:p w14:paraId="062F2498"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99B7DC3" w14:textId="28CF9179"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XXXIV - gestão administrativa: atividade de registro e de controle contábil inerentes à administração dos planos de benefícios de caráter previdencial e assistencial; </w:t>
            </w:r>
          </w:p>
        </w:tc>
        <w:tc>
          <w:tcPr>
            <w:tcW w:w="4076" w:type="dxa"/>
            <w:shd w:val="clear" w:color="auto" w:fill="auto"/>
            <w:noWrap/>
            <w:vAlign w:val="center"/>
          </w:tcPr>
          <w:p w14:paraId="3D34888F"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293617E0" w14:textId="3F98B682" w:rsidTr="00E31838">
        <w:tc>
          <w:tcPr>
            <w:tcW w:w="4598" w:type="dxa"/>
            <w:vAlign w:val="center"/>
          </w:tcPr>
          <w:p w14:paraId="59B0627F"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EBF8723" w14:textId="3E0CA9EC"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XXXV - gestão assistencial: atividade de registro e de controle contábil das contribuições, dos benefícios e da mutação patrimonial do plano de benefícios de caráter assistencial, com registro na ANS; </w:t>
            </w:r>
          </w:p>
        </w:tc>
        <w:tc>
          <w:tcPr>
            <w:tcW w:w="4076" w:type="dxa"/>
            <w:shd w:val="clear" w:color="auto" w:fill="auto"/>
            <w:noWrap/>
            <w:vAlign w:val="center"/>
          </w:tcPr>
          <w:p w14:paraId="74B04438"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4BCFBB14" w14:textId="3AFEACD9" w:rsidTr="00E31838">
        <w:tc>
          <w:tcPr>
            <w:tcW w:w="4598" w:type="dxa"/>
            <w:vAlign w:val="center"/>
          </w:tcPr>
          <w:p w14:paraId="1B3EA5D9"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D6D3585" w14:textId="06DF89D8"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XXXVI - grupo contábil investimentos: atividade de registro e de controle contábil das aplicações dos recursos garantidores dos planos de benefícios de caráter previdencial e assistencial e do plano de gestão administrativa; </w:t>
            </w:r>
          </w:p>
        </w:tc>
        <w:tc>
          <w:tcPr>
            <w:tcW w:w="4076" w:type="dxa"/>
            <w:shd w:val="clear" w:color="auto" w:fill="auto"/>
            <w:noWrap/>
            <w:vAlign w:val="center"/>
          </w:tcPr>
          <w:p w14:paraId="71AB184A"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355359E1" w14:textId="633316E3" w:rsidTr="00E31838">
        <w:tc>
          <w:tcPr>
            <w:tcW w:w="4598" w:type="dxa"/>
            <w:vAlign w:val="center"/>
          </w:tcPr>
          <w:p w14:paraId="7B48D331"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3DAF257" w14:textId="48B7E568"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XXXVII - derivativos: contratos representativos de instrumentos financeiros cujo valor varia em decorrência de mudanças em um ativo subjacente, que </w:t>
            </w:r>
            <w:r w:rsidRPr="0010524E">
              <w:rPr>
                <w:rFonts w:ascii="Calibri" w:eastAsia="Times New Roman" w:hAnsi="Calibri" w:cs="Calibri"/>
                <w:kern w:val="0"/>
                <w:sz w:val="24"/>
                <w:szCs w:val="24"/>
                <w:lang w:eastAsia="pt-BR"/>
                <w14:ligatures w14:val="none"/>
              </w:rPr>
              <w:lastRenderedPageBreak/>
              <w:t xml:space="preserve">pode ser físico ou financeiro, negociado no mercado à vista ou futuro, cujo investimento inicial seja inexistente ou pequeno em relação ao valor do contrato, e que sejam liquidados em data futura; </w:t>
            </w:r>
          </w:p>
        </w:tc>
        <w:tc>
          <w:tcPr>
            <w:tcW w:w="4076" w:type="dxa"/>
            <w:shd w:val="clear" w:color="auto" w:fill="auto"/>
            <w:noWrap/>
            <w:vAlign w:val="center"/>
          </w:tcPr>
          <w:p w14:paraId="718FD10A"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499E0B75" w14:textId="74538F2B" w:rsidTr="00E31838">
        <w:tc>
          <w:tcPr>
            <w:tcW w:w="4598" w:type="dxa"/>
            <w:vAlign w:val="center"/>
          </w:tcPr>
          <w:p w14:paraId="59ABE048" w14:textId="77777777" w:rsidR="00E31838" w:rsidRPr="0010524E" w:rsidRDefault="00E31838" w:rsidP="00220F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1C8184D" w14:textId="51E89AA0"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XXXVIII - operações compromissadas: compras de títulos, com compromisso de revenda, bem como vendas de títulos, com compromisso de recompra; </w:t>
            </w:r>
          </w:p>
        </w:tc>
        <w:tc>
          <w:tcPr>
            <w:tcW w:w="4076" w:type="dxa"/>
            <w:shd w:val="clear" w:color="auto" w:fill="auto"/>
            <w:noWrap/>
            <w:vAlign w:val="center"/>
          </w:tcPr>
          <w:p w14:paraId="64591C42" w14:textId="77777777" w:rsidR="00E31838" w:rsidRPr="0010524E" w:rsidRDefault="00E31838" w:rsidP="00220F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E0D0602" w14:textId="0AEEA74D" w:rsidTr="00E31838">
        <w:tc>
          <w:tcPr>
            <w:tcW w:w="4598" w:type="dxa"/>
            <w:vAlign w:val="center"/>
          </w:tcPr>
          <w:p w14:paraId="4F2A6E88"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29DF27E2" w14:textId="28D57D6B"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XXXIX - ativos financeiros: aqueles definidos nos termos da regulamentação do Banco Central do Brasil e da Comissão de Valores Mobiliários;  </w:t>
            </w:r>
          </w:p>
        </w:tc>
        <w:tc>
          <w:tcPr>
            <w:tcW w:w="4076" w:type="dxa"/>
            <w:shd w:val="clear" w:color="auto" w:fill="auto"/>
            <w:noWrap/>
            <w:vAlign w:val="center"/>
          </w:tcPr>
          <w:p w14:paraId="7109BFB9"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4B40F3D5" w14:textId="6E49D70E" w:rsidTr="00E31838">
        <w:tc>
          <w:tcPr>
            <w:tcW w:w="4598" w:type="dxa"/>
            <w:vAlign w:val="center"/>
          </w:tcPr>
          <w:p w14:paraId="74AC407B"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0F32B303" w14:textId="21394040"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XL - patrimônio social: recursos acumulados para fazer frente às obrigações dos planos de benefícios de caráter previdencial e assistencial e do plano de gestão administrativa; </w:t>
            </w:r>
          </w:p>
        </w:tc>
        <w:tc>
          <w:tcPr>
            <w:tcW w:w="4076" w:type="dxa"/>
            <w:shd w:val="clear" w:color="auto" w:fill="auto"/>
            <w:noWrap/>
            <w:vAlign w:val="center"/>
          </w:tcPr>
          <w:p w14:paraId="270A252D"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80F5ACD" w14:textId="30864909" w:rsidTr="00E31838">
        <w:tc>
          <w:tcPr>
            <w:tcW w:w="4598" w:type="dxa"/>
            <w:vAlign w:val="center"/>
          </w:tcPr>
          <w:p w14:paraId="15D70CF8"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761950B8" w14:textId="2C628A94"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XLI - adições: contribuições, remunerações de contribuições em atraso e de contribuições contratadas do plano de benefícios previdencial, recursos oriundos de transferências de gerenciamento, migrações e portabilidade entre planos de benefícios de caráter previdencial e outras adições; </w:t>
            </w:r>
          </w:p>
        </w:tc>
        <w:tc>
          <w:tcPr>
            <w:tcW w:w="4076" w:type="dxa"/>
            <w:shd w:val="clear" w:color="auto" w:fill="auto"/>
            <w:noWrap/>
            <w:vAlign w:val="center"/>
          </w:tcPr>
          <w:p w14:paraId="443A9FC0"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0A970E9A" w14:textId="3F50B9A5" w:rsidTr="00E31838">
        <w:tc>
          <w:tcPr>
            <w:tcW w:w="4598" w:type="dxa"/>
            <w:vAlign w:val="center"/>
          </w:tcPr>
          <w:p w14:paraId="201B19FB"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AC06BCE" w14:textId="5B6B1380"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XLII - deduções: benefícios previdenciários, recursos destinados a resgate, a portabilidade, a migrações e as transferências de gerenciamento, entre planos de benefícios de caráter previdencial e outras deduções; </w:t>
            </w:r>
          </w:p>
        </w:tc>
        <w:tc>
          <w:tcPr>
            <w:tcW w:w="4076" w:type="dxa"/>
            <w:shd w:val="clear" w:color="auto" w:fill="auto"/>
            <w:noWrap/>
            <w:vAlign w:val="center"/>
          </w:tcPr>
          <w:p w14:paraId="52F48B76"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34A8D26A" w14:textId="62880798" w:rsidTr="00E31838">
        <w:tc>
          <w:tcPr>
            <w:tcW w:w="4598" w:type="dxa"/>
            <w:vAlign w:val="center"/>
          </w:tcPr>
          <w:p w14:paraId="6017F087"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17348EE" w14:textId="35D7F722"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XLIII - receitas: contribuições para custeio administrativo oriundas dos planos de benefícios, remunerações de contribuições em atrasos e contratadas do plano de gestão administrativa, bem </w:t>
            </w:r>
            <w:r w:rsidRPr="0010524E">
              <w:rPr>
                <w:rFonts w:ascii="Calibri" w:eastAsia="Times New Roman" w:hAnsi="Calibri" w:cs="Calibri"/>
                <w:kern w:val="0"/>
                <w:sz w:val="24"/>
                <w:szCs w:val="24"/>
                <w:lang w:eastAsia="pt-BR"/>
                <w14:ligatures w14:val="none"/>
              </w:rPr>
              <w:lastRenderedPageBreak/>
              <w:t xml:space="preserve">como dotações iniciais, doações, resultado dos investimentos, receitas próprias diretas destinadas ao custeio administrativo, taxa de administração de empréstimos, custeio administrativo oriundos dos investimentos, reembolso e outras registradas no plano de gestão administrativa; </w:t>
            </w:r>
          </w:p>
        </w:tc>
        <w:tc>
          <w:tcPr>
            <w:tcW w:w="4076" w:type="dxa"/>
            <w:shd w:val="clear" w:color="auto" w:fill="auto"/>
            <w:noWrap/>
            <w:vAlign w:val="center"/>
          </w:tcPr>
          <w:p w14:paraId="0EC19CCB"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5FD6EAA8" w14:textId="44496856" w:rsidTr="00E31838">
        <w:tc>
          <w:tcPr>
            <w:tcW w:w="4598" w:type="dxa"/>
            <w:vAlign w:val="center"/>
          </w:tcPr>
          <w:p w14:paraId="4B9D0EF7"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6353E721" w14:textId="3930A0D4"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XLIV - despesas: salários e encargos com pessoal, treinamento, viagens e estadias, serviços de terceiros, despesas gerais, depreciações, amortizações, tributos, fomento e inovação e outras registradas no plano de gestão administrativa; </w:t>
            </w:r>
          </w:p>
        </w:tc>
        <w:tc>
          <w:tcPr>
            <w:tcW w:w="4076" w:type="dxa"/>
            <w:shd w:val="clear" w:color="auto" w:fill="auto"/>
            <w:noWrap/>
            <w:vAlign w:val="center"/>
          </w:tcPr>
          <w:p w14:paraId="24D6CF2E"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2851D7DE" w14:textId="2CF66766" w:rsidTr="00E31838">
        <w:tc>
          <w:tcPr>
            <w:tcW w:w="4598" w:type="dxa"/>
            <w:vAlign w:val="center"/>
          </w:tcPr>
          <w:p w14:paraId="52F50BCB"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DD23FA4" w14:textId="1996B7D0"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XLV - rendas/variações positivas: resultados positivos dos investimentos dos planos de benefícios de caráter previdencial e assistencial e do plano de gestão administrativa; </w:t>
            </w:r>
          </w:p>
        </w:tc>
        <w:tc>
          <w:tcPr>
            <w:tcW w:w="4076" w:type="dxa"/>
            <w:shd w:val="clear" w:color="auto" w:fill="auto"/>
            <w:noWrap/>
            <w:vAlign w:val="center"/>
          </w:tcPr>
          <w:p w14:paraId="25E048B4"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5BAA10B3" w14:textId="2D916E6E" w:rsidTr="00E31838">
        <w:tc>
          <w:tcPr>
            <w:tcW w:w="4598" w:type="dxa"/>
            <w:vAlign w:val="center"/>
          </w:tcPr>
          <w:p w14:paraId="66D31525"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ADF20CE" w14:textId="46167563"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XLVI - deduções/variações negativas: resultados negativos dos investimentos dos planos de benefícios de caráter previdencial e assistencial e do plano de gestão administrativa, bem como das despesas diretas de investimentos; </w:t>
            </w:r>
          </w:p>
        </w:tc>
        <w:tc>
          <w:tcPr>
            <w:tcW w:w="4076" w:type="dxa"/>
            <w:shd w:val="clear" w:color="auto" w:fill="auto"/>
            <w:noWrap/>
            <w:vAlign w:val="center"/>
          </w:tcPr>
          <w:p w14:paraId="6CFA5C0B"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0A1B2C29" w14:textId="06C869CC" w:rsidTr="00E31838">
        <w:tc>
          <w:tcPr>
            <w:tcW w:w="4598" w:type="dxa"/>
            <w:vAlign w:val="center"/>
          </w:tcPr>
          <w:p w14:paraId="264F82DD"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35C17F9" w14:textId="66A23419"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XLVII - despesas diretas de investimentos: gastos necessários à efetivação, à manutenção e à recuperação dos resultados dos investimentos dos planos de benefícios de caráter previdencial e do plano de gestão administrativa; </w:t>
            </w:r>
          </w:p>
        </w:tc>
        <w:tc>
          <w:tcPr>
            <w:tcW w:w="4076" w:type="dxa"/>
            <w:shd w:val="clear" w:color="auto" w:fill="auto"/>
            <w:noWrap/>
            <w:vAlign w:val="center"/>
          </w:tcPr>
          <w:p w14:paraId="0F10946F"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7E3F776" w14:textId="033E4D98" w:rsidTr="00E31838">
        <w:tc>
          <w:tcPr>
            <w:tcW w:w="4598" w:type="dxa"/>
            <w:vAlign w:val="center"/>
          </w:tcPr>
          <w:p w14:paraId="4F79DF76"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17E7F0C" w14:textId="77B59AD0"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XLVIII - patrimônio de cobertura do plano: recursos líquidos dos planos de benefícios de caráter previdencial, representados pelo resultado da seguinte </w:t>
            </w:r>
            <w:r w:rsidRPr="0010524E">
              <w:rPr>
                <w:rFonts w:ascii="Calibri" w:eastAsia="Times New Roman" w:hAnsi="Calibri" w:cs="Calibri"/>
                <w:kern w:val="0"/>
                <w:sz w:val="24"/>
                <w:szCs w:val="24"/>
                <w:lang w:eastAsia="pt-BR"/>
                <w14:ligatures w14:val="none"/>
              </w:rPr>
              <w:lastRenderedPageBreak/>
              <w:t>sentença: Ativo Total - (Passivo Exigível Operacional + Passivo Exigível Contingencial + Fundo Previdencial + Fundo Administrativo + Fundo para Garantia das Operações com Participantes);</w:t>
            </w:r>
          </w:p>
        </w:tc>
        <w:tc>
          <w:tcPr>
            <w:tcW w:w="4076" w:type="dxa"/>
            <w:shd w:val="clear" w:color="auto" w:fill="auto"/>
            <w:noWrap/>
            <w:vAlign w:val="center"/>
          </w:tcPr>
          <w:p w14:paraId="3CDCA648"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31512C95" w14:textId="39715F43" w:rsidTr="00E31838">
        <w:tc>
          <w:tcPr>
            <w:tcW w:w="4598" w:type="dxa"/>
            <w:vAlign w:val="center"/>
          </w:tcPr>
          <w:p w14:paraId="7F996BDD"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BCC032F" w14:textId="0D0127CF"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XLIX - adiantamento de contribuições do patrocinador: recebimento de recursos do patrocinador para o custeio administrativo, no início de funcionamento da EFPC ou de plano de benefícios de caráter previdencial;  </w:t>
            </w:r>
          </w:p>
        </w:tc>
        <w:tc>
          <w:tcPr>
            <w:tcW w:w="4076" w:type="dxa"/>
            <w:shd w:val="clear" w:color="auto" w:fill="auto"/>
            <w:noWrap/>
            <w:vAlign w:val="center"/>
          </w:tcPr>
          <w:p w14:paraId="1CA2EC55"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6134A819" w14:textId="03BC63E5" w:rsidTr="00E31838">
        <w:tc>
          <w:tcPr>
            <w:tcW w:w="4598" w:type="dxa"/>
            <w:vAlign w:val="center"/>
          </w:tcPr>
          <w:p w14:paraId="12281058"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2607CCFF" w14:textId="0060E8A0"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L - partes relacionadas: pessoas físicas ou jurídicas que mantêm relação com a EFPC, por meio de seus planos de benefícios de caráter previdencial ou assistencial ou qualquer outro tipo de relacionamento com a EFPC; </w:t>
            </w:r>
          </w:p>
        </w:tc>
        <w:tc>
          <w:tcPr>
            <w:tcW w:w="4076" w:type="dxa"/>
            <w:shd w:val="clear" w:color="auto" w:fill="auto"/>
            <w:noWrap/>
            <w:vAlign w:val="center"/>
          </w:tcPr>
          <w:p w14:paraId="145021FD"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293E2320" w14:textId="58774DE9" w:rsidTr="00E31838">
        <w:tc>
          <w:tcPr>
            <w:tcW w:w="4598" w:type="dxa"/>
            <w:vAlign w:val="center"/>
          </w:tcPr>
          <w:p w14:paraId="3C21A1F8"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714F8D98" w14:textId="20C8ECFC"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LI - evento subsequente: qualquer evento entre à data de encerramento do exercício e de sua publicação que tenham ou possam vir a ter efeitos relevantes sobre a situação financeira ou econômica dos planos; </w:t>
            </w:r>
          </w:p>
        </w:tc>
        <w:tc>
          <w:tcPr>
            <w:tcW w:w="4076" w:type="dxa"/>
            <w:shd w:val="clear" w:color="auto" w:fill="auto"/>
            <w:noWrap/>
            <w:vAlign w:val="center"/>
          </w:tcPr>
          <w:p w14:paraId="13F7ECA5"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0CD78110" w14:textId="10D67B8C" w:rsidTr="00E31838">
        <w:tc>
          <w:tcPr>
            <w:tcW w:w="4598" w:type="dxa"/>
            <w:vAlign w:val="center"/>
          </w:tcPr>
          <w:p w14:paraId="4FD64A68"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6AF15211" w14:textId="79590578"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LII - recursos garantidores: os recursos dos planos administrados, formados pelos ativos disponíveis e de investimentos, deduzidos de suas correspondentes exigibilidades, não computados os valores referentes às dívidas contratadas com os patrocinadores; </w:t>
            </w:r>
          </w:p>
        </w:tc>
        <w:tc>
          <w:tcPr>
            <w:tcW w:w="4076" w:type="dxa"/>
            <w:shd w:val="clear" w:color="auto" w:fill="auto"/>
            <w:noWrap/>
            <w:vAlign w:val="center"/>
          </w:tcPr>
          <w:p w14:paraId="46E651A8"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2DCCB1B3" w14:textId="4DB86E65" w:rsidTr="00E31838">
        <w:tc>
          <w:tcPr>
            <w:tcW w:w="4598" w:type="dxa"/>
            <w:vAlign w:val="center"/>
          </w:tcPr>
          <w:p w14:paraId="427EECEC"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A53F6B9" w14:textId="6733D303"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LIII - demonstrações atuariais: documento elaborado por atuário responsável pelo plano de benefícios, contendo todas as informações exigidas pelo órgão de fiscalização e controle das entidades fechadas de previdência complementar relativamente ao plano de benefícios e à avaliação atuarial a que se refere; </w:t>
            </w:r>
          </w:p>
        </w:tc>
        <w:tc>
          <w:tcPr>
            <w:tcW w:w="4076" w:type="dxa"/>
            <w:shd w:val="clear" w:color="auto" w:fill="auto"/>
            <w:noWrap/>
            <w:vAlign w:val="center"/>
          </w:tcPr>
          <w:p w14:paraId="222CDAA5"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54B3C817" w14:textId="5D47D69C" w:rsidTr="00E31838">
        <w:tc>
          <w:tcPr>
            <w:tcW w:w="4598" w:type="dxa"/>
            <w:vAlign w:val="center"/>
          </w:tcPr>
          <w:p w14:paraId="20C9FDFD"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0021A436" w14:textId="4A331532"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LIV - grupo de custeio corresponde qualquer grupo de participantes tratado, em decorrência das regras do plano de benefícios, mediante a utilização de plano de custeio específico; </w:t>
            </w:r>
          </w:p>
        </w:tc>
        <w:tc>
          <w:tcPr>
            <w:tcW w:w="4076" w:type="dxa"/>
            <w:shd w:val="clear" w:color="auto" w:fill="auto"/>
            <w:noWrap/>
            <w:vAlign w:val="center"/>
          </w:tcPr>
          <w:p w14:paraId="25A5622B"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75377C51" w14:textId="4BD6E265" w:rsidTr="00E31838">
        <w:tc>
          <w:tcPr>
            <w:tcW w:w="4598" w:type="dxa"/>
            <w:vAlign w:val="center"/>
          </w:tcPr>
          <w:p w14:paraId="100FF2A0" w14:textId="77777777" w:rsidR="00E31838" w:rsidRPr="0010524E" w:rsidRDefault="00E31838" w:rsidP="007D7CB9">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EDB968D" w14:textId="24C109B7" w:rsidR="00E31838" w:rsidRPr="0010524E" w:rsidRDefault="00E31838" w:rsidP="007D7CB9">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LV - nota técnica atuarial consiste em documento técnico elaborado por atuário devidamente habilitado, em observância à modelagem do plano de benefícios. </w:t>
            </w:r>
          </w:p>
        </w:tc>
        <w:tc>
          <w:tcPr>
            <w:tcW w:w="4076" w:type="dxa"/>
            <w:shd w:val="clear" w:color="auto" w:fill="auto"/>
            <w:noWrap/>
            <w:vAlign w:val="center"/>
          </w:tcPr>
          <w:p w14:paraId="592B826D" w14:textId="77777777" w:rsidR="00E31838" w:rsidRPr="0010524E" w:rsidRDefault="00E31838" w:rsidP="007D7CB9">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6EFCE01D" w14:textId="6A846E3B" w:rsidTr="00E31838">
        <w:tc>
          <w:tcPr>
            <w:tcW w:w="4598" w:type="dxa"/>
            <w:vAlign w:val="center"/>
          </w:tcPr>
          <w:p w14:paraId="37253C04"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tcPr>
          <w:p w14:paraId="2A7C36D4" w14:textId="77777777" w:rsidR="00E31838" w:rsidRPr="0010524E" w:rsidRDefault="00E31838" w:rsidP="00E33299">
            <w:pPr>
              <w:spacing w:before="120" w:after="120" w:line="240" w:lineRule="auto"/>
              <w:jc w:val="center"/>
              <w:rPr>
                <w:rFonts w:ascii="Calibri" w:hAnsi="Calibri" w:cstheme="minorHAnsi"/>
                <w:sz w:val="24"/>
                <w:szCs w:val="24"/>
              </w:rPr>
            </w:pPr>
          </w:p>
        </w:tc>
        <w:tc>
          <w:tcPr>
            <w:tcW w:w="4076" w:type="dxa"/>
            <w:shd w:val="clear" w:color="auto" w:fill="auto"/>
            <w:noWrap/>
            <w:vAlign w:val="center"/>
          </w:tcPr>
          <w:p w14:paraId="7A502087" w14:textId="77777777" w:rsidR="00E31838" w:rsidRPr="0010524E" w:rsidRDefault="00E31838" w:rsidP="000053DA">
            <w:pPr>
              <w:spacing w:after="0" w:line="240" w:lineRule="auto"/>
              <w:jc w:val="center"/>
              <w:rPr>
                <w:rFonts w:ascii="Calibri" w:eastAsia="Times New Roman" w:hAnsi="Calibri" w:cs="Calibri"/>
                <w:kern w:val="0"/>
                <w:sz w:val="24"/>
                <w:szCs w:val="24"/>
                <w:lang w:eastAsia="pt-BR"/>
                <w14:ligatures w14:val="none"/>
              </w:rPr>
            </w:pPr>
          </w:p>
        </w:tc>
      </w:tr>
      <w:tr w:rsidR="00E31838" w:rsidRPr="0010524E" w14:paraId="1DFF2C2C" w14:textId="2706D0B8" w:rsidTr="00E31838">
        <w:tc>
          <w:tcPr>
            <w:tcW w:w="4598" w:type="dxa"/>
            <w:vAlign w:val="center"/>
          </w:tcPr>
          <w:p w14:paraId="0C897180" w14:textId="66EE734F" w:rsidR="00E31838" w:rsidRPr="0010524E" w:rsidRDefault="00E31838" w:rsidP="000053DA">
            <w:pPr>
              <w:spacing w:after="0" w:line="240" w:lineRule="auto"/>
              <w:jc w:val="center"/>
              <w:rPr>
                <w:rFonts w:ascii="Calibri" w:hAnsi="Calibri" w:cs="Calibri"/>
                <w:b/>
                <w:sz w:val="24"/>
                <w:szCs w:val="24"/>
              </w:rPr>
            </w:pPr>
            <w:r w:rsidRPr="0010524E">
              <w:rPr>
                <w:rFonts w:ascii="Calibri" w:hAnsi="Calibri" w:cs="Calibri"/>
                <w:b/>
                <w:sz w:val="24"/>
                <w:szCs w:val="24"/>
              </w:rPr>
              <w:t>Instrução Previc nº 33, de 2018.</w:t>
            </w:r>
          </w:p>
        </w:tc>
        <w:tc>
          <w:tcPr>
            <w:tcW w:w="5462" w:type="dxa"/>
            <w:shd w:val="clear" w:color="auto" w:fill="auto"/>
            <w:noWrap/>
            <w:vAlign w:val="center"/>
          </w:tcPr>
          <w:p w14:paraId="690FFEFC" w14:textId="77777777" w:rsidR="00E31838" w:rsidRPr="0010524E" w:rsidRDefault="00E31838" w:rsidP="000053DA">
            <w:pPr>
              <w:spacing w:after="0" w:line="240" w:lineRule="auto"/>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II</w:t>
            </w:r>
          </w:p>
          <w:p w14:paraId="0FD3FD5E" w14:textId="25B60A0D"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kern w:val="0"/>
                <w:sz w:val="24"/>
                <w:szCs w:val="24"/>
                <w:lang w:eastAsia="pt-BR"/>
                <w14:ligatures w14:val="none"/>
              </w:rPr>
              <w:t>ATUÁRIA</w:t>
            </w:r>
          </w:p>
        </w:tc>
        <w:tc>
          <w:tcPr>
            <w:tcW w:w="4076" w:type="dxa"/>
            <w:shd w:val="clear" w:color="auto" w:fill="auto"/>
            <w:noWrap/>
            <w:vAlign w:val="center"/>
          </w:tcPr>
          <w:p w14:paraId="52ABA5A9"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4396E92B" w14:textId="52943098" w:rsidTr="00E31838">
        <w:tc>
          <w:tcPr>
            <w:tcW w:w="4598" w:type="dxa"/>
            <w:vAlign w:val="center"/>
          </w:tcPr>
          <w:p w14:paraId="48C5938C" w14:textId="1394A4DE"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hideMark/>
          </w:tcPr>
          <w:p w14:paraId="726C2694" w14:textId="53AC5BE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w:t>
            </w:r>
          </w:p>
        </w:tc>
        <w:tc>
          <w:tcPr>
            <w:tcW w:w="4076" w:type="dxa"/>
            <w:shd w:val="clear" w:color="auto" w:fill="auto"/>
            <w:noWrap/>
            <w:vAlign w:val="center"/>
            <w:hideMark/>
          </w:tcPr>
          <w:p w14:paraId="3A10F35A"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07EFC21A" w14:textId="4EEF7B46" w:rsidTr="00E31838">
        <w:tc>
          <w:tcPr>
            <w:tcW w:w="4598" w:type="dxa"/>
            <w:vAlign w:val="center"/>
          </w:tcPr>
          <w:p w14:paraId="120D0231" w14:textId="4885A214"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hideMark/>
          </w:tcPr>
          <w:p w14:paraId="61BAD1B3" w14:textId="5AAAB7FB"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Parâmetros e procedimentos Atuariais</w:t>
            </w:r>
          </w:p>
        </w:tc>
        <w:tc>
          <w:tcPr>
            <w:tcW w:w="4076" w:type="dxa"/>
            <w:shd w:val="clear" w:color="auto" w:fill="auto"/>
            <w:noWrap/>
            <w:vAlign w:val="center"/>
            <w:hideMark/>
          </w:tcPr>
          <w:p w14:paraId="570BB297"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37989B1D" w14:textId="79EA2D5A" w:rsidTr="00E31838">
        <w:tc>
          <w:tcPr>
            <w:tcW w:w="4598" w:type="dxa"/>
            <w:vAlign w:val="center"/>
          </w:tcPr>
          <w:p w14:paraId="4D098C67" w14:textId="32704E86"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hideMark/>
          </w:tcPr>
          <w:p w14:paraId="1D5B721A" w14:textId="3E74D7D5"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tc>
        <w:tc>
          <w:tcPr>
            <w:tcW w:w="4076" w:type="dxa"/>
            <w:shd w:val="clear" w:color="auto" w:fill="auto"/>
            <w:noWrap/>
            <w:vAlign w:val="center"/>
            <w:hideMark/>
          </w:tcPr>
          <w:p w14:paraId="58350E9C"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6907ED68" w14:textId="0F1383E9" w:rsidTr="00E31838">
        <w:tc>
          <w:tcPr>
            <w:tcW w:w="4598" w:type="dxa"/>
            <w:vAlign w:val="center"/>
          </w:tcPr>
          <w:p w14:paraId="4C364F1B" w14:textId="198127F9"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hideMark/>
          </w:tcPr>
          <w:p w14:paraId="70A40955" w14:textId="28BA81E5"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Apuração do Resultado</w:t>
            </w:r>
          </w:p>
        </w:tc>
        <w:tc>
          <w:tcPr>
            <w:tcW w:w="4076" w:type="dxa"/>
            <w:shd w:val="clear" w:color="auto" w:fill="auto"/>
            <w:noWrap/>
            <w:vAlign w:val="center"/>
            <w:hideMark/>
          </w:tcPr>
          <w:p w14:paraId="6006E89B"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06DF2518" w14:textId="0A617AD7" w:rsidTr="00E31838">
        <w:tc>
          <w:tcPr>
            <w:tcW w:w="4598" w:type="dxa"/>
            <w:vAlign w:val="center"/>
          </w:tcPr>
          <w:p w14:paraId="6F27EDC3" w14:textId="0AE7454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2º O resultado do plano de benefícios a ser registrado no balanço patrimonial deve ser apurado mediante avaliação atuarial posicionada no encerramento de cada exercício.</w:t>
            </w:r>
          </w:p>
        </w:tc>
        <w:tc>
          <w:tcPr>
            <w:tcW w:w="5462" w:type="dxa"/>
            <w:shd w:val="clear" w:color="auto" w:fill="auto"/>
            <w:noWrap/>
            <w:vAlign w:val="center"/>
            <w:hideMark/>
          </w:tcPr>
          <w:p w14:paraId="5FF35AB0" w14:textId="60CAAD2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3º  O resultado do plano de benefícios a ser registrado no balanço patrimonial deve ser apurado mediante avaliação atuarial posicionada no encerramento de cada exercício.</w:t>
            </w:r>
          </w:p>
        </w:tc>
        <w:tc>
          <w:tcPr>
            <w:tcW w:w="4076" w:type="dxa"/>
            <w:shd w:val="clear" w:color="auto" w:fill="auto"/>
            <w:noWrap/>
            <w:vAlign w:val="center"/>
            <w:hideMark/>
          </w:tcPr>
          <w:p w14:paraId="15EAEA6E"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93EFC72" w14:textId="47E8DAB3" w:rsidTr="00E31838">
        <w:tc>
          <w:tcPr>
            <w:tcW w:w="4598" w:type="dxa"/>
            <w:vAlign w:val="center"/>
          </w:tcPr>
          <w:p w14:paraId="3A6E6FF7" w14:textId="6558F1F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§1º A ocorrência de fato relevante enseja nova avaliação atuarial, a ser realizada com base na posição de fim do mês da data de efetivação do fato relevante.</w:t>
            </w:r>
          </w:p>
        </w:tc>
        <w:tc>
          <w:tcPr>
            <w:tcW w:w="5462" w:type="dxa"/>
            <w:shd w:val="clear" w:color="auto" w:fill="auto"/>
            <w:noWrap/>
            <w:vAlign w:val="center"/>
            <w:hideMark/>
          </w:tcPr>
          <w:p w14:paraId="1D8F8C1B" w14:textId="5E7ABBE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 ocorrência de fato relevante enseja nova avaliação atuarial, a ser realizada com base na posição de fim do mês da data de efetivação do fato relevante.</w:t>
            </w:r>
          </w:p>
        </w:tc>
        <w:tc>
          <w:tcPr>
            <w:tcW w:w="4076" w:type="dxa"/>
            <w:shd w:val="clear" w:color="auto" w:fill="auto"/>
            <w:noWrap/>
            <w:vAlign w:val="center"/>
            <w:hideMark/>
          </w:tcPr>
          <w:p w14:paraId="26FE9C7C"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64346EE" w14:textId="602704DB" w:rsidTr="00E31838">
        <w:tc>
          <w:tcPr>
            <w:tcW w:w="4598" w:type="dxa"/>
            <w:vAlign w:val="center"/>
          </w:tcPr>
          <w:p w14:paraId="64A9A888" w14:textId="20471CF2"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CAPÍTULO I</w:t>
            </w:r>
          </w:p>
        </w:tc>
        <w:tc>
          <w:tcPr>
            <w:tcW w:w="5462" w:type="dxa"/>
            <w:shd w:val="clear" w:color="auto" w:fill="auto"/>
            <w:noWrap/>
            <w:vAlign w:val="center"/>
            <w:hideMark/>
          </w:tcPr>
          <w:p w14:paraId="631484D8" w14:textId="36A3010C"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tc>
        <w:tc>
          <w:tcPr>
            <w:tcW w:w="4076" w:type="dxa"/>
            <w:shd w:val="clear" w:color="auto" w:fill="auto"/>
            <w:noWrap/>
            <w:vAlign w:val="center"/>
            <w:hideMark/>
          </w:tcPr>
          <w:p w14:paraId="2539402A"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17164354" w14:textId="0B1E588F" w:rsidTr="00E31838">
        <w:tc>
          <w:tcPr>
            <w:tcW w:w="4598" w:type="dxa"/>
            <w:vAlign w:val="center"/>
          </w:tcPr>
          <w:p w14:paraId="530FE6C3" w14:textId="632E3AB1"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DA DURAÇÃO DO PASSIVO</w:t>
            </w:r>
          </w:p>
        </w:tc>
        <w:tc>
          <w:tcPr>
            <w:tcW w:w="5462" w:type="dxa"/>
            <w:shd w:val="clear" w:color="auto" w:fill="auto"/>
            <w:noWrap/>
            <w:vAlign w:val="center"/>
            <w:hideMark/>
          </w:tcPr>
          <w:p w14:paraId="23EE74F8" w14:textId="4FC51908"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Duração do Passivo</w:t>
            </w:r>
          </w:p>
        </w:tc>
        <w:tc>
          <w:tcPr>
            <w:tcW w:w="4076" w:type="dxa"/>
            <w:shd w:val="clear" w:color="auto" w:fill="auto"/>
            <w:noWrap/>
            <w:vAlign w:val="center"/>
            <w:hideMark/>
          </w:tcPr>
          <w:p w14:paraId="0E0A1175"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6CBB1DD3" w14:textId="4F6E10B4" w:rsidTr="00E31838">
        <w:tc>
          <w:tcPr>
            <w:tcW w:w="4598" w:type="dxa"/>
            <w:vAlign w:val="center"/>
          </w:tcPr>
          <w:p w14:paraId="53F0681F" w14:textId="5FA3A73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Art. 4º Os fluxos de pagamentos de benefícios de cada plano devem considerar os benefícios </w:t>
            </w:r>
            <w:r w:rsidRPr="0010524E">
              <w:rPr>
                <w:rFonts w:ascii="Calibri" w:hAnsi="Calibri" w:cs="Calibri"/>
                <w:sz w:val="24"/>
                <w:szCs w:val="24"/>
              </w:rPr>
              <w:lastRenderedPageBreak/>
              <w:t>a conceder e concedidos que tenham seu valor ou nível previamente estabelecido e cujo custeio seja determinado atuarialmente, bem como os benefícios concedidos que adquiriram característica de benefício definido na fase de concessão, de forma a assegurar sua concessão e manutenção.</w:t>
            </w:r>
          </w:p>
        </w:tc>
        <w:tc>
          <w:tcPr>
            <w:tcW w:w="5462" w:type="dxa"/>
            <w:shd w:val="clear" w:color="auto" w:fill="auto"/>
            <w:noWrap/>
            <w:vAlign w:val="center"/>
            <w:hideMark/>
          </w:tcPr>
          <w:p w14:paraId="421CF040" w14:textId="7825076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Art. 4º  Os fluxos de pagamentos de benefícios de cada plano devem considerar os benefícios a conceder e </w:t>
            </w:r>
            <w:r w:rsidRPr="0010524E">
              <w:rPr>
                <w:rFonts w:ascii="Calibri" w:eastAsia="Times New Roman" w:hAnsi="Calibri" w:cs="Calibri"/>
                <w:kern w:val="0"/>
                <w:sz w:val="24"/>
                <w:szCs w:val="24"/>
                <w:lang w:eastAsia="pt-BR"/>
                <w14:ligatures w14:val="none"/>
              </w:rPr>
              <w:lastRenderedPageBreak/>
              <w:t>concedidos que tenham seu valor ou nível previamente estabelecido e cujo custeio seja determinado atuarialmente, bem como os benefícios concedidos que adquiriram característica de benefício definido na fase de concessão, de forma a assegurar sua concessão e manutenção.</w:t>
            </w:r>
          </w:p>
        </w:tc>
        <w:tc>
          <w:tcPr>
            <w:tcW w:w="4076" w:type="dxa"/>
            <w:shd w:val="clear" w:color="auto" w:fill="auto"/>
            <w:noWrap/>
            <w:vAlign w:val="center"/>
            <w:hideMark/>
          </w:tcPr>
          <w:p w14:paraId="6B399014"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D1A87BA" w14:textId="70E062B0" w:rsidTr="00E31838">
        <w:tc>
          <w:tcPr>
            <w:tcW w:w="4598" w:type="dxa"/>
            <w:vAlign w:val="center"/>
          </w:tcPr>
          <w:p w14:paraId="13F87339" w14:textId="2453BA6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5º Para fins de cálculo do Limite de Reserva de Contingência, do Limite de Déficit Técnico Acumulado e do prazo para amortização do valor a ser equacionado, a duração do passivo deve ser apurada em anos no sistema de Duração do Passivo e Ajuste de Precificação (DPAP) e ser calculada para o encerramento do exercício de referência ou para o fim do mês da data de efetivação do fato relevante.</w:t>
            </w:r>
          </w:p>
        </w:tc>
        <w:tc>
          <w:tcPr>
            <w:tcW w:w="5462" w:type="dxa"/>
            <w:shd w:val="clear" w:color="auto" w:fill="auto"/>
            <w:vAlign w:val="center"/>
            <w:hideMark/>
          </w:tcPr>
          <w:p w14:paraId="3C10BB95" w14:textId="6B1FEDE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5º  Para fins de cálculo do Limite de Reserva de Contingência, do Limite de Déficit Técnico Acumulado e do prazo para amortização do valor a ser equacionado, a duração do passivo deve ser apurada em anos no sistema de Duração do Passivo e Ajuste de Precificação (DPAP) e calculada:</w:t>
            </w:r>
          </w:p>
        </w:tc>
        <w:tc>
          <w:tcPr>
            <w:tcW w:w="4076" w:type="dxa"/>
            <w:vMerge w:val="restart"/>
            <w:shd w:val="clear" w:color="auto" w:fill="auto"/>
            <w:noWrap/>
            <w:vAlign w:val="center"/>
            <w:hideMark/>
          </w:tcPr>
          <w:p w14:paraId="68F90B0F" w14:textId="162852F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Desdobramento em incisos para trazer maior clareza ao dispositivo de quando deve ser realizada avaliação atuarial.</w:t>
            </w:r>
          </w:p>
        </w:tc>
      </w:tr>
      <w:tr w:rsidR="00E31838" w:rsidRPr="0010524E" w14:paraId="0F68D426" w14:textId="37F03FC6" w:rsidTr="00E31838">
        <w:tc>
          <w:tcPr>
            <w:tcW w:w="4598" w:type="dxa"/>
            <w:vAlign w:val="center"/>
          </w:tcPr>
          <w:p w14:paraId="5446A1C7" w14:textId="3B2218A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5462" w:type="dxa"/>
            <w:shd w:val="clear" w:color="auto" w:fill="auto"/>
            <w:vAlign w:val="center"/>
            <w:hideMark/>
          </w:tcPr>
          <w:p w14:paraId="1828F78D" w14:textId="2420F6C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para avaliações atuariais de final de exercício ao final do exercício de referência; ou</w:t>
            </w:r>
          </w:p>
        </w:tc>
        <w:tc>
          <w:tcPr>
            <w:tcW w:w="4076" w:type="dxa"/>
            <w:vMerge/>
            <w:vAlign w:val="center"/>
            <w:hideMark/>
          </w:tcPr>
          <w:p w14:paraId="76ADA520"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6C3F734" w14:textId="127F7643" w:rsidTr="00E31838">
        <w:tc>
          <w:tcPr>
            <w:tcW w:w="4598" w:type="dxa"/>
            <w:vAlign w:val="center"/>
          </w:tcPr>
          <w:p w14:paraId="1224DA14" w14:textId="2619348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5462" w:type="dxa"/>
            <w:shd w:val="clear" w:color="auto" w:fill="auto"/>
            <w:vAlign w:val="center"/>
            <w:hideMark/>
          </w:tcPr>
          <w:p w14:paraId="18017D1B" w14:textId="7E0DA28F"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para avaliações atuariais por fato relevante ao final do mês da data de efetivação do fato relevante.</w:t>
            </w:r>
          </w:p>
        </w:tc>
        <w:tc>
          <w:tcPr>
            <w:tcW w:w="4076" w:type="dxa"/>
            <w:vMerge/>
            <w:vAlign w:val="center"/>
            <w:hideMark/>
          </w:tcPr>
          <w:p w14:paraId="0C293B78"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CD1D21A" w14:textId="7D4F6B5A" w:rsidTr="00E31838">
        <w:tc>
          <w:tcPr>
            <w:tcW w:w="4598" w:type="dxa"/>
            <w:vAlign w:val="center"/>
          </w:tcPr>
          <w:p w14:paraId="3E81BB52" w14:textId="146BDC7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Parágrafo único.  Caso ocorra o equacionamento de déficit no próprio encerramento do exercício de apuração do resultado deficitário, a duração do passivo para fins de atendimento ao disposto no caput deve ser a calculada previamente ao </w:t>
            </w:r>
            <w:r w:rsidRPr="0010524E">
              <w:rPr>
                <w:rFonts w:ascii="Calibri" w:hAnsi="Calibri" w:cs="Calibri"/>
                <w:sz w:val="24"/>
                <w:szCs w:val="24"/>
              </w:rPr>
              <w:lastRenderedPageBreak/>
              <w:t>lançamento do correspondente fluxo de contribuições extraordinárias futuras.</w:t>
            </w:r>
          </w:p>
        </w:tc>
        <w:tc>
          <w:tcPr>
            <w:tcW w:w="5462" w:type="dxa"/>
            <w:shd w:val="clear" w:color="auto" w:fill="auto"/>
            <w:noWrap/>
            <w:vAlign w:val="center"/>
            <w:hideMark/>
          </w:tcPr>
          <w:p w14:paraId="7B406EEA" w14:textId="4C9CA4F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Parágrafo único.  Caso ocorra equacionamento de déficit no próprio encerramento do exercício de apuração do resultado deficitário, a duração do passivo para fins de atendimento ao disposto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 ser a calculada previamente ao lançamento do correspondente fluxo de contribuições extraordinárias futuras.</w:t>
            </w:r>
          </w:p>
        </w:tc>
        <w:tc>
          <w:tcPr>
            <w:tcW w:w="4076" w:type="dxa"/>
            <w:shd w:val="clear" w:color="auto" w:fill="auto"/>
            <w:noWrap/>
            <w:vAlign w:val="center"/>
            <w:hideMark/>
          </w:tcPr>
          <w:p w14:paraId="71EBEEB5"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067A3CA" w14:textId="3C681A1D" w:rsidTr="00E31838">
        <w:tc>
          <w:tcPr>
            <w:tcW w:w="4598" w:type="dxa"/>
            <w:vAlign w:val="center"/>
          </w:tcPr>
          <w:p w14:paraId="7CB5DFF3" w14:textId="7F8E7CC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CAPÍTULO II</w:t>
            </w:r>
          </w:p>
        </w:tc>
        <w:tc>
          <w:tcPr>
            <w:tcW w:w="5462" w:type="dxa"/>
            <w:shd w:val="clear" w:color="auto" w:fill="auto"/>
            <w:noWrap/>
            <w:vAlign w:val="center"/>
            <w:hideMark/>
          </w:tcPr>
          <w:p w14:paraId="6659FDD0" w14:textId="747324D1"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III</w:t>
            </w:r>
          </w:p>
        </w:tc>
        <w:tc>
          <w:tcPr>
            <w:tcW w:w="4076" w:type="dxa"/>
            <w:shd w:val="clear" w:color="auto" w:fill="auto"/>
            <w:noWrap/>
            <w:vAlign w:val="center"/>
            <w:hideMark/>
          </w:tcPr>
          <w:p w14:paraId="256AFE23"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4E7E27A7" w14:textId="2AD79E04" w:rsidTr="00E31838">
        <w:tc>
          <w:tcPr>
            <w:tcW w:w="4598" w:type="dxa"/>
            <w:vAlign w:val="center"/>
          </w:tcPr>
          <w:p w14:paraId="1101E0A1" w14:textId="1855CE63"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DA TAXA DE JUROS PARÂMETRO</w:t>
            </w:r>
          </w:p>
        </w:tc>
        <w:tc>
          <w:tcPr>
            <w:tcW w:w="5462" w:type="dxa"/>
            <w:shd w:val="clear" w:color="auto" w:fill="auto"/>
            <w:noWrap/>
            <w:vAlign w:val="center"/>
            <w:hideMark/>
          </w:tcPr>
          <w:p w14:paraId="1DA887E9" w14:textId="45BADA62"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Taxa de Juros Parâmetro</w:t>
            </w:r>
          </w:p>
        </w:tc>
        <w:tc>
          <w:tcPr>
            <w:tcW w:w="4076" w:type="dxa"/>
            <w:shd w:val="clear" w:color="auto" w:fill="auto"/>
            <w:noWrap/>
            <w:vAlign w:val="center"/>
            <w:hideMark/>
          </w:tcPr>
          <w:p w14:paraId="6572C9B6"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3FE313D2" w14:textId="21F57B52" w:rsidTr="00E31838">
        <w:tc>
          <w:tcPr>
            <w:tcW w:w="4598" w:type="dxa"/>
            <w:vAlign w:val="center"/>
          </w:tcPr>
          <w:p w14:paraId="52267AB9" w14:textId="2EDB7B9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6º A taxa de juros parâmetro corresponde àquela cujo ponto da Estrutura a Termo de Taxa de Juros Média (ETTJ) seja o mais próximo à duração do passivo do respectivo plano de benefícios.</w:t>
            </w:r>
          </w:p>
        </w:tc>
        <w:tc>
          <w:tcPr>
            <w:tcW w:w="5462" w:type="dxa"/>
            <w:shd w:val="clear" w:color="auto" w:fill="auto"/>
            <w:noWrap/>
            <w:vAlign w:val="center"/>
            <w:hideMark/>
          </w:tcPr>
          <w:p w14:paraId="72CC3F89" w14:textId="0BF04E7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6º  A taxa de juros parâmetro corresponde àquela cujo ponto da Estrutura a Termo de Taxa de Juros Média (ETTJ) seja o mais próximo à duração do passivo do respectivo plano de benefícios.</w:t>
            </w:r>
          </w:p>
        </w:tc>
        <w:tc>
          <w:tcPr>
            <w:tcW w:w="4076" w:type="dxa"/>
            <w:shd w:val="clear" w:color="auto" w:fill="auto"/>
            <w:noWrap/>
            <w:vAlign w:val="center"/>
            <w:hideMark/>
          </w:tcPr>
          <w:p w14:paraId="20AE535F"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7CACE81" w14:textId="54B9BDA0" w:rsidTr="00E31838">
        <w:tc>
          <w:tcPr>
            <w:tcW w:w="4598" w:type="dxa"/>
            <w:vAlign w:val="center"/>
          </w:tcPr>
          <w:p w14:paraId="518A8F5D" w14:textId="3522131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§1º A duração do passivo para encontrar a taxa de juros referida no caput é aquela calculada considerando o fluxo projetado na avaliação de encerramento do exercício anterior ao de referência.</w:t>
            </w:r>
          </w:p>
        </w:tc>
        <w:tc>
          <w:tcPr>
            <w:tcW w:w="5462" w:type="dxa"/>
            <w:shd w:val="clear" w:color="auto" w:fill="auto"/>
            <w:noWrap/>
            <w:vAlign w:val="center"/>
            <w:hideMark/>
          </w:tcPr>
          <w:p w14:paraId="209A59E9" w14:textId="79169EF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 1º  A duração do passivo para encontrar a taxa de juros referida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é aquela calculada considerando o fluxo projetado na avaliação de encerramento do exercício anterior ao de referência.</w:t>
            </w:r>
          </w:p>
        </w:tc>
        <w:tc>
          <w:tcPr>
            <w:tcW w:w="4076" w:type="dxa"/>
            <w:shd w:val="clear" w:color="auto" w:fill="auto"/>
            <w:noWrap/>
            <w:vAlign w:val="center"/>
            <w:hideMark/>
          </w:tcPr>
          <w:p w14:paraId="5C78040D"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84C3289" w14:textId="1B92DB41" w:rsidTr="00E31838">
        <w:tc>
          <w:tcPr>
            <w:tcW w:w="4598" w:type="dxa"/>
            <w:vAlign w:val="center"/>
          </w:tcPr>
          <w:p w14:paraId="6BD5870E" w14:textId="7743707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§2º Na ocorrência de fato relevante que enseje a elaboração de nova avaliação atuarial, deve ser considerado o fluxo projetado que reflita a nova realidade do plano de benefícios.</w:t>
            </w:r>
          </w:p>
        </w:tc>
        <w:tc>
          <w:tcPr>
            <w:tcW w:w="5462" w:type="dxa"/>
            <w:shd w:val="clear" w:color="auto" w:fill="auto"/>
            <w:noWrap/>
            <w:vAlign w:val="center"/>
            <w:hideMark/>
          </w:tcPr>
          <w:p w14:paraId="12F0959E" w14:textId="695F158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2º  Na ocorrência de fato relevante que enseje a elaboração de nova avaliação atuarial, deve ser considerado o fluxo projetado que reflita a nova realidade do plano de benefícios.</w:t>
            </w:r>
          </w:p>
        </w:tc>
        <w:tc>
          <w:tcPr>
            <w:tcW w:w="4076" w:type="dxa"/>
            <w:shd w:val="clear" w:color="auto" w:fill="auto"/>
            <w:noWrap/>
            <w:vAlign w:val="center"/>
            <w:hideMark/>
          </w:tcPr>
          <w:p w14:paraId="32A886D2"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2CD766E" w14:textId="3FB4F01D" w:rsidTr="00E31838">
        <w:tc>
          <w:tcPr>
            <w:tcW w:w="4598" w:type="dxa"/>
            <w:vAlign w:val="center"/>
          </w:tcPr>
          <w:p w14:paraId="1AC634A5" w14:textId="713F2D0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§3º Os pontos das ETTJ serão apurados com data-base do primeiro dia útil de abril.</w:t>
            </w:r>
          </w:p>
        </w:tc>
        <w:tc>
          <w:tcPr>
            <w:tcW w:w="5462" w:type="dxa"/>
            <w:shd w:val="clear" w:color="auto" w:fill="auto"/>
            <w:noWrap/>
            <w:vAlign w:val="center"/>
            <w:hideMark/>
          </w:tcPr>
          <w:p w14:paraId="3C874151" w14:textId="76AC7F0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3º  Os pontos das ETTJ devem ser apurados com data-base do primeiro dia útil de abril.</w:t>
            </w:r>
          </w:p>
        </w:tc>
        <w:tc>
          <w:tcPr>
            <w:tcW w:w="4076" w:type="dxa"/>
            <w:shd w:val="clear" w:color="auto" w:fill="auto"/>
            <w:noWrap/>
            <w:vAlign w:val="center"/>
            <w:hideMark/>
          </w:tcPr>
          <w:p w14:paraId="2BE189B5" w14:textId="0C4BB5C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tempo verbal.</w:t>
            </w:r>
          </w:p>
        </w:tc>
      </w:tr>
      <w:tr w:rsidR="00E31838" w:rsidRPr="0010524E" w14:paraId="1F4D318E" w14:textId="24D67347" w:rsidTr="00E31838">
        <w:tc>
          <w:tcPr>
            <w:tcW w:w="4598" w:type="dxa"/>
            <w:vAlign w:val="center"/>
          </w:tcPr>
          <w:p w14:paraId="6539A9EA" w14:textId="1FB003B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§4º Os pontos das ETTJ e correspondentes taxas de juros parâmetro, bem como os limites inferior e superior, serão divulgados anualmente pela Previc até 30 de abril de cada exercício.</w:t>
            </w:r>
          </w:p>
        </w:tc>
        <w:tc>
          <w:tcPr>
            <w:tcW w:w="5462" w:type="dxa"/>
            <w:shd w:val="clear" w:color="auto" w:fill="auto"/>
            <w:noWrap/>
            <w:vAlign w:val="center"/>
            <w:hideMark/>
          </w:tcPr>
          <w:p w14:paraId="56A2367E" w14:textId="69B583C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4º  Os pontos das ETTJ e correspondentes taxas de juros parâmetro, bem como os limites inferior e superior, devem ser divulgados anualmente pela Previc até 30 de abril de cada exercício.</w:t>
            </w:r>
          </w:p>
        </w:tc>
        <w:tc>
          <w:tcPr>
            <w:tcW w:w="4076" w:type="dxa"/>
            <w:shd w:val="clear" w:color="auto" w:fill="auto"/>
            <w:noWrap/>
            <w:vAlign w:val="center"/>
            <w:hideMark/>
          </w:tcPr>
          <w:p w14:paraId="28115CC3" w14:textId="42B29F8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tempo verbal.</w:t>
            </w:r>
          </w:p>
        </w:tc>
      </w:tr>
      <w:tr w:rsidR="00E31838" w:rsidRPr="0010524E" w14:paraId="78FBB1AB" w14:textId="789D2DE3" w:rsidTr="00E31838">
        <w:tc>
          <w:tcPr>
            <w:tcW w:w="4598" w:type="dxa"/>
            <w:vAlign w:val="center"/>
          </w:tcPr>
          <w:p w14:paraId="473AE657" w14:textId="3E8A918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Art. 7º O cálculo da taxa de juros parâmetro deve considerar a duração do passivo com </w:t>
            </w:r>
            <w:r w:rsidRPr="0010524E">
              <w:rPr>
                <w:rFonts w:ascii="Calibri" w:hAnsi="Calibri" w:cs="Calibri"/>
                <w:sz w:val="24"/>
                <w:szCs w:val="24"/>
              </w:rPr>
              <w:lastRenderedPageBreak/>
              <w:t>uma casa decimal, conforme definido no Anexo a esta Instrução.</w:t>
            </w:r>
          </w:p>
        </w:tc>
        <w:tc>
          <w:tcPr>
            <w:tcW w:w="5462" w:type="dxa"/>
            <w:shd w:val="clear" w:color="auto" w:fill="auto"/>
            <w:noWrap/>
            <w:vAlign w:val="center"/>
            <w:hideMark/>
          </w:tcPr>
          <w:p w14:paraId="0A4FBEF0" w14:textId="72168D0F"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Art. 7º  O cálculo da taxa de juros parâmetro deve considerar a duração do passivo com uma casa </w:t>
            </w:r>
            <w:r w:rsidRPr="0010524E">
              <w:rPr>
                <w:rFonts w:ascii="Calibri" w:eastAsia="Times New Roman" w:hAnsi="Calibri" w:cs="Calibri"/>
                <w:kern w:val="0"/>
                <w:sz w:val="24"/>
                <w:szCs w:val="24"/>
                <w:lang w:eastAsia="pt-BR"/>
                <w14:ligatures w14:val="none"/>
              </w:rPr>
              <w:lastRenderedPageBreak/>
              <w:t>decimal, conforme definido no Anexo I a esta Resolução.</w:t>
            </w:r>
          </w:p>
        </w:tc>
        <w:tc>
          <w:tcPr>
            <w:tcW w:w="4076" w:type="dxa"/>
            <w:shd w:val="clear" w:color="auto" w:fill="auto"/>
            <w:noWrap/>
            <w:vAlign w:val="center"/>
            <w:hideMark/>
          </w:tcPr>
          <w:p w14:paraId="305CC2F2"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CAE4644" w14:textId="44BF4E87" w:rsidTr="00E31838">
        <w:tc>
          <w:tcPr>
            <w:tcW w:w="4598" w:type="dxa"/>
            <w:vAlign w:val="center"/>
          </w:tcPr>
          <w:p w14:paraId="164043AD" w14:textId="64FD443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8º Independentemente da modalidade, quando o plano apresentar benefícios com características de benefício definido, a duração do passivo deve ser considerada para efeito de definição da taxa de juros parâmetro.</w:t>
            </w:r>
          </w:p>
        </w:tc>
        <w:tc>
          <w:tcPr>
            <w:tcW w:w="5462" w:type="dxa"/>
            <w:shd w:val="clear" w:color="auto" w:fill="auto"/>
            <w:noWrap/>
            <w:vAlign w:val="center"/>
            <w:hideMark/>
          </w:tcPr>
          <w:p w14:paraId="36192880" w14:textId="79A6203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8º  Independentemente da modalidade, quando o plano apresentar benefícios com características de benefício definido, a duração do passivo deve ser considerada para efeito de definição da taxa de juros parâmetro.</w:t>
            </w:r>
          </w:p>
        </w:tc>
        <w:tc>
          <w:tcPr>
            <w:tcW w:w="4076" w:type="dxa"/>
            <w:shd w:val="clear" w:color="auto" w:fill="auto"/>
            <w:noWrap/>
            <w:vAlign w:val="center"/>
            <w:hideMark/>
          </w:tcPr>
          <w:p w14:paraId="7E33840C"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C4CD309" w14:textId="45127303" w:rsidTr="00E31838">
        <w:tc>
          <w:tcPr>
            <w:tcW w:w="4598" w:type="dxa"/>
            <w:vAlign w:val="center"/>
          </w:tcPr>
          <w:p w14:paraId="7F46174C" w14:textId="632F45A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§1º O plano de benefícios que apresente benefício com características de contribuição definida e utilize taxa real anual de juros em seu cálculo deve adotá-la dentro do intervalo regulatório estabelecido, considerando a duração de dez anos.</w:t>
            </w:r>
          </w:p>
        </w:tc>
        <w:tc>
          <w:tcPr>
            <w:tcW w:w="5462" w:type="dxa"/>
            <w:shd w:val="clear" w:color="auto" w:fill="auto"/>
            <w:noWrap/>
            <w:vAlign w:val="center"/>
            <w:hideMark/>
          </w:tcPr>
          <w:p w14:paraId="694C6626" w14:textId="34FD693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1º  O plano de benefícios que apresente benefício com características de contribuição definida e utilize taxa real anual de juros em seu cálculo, deve adotar a taxa de juros dentro do intervalo regulatório estabelecido, considerando a duração de dez anos.</w:t>
            </w:r>
          </w:p>
        </w:tc>
        <w:tc>
          <w:tcPr>
            <w:tcW w:w="4076" w:type="dxa"/>
            <w:shd w:val="clear" w:color="auto" w:fill="auto"/>
            <w:noWrap/>
            <w:vAlign w:val="center"/>
            <w:hideMark/>
          </w:tcPr>
          <w:p w14:paraId="32F79BF8" w14:textId="34D5C26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para eliminar ambiguidade, além de adotar paralelismo com outros dispositivos da norma.</w:t>
            </w:r>
          </w:p>
        </w:tc>
      </w:tr>
      <w:tr w:rsidR="00E31838" w:rsidRPr="0010524E" w14:paraId="7EB314FA" w14:textId="0D603DC7" w:rsidTr="00E31838">
        <w:tc>
          <w:tcPr>
            <w:tcW w:w="4598" w:type="dxa"/>
            <w:vAlign w:val="center"/>
          </w:tcPr>
          <w:p w14:paraId="3E2EEE1E" w14:textId="278FF6A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§2º Caso o plano de benefícios possua fundo previdencial que utilize em sua constituição e manutenção a hipótese de taxa real anual de juros, aplicam-se os critérios de definição para a taxa de juros parâmetro previstos neste artigo, conforme evento ou risco ao qual esteja associado.</w:t>
            </w:r>
          </w:p>
        </w:tc>
        <w:tc>
          <w:tcPr>
            <w:tcW w:w="5462" w:type="dxa"/>
            <w:shd w:val="clear" w:color="auto" w:fill="auto"/>
            <w:noWrap/>
            <w:vAlign w:val="center"/>
            <w:hideMark/>
          </w:tcPr>
          <w:p w14:paraId="09135E27" w14:textId="63DCDAF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 2º  Caso o plano de benefícios possua fundo previdencial que utilize em sua constituição e manutenção a hipótese de taxa real anual de juros, aplicam-se os critérios de definição para a taxa de juros parâmetro previstos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conforme evento ou risco ao qual esteja associado.</w:t>
            </w:r>
          </w:p>
        </w:tc>
        <w:tc>
          <w:tcPr>
            <w:tcW w:w="4076" w:type="dxa"/>
            <w:shd w:val="clear" w:color="auto" w:fill="auto"/>
            <w:noWrap/>
            <w:vAlign w:val="center"/>
            <w:hideMark/>
          </w:tcPr>
          <w:p w14:paraId="470FA38F"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77AEE0DD" w14:textId="5AA0057A" w:rsidTr="00E31838">
        <w:tc>
          <w:tcPr>
            <w:tcW w:w="4598" w:type="dxa"/>
            <w:vAlign w:val="center"/>
          </w:tcPr>
          <w:p w14:paraId="430AAD3C" w14:textId="58F730F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9º No caso de inviabilidade técnica para apuração da duração do passivo, o plano de benefícios deve aplicar a ETTJ considerando a duração de dez anos para efeito de definição da taxa de juros parâmetro.</w:t>
            </w:r>
          </w:p>
        </w:tc>
        <w:tc>
          <w:tcPr>
            <w:tcW w:w="5462" w:type="dxa"/>
            <w:shd w:val="clear" w:color="auto" w:fill="auto"/>
            <w:noWrap/>
            <w:vAlign w:val="center"/>
            <w:hideMark/>
          </w:tcPr>
          <w:p w14:paraId="402D5452" w14:textId="1CB9202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9º  No caso de inviabilidade técnica para apuração da duração do passivo, o plano de benefícios deve aplicar a ETTJ considerando a duração de dez anos para efeito de definição da taxa de juros parâmetro.</w:t>
            </w:r>
          </w:p>
        </w:tc>
        <w:tc>
          <w:tcPr>
            <w:tcW w:w="4076" w:type="dxa"/>
            <w:shd w:val="clear" w:color="auto" w:fill="auto"/>
            <w:noWrap/>
            <w:vAlign w:val="center"/>
            <w:hideMark/>
          </w:tcPr>
          <w:p w14:paraId="2608AD66"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B0D89CE" w14:textId="1DE2599E" w:rsidTr="00E31838">
        <w:tc>
          <w:tcPr>
            <w:tcW w:w="4598" w:type="dxa"/>
            <w:vAlign w:val="center"/>
          </w:tcPr>
          <w:p w14:paraId="050F5F23" w14:textId="0B1D37A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Parágrafo único.  Cabe ao atuário responsável pelo plano de benefícios a manifestação sobre </w:t>
            </w:r>
            <w:r w:rsidRPr="0010524E">
              <w:rPr>
                <w:rFonts w:ascii="Calibri" w:hAnsi="Calibri" w:cs="Calibri"/>
                <w:sz w:val="24"/>
                <w:szCs w:val="24"/>
              </w:rPr>
              <w:lastRenderedPageBreak/>
              <w:t>a inviabilidade técnica nas Demonstrações Atuariais (DA).</w:t>
            </w:r>
          </w:p>
        </w:tc>
        <w:tc>
          <w:tcPr>
            <w:tcW w:w="5462" w:type="dxa"/>
            <w:shd w:val="clear" w:color="auto" w:fill="auto"/>
            <w:noWrap/>
            <w:vAlign w:val="center"/>
            <w:hideMark/>
          </w:tcPr>
          <w:p w14:paraId="41076CC1" w14:textId="3EF4CB7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Parágrafo único.  Cabe ao atuário responsável pelo plano de benefícios a manifestação sobre a </w:t>
            </w:r>
            <w:r w:rsidRPr="0010524E">
              <w:rPr>
                <w:rFonts w:ascii="Calibri" w:eastAsia="Times New Roman" w:hAnsi="Calibri" w:cs="Calibri"/>
                <w:kern w:val="0"/>
                <w:sz w:val="24"/>
                <w:szCs w:val="24"/>
                <w:lang w:eastAsia="pt-BR"/>
                <w14:ligatures w14:val="none"/>
              </w:rPr>
              <w:lastRenderedPageBreak/>
              <w:t xml:space="preserve">inviabilidade técnica a que se refere 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nas Demonstrações Atuariais (DA).</w:t>
            </w:r>
          </w:p>
        </w:tc>
        <w:tc>
          <w:tcPr>
            <w:tcW w:w="4076" w:type="dxa"/>
            <w:shd w:val="clear" w:color="auto" w:fill="auto"/>
            <w:noWrap/>
            <w:vAlign w:val="center"/>
            <w:hideMark/>
          </w:tcPr>
          <w:p w14:paraId="54E3EFE5" w14:textId="456E7A2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Ajuste redacional.</w:t>
            </w:r>
          </w:p>
        </w:tc>
      </w:tr>
      <w:tr w:rsidR="00E31838" w:rsidRPr="0010524E" w14:paraId="212CAA3F" w14:textId="57CA1BC5" w:rsidTr="00E31838">
        <w:tc>
          <w:tcPr>
            <w:tcW w:w="4598" w:type="dxa"/>
            <w:vAlign w:val="center"/>
          </w:tcPr>
          <w:p w14:paraId="2D7D362F" w14:textId="1A622122"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CAPÍTULO III</w:t>
            </w:r>
          </w:p>
        </w:tc>
        <w:tc>
          <w:tcPr>
            <w:tcW w:w="5462" w:type="dxa"/>
            <w:shd w:val="clear" w:color="auto" w:fill="auto"/>
            <w:noWrap/>
            <w:vAlign w:val="center"/>
            <w:hideMark/>
          </w:tcPr>
          <w:p w14:paraId="4CE893D9" w14:textId="3CB54955"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IV</w:t>
            </w:r>
          </w:p>
        </w:tc>
        <w:tc>
          <w:tcPr>
            <w:tcW w:w="4076" w:type="dxa"/>
            <w:shd w:val="clear" w:color="auto" w:fill="auto"/>
            <w:noWrap/>
            <w:vAlign w:val="center"/>
            <w:hideMark/>
          </w:tcPr>
          <w:p w14:paraId="117CD7F5"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01609DD2" w14:textId="0CDFD5F5" w:rsidTr="00E31838">
        <w:tc>
          <w:tcPr>
            <w:tcW w:w="4598" w:type="dxa"/>
            <w:vAlign w:val="center"/>
          </w:tcPr>
          <w:p w14:paraId="2723F81C" w14:textId="419DD44B"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DO AJUSTE DE PRECIFICAÇÃO</w:t>
            </w:r>
          </w:p>
        </w:tc>
        <w:tc>
          <w:tcPr>
            <w:tcW w:w="5462" w:type="dxa"/>
            <w:shd w:val="clear" w:color="auto" w:fill="auto"/>
            <w:noWrap/>
            <w:vAlign w:val="center"/>
            <w:hideMark/>
          </w:tcPr>
          <w:p w14:paraId="570D8BEF" w14:textId="267CB2C9"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Ajuste de Precificação</w:t>
            </w:r>
          </w:p>
        </w:tc>
        <w:tc>
          <w:tcPr>
            <w:tcW w:w="4076" w:type="dxa"/>
            <w:shd w:val="clear" w:color="auto" w:fill="auto"/>
            <w:noWrap/>
            <w:vAlign w:val="center"/>
            <w:hideMark/>
          </w:tcPr>
          <w:p w14:paraId="3DBE211F"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0891C878" w14:textId="17698F65" w:rsidTr="00E31838">
        <w:tc>
          <w:tcPr>
            <w:tcW w:w="4598" w:type="dxa"/>
            <w:vAlign w:val="center"/>
          </w:tcPr>
          <w:p w14:paraId="6A3BA584" w14:textId="5EE60AE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10. O ajuste de precificação é restrito aos títulos públicos federais atrelados a índices de preços mantidos em carteira própria ou em fundos de investimento exclusivos que atendam, cumulativamente, aos seguintes requisitos:</w:t>
            </w:r>
          </w:p>
        </w:tc>
        <w:tc>
          <w:tcPr>
            <w:tcW w:w="5462" w:type="dxa"/>
            <w:shd w:val="clear" w:color="auto" w:fill="auto"/>
            <w:noWrap/>
            <w:vAlign w:val="center"/>
            <w:hideMark/>
          </w:tcPr>
          <w:p w14:paraId="05113433" w14:textId="3B7B18B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10.  O ajuste de precificação é restrito aos títulos públicos federais atrelados a índices de preços mantidos em carteira própria ou em fundos de investimento exclusivos que atendam, cumulativamente, aos seguintes requisitos:</w:t>
            </w:r>
          </w:p>
        </w:tc>
        <w:tc>
          <w:tcPr>
            <w:tcW w:w="4076" w:type="dxa"/>
            <w:shd w:val="clear" w:color="auto" w:fill="auto"/>
            <w:noWrap/>
            <w:vAlign w:val="center"/>
            <w:hideMark/>
          </w:tcPr>
          <w:p w14:paraId="000C2A53"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2BAF51B" w14:textId="192E8ADD" w:rsidTr="00E31838">
        <w:tc>
          <w:tcPr>
            <w:tcW w:w="4598" w:type="dxa"/>
            <w:vAlign w:val="center"/>
          </w:tcPr>
          <w:p w14:paraId="16C71FDF" w14:textId="3A3D089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estejam classificados na categoria títulos mantidos até o vencimento;</w:t>
            </w:r>
          </w:p>
        </w:tc>
        <w:tc>
          <w:tcPr>
            <w:tcW w:w="5462" w:type="dxa"/>
            <w:shd w:val="clear" w:color="auto" w:fill="auto"/>
            <w:noWrap/>
            <w:vAlign w:val="center"/>
            <w:hideMark/>
          </w:tcPr>
          <w:p w14:paraId="7AB6E4FF" w14:textId="231F135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estejam classificados na categoria títulos mantidos até o vencimento;</w:t>
            </w:r>
          </w:p>
        </w:tc>
        <w:tc>
          <w:tcPr>
            <w:tcW w:w="4076" w:type="dxa"/>
            <w:shd w:val="clear" w:color="auto" w:fill="auto"/>
            <w:noWrap/>
            <w:vAlign w:val="center"/>
            <w:hideMark/>
          </w:tcPr>
          <w:p w14:paraId="557BF329"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EA8C739" w14:textId="63BC3DE9" w:rsidTr="00E31838">
        <w:tc>
          <w:tcPr>
            <w:tcW w:w="4598" w:type="dxa"/>
            <w:vAlign w:val="center"/>
          </w:tcPr>
          <w:p w14:paraId="0F1B12F9" w14:textId="527FB6C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tenham por objetivo o pagamento dos benefícios a conceder e concedidos com valor ou nível previamente estabelecidos e cujo custeio seja determinado atuarialmente, de forma a assegurar sua concessão e manutenção, bem como dos benefícios concedidos que adquiriram característica de benefício definido na fase de concessão;</w:t>
            </w:r>
          </w:p>
        </w:tc>
        <w:tc>
          <w:tcPr>
            <w:tcW w:w="5462" w:type="dxa"/>
            <w:shd w:val="clear" w:color="auto" w:fill="auto"/>
            <w:noWrap/>
            <w:vAlign w:val="center"/>
            <w:hideMark/>
          </w:tcPr>
          <w:p w14:paraId="1E3AD958" w14:textId="49EF38F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tenham por objetivo o pagamento dos benefícios a conceder e concedidos com valor ou nível previamente estabelecidos e cujo custeio seja determinado atuarialmente, de forma a assegurar sua concessão e manutenção, bem como dos benefícios concedidos que adquiriram característica de benefício definido na fase de concessão;</w:t>
            </w:r>
          </w:p>
        </w:tc>
        <w:tc>
          <w:tcPr>
            <w:tcW w:w="4076" w:type="dxa"/>
            <w:shd w:val="clear" w:color="auto" w:fill="auto"/>
            <w:noWrap/>
            <w:vAlign w:val="center"/>
            <w:hideMark/>
          </w:tcPr>
          <w:p w14:paraId="52B0B67F"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7BFF5DA2" w14:textId="5E215750" w:rsidTr="00E31838">
        <w:tc>
          <w:tcPr>
            <w:tcW w:w="4598" w:type="dxa"/>
            <w:vAlign w:val="center"/>
          </w:tcPr>
          <w:p w14:paraId="229CBE19" w14:textId="0893473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o valor presente do fluxo dos títulos públicos federais objetos do ajuste, principal e juros, seja igual ou inferior ao valor presente do fluxo de pagamento de benefícios, apurados anualmente para todo o período do fluxo;</w:t>
            </w:r>
          </w:p>
        </w:tc>
        <w:tc>
          <w:tcPr>
            <w:tcW w:w="5462" w:type="dxa"/>
            <w:shd w:val="clear" w:color="auto" w:fill="auto"/>
            <w:noWrap/>
            <w:vAlign w:val="center"/>
            <w:hideMark/>
          </w:tcPr>
          <w:p w14:paraId="0010275E" w14:textId="77C39A2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o valor presente do fluxo dos títulos públicos federais objetos do ajuste, principal e juros, seja igual ou inferior ao valor presente do fluxo de pagamento de benefícios, apurados anualmente para todo o período do fluxo;</w:t>
            </w:r>
          </w:p>
        </w:tc>
        <w:tc>
          <w:tcPr>
            <w:tcW w:w="4076" w:type="dxa"/>
            <w:shd w:val="clear" w:color="auto" w:fill="auto"/>
            <w:noWrap/>
            <w:vAlign w:val="center"/>
            <w:hideMark/>
          </w:tcPr>
          <w:p w14:paraId="06C2ECC3"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6E69725" w14:textId="116A1C34" w:rsidTr="00E31838">
        <w:tc>
          <w:tcPr>
            <w:tcW w:w="4598" w:type="dxa"/>
            <w:vAlign w:val="center"/>
          </w:tcPr>
          <w:p w14:paraId="11C30F52" w14:textId="15208DF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IV  - a duração do fluxo dos títulos públicos federais objetos do ajuste seja inferior à duração do fluxo de pagamento de benefícios; e</w:t>
            </w:r>
          </w:p>
        </w:tc>
        <w:tc>
          <w:tcPr>
            <w:tcW w:w="5462" w:type="dxa"/>
            <w:shd w:val="clear" w:color="auto" w:fill="auto"/>
            <w:noWrap/>
            <w:vAlign w:val="center"/>
            <w:hideMark/>
          </w:tcPr>
          <w:p w14:paraId="1FFD14B2" w14:textId="61E4973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IV - a duração do fluxo dos títulos públicos federais objetos do ajuste seja inferior à duração do fluxo de pagamento de benefícios; e</w:t>
            </w:r>
          </w:p>
        </w:tc>
        <w:tc>
          <w:tcPr>
            <w:tcW w:w="4076" w:type="dxa"/>
            <w:shd w:val="clear" w:color="auto" w:fill="auto"/>
            <w:noWrap/>
            <w:vAlign w:val="center"/>
            <w:hideMark/>
          </w:tcPr>
          <w:p w14:paraId="4B0FC508"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8AE7EF5" w14:textId="6710DDB8" w:rsidTr="00E31838">
        <w:tc>
          <w:tcPr>
            <w:tcW w:w="4598" w:type="dxa"/>
            <w:vAlign w:val="center"/>
          </w:tcPr>
          <w:p w14:paraId="0E4C2A63" w14:textId="1CF2BC9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V - esteja demonstrada a capacidade financeira de atendimento às necessidades de liquidez do plano de benefícios.</w:t>
            </w:r>
          </w:p>
        </w:tc>
        <w:tc>
          <w:tcPr>
            <w:tcW w:w="5462" w:type="dxa"/>
            <w:shd w:val="clear" w:color="auto" w:fill="auto"/>
            <w:noWrap/>
            <w:vAlign w:val="center"/>
            <w:hideMark/>
          </w:tcPr>
          <w:p w14:paraId="3D00D391" w14:textId="32BF404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 - esteja demonstrada a capacidade financeira de atendimento às necessidades de liquidez do plano de benefícios.</w:t>
            </w:r>
          </w:p>
        </w:tc>
        <w:tc>
          <w:tcPr>
            <w:tcW w:w="4076" w:type="dxa"/>
            <w:shd w:val="clear" w:color="auto" w:fill="auto"/>
            <w:noWrap/>
            <w:vAlign w:val="center"/>
            <w:hideMark/>
          </w:tcPr>
          <w:p w14:paraId="63C14999"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9E4ED82" w14:textId="3D52D494" w:rsidTr="00E31838">
        <w:tc>
          <w:tcPr>
            <w:tcW w:w="4598" w:type="dxa"/>
            <w:vAlign w:val="center"/>
          </w:tcPr>
          <w:p w14:paraId="47A488F4" w14:textId="27396C0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§1º No cálculo do valor presente e da duração dos fluxos referidos nos incisos III e IV deste artigo, deve ser aplicada a taxa real anual de juros utilizada na avaliação atuarial de encerramento do exercício correspondente.</w:t>
            </w:r>
          </w:p>
        </w:tc>
        <w:tc>
          <w:tcPr>
            <w:tcW w:w="5462" w:type="dxa"/>
            <w:shd w:val="clear" w:color="auto" w:fill="auto"/>
            <w:noWrap/>
            <w:vAlign w:val="center"/>
            <w:hideMark/>
          </w:tcPr>
          <w:p w14:paraId="68DE352C" w14:textId="07ADC8A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 1º  No cálculo do valor presente e da duração dos fluxos referidos nos incisos III e IV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deve ser aplicada a taxa real anual de juros utilizada na avaliação atuarial de encerramento do exercício correspondente.</w:t>
            </w:r>
          </w:p>
        </w:tc>
        <w:tc>
          <w:tcPr>
            <w:tcW w:w="4076" w:type="dxa"/>
            <w:shd w:val="clear" w:color="auto" w:fill="auto"/>
            <w:noWrap/>
            <w:vAlign w:val="center"/>
            <w:hideMark/>
          </w:tcPr>
          <w:p w14:paraId="2FAAC8C7"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189D4DF" w14:textId="2459D520" w:rsidTr="00E31838">
        <w:tc>
          <w:tcPr>
            <w:tcW w:w="4598" w:type="dxa"/>
            <w:vAlign w:val="center"/>
          </w:tcPr>
          <w:p w14:paraId="2D48E723" w14:textId="60F248D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§2º Os títulos utilizados para fins de ajuste não podem ser excluídos do cálculo dos exercícios subsequentes, exceto quando não atenderem aos requisitos constantes nos incisos I a IV deste artigo.</w:t>
            </w:r>
          </w:p>
        </w:tc>
        <w:tc>
          <w:tcPr>
            <w:tcW w:w="5462" w:type="dxa"/>
            <w:shd w:val="clear" w:color="auto" w:fill="auto"/>
            <w:noWrap/>
            <w:vAlign w:val="center"/>
            <w:hideMark/>
          </w:tcPr>
          <w:p w14:paraId="6F28DC1B" w14:textId="1E70665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 2º  Os títulos utilizados para fins de ajuste não podem ser excluídos do cálculo dos exercícios subsequentes, exceto quando não atenderem aos requisitos constantes nos incisos I a IV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w:t>
            </w:r>
          </w:p>
        </w:tc>
        <w:tc>
          <w:tcPr>
            <w:tcW w:w="4076" w:type="dxa"/>
            <w:shd w:val="clear" w:color="auto" w:fill="auto"/>
            <w:noWrap/>
            <w:vAlign w:val="center"/>
            <w:hideMark/>
          </w:tcPr>
          <w:p w14:paraId="0D90E030"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3DF1CE8" w14:textId="55DA7FE5" w:rsidTr="00E31838">
        <w:tc>
          <w:tcPr>
            <w:tcW w:w="4598" w:type="dxa"/>
            <w:vAlign w:val="center"/>
          </w:tcPr>
          <w:p w14:paraId="0564C4A9" w14:textId="49E078E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§3º São obrigatórias a apuração e a divulgação do ajuste de precificação para os títulos públicos federais em carteira própria ou em fundos de investimento exclusivos que se enquadrem nas condições constantes deste artigo, devendo constar das notas explicativas das demonstrações contábeis.</w:t>
            </w:r>
          </w:p>
        </w:tc>
        <w:tc>
          <w:tcPr>
            <w:tcW w:w="5462" w:type="dxa"/>
            <w:shd w:val="clear" w:color="auto" w:fill="auto"/>
            <w:noWrap/>
            <w:vAlign w:val="center"/>
            <w:hideMark/>
          </w:tcPr>
          <w:p w14:paraId="6AAC4253" w14:textId="1EA8A28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3º  São obrigatórias a apuração e a divulgação do ajuste de precificação para os títulos públicos federais em carteira própria ou em fundos de investimento exclusivos que se enquadrem nas condições constantes deste artigo, devendo constar das notas explicativas das demonstrações contábeis.</w:t>
            </w:r>
          </w:p>
        </w:tc>
        <w:tc>
          <w:tcPr>
            <w:tcW w:w="4076" w:type="dxa"/>
            <w:shd w:val="clear" w:color="auto" w:fill="auto"/>
            <w:noWrap/>
            <w:vAlign w:val="center"/>
            <w:hideMark/>
          </w:tcPr>
          <w:p w14:paraId="6D796542"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27354A0" w14:textId="7592B2B0" w:rsidTr="00E31838">
        <w:tc>
          <w:tcPr>
            <w:tcW w:w="4598" w:type="dxa"/>
            <w:vAlign w:val="center"/>
          </w:tcPr>
          <w:p w14:paraId="5E1F3E82" w14:textId="605EEBE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Art. 11. A EFPC deve considerar o ajuste de precificação de títulos no cálculo do equilíbrio técnico ajustado constante das informações complementares da Demonstração do Ativo </w:t>
            </w:r>
            <w:r w:rsidRPr="0010524E">
              <w:rPr>
                <w:rFonts w:ascii="Calibri" w:hAnsi="Calibri" w:cs="Calibri"/>
                <w:sz w:val="24"/>
                <w:szCs w:val="24"/>
              </w:rPr>
              <w:lastRenderedPageBreak/>
              <w:t>Líquido (DAL), para fins de destinação de superávit eou equacionamento de déficit da seguinte forma:</w:t>
            </w:r>
          </w:p>
        </w:tc>
        <w:tc>
          <w:tcPr>
            <w:tcW w:w="5462" w:type="dxa"/>
            <w:shd w:val="clear" w:color="auto" w:fill="auto"/>
            <w:noWrap/>
            <w:vAlign w:val="center"/>
            <w:hideMark/>
          </w:tcPr>
          <w:p w14:paraId="241DFF5F" w14:textId="6555D65F"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Art. 11.  A EFPC deve considerar o ajuste de precificação de títulos no cálculo do equilíbrio técnico ajustado constante das informações complementares da Demonstração do Ativo Líquido (DAL), para fins de </w:t>
            </w:r>
            <w:r w:rsidRPr="0010524E">
              <w:rPr>
                <w:rFonts w:ascii="Calibri" w:eastAsia="Times New Roman" w:hAnsi="Calibri" w:cs="Calibri"/>
                <w:kern w:val="0"/>
                <w:sz w:val="24"/>
                <w:szCs w:val="24"/>
                <w:lang w:eastAsia="pt-BR"/>
                <w14:ligatures w14:val="none"/>
              </w:rPr>
              <w:lastRenderedPageBreak/>
              <w:t>destinação de superávit ou equacionamento de déficit da seguinte forma:</w:t>
            </w:r>
          </w:p>
        </w:tc>
        <w:tc>
          <w:tcPr>
            <w:tcW w:w="4076" w:type="dxa"/>
            <w:shd w:val="clear" w:color="auto" w:fill="auto"/>
            <w:noWrap/>
            <w:vAlign w:val="center"/>
            <w:hideMark/>
          </w:tcPr>
          <w:p w14:paraId="2DDA92EA"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623347A" w14:textId="38F91E47" w:rsidTr="00E31838">
        <w:tc>
          <w:tcPr>
            <w:tcW w:w="4598" w:type="dxa"/>
            <w:vAlign w:val="center"/>
          </w:tcPr>
          <w:p w14:paraId="0AD656FE" w14:textId="3CB0A65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I - positivo ou negativo, no caso de equacionamento de déficit; ou</w:t>
            </w:r>
          </w:p>
        </w:tc>
        <w:tc>
          <w:tcPr>
            <w:tcW w:w="5462" w:type="dxa"/>
            <w:shd w:val="clear" w:color="auto" w:fill="auto"/>
            <w:noWrap/>
            <w:vAlign w:val="center"/>
            <w:hideMark/>
          </w:tcPr>
          <w:p w14:paraId="3BFAF28A" w14:textId="726D726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positivo ou negativo, no caso de equacionamento de déficit; ou</w:t>
            </w:r>
          </w:p>
        </w:tc>
        <w:tc>
          <w:tcPr>
            <w:tcW w:w="4076" w:type="dxa"/>
            <w:shd w:val="clear" w:color="auto" w:fill="auto"/>
            <w:noWrap/>
            <w:vAlign w:val="center"/>
            <w:hideMark/>
          </w:tcPr>
          <w:p w14:paraId="25377605"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5F63EB2" w14:textId="7481D77B" w:rsidTr="00E31838">
        <w:tc>
          <w:tcPr>
            <w:tcW w:w="4598" w:type="dxa"/>
            <w:vAlign w:val="center"/>
          </w:tcPr>
          <w:p w14:paraId="41C0BD12" w14:textId="5FEA77C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somente negativo, no caso de destinação de superávit.</w:t>
            </w:r>
          </w:p>
        </w:tc>
        <w:tc>
          <w:tcPr>
            <w:tcW w:w="5462" w:type="dxa"/>
            <w:shd w:val="clear" w:color="auto" w:fill="auto"/>
            <w:noWrap/>
            <w:vAlign w:val="center"/>
            <w:hideMark/>
          </w:tcPr>
          <w:p w14:paraId="739501E6" w14:textId="7F83329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somente negativo, no caso de destinação de superávit.</w:t>
            </w:r>
          </w:p>
        </w:tc>
        <w:tc>
          <w:tcPr>
            <w:tcW w:w="4076" w:type="dxa"/>
            <w:shd w:val="clear" w:color="auto" w:fill="auto"/>
            <w:noWrap/>
            <w:vAlign w:val="center"/>
            <w:hideMark/>
          </w:tcPr>
          <w:p w14:paraId="3676D7C1"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F024037" w14:textId="5FA5EF1C" w:rsidTr="00E31838">
        <w:tc>
          <w:tcPr>
            <w:tcW w:w="4598" w:type="dxa"/>
            <w:vAlign w:val="center"/>
          </w:tcPr>
          <w:p w14:paraId="0A809DDA" w14:textId="3555AB4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A EFPC deve apurar novo valor de ajuste de precificação na ocorrência de fato relevante, destinação de superávit ou equacionamento de déficit em data diferente da data de encerramento de exercício.</w:t>
            </w:r>
          </w:p>
        </w:tc>
        <w:tc>
          <w:tcPr>
            <w:tcW w:w="5462" w:type="dxa"/>
            <w:shd w:val="clear" w:color="auto" w:fill="auto"/>
            <w:noWrap/>
            <w:vAlign w:val="center"/>
            <w:hideMark/>
          </w:tcPr>
          <w:p w14:paraId="2EB9B847" w14:textId="0C92741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 EFPC deve apurar novo valor de ajuste de precificação na ocorrência de fato relevante, destinação de superávit ou equacionamento de déficit em data diferente da data de encerramento de exercício.</w:t>
            </w:r>
          </w:p>
        </w:tc>
        <w:tc>
          <w:tcPr>
            <w:tcW w:w="4076" w:type="dxa"/>
            <w:shd w:val="clear" w:color="auto" w:fill="auto"/>
            <w:noWrap/>
            <w:vAlign w:val="center"/>
            <w:hideMark/>
          </w:tcPr>
          <w:p w14:paraId="25DF4467"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683DF07" w14:textId="63BF67E4" w:rsidTr="00E31838">
        <w:tc>
          <w:tcPr>
            <w:tcW w:w="4598" w:type="dxa"/>
            <w:vAlign w:val="center"/>
          </w:tcPr>
          <w:p w14:paraId="152823F4" w14:textId="53D2C2FF"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12. Na ocorrência de ajuste de precificação, o atuário responsável pelo plano de benefícios deve registrá-lo no parecer atuarial constante nas DA, emitir manifestação acerca dos impactos na solvência e no equilíbrio atuarial do plano ao longo do tempo, bem como evidenciar os requisitos necessários para registro de títulos na categoria mantidos até o vencimento, especialmente em relação à capacidade financeira de atendimento às necessidades de liquidez do plano de benefícios.</w:t>
            </w:r>
          </w:p>
        </w:tc>
        <w:tc>
          <w:tcPr>
            <w:tcW w:w="5462" w:type="dxa"/>
            <w:shd w:val="clear" w:color="auto" w:fill="auto"/>
            <w:noWrap/>
            <w:vAlign w:val="center"/>
            <w:hideMark/>
          </w:tcPr>
          <w:p w14:paraId="2B1714B4" w14:textId="6CD5ECD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12.  Na ocorrência de ajuste de precificação, o atuário responsável pelo plano de benefícios deve:</w:t>
            </w:r>
          </w:p>
        </w:tc>
        <w:tc>
          <w:tcPr>
            <w:tcW w:w="4076" w:type="dxa"/>
            <w:shd w:val="clear" w:color="auto" w:fill="auto"/>
            <w:noWrap/>
            <w:vAlign w:val="center"/>
            <w:hideMark/>
          </w:tcPr>
          <w:p w14:paraId="2F82149C" w14:textId="284C94C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Desdobramento em alíneas para fica mais evidente, por meio da enumeração, quais atribuições do atuário na ocorrência de ajuste de precificação.</w:t>
            </w:r>
          </w:p>
        </w:tc>
      </w:tr>
      <w:tr w:rsidR="00E31838" w:rsidRPr="0010524E" w14:paraId="70E10BD8" w14:textId="6FB57E53" w:rsidTr="00E31838">
        <w:tc>
          <w:tcPr>
            <w:tcW w:w="4598" w:type="dxa"/>
            <w:vAlign w:val="center"/>
          </w:tcPr>
          <w:p w14:paraId="20E633C4" w14:textId="77777777" w:rsidR="00E31838" w:rsidRPr="0010524E" w:rsidRDefault="00E31838" w:rsidP="000053DA">
            <w:pPr>
              <w:spacing w:after="0" w:line="240" w:lineRule="auto"/>
              <w:jc w:val="center"/>
              <w:rPr>
                <w:rFonts w:ascii="Calibri" w:hAnsi="Calibri" w:cs="Calibri"/>
                <w:b/>
                <w:sz w:val="24"/>
                <w:szCs w:val="24"/>
              </w:rPr>
            </w:pPr>
          </w:p>
        </w:tc>
        <w:tc>
          <w:tcPr>
            <w:tcW w:w="5462" w:type="dxa"/>
            <w:shd w:val="clear" w:color="auto" w:fill="auto"/>
            <w:noWrap/>
            <w:vAlign w:val="center"/>
          </w:tcPr>
          <w:p w14:paraId="3A5CAD50" w14:textId="3F5E6812" w:rsidR="00E31838" w:rsidRPr="0010524E" w:rsidRDefault="00E31838" w:rsidP="000053DA">
            <w:pPr>
              <w:pStyle w:val="PargrafodaLista"/>
              <w:spacing w:after="0" w:line="240" w:lineRule="auto"/>
              <w:ind w:left="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 registrar o ajuste de precificação no parecer atuarial constante nas DA;</w:t>
            </w:r>
          </w:p>
        </w:tc>
        <w:tc>
          <w:tcPr>
            <w:tcW w:w="4076" w:type="dxa"/>
            <w:shd w:val="clear" w:color="auto" w:fill="auto"/>
            <w:noWrap/>
            <w:vAlign w:val="center"/>
          </w:tcPr>
          <w:p w14:paraId="10719801"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6EEAE67C" w14:textId="6D4AAC27" w:rsidTr="00E31838">
        <w:tc>
          <w:tcPr>
            <w:tcW w:w="4598" w:type="dxa"/>
            <w:vAlign w:val="center"/>
          </w:tcPr>
          <w:p w14:paraId="04904121" w14:textId="77777777" w:rsidR="00E31838" w:rsidRPr="0010524E" w:rsidRDefault="00E31838" w:rsidP="000053DA">
            <w:pPr>
              <w:spacing w:after="0" w:line="240" w:lineRule="auto"/>
              <w:jc w:val="center"/>
              <w:rPr>
                <w:rFonts w:ascii="Calibri" w:hAnsi="Calibri" w:cs="Calibri"/>
                <w:b/>
                <w:sz w:val="24"/>
                <w:szCs w:val="24"/>
              </w:rPr>
            </w:pPr>
          </w:p>
        </w:tc>
        <w:tc>
          <w:tcPr>
            <w:tcW w:w="5462" w:type="dxa"/>
            <w:shd w:val="clear" w:color="auto" w:fill="auto"/>
            <w:noWrap/>
            <w:vAlign w:val="center"/>
          </w:tcPr>
          <w:p w14:paraId="2D1F3295" w14:textId="36F051D8" w:rsidR="00E31838" w:rsidRPr="0010524E" w:rsidRDefault="00E31838" w:rsidP="000053DA">
            <w:pPr>
              <w:pStyle w:val="PargrafodaLista"/>
              <w:spacing w:after="0" w:line="240" w:lineRule="auto"/>
              <w:ind w:left="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b) emitir manifestação acerca dos impactos na solvência e no equilíbrio atuarial do plano ao longo do tempo; e</w:t>
            </w:r>
          </w:p>
        </w:tc>
        <w:tc>
          <w:tcPr>
            <w:tcW w:w="4076" w:type="dxa"/>
            <w:shd w:val="clear" w:color="auto" w:fill="auto"/>
            <w:noWrap/>
            <w:vAlign w:val="center"/>
          </w:tcPr>
          <w:p w14:paraId="20E43C52"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297D49A1" w14:textId="7D2B65AC" w:rsidTr="00E31838">
        <w:tc>
          <w:tcPr>
            <w:tcW w:w="4598" w:type="dxa"/>
            <w:vAlign w:val="center"/>
          </w:tcPr>
          <w:p w14:paraId="08E053BF" w14:textId="77777777" w:rsidR="00E31838" w:rsidRPr="0010524E" w:rsidRDefault="00E31838" w:rsidP="000053DA">
            <w:pPr>
              <w:spacing w:after="0" w:line="240" w:lineRule="auto"/>
              <w:jc w:val="center"/>
              <w:rPr>
                <w:rFonts w:ascii="Calibri" w:hAnsi="Calibri" w:cs="Calibri"/>
                <w:b/>
                <w:sz w:val="24"/>
                <w:szCs w:val="24"/>
              </w:rPr>
            </w:pPr>
          </w:p>
        </w:tc>
        <w:tc>
          <w:tcPr>
            <w:tcW w:w="5462" w:type="dxa"/>
            <w:shd w:val="clear" w:color="auto" w:fill="auto"/>
            <w:noWrap/>
            <w:vAlign w:val="center"/>
          </w:tcPr>
          <w:p w14:paraId="20F97A64" w14:textId="7CC72F0D" w:rsidR="00E31838" w:rsidRPr="0010524E" w:rsidRDefault="00E31838" w:rsidP="000053DA">
            <w:pPr>
              <w:pStyle w:val="PargrafodaLista"/>
              <w:spacing w:after="0" w:line="240" w:lineRule="auto"/>
              <w:ind w:left="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 evidenciar os requisitos necessários para registro de títulos na categoria mantidos até o vencimento, especialmente em relação à capacidade financeira de atendimento às necessidades de liquidez do plano de benefícios.</w:t>
            </w:r>
          </w:p>
        </w:tc>
        <w:tc>
          <w:tcPr>
            <w:tcW w:w="4076" w:type="dxa"/>
            <w:shd w:val="clear" w:color="auto" w:fill="auto"/>
            <w:noWrap/>
            <w:vAlign w:val="center"/>
          </w:tcPr>
          <w:p w14:paraId="1DD9040E"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462ABFD8" w14:textId="65418CE3" w:rsidTr="00E31838">
        <w:tc>
          <w:tcPr>
            <w:tcW w:w="4598" w:type="dxa"/>
            <w:vAlign w:val="center"/>
          </w:tcPr>
          <w:p w14:paraId="47183C7F" w14:textId="578F926B"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CAPÍTULO IV</w:t>
            </w:r>
          </w:p>
        </w:tc>
        <w:tc>
          <w:tcPr>
            <w:tcW w:w="5462" w:type="dxa"/>
            <w:shd w:val="clear" w:color="auto" w:fill="auto"/>
            <w:noWrap/>
            <w:vAlign w:val="center"/>
            <w:hideMark/>
          </w:tcPr>
          <w:p w14:paraId="4437F79A" w14:textId="65ECF409"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II</w:t>
            </w:r>
          </w:p>
        </w:tc>
        <w:tc>
          <w:tcPr>
            <w:tcW w:w="4076" w:type="dxa"/>
            <w:shd w:val="clear" w:color="auto" w:fill="auto"/>
            <w:noWrap/>
            <w:vAlign w:val="center"/>
            <w:hideMark/>
          </w:tcPr>
          <w:p w14:paraId="3222A5F0"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0B5B2BA7" w14:textId="4B89959E" w:rsidTr="00E31838">
        <w:tc>
          <w:tcPr>
            <w:tcW w:w="4598" w:type="dxa"/>
            <w:vAlign w:val="center"/>
          </w:tcPr>
          <w:p w14:paraId="4FC0BE67" w14:textId="39F0EE49"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DA ADEQUAÇÃO DAS HIPÓTESES</w:t>
            </w:r>
          </w:p>
        </w:tc>
        <w:tc>
          <w:tcPr>
            <w:tcW w:w="5462" w:type="dxa"/>
            <w:shd w:val="clear" w:color="auto" w:fill="auto"/>
            <w:noWrap/>
            <w:vAlign w:val="center"/>
            <w:hideMark/>
          </w:tcPr>
          <w:p w14:paraId="55035DF3" w14:textId="0CA3E60B"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Adequação das Hipóteses</w:t>
            </w:r>
          </w:p>
        </w:tc>
        <w:tc>
          <w:tcPr>
            <w:tcW w:w="4076" w:type="dxa"/>
            <w:shd w:val="clear" w:color="auto" w:fill="auto"/>
            <w:noWrap/>
            <w:vAlign w:val="center"/>
            <w:hideMark/>
          </w:tcPr>
          <w:p w14:paraId="7D380CF7"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559F5D43" w14:textId="6EF36EC5" w:rsidTr="00E31838">
        <w:tc>
          <w:tcPr>
            <w:tcW w:w="4598" w:type="dxa"/>
            <w:vAlign w:val="center"/>
          </w:tcPr>
          <w:p w14:paraId="1D352572" w14:textId="77777777" w:rsidR="00E31838" w:rsidRPr="00732C5A" w:rsidRDefault="00E31838" w:rsidP="000053DA">
            <w:pPr>
              <w:spacing w:after="0" w:line="240" w:lineRule="auto"/>
              <w:jc w:val="center"/>
              <w:rPr>
                <w:rFonts w:ascii="Calibri" w:hAnsi="Calibri" w:cs="Calibri"/>
                <w:b/>
                <w:bCs/>
                <w:sz w:val="24"/>
                <w:szCs w:val="24"/>
              </w:rPr>
            </w:pPr>
            <w:r w:rsidRPr="00732C5A">
              <w:rPr>
                <w:rFonts w:ascii="Calibri" w:hAnsi="Calibri" w:cs="Calibri"/>
                <w:b/>
                <w:bCs/>
                <w:sz w:val="24"/>
                <w:szCs w:val="24"/>
              </w:rPr>
              <w:t>Seção I</w:t>
            </w:r>
          </w:p>
          <w:p w14:paraId="3C8FBD38" w14:textId="1AEA45F5"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732C5A">
              <w:rPr>
                <w:rFonts w:ascii="Calibri" w:hAnsi="Calibri" w:cs="Calibri"/>
                <w:b/>
                <w:bCs/>
                <w:sz w:val="24"/>
                <w:szCs w:val="24"/>
              </w:rPr>
              <w:t>Das Hipóteses Biométricas</w:t>
            </w:r>
          </w:p>
        </w:tc>
        <w:tc>
          <w:tcPr>
            <w:tcW w:w="5462" w:type="dxa"/>
            <w:shd w:val="clear" w:color="auto" w:fill="auto"/>
            <w:noWrap/>
            <w:vAlign w:val="center"/>
            <w:hideMark/>
          </w:tcPr>
          <w:p w14:paraId="0FFF1106" w14:textId="77777777"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33612FDE" w14:textId="473CC861"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Hipóteses Biométricas</w:t>
            </w:r>
          </w:p>
        </w:tc>
        <w:tc>
          <w:tcPr>
            <w:tcW w:w="4076" w:type="dxa"/>
            <w:shd w:val="clear" w:color="auto" w:fill="auto"/>
            <w:noWrap/>
            <w:vAlign w:val="center"/>
            <w:hideMark/>
          </w:tcPr>
          <w:p w14:paraId="32762919"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20EBE3B4" w14:textId="31B1FED4" w:rsidTr="00E31838">
        <w:tc>
          <w:tcPr>
            <w:tcW w:w="4598" w:type="dxa"/>
            <w:vAlign w:val="center"/>
          </w:tcPr>
          <w:p w14:paraId="1563F4F6" w14:textId="18149F9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13. As tábuas biométricas utilizadas nas avaliações atuariais dos planos de benefícios devem ter sua aderência atestada por meio de estudo específico, elaborado em conformidade com o Capítulo VIII desta Instrução.</w:t>
            </w:r>
          </w:p>
        </w:tc>
        <w:tc>
          <w:tcPr>
            <w:tcW w:w="5462" w:type="dxa"/>
            <w:shd w:val="clear" w:color="auto" w:fill="auto"/>
            <w:noWrap/>
            <w:vAlign w:val="center"/>
            <w:hideMark/>
          </w:tcPr>
          <w:p w14:paraId="43DE00E3" w14:textId="3D66EA4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Art. 13.  As tábuas biométricas utilizadas nas avaliações atuariais dos planos de benefícios devem ter sua aderência atestada por meio de estudo específico, elaborado em conformidade com </w:t>
            </w:r>
            <w:r w:rsidRPr="0010524E">
              <w:rPr>
                <w:rFonts w:ascii="Calibri" w:eastAsia="Times New Roman" w:hAnsi="Calibri" w:cs="Calibri"/>
                <w:kern w:val="0"/>
                <w:sz w:val="24"/>
                <w:szCs w:val="24"/>
                <w:highlight w:val="yellow"/>
                <w:lang w:eastAsia="pt-BR"/>
                <w14:ligatures w14:val="none"/>
              </w:rPr>
              <w:t>a Seção VI deste capítulo</w:t>
            </w:r>
            <w:r w:rsidRPr="0010524E">
              <w:rPr>
                <w:rFonts w:ascii="Calibri" w:eastAsia="Times New Roman" w:hAnsi="Calibri" w:cs="Calibri"/>
                <w:kern w:val="0"/>
                <w:sz w:val="24"/>
                <w:szCs w:val="24"/>
                <w:lang w:eastAsia="pt-BR"/>
                <w14:ligatures w14:val="none"/>
              </w:rPr>
              <w:t>.</w:t>
            </w:r>
          </w:p>
        </w:tc>
        <w:tc>
          <w:tcPr>
            <w:tcW w:w="4076" w:type="dxa"/>
            <w:shd w:val="clear" w:color="auto" w:fill="auto"/>
            <w:noWrap/>
            <w:vAlign w:val="center"/>
            <w:hideMark/>
          </w:tcPr>
          <w:p w14:paraId="36D4CCC6" w14:textId="725EE43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6FE4984" w14:textId="076B7644" w:rsidTr="00E31838">
        <w:tc>
          <w:tcPr>
            <w:tcW w:w="4598" w:type="dxa"/>
            <w:vAlign w:val="center"/>
          </w:tcPr>
          <w:p w14:paraId="5CC68CC2" w14:textId="6A3A33C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§1º As tábuas de mortalidade geral referenciais para o cálculo das provisões matemáticas dos planos de benefícios devem ser "AT-2000 Básica - M" para o sexo masculino e "AT-2000 Básica - F" para o sexo feminino.</w:t>
            </w:r>
          </w:p>
        </w:tc>
        <w:tc>
          <w:tcPr>
            <w:tcW w:w="5462" w:type="dxa"/>
            <w:shd w:val="clear" w:color="auto" w:fill="auto"/>
            <w:noWrap/>
            <w:vAlign w:val="center"/>
            <w:hideMark/>
          </w:tcPr>
          <w:p w14:paraId="20CA79B9" w14:textId="024D35B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1º  As tábuas de mortalidade geral referenciais para o cálculo das provisões matemáticas dos planos de benefícios devem ser "AT-2000 Básica - M" para o sexo masculino e "AT-2000 Básica - F" para o sexo feminino.</w:t>
            </w:r>
          </w:p>
        </w:tc>
        <w:tc>
          <w:tcPr>
            <w:tcW w:w="4076" w:type="dxa"/>
            <w:shd w:val="clear" w:color="auto" w:fill="auto"/>
            <w:noWrap/>
            <w:vAlign w:val="center"/>
            <w:hideMark/>
          </w:tcPr>
          <w:p w14:paraId="12AC6BCD"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7BF7C34D" w14:textId="095FFB7B" w:rsidTr="00E31838">
        <w:tc>
          <w:tcPr>
            <w:tcW w:w="4598" w:type="dxa"/>
            <w:vAlign w:val="center"/>
          </w:tcPr>
          <w:p w14:paraId="12F840AB" w14:textId="55E1125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§2º No caso de impossibilidade técnica de realização de testes de aderência, os planos de benefícios não poderão adotar tábuas de mortalidade geral que gerem provisões </w:t>
            </w:r>
            <w:r w:rsidRPr="0010524E">
              <w:rPr>
                <w:rFonts w:ascii="Calibri" w:hAnsi="Calibri" w:cs="Calibri"/>
                <w:sz w:val="24"/>
                <w:szCs w:val="24"/>
              </w:rPr>
              <w:lastRenderedPageBreak/>
              <w:t>matemáticas menores do que as tábuas referenciais mencionadas no §1º.</w:t>
            </w:r>
          </w:p>
        </w:tc>
        <w:tc>
          <w:tcPr>
            <w:tcW w:w="5462" w:type="dxa"/>
            <w:shd w:val="clear" w:color="auto" w:fill="auto"/>
            <w:noWrap/>
            <w:vAlign w:val="center"/>
            <w:hideMark/>
          </w:tcPr>
          <w:p w14:paraId="29E31730" w14:textId="3F8BB8A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 2º  No caso de impossibilidade técnica de realização de testes de aderência, os planos de benefícios não podem adotar tábuas de mortalidade geral que gerem </w:t>
            </w:r>
            <w:r w:rsidRPr="0010524E">
              <w:rPr>
                <w:rFonts w:ascii="Calibri" w:eastAsia="Times New Roman" w:hAnsi="Calibri" w:cs="Calibri"/>
                <w:kern w:val="0"/>
                <w:sz w:val="24"/>
                <w:szCs w:val="24"/>
                <w:lang w:eastAsia="pt-BR"/>
                <w14:ligatures w14:val="none"/>
              </w:rPr>
              <w:lastRenderedPageBreak/>
              <w:t>provisões matemáticas menores do que as tábuas referenciais mencionadas no §1º.</w:t>
            </w:r>
          </w:p>
        </w:tc>
        <w:tc>
          <w:tcPr>
            <w:tcW w:w="4076" w:type="dxa"/>
            <w:shd w:val="clear" w:color="auto" w:fill="auto"/>
            <w:noWrap/>
            <w:vAlign w:val="center"/>
            <w:hideMark/>
          </w:tcPr>
          <w:p w14:paraId="07FD6262" w14:textId="1A8BBF5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Ajuste de tempo verbal.</w:t>
            </w:r>
          </w:p>
        </w:tc>
      </w:tr>
      <w:tr w:rsidR="00E31838" w:rsidRPr="0010524E" w14:paraId="30DBBBFE" w14:textId="1210C3F5" w:rsidTr="00E31838">
        <w:tc>
          <w:tcPr>
            <w:tcW w:w="4598" w:type="dxa"/>
            <w:vAlign w:val="center"/>
          </w:tcPr>
          <w:p w14:paraId="0082D099" w14:textId="368869A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§3º No caso de planos de benefícios que comprovem aderência das tábuas de mortalidade geral nos termos definidos no Capítulo VIII de tábuas que gerem provisões matemáticas menores que aquelas geradas pelas tábuas referenciais, é necessário que o atuário responsável pelo plano emita parecer específico, acompanhado de manifestação de ciência e concordância do Administrador Responsável pelo Plano de Benefícios (ARPB), comprovando a aderência e a razoabilidade da adoção da hipótese.</w:t>
            </w:r>
          </w:p>
        </w:tc>
        <w:tc>
          <w:tcPr>
            <w:tcW w:w="5462" w:type="dxa"/>
            <w:shd w:val="clear" w:color="auto" w:fill="auto"/>
            <w:noWrap/>
            <w:vAlign w:val="center"/>
            <w:hideMark/>
          </w:tcPr>
          <w:p w14:paraId="0D5A8D05" w14:textId="191902A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 3º  No caso de planos de benefícios que comprovem aderência das tábuas de mortalidade geral nos termos definidos na </w:t>
            </w:r>
            <w:r w:rsidRPr="0010524E">
              <w:rPr>
                <w:rFonts w:ascii="Calibri" w:eastAsia="Times New Roman" w:hAnsi="Calibri" w:cs="Calibri"/>
                <w:kern w:val="0"/>
                <w:sz w:val="24"/>
                <w:szCs w:val="24"/>
                <w:highlight w:val="yellow"/>
                <w:lang w:eastAsia="pt-BR"/>
                <w14:ligatures w14:val="none"/>
              </w:rPr>
              <w:t>Seção VI</w:t>
            </w:r>
            <w:r w:rsidRPr="0010524E">
              <w:rPr>
                <w:rFonts w:ascii="Calibri" w:eastAsia="Times New Roman" w:hAnsi="Calibri" w:cs="Calibri"/>
                <w:kern w:val="0"/>
                <w:sz w:val="24"/>
                <w:szCs w:val="24"/>
                <w:lang w:eastAsia="pt-BR"/>
                <w14:ligatures w14:val="none"/>
              </w:rPr>
              <w:t>, deste capítulo, que gerem provisões matemáticas menores que aquelas geradas pelas tábuas referenciais, é necessário que o atuário responsável pelo plano emita parecer específico, acompanhado de manifestação de ciência e concordância do Administrador Responsável pelo Plano de Benefícios (ARPB), comprovando a aderência e a razoabilidade da adoção da hipótese.</w:t>
            </w:r>
          </w:p>
        </w:tc>
        <w:tc>
          <w:tcPr>
            <w:tcW w:w="4076" w:type="dxa"/>
            <w:shd w:val="clear" w:color="auto" w:fill="auto"/>
            <w:noWrap/>
            <w:vAlign w:val="center"/>
            <w:hideMark/>
          </w:tcPr>
          <w:p w14:paraId="65E0C41E" w14:textId="6EBD27F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8F66B5F" w14:textId="5FB7E8CA" w:rsidTr="00E31838">
        <w:tc>
          <w:tcPr>
            <w:tcW w:w="4598" w:type="dxa"/>
            <w:vAlign w:val="center"/>
          </w:tcPr>
          <w:p w14:paraId="2E0ADCCB" w14:textId="2A4AA07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§4º As EFPC classificadas como Entidades Sistemicamente Importantes (ESI) que administrem planos de benefícios nas modalidades benefício definido (BD) e contribuição variável (CV) devem adicionalmente calcular e manter à disposição da Previc as provisões matemáticas geradas pela utilização de tábua geracional de mortalidade geral, com respectiva escala de melhoria de longevidade, conforme diretrizes a serem divulgadas.</w:t>
            </w:r>
          </w:p>
        </w:tc>
        <w:tc>
          <w:tcPr>
            <w:tcW w:w="5462" w:type="dxa"/>
            <w:shd w:val="clear" w:color="auto" w:fill="auto"/>
            <w:noWrap/>
            <w:vAlign w:val="center"/>
            <w:hideMark/>
          </w:tcPr>
          <w:p w14:paraId="58D08CA1" w14:textId="60CAEB6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Excluir</w:t>
            </w:r>
          </w:p>
        </w:tc>
        <w:tc>
          <w:tcPr>
            <w:tcW w:w="4076" w:type="dxa"/>
            <w:shd w:val="clear" w:color="auto" w:fill="auto"/>
            <w:hideMark/>
          </w:tcPr>
          <w:p w14:paraId="53AFED41"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Desonerar as EFPC quanto à obrigação de realizarem testes de aderências, cálculo da reserva matemática e outros com mais de uma tábua de mortalidade. O incentivo pela utilização de tábua geracional continua em dispositivo mais abaixo, quando há dilatação do prazo de validade do estudo para aqueles que adotam tábua geracional em seus cálculos.</w:t>
            </w:r>
          </w:p>
        </w:tc>
      </w:tr>
      <w:tr w:rsidR="00E31838" w:rsidRPr="0010524E" w14:paraId="7792452A" w14:textId="6B3F6B3D" w:rsidTr="00E31838">
        <w:tc>
          <w:tcPr>
            <w:tcW w:w="4598" w:type="dxa"/>
            <w:vAlign w:val="center"/>
          </w:tcPr>
          <w:p w14:paraId="15630D45" w14:textId="77777777" w:rsidR="00E31838" w:rsidRPr="00732C5A" w:rsidRDefault="00E31838" w:rsidP="000053DA">
            <w:pPr>
              <w:spacing w:after="0" w:line="240" w:lineRule="auto"/>
              <w:jc w:val="center"/>
              <w:rPr>
                <w:rFonts w:ascii="Calibri" w:hAnsi="Calibri" w:cs="Calibri"/>
                <w:b/>
                <w:bCs/>
                <w:sz w:val="24"/>
                <w:szCs w:val="24"/>
              </w:rPr>
            </w:pPr>
            <w:r w:rsidRPr="00732C5A">
              <w:rPr>
                <w:rFonts w:ascii="Calibri" w:hAnsi="Calibri" w:cs="Calibri"/>
                <w:b/>
                <w:bCs/>
                <w:sz w:val="24"/>
                <w:szCs w:val="24"/>
              </w:rPr>
              <w:t xml:space="preserve">Seção II </w:t>
            </w:r>
          </w:p>
          <w:p w14:paraId="4275DF37" w14:textId="1216F288" w:rsidR="00E31838" w:rsidRPr="00732C5A"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732C5A">
              <w:rPr>
                <w:rFonts w:ascii="Calibri" w:hAnsi="Calibri" w:cs="Calibri"/>
                <w:b/>
                <w:bCs/>
                <w:sz w:val="24"/>
                <w:szCs w:val="24"/>
              </w:rPr>
              <w:t>Da Taxa Real Anual de Juros</w:t>
            </w:r>
          </w:p>
        </w:tc>
        <w:tc>
          <w:tcPr>
            <w:tcW w:w="5462" w:type="dxa"/>
            <w:shd w:val="clear" w:color="auto" w:fill="auto"/>
            <w:noWrap/>
            <w:vAlign w:val="center"/>
            <w:hideMark/>
          </w:tcPr>
          <w:p w14:paraId="760A76E8" w14:textId="77777777"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p w14:paraId="1E94E5B7" w14:textId="0A80A6FC"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Taxa Real Anual de Juros</w:t>
            </w:r>
          </w:p>
        </w:tc>
        <w:tc>
          <w:tcPr>
            <w:tcW w:w="4076" w:type="dxa"/>
            <w:shd w:val="clear" w:color="auto" w:fill="auto"/>
            <w:noWrap/>
            <w:vAlign w:val="center"/>
            <w:hideMark/>
          </w:tcPr>
          <w:p w14:paraId="513D60C4"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40285E28" w14:textId="0CB89BED" w:rsidTr="00E31838">
        <w:tc>
          <w:tcPr>
            <w:tcW w:w="4598" w:type="dxa"/>
            <w:vAlign w:val="center"/>
          </w:tcPr>
          <w:p w14:paraId="0543FEA4" w14:textId="448ACA7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Art. 14. A taxa real anual de juros a ser utilizada como taxa de desconto para apuração do valor presente dos fluxos de benefícios e contribuições do plano de benefícios deve ser:</w:t>
            </w:r>
          </w:p>
        </w:tc>
        <w:tc>
          <w:tcPr>
            <w:tcW w:w="5462" w:type="dxa"/>
            <w:shd w:val="clear" w:color="auto" w:fill="auto"/>
            <w:noWrap/>
            <w:vAlign w:val="center"/>
            <w:hideMark/>
          </w:tcPr>
          <w:p w14:paraId="62D02539" w14:textId="3CF9DA9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14.  A taxa real anual de juros a ser utilizada como taxa de desconto para apuração do valor presente dos fluxos de benefícios e contribuições do plano de benefícios deve ser:</w:t>
            </w:r>
          </w:p>
        </w:tc>
        <w:tc>
          <w:tcPr>
            <w:tcW w:w="4076" w:type="dxa"/>
            <w:shd w:val="clear" w:color="auto" w:fill="auto"/>
            <w:noWrap/>
            <w:vAlign w:val="center"/>
            <w:hideMark/>
          </w:tcPr>
          <w:p w14:paraId="6630F790"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7A71A07" w14:textId="0F0C5445" w:rsidTr="00E31838">
        <w:tc>
          <w:tcPr>
            <w:tcW w:w="4598" w:type="dxa"/>
            <w:vAlign w:val="center"/>
          </w:tcPr>
          <w:p w14:paraId="389DFE12" w14:textId="1B85E2E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divulgada anualmente aos participantes, aos patrocinadores e instituidores; e</w:t>
            </w:r>
          </w:p>
        </w:tc>
        <w:tc>
          <w:tcPr>
            <w:tcW w:w="5462" w:type="dxa"/>
            <w:shd w:val="clear" w:color="auto" w:fill="auto"/>
            <w:noWrap/>
            <w:vAlign w:val="center"/>
            <w:hideMark/>
          </w:tcPr>
          <w:p w14:paraId="1FEEB93F" w14:textId="229E70DF"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divulgada anualmente aos participantes, aos patrocinadores e instituidores; e</w:t>
            </w:r>
          </w:p>
        </w:tc>
        <w:tc>
          <w:tcPr>
            <w:tcW w:w="4076" w:type="dxa"/>
            <w:shd w:val="clear" w:color="auto" w:fill="auto"/>
            <w:vAlign w:val="center"/>
            <w:hideMark/>
          </w:tcPr>
          <w:p w14:paraId="2445685A"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680EE3F" w14:textId="745DBFC9" w:rsidTr="00E31838">
        <w:tc>
          <w:tcPr>
            <w:tcW w:w="4598" w:type="dxa"/>
            <w:vAlign w:val="center"/>
          </w:tcPr>
          <w:p w14:paraId="3D6AC664" w14:textId="7A5F00DF"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utilizada para a transformação de saldo de conta em benefícios, se previsto no regulamento do plano de benefícios de caráter previdenciário.</w:t>
            </w:r>
          </w:p>
        </w:tc>
        <w:tc>
          <w:tcPr>
            <w:tcW w:w="5462" w:type="dxa"/>
            <w:shd w:val="clear" w:color="auto" w:fill="auto"/>
            <w:noWrap/>
            <w:vAlign w:val="center"/>
            <w:hideMark/>
          </w:tcPr>
          <w:p w14:paraId="40BB7138" w14:textId="64996D3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utilizada para a transformação de saldo de conta em benefícios, se previsto no regulamento do plano de benefícios de caráter previdenciário.</w:t>
            </w:r>
          </w:p>
        </w:tc>
        <w:tc>
          <w:tcPr>
            <w:tcW w:w="4076" w:type="dxa"/>
            <w:shd w:val="clear" w:color="auto" w:fill="auto"/>
            <w:vAlign w:val="center"/>
            <w:hideMark/>
          </w:tcPr>
          <w:p w14:paraId="71F34DA7"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637FB3D" w14:textId="74F1D6B6" w:rsidTr="00E31838">
        <w:tc>
          <w:tcPr>
            <w:tcW w:w="4598" w:type="dxa"/>
            <w:vAlign w:val="center"/>
          </w:tcPr>
          <w:p w14:paraId="7AA76A95" w14:textId="77777777" w:rsidR="00E31838" w:rsidRPr="00732C5A" w:rsidRDefault="00E31838" w:rsidP="000053DA">
            <w:pPr>
              <w:spacing w:after="0" w:line="240" w:lineRule="auto"/>
              <w:jc w:val="center"/>
              <w:rPr>
                <w:rFonts w:ascii="Calibri" w:hAnsi="Calibri" w:cs="Calibri"/>
                <w:b/>
                <w:bCs/>
                <w:sz w:val="24"/>
                <w:szCs w:val="24"/>
              </w:rPr>
            </w:pPr>
            <w:r w:rsidRPr="00732C5A">
              <w:rPr>
                <w:rFonts w:ascii="Calibri" w:hAnsi="Calibri" w:cs="Calibri"/>
                <w:b/>
                <w:bCs/>
                <w:sz w:val="24"/>
                <w:szCs w:val="24"/>
              </w:rPr>
              <w:t>Seção III</w:t>
            </w:r>
          </w:p>
          <w:p w14:paraId="47CA55C0" w14:textId="03B0D73C"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732C5A">
              <w:rPr>
                <w:rFonts w:ascii="Calibri" w:hAnsi="Calibri" w:cs="Calibri"/>
                <w:b/>
                <w:bCs/>
                <w:sz w:val="24"/>
                <w:szCs w:val="24"/>
              </w:rPr>
              <w:t>Da Responsabilidade, das Vedações e da Divulgação</w:t>
            </w:r>
          </w:p>
        </w:tc>
        <w:tc>
          <w:tcPr>
            <w:tcW w:w="5462" w:type="dxa"/>
            <w:shd w:val="clear" w:color="auto" w:fill="auto"/>
            <w:noWrap/>
            <w:vAlign w:val="center"/>
            <w:hideMark/>
          </w:tcPr>
          <w:p w14:paraId="497E20A7" w14:textId="77777777"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III</w:t>
            </w:r>
          </w:p>
          <w:p w14:paraId="61642C4D" w14:textId="06B79125"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Responsabilidade, das Vedações e da Divulgação</w:t>
            </w:r>
          </w:p>
        </w:tc>
        <w:tc>
          <w:tcPr>
            <w:tcW w:w="4076" w:type="dxa"/>
            <w:shd w:val="clear" w:color="auto" w:fill="auto"/>
            <w:noWrap/>
            <w:vAlign w:val="center"/>
            <w:hideMark/>
          </w:tcPr>
          <w:p w14:paraId="5B0466A1"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0E24619A" w14:textId="1A229147" w:rsidTr="00E31838">
        <w:tc>
          <w:tcPr>
            <w:tcW w:w="4598" w:type="dxa"/>
            <w:vAlign w:val="center"/>
          </w:tcPr>
          <w:p w14:paraId="29161F2C" w14:textId="71E320F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15. Sem prejuízo das responsabilidades de auditores atuariais e membros estatutários da EFPC, a proposição e a validação das hipóteses adotadas na avaliação atuarial do plano de benefícios é responsabilidade do atuário do plano.</w:t>
            </w:r>
          </w:p>
        </w:tc>
        <w:tc>
          <w:tcPr>
            <w:tcW w:w="5462" w:type="dxa"/>
            <w:shd w:val="clear" w:color="auto" w:fill="auto"/>
            <w:noWrap/>
            <w:vAlign w:val="center"/>
            <w:hideMark/>
          </w:tcPr>
          <w:p w14:paraId="57FD0F88" w14:textId="230EE32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15.  A proposição e a validação das hipóteses adotadas na avaliação atuarial do plano de benefícios é responsabilidade do atuário do plano, sem prejuízo das responsabilidades dos demais profissionais e de membros estatutários da EFPC.</w:t>
            </w:r>
          </w:p>
        </w:tc>
        <w:tc>
          <w:tcPr>
            <w:tcW w:w="4076" w:type="dxa"/>
            <w:shd w:val="clear" w:color="auto" w:fill="auto"/>
            <w:vAlign w:val="center"/>
            <w:hideMark/>
          </w:tcPr>
          <w:p w14:paraId="2249C2A1" w14:textId="34F4311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Colocar o texto normativo em ordem direta além de retirar a referência direta de "Auditores Atuariais", pois sua citação pode dar a ideia de obrigatoriedade de realização de auditoria atuarial na validação das hipóteses adotadas na avaliação atuarial.</w:t>
            </w:r>
          </w:p>
        </w:tc>
      </w:tr>
      <w:tr w:rsidR="00E31838" w:rsidRPr="0010524E" w14:paraId="4AAE4F07" w14:textId="2641937C" w:rsidTr="00E31838">
        <w:tc>
          <w:tcPr>
            <w:tcW w:w="4598" w:type="dxa"/>
            <w:vAlign w:val="center"/>
          </w:tcPr>
          <w:p w14:paraId="2D99AE49" w14:textId="09D810B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A responsabilidade pela proposição ou validação das hipóteses de que trata o caput também alcança as pessoas jurídicas das quais façam parte os profissionais indicados como sócios, empregados ou prestadores de serviço.</w:t>
            </w:r>
          </w:p>
        </w:tc>
        <w:tc>
          <w:tcPr>
            <w:tcW w:w="5462" w:type="dxa"/>
            <w:shd w:val="clear" w:color="auto" w:fill="auto"/>
            <w:noWrap/>
            <w:vAlign w:val="center"/>
            <w:hideMark/>
          </w:tcPr>
          <w:p w14:paraId="21D062D9" w14:textId="151322C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 responsabilidade pela proposição ou validação das hipóteses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também alcança as pessoas jurídicas das quais façam parte os profissionais indicados como sócios, empregados ou prestadores de serviço.</w:t>
            </w:r>
          </w:p>
        </w:tc>
        <w:tc>
          <w:tcPr>
            <w:tcW w:w="4076" w:type="dxa"/>
            <w:shd w:val="clear" w:color="auto" w:fill="auto"/>
            <w:noWrap/>
            <w:vAlign w:val="center"/>
            <w:hideMark/>
          </w:tcPr>
          <w:p w14:paraId="526CD2E8"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4A3510F" w14:textId="3E5629A1" w:rsidTr="00E31838">
        <w:tc>
          <w:tcPr>
            <w:tcW w:w="4598" w:type="dxa"/>
            <w:vAlign w:val="center"/>
          </w:tcPr>
          <w:p w14:paraId="37AF53E3" w14:textId="5981442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Art. 16. As EFPC não podem adotar taxas negativas para as projeções de crescimento real de salários ou crescimento real dos benefícios do plano, bem como o agravamento ou desagravamento em outras hipóteses cuja combinação resulte em taxa real anual de juros fora dos limites regulatórios.</w:t>
            </w:r>
          </w:p>
        </w:tc>
        <w:tc>
          <w:tcPr>
            <w:tcW w:w="5462" w:type="dxa"/>
            <w:shd w:val="clear" w:color="auto" w:fill="auto"/>
            <w:noWrap/>
            <w:vAlign w:val="center"/>
            <w:hideMark/>
          </w:tcPr>
          <w:p w14:paraId="3304C332" w14:textId="4695868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16.  As EFPC não podem adotar taxas negativas para as projeções de crescimento real de salários ou crescimento real dos benefícios do plano, bem como o agravamento ou desagravamento em outras hipóteses cuja combinação resulte em taxa real anual de juros fora dos limites regulatórios.</w:t>
            </w:r>
          </w:p>
        </w:tc>
        <w:tc>
          <w:tcPr>
            <w:tcW w:w="4076" w:type="dxa"/>
            <w:shd w:val="clear" w:color="auto" w:fill="auto"/>
            <w:noWrap/>
            <w:vAlign w:val="center"/>
            <w:hideMark/>
          </w:tcPr>
          <w:p w14:paraId="58C13645"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D6E5A47" w14:textId="1B91F40A" w:rsidTr="00E31838">
        <w:tc>
          <w:tcPr>
            <w:tcW w:w="4598" w:type="dxa"/>
            <w:vAlign w:val="center"/>
          </w:tcPr>
          <w:p w14:paraId="78DEB29F" w14:textId="4F1FC07D"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CAPÍTULO V</w:t>
            </w:r>
          </w:p>
        </w:tc>
        <w:tc>
          <w:tcPr>
            <w:tcW w:w="5462" w:type="dxa"/>
            <w:shd w:val="clear" w:color="auto" w:fill="auto"/>
            <w:noWrap/>
            <w:vAlign w:val="center"/>
            <w:hideMark/>
          </w:tcPr>
          <w:p w14:paraId="27433E54" w14:textId="6D554F8C"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III</w:t>
            </w:r>
          </w:p>
        </w:tc>
        <w:tc>
          <w:tcPr>
            <w:tcW w:w="4076" w:type="dxa"/>
            <w:shd w:val="clear" w:color="auto" w:fill="auto"/>
            <w:noWrap/>
            <w:vAlign w:val="center"/>
            <w:hideMark/>
          </w:tcPr>
          <w:p w14:paraId="59BADD07"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40B86E93" w14:textId="01E64C8A" w:rsidTr="00E31838">
        <w:tc>
          <w:tcPr>
            <w:tcW w:w="4598" w:type="dxa"/>
            <w:vAlign w:val="center"/>
          </w:tcPr>
          <w:p w14:paraId="79A44A95" w14:textId="10286A15"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DO CUSTEIO E DA UTILIZAÇÃO DO EQUILÍBRIO TÉCNICO AJUSTADO</w:t>
            </w:r>
          </w:p>
        </w:tc>
        <w:tc>
          <w:tcPr>
            <w:tcW w:w="5462" w:type="dxa"/>
            <w:shd w:val="clear" w:color="auto" w:fill="auto"/>
            <w:noWrap/>
            <w:vAlign w:val="center"/>
            <w:hideMark/>
          </w:tcPr>
          <w:p w14:paraId="5A6CA321" w14:textId="735B9D7F"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Custeio e da utilização do equilíbrio técnico ajustado</w:t>
            </w:r>
          </w:p>
        </w:tc>
        <w:tc>
          <w:tcPr>
            <w:tcW w:w="4076" w:type="dxa"/>
            <w:shd w:val="clear" w:color="auto" w:fill="auto"/>
            <w:noWrap/>
            <w:vAlign w:val="center"/>
            <w:hideMark/>
          </w:tcPr>
          <w:p w14:paraId="14BAFF3C"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16A5F6B0" w14:textId="23C02E07" w:rsidTr="00E31838">
        <w:tc>
          <w:tcPr>
            <w:tcW w:w="4598" w:type="dxa"/>
            <w:vAlign w:val="center"/>
          </w:tcPr>
          <w:p w14:paraId="0CF7B26F" w14:textId="797A65F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Seção I</w:t>
            </w:r>
          </w:p>
        </w:tc>
        <w:tc>
          <w:tcPr>
            <w:tcW w:w="5462" w:type="dxa"/>
            <w:shd w:val="clear" w:color="auto" w:fill="auto"/>
            <w:noWrap/>
            <w:vAlign w:val="center"/>
            <w:hideMark/>
          </w:tcPr>
          <w:p w14:paraId="78A56767" w14:textId="0F11D060"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tc>
        <w:tc>
          <w:tcPr>
            <w:tcW w:w="4076" w:type="dxa"/>
            <w:shd w:val="clear" w:color="auto" w:fill="auto"/>
            <w:noWrap/>
            <w:vAlign w:val="center"/>
            <w:hideMark/>
          </w:tcPr>
          <w:p w14:paraId="7C7CD260"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5D96E9FA" w14:textId="4268CCD4" w:rsidTr="00E31838">
        <w:tc>
          <w:tcPr>
            <w:tcW w:w="4598" w:type="dxa"/>
            <w:vAlign w:val="center"/>
          </w:tcPr>
          <w:p w14:paraId="4509CCC3" w14:textId="67A6B9BA"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Do Custeio do Plano</w:t>
            </w:r>
          </w:p>
        </w:tc>
        <w:tc>
          <w:tcPr>
            <w:tcW w:w="5462" w:type="dxa"/>
            <w:shd w:val="clear" w:color="auto" w:fill="auto"/>
            <w:noWrap/>
            <w:vAlign w:val="center"/>
            <w:hideMark/>
          </w:tcPr>
          <w:p w14:paraId="7A5FFAED" w14:textId="04A489B9"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Custeio do Plano</w:t>
            </w:r>
          </w:p>
        </w:tc>
        <w:tc>
          <w:tcPr>
            <w:tcW w:w="4076" w:type="dxa"/>
            <w:shd w:val="clear" w:color="auto" w:fill="auto"/>
            <w:noWrap/>
            <w:vAlign w:val="center"/>
            <w:hideMark/>
          </w:tcPr>
          <w:p w14:paraId="4F2A4CDC"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0264546E" w14:textId="51E0680A" w:rsidTr="00E31838">
        <w:tc>
          <w:tcPr>
            <w:tcW w:w="4598" w:type="dxa"/>
            <w:vAlign w:val="center"/>
          </w:tcPr>
          <w:p w14:paraId="372F8F4E" w14:textId="022FFE4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17. O atendimento às exigências relativas ao custeio do plano de benefícios deve observar o disposto no regulamento do plano, com o devido reflexo na nota técnica atuarial e no plano de custeio estabelecido para o exercício em que está sendo apurado o resultado.</w:t>
            </w:r>
          </w:p>
        </w:tc>
        <w:tc>
          <w:tcPr>
            <w:tcW w:w="5462" w:type="dxa"/>
            <w:shd w:val="clear" w:color="auto" w:fill="auto"/>
            <w:noWrap/>
            <w:vAlign w:val="center"/>
            <w:hideMark/>
          </w:tcPr>
          <w:p w14:paraId="3344C0B6" w14:textId="1F8F10B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17.  O atendimento às exigências relativas ao custeio do plano de benefícios deve observar o disposto no regulamento do plano, com o devido reflexo na nota técnica atuarial e no plano de custeio estabelecido para o exercício em que está sendo apurado o resultado.</w:t>
            </w:r>
          </w:p>
        </w:tc>
        <w:tc>
          <w:tcPr>
            <w:tcW w:w="4076" w:type="dxa"/>
            <w:shd w:val="clear" w:color="auto" w:fill="auto"/>
            <w:noWrap/>
            <w:vAlign w:val="center"/>
            <w:hideMark/>
          </w:tcPr>
          <w:p w14:paraId="6FA1E4AD"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2728378" w14:textId="1EB2EE90" w:rsidTr="00E31838">
        <w:tc>
          <w:tcPr>
            <w:tcW w:w="4598" w:type="dxa"/>
            <w:vAlign w:val="center"/>
          </w:tcPr>
          <w:p w14:paraId="00E36CE9" w14:textId="063B686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§1º Ao estabelecer o plano de custeio para o ano subsequente, o atuário responsável deve utilizar critérios que preservem o equilíbrio financeiro e atuarial do plano de benefícios, considerando o método de financiamento adotado, de modo a não caracterizar utilização de resultado acumulado no exercício anterior e contabilizado como </w:t>
            </w:r>
            <w:r w:rsidRPr="0010524E">
              <w:rPr>
                <w:rFonts w:ascii="Calibri" w:hAnsi="Calibri" w:cs="Calibri"/>
                <w:sz w:val="24"/>
                <w:szCs w:val="24"/>
              </w:rPr>
              <w:lastRenderedPageBreak/>
              <w:t>reserva de contingência, nem utilização de resultado do exercício em desacordo com as definições regulatórias.</w:t>
            </w:r>
          </w:p>
        </w:tc>
        <w:tc>
          <w:tcPr>
            <w:tcW w:w="5462" w:type="dxa"/>
            <w:shd w:val="clear" w:color="auto" w:fill="auto"/>
            <w:noWrap/>
            <w:vAlign w:val="center"/>
            <w:hideMark/>
          </w:tcPr>
          <w:p w14:paraId="03109092" w14:textId="3CDA21C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 1º  Ao estabelecer o plano de custeio para o ano subsequente, o atuário responsável deve utilizar critérios que preservem o equilíbrio financeiro e atuarial do plano de benefícios, considerando o método de financiamento adotado, de modo a não caracterizar utilização de resultado acumulado no exercício anterior e contabilizado como reserva de </w:t>
            </w:r>
            <w:r w:rsidRPr="0010524E">
              <w:rPr>
                <w:rFonts w:ascii="Calibri" w:eastAsia="Times New Roman" w:hAnsi="Calibri" w:cs="Calibri"/>
                <w:kern w:val="0"/>
                <w:sz w:val="24"/>
                <w:szCs w:val="24"/>
                <w:lang w:eastAsia="pt-BR"/>
                <w14:ligatures w14:val="none"/>
              </w:rPr>
              <w:lastRenderedPageBreak/>
              <w:t>contingência, nem utilização de resultado do exercício em desacordo com as definições regulatórias.</w:t>
            </w:r>
          </w:p>
        </w:tc>
        <w:tc>
          <w:tcPr>
            <w:tcW w:w="4076" w:type="dxa"/>
            <w:shd w:val="clear" w:color="auto" w:fill="auto"/>
            <w:noWrap/>
            <w:vAlign w:val="center"/>
            <w:hideMark/>
          </w:tcPr>
          <w:p w14:paraId="2D86F500"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7897EC3" w14:textId="54E86E35" w:rsidTr="00E31838">
        <w:tc>
          <w:tcPr>
            <w:tcW w:w="4598" w:type="dxa"/>
            <w:vAlign w:val="center"/>
          </w:tcPr>
          <w:p w14:paraId="314C1BAA" w14:textId="3020F32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§2º A revisão do plano de custeio para redução ou suspensão de contribuições extraordinárias de participantes, assistidos ou patrocinador somente pode ser efetuada em função da apuração de equilíbrio técnico ajustado positivo para o plano de benefícios, no exercício de referência.</w:t>
            </w:r>
          </w:p>
        </w:tc>
        <w:tc>
          <w:tcPr>
            <w:tcW w:w="5462" w:type="dxa"/>
            <w:shd w:val="clear" w:color="auto" w:fill="auto"/>
            <w:noWrap/>
            <w:vAlign w:val="center"/>
            <w:hideMark/>
          </w:tcPr>
          <w:p w14:paraId="5C6B5991" w14:textId="3E5045C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2º  A revisão do plano de custeio para redução ou suspensão de contribuições extraordinárias de participantes, assistidos ou patrocinador somente pode ser efetuada em função da apuração de equilíbrio técnico ajustado positivo para o plano de benefícios, no exercício de referência.</w:t>
            </w:r>
          </w:p>
        </w:tc>
        <w:tc>
          <w:tcPr>
            <w:tcW w:w="4076" w:type="dxa"/>
            <w:shd w:val="clear" w:color="auto" w:fill="auto"/>
            <w:noWrap/>
            <w:vAlign w:val="center"/>
            <w:hideMark/>
          </w:tcPr>
          <w:p w14:paraId="1D57E5EC"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B276350" w14:textId="5E65FC87" w:rsidTr="00E31838">
        <w:tc>
          <w:tcPr>
            <w:tcW w:w="4598" w:type="dxa"/>
            <w:vAlign w:val="center"/>
          </w:tcPr>
          <w:p w14:paraId="57F2C4CA" w14:textId="7B1C6DA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§3º No caso de contribuições extraordinárias relativas a serviço passado, a possibilidade de sua revisão em função de valor do equilíbrio técnico ajustado positivo, na forma do § 2º deste artigo, deve estar prevista no regulamento do plano de benefícios.</w:t>
            </w:r>
          </w:p>
        </w:tc>
        <w:tc>
          <w:tcPr>
            <w:tcW w:w="5462" w:type="dxa"/>
            <w:shd w:val="clear" w:color="auto" w:fill="auto"/>
            <w:noWrap/>
            <w:vAlign w:val="center"/>
            <w:hideMark/>
          </w:tcPr>
          <w:p w14:paraId="64D40EB8" w14:textId="5C06216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3º  No caso de contribuições extraordinárias relativas a serviço passado, a possibilidade de sua revisão em função de valor do equilíbrio técnico ajustado positivo, na forma do § 2º deste artigo, deve estar prevista no regulamento do plano de benefícios.</w:t>
            </w:r>
          </w:p>
        </w:tc>
        <w:tc>
          <w:tcPr>
            <w:tcW w:w="4076" w:type="dxa"/>
            <w:shd w:val="clear" w:color="auto" w:fill="auto"/>
            <w:noWrap/>
            <w:vAlign w:val="center"/>
            <w:hideMark/>
          </w:tcPr>
          <w:p w14:paraId="3645A4ED"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768006A" w14:textId="4C1BD1D8" w:rsidTr="00E31838">
        <w:tc>
          <w:tcPr>
            <w:tcW w:w="4598" w:type="dxa"/>
            <w:vAlign w:val="center"/>
          </w:tcPr>
          <w:p w14:paraId="34DA8489" w14:textId="77777777" w:rsidR="00E31838" w:rsidRPr="00E51F8B" w:rsidRDefault="00E31838" w:rsidP="000053DA">
            <w:pPr>
              <w:spacing w:after="0" w:line="240" w:lineRule="auto"/>
              <w:jc w:val="center"/>
              <w:rPr>
                <w:rFonts w:ascii="Calibri" w:hAnsi="Calibri" w:cs="Calibri"/>
                <w:b/>
                <w:bCs/>
                <w:sz w:val="24"/>
                <w:szCs w:val="24"/>
              </w:rPr>
            </w:pPr>
            <w:r w:rsidRPr="00E51F8B">
              <w:rPr>
                <w:rFonts w:ascii="Calibri" w:hAnsi="Calibri" w:cs="Calibri"/>
                <w:b/>
                <w:bCs/>
                <w:sz w:val="24"/>
                <w:szCs w:val="24"/>
              </w:rPr>
              <w:t>Seção II</w:t>
            </w:r>
          </w:p>
          <w:p w14:paraId="7ACC5390" w14:textId="3E1B4C18"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E51F8B">
              <w:rPr>
                <w:rFonts w:ascii="Calibri" w:hAnsi="Calibri" w:cs="Calibri"/>
                <w:b/>
                <w:bCs/>
                <w:sz w:val="24"/>
                <w:szCs w:val="24"/>
              </w:rPr>
              <w:t>Da Revisão do Plano de Custeio</w:t>
            </w:r>
          </w:p>
        </w:tc>
        <w:tc>
          <w:tcPr>
            <w:tcW w:w="5462" w:type="dxa"/>
            <w:shd w:val="clear" w:color="auto" w:fill="auto"/>
            <w:noWrap/>
            <w:vAlign w:val="center"/>
            <w:hideMark/>
          </w:tcPr>
          <w:p w14:paraId="5D17B3C5" w14:textId="77777777"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Subseção II </w:t>
            </w:r>
          </w:p>
          <w:p w14:paraId="03C10D64" w14:textId="20A46086"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Revisão do Plano de Custeio</w:t>
            </w:r>
          </w:p>
        </w:tc>
        <w:tc>
          <w:tcPr>
            <w:tcW w:w="4076" w:type="dxa"/>
            <w:shd w:val="clear" w:color="auto" w:fill="auto"/>
            <w:noWrap/>
            <w:vAlign w:val="center"/>
            <w:hideMark/>
          </w:tcPr>
          <w:p w14:paraId="202B64D6"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44900DC1" w14:textId="543FAFBA" w:rsidTr="00E31838">
        <w:tc>
          <w:tcPr>
            <w:tcW w:w="4598" w:type="dxa"/>
            <w:vAlign w:val="center"/>
          </w:tcPr>
          <w:p w14:paraId="6B3D3CC4" w14:textId="7BDA828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18. A utilização do equilíbrio técnico ajustado positivo para fins de revisão do plano de custeio em relação às contribuições extraordinárias, na forma prevista no art. 17 desta Instrução, deve ser justificada em parecer do atuário responsável e aprovada pelas instâncias competentes da EFPC.</w:t>
            </w:r>
          </w:p>
        </w:tc>
        <w:tc>
          <w:tcPr>
            <w:tcW w:w="5462" w:type="dxa"/>
            <w:shd w:val="clear" w:color="auto" w:fill="auto"/>
            <w:noWrap/>
            <w:vAlign w:val="center"/>
            <w:hideMark/>
          </w:tcPr>
          <w:p w14:paraId="2FD6FFC3" w14:textId="5AE52D5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18.  A utilização do equilíbrio técnico ajustado positivo para fins de revisão do plano de custeio em relação às contribuições extraordinárias, na forma prevista no art. 17, deve ser justificada em parecer do atuário responsável e aprovada pelas instâncias competentes da EFPC.</w:t>
            </w:r>
          </w:p>
        </w:tc>
        <w:tc>
          <w:tcPr>
            <w:tcW w:w="4076" w:type="dxa"/>
            <w:shd w:val="clear" w:color="auto" w:fill="auto"/>
            <w:noWrap/>
            <w:vAlign w:val="center"/>
            <w:hideMark/>
          </w:tcPr>
          <w:p w14:paraId="661EADF6" w14:textId="27C31A9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513E974" w14:textId="41E70EEB" w:rsidTr="00E31838">
        <w:tc>
          <w:tcPr>
            <w:tcW w:w="4598" w:type="dxa"/>
            <w:vAlign w:val="center"/>
          </w:tcPr>
          <w:p w14:paraId="0DE52658" w14:textId="08CDAAF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§1º A utilização referida no caput deve ser precedida da segregação entre o montante atribuível aos participantes e assistidos, de um </w:t>
            </w:r>
            <w:r w:rsidRPr="0010524E">
              <w:rPr>
                <w:rFonts w:ascii="Calibri" w:hAnsi="Calibri" w:cs="Calibri"/>
                <w:sz w:val="24"/>
                <w:szCs w:val="24"/>
              </w:rPr>
              <w:lastRenderedPageBreak/>
              <w:t>lado, e ao patrocinador, de outro, observada a proporção contributiva do período em que se deu a constituição do equilíbrio técnico ajustado positivo, ressalvado o disposto no § 2º, do art. 30 desta Instrução.</w:t>
            </w:r>
          </w:p>
        </w:tc>
        <w:tc>
          <w:tcPr>
            <w:tcW w:w="5462" w:type="dxa"/>
            <w:shd w:val="clear" w:color="auto" w:fill="auto"/>
            <w:noWrap/>
            <w:vAlign w:val="center"/>
            <w:hideMark/>
          </w:tcPr>
          <w:p w14:paraId="1E7CD655" w14:textId="5BCF66D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 1º  A utilização referida no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 ser precedida da segregação entre o montante atribuível aos participantes e assistidos, de um lado, e ao </w:t>
            </w:r>
            <w:r w:rsidRPr="0010524E">
              <w:rPr>
                <w:rFonts w:ascii="Calibri" w:eastAsia="Times New Roman" w:hAnsi="Calibri" w:cs="Calibri"/>
                <w:kern w:val="0"/>
                <w:sz w:val="24"/>
                <w:szCs w:val="24"/>
                <w:lang w:eastAsia="pt-BR"/>
                <w14:ligatures w14:val="none"/>
              </w:rPr>
              <w:lastRenderedPageBreak/>
              <w:t>patrocinador, de outro, observada a proporção contributiva do período em que se deu a constituição do equilíbrio técnico ajustado positivo, ressalvado o disposto no § 2º do art. 30.</w:t>
            </w:r>
          </w:p>
        </w:tc>
        <w:tc>
          <w:tcPr>
            <w:tcW w:w="4076" w:type="dxa"/>
            <w:shd w:val="clear" w:color="auto" w:fill="auto"/>
            <w:noWrap/>
            <w:vAlign w:val="center"/>
            <w:hideMark/>
          </w:tcPr>
          <w:p w14:paraId="363733C0" w14:textId="12A8A44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7237FB96" w14:textId="61C5EBD3" w:rsidTr="00E31838">
        <w:tc>
          <w:tcPr>
            <w:tcW w:w="4598" w:type="dxa"/>
            <w:vAlign w:val="center"/>
          </w:tcPr>
          <w:p w14:paraId="54FB350E" w14:textId="5523A0D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§2º Em caso de vigência de dois ou mais planos de equacionamento em curso, a utilização do equilíbrio técnico ajustado positivo deve ser realizada de forma proporcional às respectivas provisões a constituir remanescentes.</w:t>
            </w:r>
          </w:p>
        </w:tc>
        <w:tc>
          <w:tcPr>
            <w:tcW w:w="5462" w:type="dxa"/>
            <w:shd w:val="clear" w:color="auto" w:fill="auto"/>
            <w:noWrap/>
            <w:vAlign w:val="center"/>
            <w:hideMark/>
          </w:tcPr>
          <w:p w14:paraId="0749DA89" w14:textId="120848F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2º  Em caso de vigência de dois ou mais planos de equacionamento em curso, a utilização do equilíbrio técnico ajustado positivo deve ser realizada de forma proporcional às respectivas provisões a constituir remanescentes.</w:t>
            </w:r>
          </w:p>
        </w:tc>
        <w:tc>
          <w:tcPr>
            <w:tcW w:w="4076" w:type="dxa"/>
            <w:shd w:val="clear" w:color="auto" w:fill="auto"/>
            <w:noWrap/>
            <w:vAlign w:val="center"/>
            <w:hideMark/>
          </w:tcPr>
          <w:p w14:paraId="375169A6"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7F155E05" w14:textId="4F152AC0" w:rsidTr="00E31838">
        <w:tc>
          <w:tcPr>
            <w:tcW w:w="4598" w:type="dxa"/>
            <w:vAlign w:val="center"/>
          </w:tcPr>
          <w:p w14:paraId="44E8C2EB" w14:textId="52DD2D6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19. Não são admitidos como fonte de recursos para o equacionamento de déficit resultados oriundos de alterações de hipóteses atuariais, de regimes financeiros ou de métodos de financiamento.</w:t>
            </w:r>
          </w:p>
        </w:tc>
        <w:tc>
          <w:tcPr>
            <w:tcW w:w="5462" w:type="dxa"/>
            <w:shd w:val="clear" w:color="auto" w:fill="auto"/>
            <w:noWrap/>
            <w:vAlign w:val="center"/>
            <w:hideMark/>
          </w:tcPr>
          <w:p w14:paraId="1D60DC23" w14:textId="4208EF1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19.  Não são admitidos como fonte de recursos para o equacionamento de déficit resultados oriundos de alterações de hipóteses atuariais, de regimes financeiros ou de métodos de financiamento.</w:t>
            </w:r>
          </w:p>
        </w:tc>
        <w:tc>
          <w:tcPr>
            <w:tcW w:w="4076" w:type="dxa"/>
            <w:shd w:val="clear" w:color="auto" w:fill="auto"/>
            <w:noWrap/>
            <w:vAlign w:val="center"/>
            <w:hideMark/>
          </w:tcPr>
          <w:p w14:paraId="27E9E802"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99B8707" w14:textId="3670647D" w:rsidTr="00E31838">
        <w:tc>
          <w:tcPr>
            <w:tcW w:w="4598" w:type="dxa"/>
            <w:vAlign w:val="center"/>
          </w:tcPr>
          <w:p w14:paraId="20504D73" w14:textId="77777777" w:rsidR="00E31838" w:rsidRDefault="00E31838" w:rsidP="000053DA">
            <w:pPr>
              <w:spacing w:after="0" w:line="240" w:lineRule="auto"/>
              <w:jc w:val="center"/>
              <w:rPr>
                <w:rFonts w:ascii="Calibri" w:hAnsi="Calibri" w:cs="Calibri"/>
                <w:sz w:val="24"/>
                <w:szCs w:val="24"/>
              </w:rPr>
            </w:pPr>
            <w:r w:rsidRPr="0010524E">
              <w:rPr>
                <w:rFonts w:ascii="Calibri" w:hAnsi="Calibri" w:cs="Calibri"/>
                <w:sz w:val="24"/>
                <w:szCs w:val="24"/>
              </w:rPr>
              <w:t>CAPÍTULO VI</w:t>
            </w:r>
          </w:p>
          <w:p w14:paraId="04DF2769" w14:textId="43B7E70E"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DA REVISÃO DO PLANO DE BENEFÍCIOS E DA DESTINAÇÃO DA RESERVA ESPECIAL</w:t>
            </w:r>
          </w:p>
        </w:tc>
        <w:tc>
          <w:tcPr>
            <w:tcW w:w="5462" w:type="dxa"/>
            <w:shd w:val="clear" w:color="auto" w:fill="auto"/>
            <w:noWrap/>
            <w:vAlign w:val="center"/>
            <w:hideMark/>
          </w:tcPr>
          <w:p w14:paraId="50523749" w14:textId="77777777"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IV</w:t>
            </w:r>
          </w:p>
          <w:p w14:paraId="7B8E2906" w14:textId="7D1FBA44"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Revisão do Plano de Benefícios e da Destinação da Reserva Especial</w:t>
            </w:r>
          </w:p>
        </w:tc>
        <w:tc>
          <w:tcPr>
            <w:tcW w:w="4076" w:type="dxa"/>
            <w:shd w:val="clear" w:color="auto" w:fill="auto"/>
            <w:noWrap/>
            <w:vAlign w:val="center"/>
            <w:hideMark/>
          </w:tcPr>
          <w:p w14:paraId="17C8BD73"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34A6B5BB" w14:textId="4FD93340" w:rsidTr="00E31838">
        <w:tc>
          <w:tcPr>
            <w:tcW w:w="4598" w:type="dxa"/>
            <w:vAlign w:val="center"/>
          </w:tcPr>
          <w:p w14:paraId="336338EF" w14:textId="4281F44F"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hideMark/>
          </w:tcPr>
          <w:p w14:paraId="34B72D6E" w14:textId="77777777"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758A33EB" w14:textId="7256A61B"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Revisão obrigatório do Plano de Benefícios</w:t>
            </w:r>
          </w:p>
        </w:tc>
        <w:tc>
          <w:tcPr>
            <w:tcW w:w="4076" w:type="dxa"/>
            <w:shd w:val="clear" w:color="auto" w:fill="auto"/>
            <w:noWrap/>
            <w:vAlign w:val="center"/>
            <w:hideMark/>
          </w:tcPr>
          <w:p w14:paraId="51F6C3AB"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378E6A0D" w14:textId="0B16F97E" w:rsidTr="00E31838">
        <w:tc>
          <w:tcPr>
            <w:tcW w:w="4598" w:type="dxa"/>
            <w:vAlign w:val="center"/>
          </w:tcPr>
          <w:p w14:paraId="6AA85692" w14:textId="514F305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20. A revisão obrigatória do plano de benefícios deve destinar, no mínimo, até o final do exercício subsequente, o valor integral da reserva especial registrado nos últimos três exercícios.</w:t>
            </w:r>
          </w:p>
        </w:tc>
        <w:tc>
          <w:tcPr>
            <w:tcW w:w="5462" w:type="dxa"/>
            <w:shd w:val="clear" w:color="auto" w:fill="auto"/>
            <w:vAlign w:val="center"/>
            <w:hideMark/>
          </w:tcPr>
          <w:p w14:paraId="03FB2661" w14:textId="3712D8A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20.  O plano de benefícios deve ser revisado até o final do exercício subsequente do exercício social que registrar a terceira apuração consecutiva de reserva especial.</w:t>
            </w:r>
          </w:p>
        </w:tc>
        <w:tc>
          <w:tcPr>
            <w:tcW w:w="4076" w:type="dxa"/>
            <w:shd w:val="clear" w:color="auto" w:fill="auto"/>
            <w:noWrap/>
            <w:vAlign w:val="center"/>
            <w:hideMark/>
          </w:tcPr>
          <w:p w14:paraId="54FBF9EE" w14:textId="3725B82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Trazer maior clareza ao dispositivo além de dividir a obrigação de revisão do valor mínimo a destinar.</w:t>
            </w:r>
          </w:p>
        </w:tc>
      </w:tr>
      <w:tr w:rsidR="00E31838" w:rsidRPr="0010524E" w14:paraId="3B4934DA" w14:textId="1680B6F4" w:rsidTr="00E31838">
        <w:tc>
          <w:tcPr>
            <w:tcW w:w="4598" w:type="dxa"/>
            <w:vAlign w:val="center"/>
          </w:tcPr>
          <w:p w14:paraId="5CFD4A39" w14:textId="65FEAFD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5462" w:type="dxa"/>
            <w:shd w:val="clear" w:color="auto" w:fill="auto"/>
            <w:vAlign w:val="center"/>
            <w:hideMark/>
          </w:tcPr>
          <w:p w14:paraId="74128176" w14:textId="1CDD3FE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Na revisão obrigatória deve ser destinado, no mínimo, o valor integral da reserva especial registrado nos últimos três exercícios.</w:t>
            </w:r>
          </w:p>
        </w:tc>
        <w:tc>
          <w:tcPr>
            <w:tcW w:w="4076" w:type="dxa"/>
            <w:shd w:val="clear" w:color="auto" w:fill="auto"/>
            <w:noWrap/>
            <w:vAlign w:val="center"/>
            <w:hideMark/>
          </w:tcPr>
          <w:p w14:paraId="04FD8268" w14:textId="725B950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Trazer maior clareza ao dispositivo além de dividir a obrigação de revisão do valor mínimo a destinar.</w:t>
            </w:r>
          </w:p>
        </w:tc>
      </w:tr>
      <w:tr w:rsidR="00E31838" w:rsidRPr="0010524E" w14:paraId="50D859FB" w14:textId="475C4BFE" w:rsidTr="00E31838">
        <w:tc>
          <w:tcPr>
            <w:tcW w:w="4598" w:type="dxa"/>
            <w:vAlign w:val="center"/>
          </w:tcPr>
          <w:p w14:paraId="41A57D84" w14:textId="76AC4EA0"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hideMark/>
          </w:tcPr>
          <w:p w14:paraId="764BE04E" w14:textId="77777777"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p w14:paraId="53161EE5" w14:textId="57E9151C"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Destinação da reserva especial</w:t>
            </w:r>
          </w:p>
        </w:tc>
        <w:tc>
          <w:tcPr>
            <w:tcW w:w="4076" w:type="dxa"/>
            <w:shd w:val="clear" w:color="auto" w:fill="auto"/>
            <w:noWrap/>
            <w:vAlign w:val="center"/>
            <w:hideMark/>
          </w:tcPr>
          <w:p w14:paraId="12AC0E69"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150128EE" w14:textId="5A6EF2CE" w:rsidTr="00E31838">
        <w:tc>
          <w:tcPr>
            <w:tcW w:w="4598" w:type="dxa"/>
            <w:vAlign w:val="center"/>
          </w:tcPr>
          <w:p w14:paraId="1EA6165D" w14:textId="06DA36F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bookmarkStart w:id="0" w:name="_Hlk138195902"/>
            <w:r w:rsidRPr="0010524E">
              <w:rPr>
                <w:rFonts w:ascii="Calibri" w:hAnsi="Calibri" w:cs="Calibri"/>
                <w:sz w:val="24"/>
                <w:szCs w:val="24"/>
              </w:rPr>
              <w:t>Art. 21. Caso o plano adote hipóteses atuariais cuja aplicação resulte em provisões matemáticas inferiores às obtidas com a aplicação das hipóteses especificadas a seguir, anteriormente à destinação, devem ser deduzidos da reserva especial, para fins de cálculo do montante a ser destinado, os valores correspondentes à diferença entre as provisões matemáticas calculadas com as hipóteses efetivamente adotadas pelo plano e aquelas calculadas com as seguintes hipóteses, de forma combinada:</w:t>
            </w:r>
          </w:p>
        </w:tc>
        <w:tc>
          <w:tcPr>
            <w:tcW w:w="5462" w:type="dxa"/>
            <w:shd w:val="clear" w:color="auto" w:fill="auto"/>
            <w:noWrap/>
            <w:vAlign w:val="center"/>
            <w:hideMark/>
          </w:tcPr>
          <w:p w14:paraId="1430550C" w14:textId="6358681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21.  Devem ser deduzidos da reserva especial, para fins de cálculo do montante a ser destinado, os valores correspondentes à diferença entre as provisões matemáticas calculadas com as hipóteses efetivamente adotadas pelo plano e aquelas calculadas adotando tábuas biométricas de mortalidade geral utilizadas para projeção da longevidade, exceto daqueles na condição de inválidos: "AT 2000 Básica - F" para o sexo feminino e "AT 2000 Básica - M" para o sexo masculino, ambas com desagravamento de dez por cento.</w:t>
            </w:r>
          </w:p>
          <w:p w14:paraId="2B64F4A2" w14:textId="00A08F5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5B09ABF7" w14:textId="77D2A5C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Reescrita do caput para adequar-se à exclusão do inciso II (redução em ponto percentual da taxa de juros)</w:t>
            </w:r>
          </w:p>
        </w:tc>
      </w:tr>
      <w:tr w:rsidR="00E31838" w:rsidRPr="0010524E" w14:paraId="16B1E238" w14:textId="72D60DB6" w:rsidTr="00E31838">
        <w:tc>
          <w:tcPr>
            <w:tcW w:w="4598" w:type="dxa"/>
            <w:vAlign w:val="center"/>
          </w:tcPr>
          <w:p w14:paraId="0BA7BABE" w14:textId="7C7C5A7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tábuas biométricas de mortalidade geral utilizadas para projeção da longevidade, exceto daqueles na condição de inválidos: "AT 2000 Básica - F" para o sexo feminino e "AT 2000 Básica - M" para o sexo masculino, ambas com desagravamento de dez por cento; e</w:t>
            </w:r>
          </w:p>
        </w:tc>
        <w:tc>
          <w:tcPr>
            <w:tcW w:w="5462" w:type="dxa"/>
            <w:shd w:val="clear" w:color="auto" w:fill="auto"/>
            <w:noWrap/>
            <w:hideMark/>
          </w:tcPr>
          <w:p w14:paraId="12CC5A90" w14:textId="6BEB7560" w:rsidR="00E31838" w:rsidRPr="0010524E" w:rsidRDefault="00E31838" w:rsidP="000053DA">
            <w:pPr>
              <w:spacing w:after="0" w:line="240" w:lineRule="auto"/>
              <w:jc w:val="both"/>
              <w:rPr>
                <w:sz w:val="24"/>
                <w:szCs w:val="24"/>
              </w:rPr>
            </w:pPr>
            <w:r w:rsidRPr="0010524E">
              <w:rPr>
                <w:rFonts w:ascii="Calibri" w:eastAsia="Times New Roman" w:hAnsi="Calibri" w:cs="Calibri"/>
                <w:kern w:val="0"/>
                <w:sz w:val="24"/>
                <w:szCs w:val="24"/>
                <w:lang w:eastAsia="pt-BR"/>
                <w14:ligatures w14:val="none"/>
              </w:rPr>
              <w:t xml:space="preserve">Parágrafo único.  O disposto no </w:t>
            </w:r>
            <w:r w:rsidRPr="0010524E">
              <w:rPr>
                <w:rFonts w:ascii="Calibri" w:eastAsia="Times New Roman" w:hAnsi="Calibri" w:cs="Calibri"/>
                <w:b/>
                <w:bCs/>
                <w:kern w:val="0"/>
                <w:sz w:val="24"/>
                <w:szCs w:val="24"/>
                <w:highlight w:val="yellow"/>
                <w:lang w:eastAsia="pt-BR"/>
                <w14:ligatures w14:val="none"/>
              </w:rPr>
              <w:t>caput</w:t>
            </w:r>
            <w:r w:rsidRPr="0010524E">
              <w:rPr>
                <w:rFonts w:ascii="Calibri" w:eastAsia="Times New Roman" w:hAnsi="Calibri" w:cs="Calibri"/>
                <w:kern w:val="0"/>
                <w:sz w:val="24"/>
                <w:szCs w:val="24"/>
                <w:lang w:eastAsia="pt-BR"/>
                <w14:ligatures w14:val="none"/>
              </w:rPr>
              <w:t xml:space="preserve"> não se aplica ao plano de benefícios que adote hipóteses atuariais cuja aplicação resulte em provisões matemáticas superiores às obtidas com a aplicação da hipótese referida no </w:t>
            </w:r>
            <w:r w:rsidRPr="0010524E">
              <w:rPr>
                <w:rFonts w:ascii="Calibri" w:eastAsia="Times New Roman" w:hAnsi="Calibri" w:cs="Calibri"/>
                <w:b/>
                <w:bCs/>
                <w:kern w:val="0"/>
                <w:sz w:val="24"/>
                <w:szCs w:val="24"/>
                <w:highlight w:val="yellow"/>
                <w:lang w:eastAsia="pt-BR"/>
                <w14:ligatures w14:val="none"/>
              </w:rPr>
              <w:t>caput</w:t>
            </w:r>
            <w:r w:rsidRPr="0010524E">
              <w:rPr>
                <w:rFonts w:ascii="Calibri" w:eastAsia="Times New Roman" w:hAnsi="Calibri" w:cs="Calibri"/>
                <w:kern w:val="0"/>
                <w:sz w:val="24"/>
                <w:szCs w:val="24"/>
                <w:highlight w:val="yellow"/>
                <w:lang w:eastAsia="pt-BR"/>
                <w14:ligatures w14:val="none"/>
              </w:rPr>
              <w:t>.</w:t>
            </w:r>
          </w:p>
        </w:tc>
        <w:tc>
          <w:tcPr>
            <w:tcW w:w="4076" w:type="dxa"/>
            <w:shd w:val="clear" w:color="auto" w:fill="auto"/>
            <w:noWrap/>
            <w:vAlign w:val="center"/>
            <w:hideMark/>
          </w:tcPr>
          <w:p w14:paraId="44BB064D" w14:textId="503A6B0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Transformação do inciso I em parágrafo único para contemplar exclusão do inciso II (redução em um ponto percentual a taxa de juros).</w:t>
            </w:r>
          </w:p>
        </w:tc>
      </w:tr>
      <w:bookmarkEnd w:id="0"/>
      <w:tr w:rsidR="00E31838" w:rsidRPr="0010524E" w14:paraId="334A9FB4" w14:textId="5486240A" w:rsidTr="00E31838">
        <w:tc>
          <w:tcPr>
            <w:tcW w:w="4598" w:type="dxa"/>
            <w:vAlign w:val="center"/>
          </w:tcPr>
          <w:p w14:paraId="475DAC94" w14:textId="49A800F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taxa real anual de juros correspondente ao teto do intervalo regulatório estabelecido para o respectivo plano de benefícios, reduzida em um ponto percentual.</w:t>
            </w:r>
          </w:p>
        </w:tc>
        <w:tc>
          <w:tcPr>
            <w:tcW w:w="5462" w:type="dxa"/>
            <w:shd w:val="clear" w:color="auto" w:fill="auto"/>
            <w:noWrap/>
            <w:vAlign w:val="center"/>
            <w:hideMark/>
          </w:tcPr>
          <w:p w14:paraId="5584E6C4" w14:textId="3A15969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6695CF22" w14:textId="2E22F07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w:t>
            </w:r>
            <w:r>
              <w:rPr>
                <w:rFonts w:ascii="Calibri" w:eastAsia="Times New Roman" w:hAnsi="Calibri" w:cs="Calibri"/>
                <w:kern w:val="0"/>
                <w:sz w:val="24"/>
                <w:szCs w:val="24"/>
                <w:lang w:eastAsia="pt-BR"/>
                <w14:ligatures w14:val="none"/>
              </w:rPr>
              <w:t>ído</w:t>
            </w:r>
            <w:r w:rsidRPr="0010524E">
              <w:rPr>
                <w:rFonts w:ascii="Calibri" w:eastAsia="Times New Roman" w:hAnsi="Calibri" w:cs="Calibri"/>
                <w:kern w:val="0"/>
                <w:sz w:val="24"/>
                <w:szCs w:val="24"/>
                <w:lang w:eastAsia="pt-BR"/>
                <w14:ligatures w14:val="none"/>
              </w:rPr>
              <w:t xml:space="preserve"> o dispositivo porque, em tese, os planos de benefícios já adotam taxa real anual de juros embasada em estudo técnico de convergência, não havendo </w:t>
            </w:r>
            <w:r w:rsidRPr="0010524E">
              <w:rPr>
                <w:rFonts w:ascii="Calibri" w:eastAsia="Times New Roman" w:hAnsi="Calibri" w:cs="Calibri"/>
                <w:kern w:val="0"/>
                <w:sz w:val="24"/>
                <w:szCs w:val="24"/>
                <w:lang w:eastAsia="pt-BR"/>
                <w14:ligatures w14:val="none"/>
              </w:rPr>
              <w:lastRenderedPageBreak/>
              <w:t>mais necessidade de utilizar taxas inferiores a adotadas para o efeito de destinação de superávit.</w:t>
            </w:r>
          </w:p>
        </w:tc>
      </w:tr>
      <w:tr w:rsidR="00E31838" w:rsidRPr="0010524E" w14:paraId="0B2B9A3B" w14:textId="544BD74A" w:rsidTr="00E31838">
        <w:tc>
          <w:tcPr>
            <w:tcW w:w="4598" w:type="dxa"/>
            <w:vAlign w:val="center"/>
          </w:tcPr>
          <w:p w14:paraId="034BA9B9" w14:textId="4D39ED4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Art. 22. Para fins de destinação da reserva especial, devem ser observadas as seguintes condições:</w:t>
            </w:r>
          </w:p>
        </w:tc>
        <w:tc>
          <w:tcPr>
            <w:tcW w:w="5462" w:type="dxa"/>
            <w:shd w:val="clear" w:color="auto" w:fill="auto"/>
            <w:noWrap/>
            <w:vAlign w:val="center"/>
            <w:hideMark/>
          </w:tcPr>
          <w:p w14:paraId="7BA478FF" w14:textId="22AB4EF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22.  Para fins de destinação da reserva especial, devem ser observadas as seguintes condições:</w:t>
            </w:r>
          </w:p>
        </w:tc>
        <w:tc>
          <w:tcPr>
            <w:tcW w:w="4076" w:type="dxa"/>
            <w:shd w:val="clear" w:color="auto" w:fill="auto"/>
            <w:noWrap/>
            <w:vAlign w:val="center"/>
            <w:hideMark/>
          </w:tcPr>
          <w:p w14:paraId="6FC2DA13"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568E8E8" w14:textId="1845986C" w:rsidTr="00E31838">
        <w:tc>
          <w:tcPr>
            <w:tcW w:w="4598" w:type="dxa"/>
            <w:vAlign w:val="center"/>
          </w:tcPr>
          <w:p w14:paraId="6F0A26BE" w14:textId="4251A08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considerar apenas as provisões matemáticas de benefício definido de participantes e assistidos na destinação da parcela da reserva especial, quando se der com base nas reservas matemáticas individuais;</w:t>
            </w:r>
          </w:p>
        </w:tc>
        <w:tc>
          <w:tcPr>
            <w:tcW w:w="5462" w:type="dxa"/>
            <w:shd w:val="clear" w:color="auto" w:fill="auto"/>
            <w:noWrap/>
            <w:vAlign w:val="center"/>
            <w:hideMark/>
          </w:tcPr>
          <w:p w14:paraId="14CA9CB1" w14:textId="51286D3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considerar apenas as provisões matemáticas de benefício definido de participantes e assistidos na destinação da parcela da reserva especial, quando se der com base nas reservas matemáticas individuais;</w:t>
            </w:r>
          </w:p>
        </w:tc>
        <w:tc>
          <w:tcPr>
            <w:tcW w:w="4076" w:type="dxa"/>
            <w:shd w:val="clear" w:color="auto" w:fill="auto"/>
            <w:noWrap/>
            <w:vAlign w:val="center"/>
            <w:hideMark/>
          </w:tcPr>
          <w:p w14:paraId="3BE9EA90"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E99C70C" w14:textId="18DD2976" w:rsidTr="00E31838">
        <w:tc>
          <w:tcPr>
            <w:tcW w:w="4598" w:type="dxa"/>
            <w:vAlign w:val="center"/>
          </w:tcPr>
          <w:p w14:paraId="79EFFBED" w14:textId="50892B8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a utilização da reserva especial para redução parcial, redução integral ou suspensão de contribuições deve contemplar prioritariamente aquelas contribuições para custeio dos benefícios que tenham seu valor ou nível previamente estabelecido e cujo custeio seja determinado atuarialmente; e</w:t>
            </w:r>
          </w:p>
        </w:tc>
        <w:tc>
          <w:tcPr>
            <w:tcW w:w="5462" w:type="dxa"/>
            <w:shd w:val="clear" w:color="auto" w:fill="auto"/>
            <w:noWrap/>
            <w:vAlign w:val="center"/>
            <w:hideMark/>
          </w:tcPr>
          <w:p w14:paraId="26E9CE98" w14:textId="36B30EF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a utilização da reserva especial para redução parcial, redução integral ou suspensão de contribuições deve contemplar prioritariamente aquelas contribuições para custeio dos benefícios que tenham seu valor ou nível previamente estabelecido e cujo custeio seja determinado atuarialmente; e</w:t>
            </w:r>
          </w:p>
        </w:tc>
        <w:tc>
          <w:tcPr>
            <w:tcW w:w="4076" w:type="dxa"/>
            <w:shd w:val="clear" w:color="auto" w:fill="auto"/>
            <w:noWrap/>
            <w:vAlign w:val="center"/>
            <w:hideMark/>
          </w:tcPr>
          <w:p w14:paraId="72A76EAA"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E750358" w14:textId="5C5D43D8" w:rsidTr="00E31838">
        <w:tc>
          <w:tcPr>
            <w:tcW w:w="4598" w:type="dxa"/>
            <w:vAlign w:val="center"/>
          </w:tcPr>
          <w:p w14:paraId="2048139A" w14:textId="39586A0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a cobertura integral do valor presente dos benefícios do plano deve considerar apenas aqueles com características de benefício definido.</w:t>
            </w:r>
          </w:p>
        </w:tc>
        <w:tc>
          <w:tcPr>
            <w:tcW w:w="5462" w:type="dxa"/>
            <w:shd w:val="clear" w:color="auto" w:fill="auto"/>
            <w:noWrap/>
            <w:vAlign w:val="center"/>
            <w:hideMark/>
          </w:tcPr>
          <w:p w14:paraId="71E27625" w14:textId="577C7E0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a cobertura integral do valor presente dos benefícios do plano deve considerar apenas aqueles com características de benefício definido.</w:t>
            </w:r>
          </w:p>
        </w:tc>
        <w:tc>
          <w:tcPr>
            <w:tcW w:w="4076" w:type="dxa"/>
            <w:shd w:val="clear" w:color="auto" w:fill="auto"/>
            <w:noWrap/>
            <w:vAlign w:val="center"/>
            <w:hideMark/>
          </w:tcPr>
          <w:p w14:paraId="17DB7110"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FD8111C" w14:textId="117A6DDA" w:rsidTr="00E31838">
        <w:tc>
          <w:tcPr>
            <w:tcW w:w="4598" w:type="dxa"/>
            <w:vAlign w:val="center"/>
          </w:tcPr>
          <w:p w14:paraId="0165DC08" w14:textId="0FE89C6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§1º A utilização dos fundos previdenciais de revisão do plano deve ocorrer de forma concomitante e proporcional entre os fundos atribuídos aos participantes, assistidos e </w:t>
            </w:r>
            <w:r w:rsidRPr="0010524E">
              <w:rPr>
                <w:rFonts w:ascii="Calibri" w:hAnsi="Calibri" w:cs="Calibri"/>
                <w:sz w:val="24"/>
                <w:szCs w:val="24"/>
              </w:rPr>
              <w:lastRenderedPageBreak/>
              <w:t>patrocinador constituídos para essa finalidade.</w:t>
            </w:r>
          </w:p>
        </w:tc>
        <w:tc>
          <w:tcPr>
            <w:tcW w:w="5462" w:type="dxa"/>
            <w:shd w:val="clear" w:color="auto" w:fill="auto"/>
            <w:noWrap/>
            <w:vAlign w:val="center"/>
            <w:hideMark/>
          </w:tcPr>
          <w:p w14:paraId="4EA23E8A" w14:textId="781575A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1º  A utilização dos fundos previdenciais de revisão do plano deve ocorrer de forma concomitante e proporcional entre os fundos atribuídos aos participantes, assistidos e patrocinador constituídos para essa finalidade.</w:t>
            </w:r>
          </w:p>
        </w:tc>
        <w:tc>
          <w:tcPr>
            <w:tcW w:w="4076" w:type="dxa"/>
            <w:shd w:val="clear" w:color="auto" w:fill="auto"/>
            <w:noWrap/>
            <w:vAlign w:val="center"/>
            <w:hideMark/>
          </w:tcPr>
          <w:p w14:paraId="41460282"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CB4CA85" w14:textId="26311305" w:rsidTr="00E31838">
        <w:tc>
          <w:tcPr>
            <w:tcW w:w="4598" w:type="dxa"/>
            <w:vAlign w:val="center"/>
          </w:tcPr>
          <w:p w14:paraId="54847CB9" w14:textId="69C42F8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§2º No caso de plano de benefícios não sujeito à Lei Complementar nº 108, de 2001, a EFPC poderá propor critério de utilização dos fundos previdenciais de revisão do plano diferente do definido no § 1º deste artigo, desde que mais benéfico aos participantes e assistidos, mediante prévia anuência do patrocinador.</w:t>
            </w:r>
          </w:p>
        </w:tc>
        <w:tc>
          <w:tcPr>
            <w:tcW w:w="5462" w:type="dxa"/>
            <w:shd w:val="clear" w:color="auto" w:fill="auto"/>
            <w:noWrap/>
            <w:vAlign w:val="center"/>
            <w:hideMark/>
          </w:tcPr>
          <w:p w14:paraId="15FADDEF" w14:textId="141BDD2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2º  No caso de plano de benefícios não sujeito à Lei Complementar nº 108, de 2001, a EFPC poderá propor critério de utilização dos fundos previdenciais de revisão do plano diferente do definido no § 1º deste artigo, desde que mais benéfico aos participantes e assistidos, mediante prévia anuência do patrocinador.</w:t>
            </w:r>
          </w:p>
        </w:tc>
        <w:tc>
          <w:tcPr>
            <w:tcW w:w="4076" w:type="dxa"/>
            <w:shd w:val="clear" w:color="auto" w:fill="auto"/>
            <w:noWrap/>
            <w:vAlign w:val="center"/>
            <w:hideMark/>
          </w:tcPr>
          <w:p w14:paraId="5420D099"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D7F478F" w14:textId="56A5226D" w:rsidTr="00E31838">
        <w:tc>
          <w:tcPr>
            <w:tcW w:w="4598" w:type="dxa"/>
            <w:vAlign w:val="center"/>
          </w:tcPr>
          <w:p w14:paraId="1F967DA8" w14:textId="265FEBF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23. A EFPC deve promover a realização prévia de auditoria independente específica para avaliação dos recursos garantidores e das provisões matemáticas do plano de benefícios, nos casos em que a destinação da reserva especial envolver a reversão de valores.</w:t>
            </w:r>
          </w:p>
        </w:tc>
        <w:tc>
          <w:tcPr>
            <w:tcW w:w="5462" w:type="dxa"/>
            <w:shd w:val="clear" w:color="auto" w:fill="auto"/>
            <w:noWrap/>
            <w:vAlign w:val="center"/>
            <w:hideMark/>
          </w:tcPr>
          <w:p w14:paraId="366A8B6F" w14:textId="665846C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23.  A EFPC deve promover a realização prévia de auditoria independente específica para avaliação dos recursos garantidores e das provisões matemáticas do plano de benefícios, nos casos em que a destinação da reserva especial envolver a reversão de valores.</w:t>
            </w:r>
          </w:p>
        </w:tc>
        <w:tc>
          <w:tcPr>
            <w:tcW w:w="4076" w:type="dxa"/>
            <w:shd w:val="clear" w:color="auto" w:fill="auto"/>
            <w:noWrap/>
            <w:vAlign w:val="center"/>
            <w:hideMark/>
          </w:tcPr>
          <w:p w14:paraId="3073EA3B"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6C81BFC" w14:textId="18B2C807" w:rsidTr="00E31838">
        <w:tc>
          <w:tcPr>
            <w:tcW w:w="4598" w:type="dxa"/>
            <w:vAlign w:val="center"/>
          </w:tcPr>
          <w:p w14:paraId="57CE20D2" w14:textId="77777777" w:rsidR="00E31838" w:rsidRDefault="00E31838" w:rsidP="000053DA">
            <w:pPr>
              <w:spacing w:after="0" w:line="240" w:lineRule="auto"/>
              <w:jc w:val="center"/>
              <w:rPr>
                <w:rFonts w:ascii="Calibri" w:hAnsi="Calibri" w:cs="Calibri"/>
                <w:sz w:val="24"/>
                <w:szCs w:val="24"/>
              </w:rPr>
            </w:pPr>
            <w:r w:rsidRPr="0010524E">
              <w:rPr>
                <w:rFonts w:ascii="Calibri" w:hAnsi="Calibri" w:cs="Calibri"/>
                <w:sz w:val="24"/>
                <w:szCs w:val="24"/>
              </w:rPr>
              <w:t>CAPÍTULO VII</w:t>
            </w:r>
          </w:p>
          <w:p w14:paraId="559AFE33" w14:textId="19CDF86D"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DO EQUACIONAMENTO DE DÉFICIT</w:t>
            </w:r>
          </w:p>
        </w:tc>
        <w:tc>
          <w:tcPr>
            <w:tcW w:w="5462" w:type="dxa"/>
            <w:shd w:val="clear" w:color="auto" w:fill="auto"/>
            <w:noWrap/>
            <w:hideMark/>
          </w:tcPr>
          <w:p w14:paraId="706F8E0D" w14:textId="77777777"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w:t>
            </w:r>
          </w:p>
          <w:p w14:paraId="6FBBEC4F" w14:textId="02A98F26"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Equacionamento de Déficit</w:t>
            </w:r>
          </w:p>
        </w:tc>
        <w:tc>
          <w:tcPr>
            <w:tcW w:w="4076" w:type="dxa"/>
            <w:shd w:val="clear" w:color="auto" w:fill="auto"/>
            <w:noWrap/>
            <w:vAlign w:val="center"/>
            <w:hideMark/>
          </w:tcPr>
          <w:p w14:paraId="17657F20"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6940CFF8" w14:textId="6D53EEF5" w:rsidTr="00E31838">
        <w:tc>
          <w:tcPr>
            <w:tcW w:w="4598" w:type="dxa"/>
            <w:vAlign w:val="center"/>
          </w:tcPr>
          <w:p w14:paraId="1F03C49A" w14:textId="77777777" w:rsidR="00E31838" w:rsidRPr="00E51F8B" w:rsidRDefault="00E31838" w:rsidP="000053DA">
            <w:pPr>
              <w:spacing w:after="0" w:line="240" w:lineRule="auto"/>
              <w:jc w:val="center"/>
              <w:rPr>
                <w:rFonts w:ascii="Calibri" w:hAnsi="Calibri" w:cs="Calibri"/>
                <w:b/>
                <w:bCs/>
                <w:sz w:val="24"/>
                <w:szCs w:val="24"/>
              </w:rPr>
            </w:pPr>
            <w:r w:rsidRPr="00E51F8B">
              <w:rPr>
                <w:rFonts w:ascii="Calibri" w:hAnsi="Calibri" w:cs="Calibri"/>
                <w:b/>
                <w:bCs/>
                <w:sz w:val="24"/>
                <w:szCs w:val="24"/>
              </w:rPr>
              <w:t>Seção I</w:t>
            </w:r>
          </w:p>
          <w:p w14:paraId="4191076D" w14:textId="0C8044F4" w:rsidR="00E31838" w:rsidRPr="0010524E" w:rsidRDefault="00E31838" w:rsidP="00E51F8B">
            <w:pPr>
              <w:spacing w:after="0" w:line="240" w:lineRule="auto"/>
              <w:jc w:val="center"/>
              <w:rPr>
                <w:rFonts w:ascii="Calibri" w:eastAsia="Times New Roman" w:hAnsi="Calibri" w:cs="Calibri"/>
                <w:b/>
                <w:bCs/>
                <w:kern w:val="0"/>
                <w:sz w:val="24"/>
                <w:szCs w:val="24"/>
                <w:lang w:eastAsia="pt-BR"/>
                <w14:ligatures w14:val="none"/>
              </w:rPr>
            </w:pPr>
            <w:r w:rsidRPr="00E51F8B">
              <w:rPr>
                <w:rFonts w:ascii="Calibri" w:hAnsi="Calibri" w:cs="Calibri"/>
                <w:b/>
                <w:bCs/>
                <w:sz w:val="24"/>
                <w:szCs w:val="24"/>
              </w:rPr>
              <w:t>Do Valor a Equacionar</w:t>
            </w:r>
          </w:p>
        </w:tc>
        <w:tc>
          <w:tcPr>
            <w:tcW w:w="5462" w:type="dxa"/>
            <w:shd w:val="clear" w:color="auto" w:fill="auto"/>
            <w:noWrap/>
            <w:hideMark/>
          </w:tcPr>
          <w:p w14:paraId="2748EDA3" w14:textId="77777777"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2B7E2B84" w14:textId="30857FB0" w:rsidR="00E31838" w:rsidRPr="0010524E" w:rsidRDefault="00E31838" w:rsidP="00E51F8B">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Valor a Equacionar</w:t>
            </w:r>
          </w:p>
        </w:tc>
        <w:tc>
          <w:tcPr>
            <w:tcW w:w="4076" w:type="dxa"/>
            <w:shd w:val="clear" w:color="auto" w:fill="auto"/>
            <w:noWrap/>
            <w:vAlign w:val="center"/>
            <w:hideMark/>
          </w:tcPr>
          <w:p w14:paraId="22582FDC"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3E753DBE" w14:textId="108AD2D7" w:rsidTr="00E31838">
        <w:tc>
          <w:tcPr>
            <w:tcW w:w="4598" w:type="dxa"/>
            <w:vAlign w:val="center"/>
          </w:tcPr>
          <w:p w14:paraId="11EC4C5D" w14:textId="3FB5C41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24. O valor do déficit a ser equacionado deve ser apurado na avaliação atuarial realizada ao final de cada exercício social.</w:t>
            </w:r>
          </w:p>
        </w:tc>
        <w:tc>
          <w:tcPr>
            <w:tcW w:w="5462" w:type="dxa"/>
            <w:shd w:val="clear" w:color="auto" w:fill="auto"/>
            <w:noWrap/>
            <w:vAlign w:val="center"/>
            <w:hideMark/>
          </w:tcPr>
          <w:p w14:paraId="13EF40ED" w14:textId="3B3BF52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24.  O valor do déficit a ser equacionado deve ser apurado na avaliação atuarial realizada ao final de cada exercício social.</w:t>
            </w:r>
          </w:p>
        </w:tc>
        <w:tc>
          <w:tcPr>
            <w:tcW w:w="4076" w:type="dxa"/>
            <w:shd w:val="clear" w:color="auto" w:fill="auto"/>
            <w:vAlign w:val="center"/>
            <w:hideMark/>
          </w:tcPr>
          <w:p w14:paraId="5C9A6FEE"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 qual exercício, o da apuração ou da aprovação do plano de equacionamento?</w:t>
            </w:r>
          </w:p>
        </w:tc>
      </w:tr>
      <w:tr w:rsidR="00E31838" w:rsidRPr="0010524E" w14:paraId="16EF1AE6" w14:textId="4C0F15EE" w:rsidTr="00E31838">
        <w:tc>
          <w:tcPr>
            <w:tcW w:w="4598" w:type="dxa"/>
            <w:vAlign w:val="center"/>
          </w:tcPr>
          <w:p w14:paraId="6F7744A0" w14:textId="3B3011C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§1º O valor do déficit a ser equacionado pode, a critério da EFPC, ser corrigido entre a data de sua apuração e a data de início do plano de equacionamento, desde que considerado, no </w:t>
            </w:r>
            <w:r w:rsidRPr="0010524E">
              <w:rPr>
                <w:rFonts w:ascii="Calibri" w:hAnsi="Calibri" w:cs="Calibri"/>
                <w:sz w:val="24"/>
                <w:szCs w:val="24"/>
              </w:rPr>
              <w:lastRenderedPageBreak/>
              <w:t>mínimo, o seu valor nominal, devendo o critério de correção adotado estar consignado em parecer do atuário responsável.</w:t>
            </w:r>
          </w:p>
        </w:tc>
        <w:tc>
          <w:tcPr>
            <w:tcW w:w="5462" w:type="dxa"/>
            <w:shd w:val="clear" w:color="auto" w:fill="auto"/>
            <w:noWrap/>
            <w:vAlign w:val="center"/>
            <w:hideMark/>
          </w:tcPr>
          <w:p w14:paraId="43CCD220" w14:textId="4746E08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 1º  O valor do déficit a ser equacionado pode, a critério da EFPC, ser corrigido entre a data de sua apuração e a data de início do plano de equacionamento, desde que considerado, no mínimo, </w:t>
            </w:r>
            <w:r w:rsidRPr="0010524E">
              <w:rPr>
                <w:rFonts w:ascii="Calibri" w:eastAsia="Times New Roman" w:hAnsi="Calibri" w:cs="Calibri"/>
                <w:kern w:val="0"/>
                <w:sz w:val="24"/>
                <w:szCs w:val="24"/>
                <w:lang w:eastAsia="pt-BR"/>
                <w14:ligatures w14:val="none"/>
              </w:rPr>
              <w:lastRenderedPageBreak/>
              <w:t>o seu valor nominal, devendo o critério de correção adotado estar consignado em parecer do atuário responsável.</w:t>
            </w:r>
          </w:p>
        </w:tc>
        <w:tc>
          <w:tcPr>
            <w:tcW w:w="4076" w:type="dxa"/>
            <w:shd w:val="clear" w:color="auto" w:fill="auto"/>
            <w:noWrap/>
            <w:vAlign w:val="center"/>
            <w:hideMark/>
          </w:tcPr>
          <w:p w14:paraId="23A5E2BA"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55DD834" w14:textId="37DC07CA" w:rsidTr="00E31838">
        <w:tc>
          <w:tcPr>
            <w:tcW w:w="4598" w:type="dxa"/>
            <w:vAlign w:val="center"/>
          </w:tcPr>
          <w:p w14:paraId="63EF14CC" w14:textId="3E25CE7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§2º Admite-se o reposicionamento do déficit a ser equacionado em momento posterior ao indicado no caput em caso de realização de avaliação atuarial por fato relevante, conforme determinado pelos §§ 1º e 2º do art. 2º desta Instrução.</w:t>
            </w:r>
          </w:p>
        </w:tc>
        <w:tc>
          <w:tcPr>
            <w:tcW w:w="5462" w:type="dxa"/>
            <w:shd w:val="clear" w:color="auto" w:fill="auto"/>
            <w:noWrap/>
            <w:vAlign w:val="center"/>
            <w:hideMark/>
          </w:tcPr>
          <w:p w14:paraId="7AA6607A" w14:textId="662A6C7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 2º  Admite-se o reposicionamento do déficit a ser equacionado em momento posterior ao indicado no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em caso de realização de avaliação atuarial por fato relevante, conforme dispõe o parágrafo único do art. 3º.</w:t>
            </w:r>
          </w:p>
        </w:tc>
        <w:tc>
          <w:tcPr>
            <w:tcW w:w="4076" w:type="dxa"/>
            <w:shd w:val="clear" w:color="auto" w:fill="auto"/>
            <w:noWrap/>
            <w:vAlign w:val="center"/>
            <w:hideMark/>
          </w:tcPr>
          <w:p w14:paraId="5BD02021"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7B471EA7" w14:textId="62AE47C3" w:rsidTr="00E31838">
        <w:tc>
          <w:tcPr>
            <w:tcW w:w="4598" w:type="dxa"/>
            <w:vAlign w:val="center"/>
          </w:tcPr>
          <w:p w14:paraId="465617AE" w14:textId="4B6E6B4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25. No caso de utilização da faculdade de extensão do prazo de amortização do déficit para aquele correspondente à liquidação do passivo atuarial do plano de benefícios, o montante a ser equacionado deve corresponder, preferencialmente, ao maior valor absoluto entre o déficit técnico acumulado e o equilíbrio técnico ajustado apurado para o plano de benefícios no ano de referência.</w:t>
            </w:r>
          </w:p>
        </w:tc>
        <w:tc>
          <w:tcPr>
            <w:tcW w:w="5462" w:type="dxa"/>
            <w:shd w:val="clear" w:color="auto" w:fill="auto"/>
            <w:noWrap/>
            <w:vAlign w:val="center"/>
            <w:hideMark/>
          </w:tcPr>
          <w:p w14:paraId="09040EF1" w14:textId="1F2963B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25.  No caso de utilização da faculdade de extensão do prazo de amortização do déficit para aquele correspondente à liquidação do passivo atuarial do plano de benefícios, o montante a ser equacionado deve corresponder, preferencialmente, ao maior valor absoluto entre o déficit técnico acumulado e o equilíbrio técnico ajustado apurado para o plano de benefícios no ano de referência.</w:t>
            </w:r>
          </w:p>
        </w:tc>
        <w:tc>
          <w:tcPr>
            <w:tcW w:w="4076" w:type="dxa"/>
            <w:shd w:val="clear" w:color="auto" w:fill="auto"/>
            <w:noWrap/>
            <w:vAlign w:val="center"/>
            <w:hideMark/>
          </w:tcPr>
          <w:p w14:paraId="7BBDF329"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73DF476" w14:textId="5872D5D4" w:rsidTr="00E31838">
        <w:tc>
          <w:tcPr>
            <w:tcW w:w="4598" w:type="dxa"/>
            <w:vAlign w:val="center"/>
          </w:tcPr>
          <w:p w14:paraId="43B48685" w14:textId="77777777" w:rsidR="00E31838" w:rsidRPr="00E51F8B" w:rsidRDefault="00E31838" w:rsidP="000053DA">
            <w:pPr>
              <w:spacing w:after="0" w:line="240" w:lineRule="auto"/>
              <w:jc w:val="center"/>
              <w:rPr>
                <w:rFonts w:ascii="Calibri" w:hAnsi="Calibri" w:cs="Calibri"/>
                <w:b/>
                <w:bCs/>
                <w:sz w:val="24"/>
                <w:szCs w:val="24"/>
              </w:rPr>
            </w:pPr>
            <w:r w:rsidRPr="00E51F8B">
              <w:rPr>
                <w:rFonts w:ascii="Calibri" w:hAnsi="Calibri" w:cs="Calibri"/>
                <w:b/>
                <w:bCs/>
                <w:sz w:val="24"/>
                <w:szCs w:val="24"/>
              </w:rPr>
              <w:t>Seção II</w:t>
            </w:r>
          </w:p>
          <w:p w14:paraId="35311C4C" w14:textId="7F996751"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E51F8B">
              <w:rPr>
                <w:rFonts w:ascii="Calibri" w:hAnsi="Calibri" w:cs="Calibri"/>
                <w:b/>
                <w:bCs/>
                <w:sz w:val="24"/>
                <w:szCs w:val="24"/>
              </w:rPr>
              <w:t>Do Plano de Equacionamento</w:t>
            </w:r>
          </w:p>
        </w:tc>
        <w:tc>
          <w:tcPr>
            <w:tcW w:w="5462" w:type="dxa"/>
            <w:shd w:val="clear" w:color="auto" w:fill="auto"/>
            <w:noWrap/>
            <w:vAlign w:val="center"/>
            <w:hideMark/>
          </w:tcPr>
          <w:p w14:paraId="5B8EE0FC" w14:textId="77777777"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p w14:paraId="6768949A" w14:textId="135A1691"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Plano de Equacionamento</w:t>
            </w:r>
          </w:p>
        </w:tc>
        <w:tc>
          <w:tcPr>
            <w:tcW w:w="4076" w:type="dxa"/>
            <w:shd w:val="clear" w:color="auto" w:fill="auto"/>
            <w:noWrap/>
            <w:vAlign w:val="center"/>
            <w:hideMark/>
          </w:tcPr>
          <w:p w14:paraId="3219C1D2"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388E13EC" w14:textId="034C93B1" w:rsidTr="00E31838">
        <w:tc>
          <w:tcPr>
            <w:tcW w:w="4598" w:type="dxa"/>
            <w:vAlign w:val="center"/>
          </w:tcPr>
          <w:p w14:paraId="66D00BE5" w14:textId="3E961F3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26. O início do plano de equacionamento corresponde à data de aplicação das formas adotadas para o equacionamento do déficit do plano de benefícios e deve ocorrer até o início de vigência do plano de custeio, no ano subsequente à aprovação do plano de equacionamento.</w:t>
            </w:r>
          </w:p>
        </w:tc>
        <w:tc>
          <w:tcPr>
            <w:tcW w:w="5462" w:type="dxa"/>
            <w:shd w:val="clear" w:color="auto" w:fill="auto"/>
            <w:noWrap/>
            <w:vAlign w:val="center"/>
            <w:hideMark/>
          </w:tcPr>
          <w:p w14:paraId="083C5BF2" w14:textId="12E0BBC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26.  O início do plano de equacionamento corresponde à data de aplicação das formas adotadas para o equacionamento do déficit do plano de benefícios e deve ocorrer até o início de vigência do plano de custeio, no ano subsequente à aprovação do plano de equacionamento.</w:t>
            </w:r>
          </w:p>
        </w:tc>
        <w:tc>
          <w:tcPr>
            <w:tcW w:w="4076" w:type="dxa"/>
            <w:shd w:val="clear" w:color="auto" w:fill="auto"/>
            <w:noWrap/>
            <w:vAlign w:val="center"/>
            <w:hideMark/>
          </w:tcPr>
          <w:p w14:paraId="0EA00A24"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C46C347" w14:textId="190DB262" w:rsidTr="00E31838">
        <w:tc>
          <w:tcPr>
            <w:tcW w:w="4598" w:type="dxa"/>
            <w:vAlign w:val="center"/>
          </w:tcPr>
          <w:p w14:paraId="685EC9CB" w14:textId="2037C97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Art. 27. Os planos de equacionamento devem prever amortização que contemple fluxo de contribuições extraordinárias constante ou decrescente, comprovado por meio de demonstração do fluxo projetado no momento da implementação do plano, sendo que os respectivos ativos devem ser compatíveis com as necessidades de liquidez do plano de benefícios.</w:t>
            </w:r>
          </w:p>
        </w:tc>
        <w:tc>
          <w:tcPr>
            <w:tcW w:w="5462" w:type="dxa"/>
            <w:shd w:val="clear" w:color="auto" w:fill="auto"/>
            <w:noWrap/>
            <w:vAlign w:val="center"/>
            <w:hideMark/>
          </w:tcPr>
          <w:p w14:paraId="2AA66FBC" w14:textId="0F37C91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27.  Os planos de equacionamento devem prever amortização que contemple fluxo de contribuições extraordinárias constante ou decrescente, comprovado por meio de demonstração do fluxo projetado no momento da implementação do plano, sendo que os respectivos ativos devem ser compatíveis com as necessidades de liquidez do plano de benefícios.</w:t>
            </w:r>
          </w:p>
        </w:tc>
        <w:tc>
          <w:tcPr>
            <w:tcW w:w="4076" w:type="dxa"/>
            <w:shd w:val="clear" w:color="auto" w:fill="auto"/>
            <w:noWrap/>
            <w:vAlign w:val="center"/>
            <w:hideMark/>
          </w:tcPr>
          <w:p w14:paraId="4E1955C3"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98C913F" w14:textId="1ABFEB5D" w:rsidTr="00E31838">
        <w:tc>
          <w:tcPr>
            <w:tcW w:w="4598" w:type="dxa"/>
            <w:vAlign w:val="center"/>
          </w:tcPr>
          <w:p w14:paraId="682B6639" w14:textId="32FE0F8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Caso o plano de equacionamento estabeleça contribuições extraordinárias em termos de percentual aplicável sobre salários ou benefícios, a comprovação de que trata o caput será pelo percentual de contribuição, constante ou decrescente.</w:t>
            </w:r>
          </w:p>
        </w:tc>
        <w:tc>
          <w:tcPr>
            <w:tcW w:w="5462" w:type="dxa"/>
            <w:shd w:val="clear" w:color="auto" w:fill="auto"/>
            <w:noWrap/>
            <w:vAlign w:val="center"/>
            <w:hideMark/>
          </w:tcPr>
          <w:p w14:paraId="754265B6" w14:textId="023DF49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Caso o plano de equacionamento estabeleça contribuições extraordinárias em termos de percentual aplicável sobre salários ou benefícios, a comprovação de que trata 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será pelo percentual de contribuição, constante ou decrescente.</w:t>
            </w:r>
          </w:p>
        </w:tc>
        <w:tc>
          <w:tcPr>
            <w:tcW w:w="4076" w:type="dxa"/>
            <w:shd w:val="clear" w:color="auto" w:fill="auto"/>
            <w:noWrap/>
            <w:vAlign w:val="center"/>
            <w:hideMark/>
          </w:tcPr>
          <w:p w14:paraId="0F44E4BE"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DA56B8B" w14:textId="6F1EAAC2" w:rsidTr="00E31838">
        <w:tc>
          <w:tcPr>
            <w:tcW w:w="4598" w:type="dxa"/>
            <w:vAlign w:val="center"/>
          </w:tcPr>
          <w:p w14:paraId="1DB7DC7C" w14:textId="6C3471D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28. A EFPC deve comprovar, anualmente, se o plano de equacionamento de déficit apresenta resultados efetivos, cabendo, em caso contrário, a adequação do plano, respeitando todas as condições regulatórias.</w:t>
            </w:r>
          </w:p>
        </w:tc>
        <w:tc>
          <w:tcPr>
            <w:tcW w:w="5462" w:type="dxa"/>
            <w:shd w:val="clear" w:color="auto" w:fill="auto"/>
            <w:noWrap/>
            <w:vAlign w:val="center"/>
            <w:hideMark/>
          </w:tcPr>
          <w:p w14:paraId="1467EBDC" w14:textId="140D058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28.  A EFPC deve comprovar, anualmente, se o plano de equacionamento de déficit apresenta resultados efetivos, cabendo, em caso contrário, a adequação do plano, respeitando todas as condições regulatórias.</w:t>
            </w:r>
          </w:p>
        </w:tc>
        <w:tc>
          <w:tcPr>
            <w:tcW w:w="4076" w:type="dxa"/>
            <w:shd w:val="clear" w:color="auto" w:fill="auto"/>
            <w:noWrap/>
            <w:vAlign w:val="center"/>
            <w:hideMark/>
          </w:tcPr>
          <w:p w14:paraId="71D00081"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48BE392" w14:textId="6EA2E08C" w:rsidTr="00E31838">
        <w:tc>
          <w:tcPr>
            <w:tcW w:w="4598" w:type="dxa"/>
            <w:vAlign w:val="center"/>
          </w:tcPr>
          <w:p w14:paraId="12B11451" w14:textId="77777777" w:rsidR="00E31838" w:rsidRPr="00E86BD3" w:rsidRDefault="00E31838" w:rsidP="000053DA">
            <w:pPr>
              <w:spacing w:after="0" w:line="240" w:lineRule="auto"/>
              <w:jc w:val="center"/>
              <w:rPr>
                <w:rFonts w:ascii="Calibri" w:hAnsi="Calibri" w:cs="Calibri"/>
                <w:b/>
                <w:bCs/>
                <w:sz w:val="24"/>
                <w:szCs w:val="24"/>
              </w:rPr>
            </w:pPr>
            <w:r w:rsidRPr="00E86BD3">
              <w:rPr>
                <w:rFonts w:ascii="Calibri" w:hAnsi="Calibri" w:cs="Calibri"/>
                <w:b/>
                <w:bCs/>
                <w:sz w:val="24"/>
                <w:szCs w:val="24"/>
              </w:rPr>
              <w:t>Seção III</w:t>
            </w:r>
          </w:p>
          <w:p w14:paraId="27C96A2F" w14:textId="2E652445"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E86BD3">
              <w:rPr>
                <w:rFonts w:ascii="Calibri" w:hAnsi="Calibri" w:cs="Calibri"/>
                <w:b/>
                <w:bCs/>
                <w:sz w:val="24"/>
                <w:szCs w:val="24"/>
              </w:rPr>
              <w:t>Do Prazo de Amortização</w:t>
            </w:r>
          </w:p>
        </w:tc>
        <w:tc>
          <w:tcPr>
            <w:tcW w:w="5462" w:type="dxa"/>
            <w:shd w:val="clear" w:color="auto" w:fill="auto"/>
            <w:noWrap/>
            <w:vAlign w:val="center"/>
            <w:hideMark/>
          </w:tcPr>
          <w:p w14:paraId="2951B861" w14:textId="77777777"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III</w:t>
            </w:r>
          </w:p>
          <w:p w14:paraId="1723868F" w14:textId="3F1B2739"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Prazo de Amortização</w:t>
            </w:r>
          </w:p>
        </w:tc>
        <w:tc>
          <w:tcPr>
            <w:tcW w:w="4076" w:type="dxa"/>
            <w:shd w:val="clear" w:color="auto" w:fill="auto"/>
            <w:noWrap/>
            <w:vAlign w:val="center"/>
            <w:hideMark/>
          </w:tcPr>
          <w:p w14:paraId="48EDDDBC"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28A5874E" w14:textId="7ADF81DC" w:rsidTr="00E31838">
        <w:tc>
          <w:tcPr>
            <w:tcW w:w="4598" w:type="dxa"/>
            <w:vAlign w:val="center"/>
          </w:tcPr>
          <w:p w14:paraId="79132E18" w14:textId="7A033AE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Art. 29. O prazo de amortização de déficit deve ser atestado por meio de fluxo atuarial que considere anualmente as receitas, as despesas e o patrimônio de cobertura, este segregado em integralizado e a integralizar, pelo período </w:t>
            </w:r>
            <w:r w:rsidRPr="0010524E">
              <w:rPr>
                <w:rFonts w:ascii="Calibri" w:hAnsi="Calibri" w:cs="Calibri"/>
                <w:sz w:val="24"/>
                <w:szCs w:val="24"/>
              </w:rPr>
              <w:lastRenderedPageBreak/>
              <w:t>correspondente ao pagamento de todas as parcelas, devendo ficar evidenciado que a amortização está ajustada às necessidades de recursos do plano de benefícios.</w:t>
            </w:r>
          </w:p>
        </w:tc>
        <w:tc>
          <w:tcPr>
            <w:tcW w:w="5462" w:type="dxa"/>
            <w:shd w:val="clear" w:color="auto" w:fill="auto"/>
            <w:noWrap/>
            <w:vAlign w:val="center"/>
            <w:hideMark/>
          </w:tcPr>
          <w:p w14:paraId="4AC7C218" w14:textId="072030F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Art. 29.  O prazo de amortização de déficit deve ser atestado por meio de fluxo atuarial que considere anualmente as receitas, as despesas e o patrimônio de cobertura, este segregado em integralizado e a integralizar, pelo período correspondente ao </w:t>
            </w:r>
            <w:r w:rsidRPr="0010524E">
              <w:rPr>
                <w:rFonts w:ascii="Calibri" w:eastAsia="Times New Roman" w:hAnsi="Calibri" w:cs="Calibri"/>
                <w:kern w:val="0"/>
                <w:sz w:val="24"/>
                <w:szCs w:val="24"/>
                <w:lang w:eastAsia="pt-BR"/>
                <w14:ligatures w14:val="none"/>
              </w:rPr>
              <w:lastRenderedPageBreak/>
              <w:t>pagamento de todas as parcelas, devendo ficar evidenciado que a amortização está ajustada às necessidades de recursos do plano de benefícios.</w:t>
            </w:r>
          </w:p>
        </w:tc>
        <w:tc>
          <w:tcPr>
            <w:tcW w:w="4076" w:type="dxa"/>
            <w:shd w:val="clear" w:color="auto" w:fill="auto"/>
            <w:noWrap/>
            <w:vAlign w:val="center"/>
            <w:hideMark/>
          </w:tcPr>
          <w:p w14:paraId="6C6DE656"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211F756" w14:textId="093F7383" w:rsidTr="00E31838">
        <w:tc>
          <w:tcPr>
            <w:tcW w:w="4598" w:type="dxa"/>
            <w:vAlign w:val="center"/>
          </w:tcPr>
          <w:p w14:paraId="4325F9BE" w14:textId="7C09F54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Na ocorrência de nova insuficiência de cobertura patrimonial, que demande equacionamento antes do término da amortização referida no caput, deve ser realizada nova operação de equacionamento.</w:t>
            </w:r>
          </w:p>
        </w:tc>
        <w:tc>
          <w:tcPr>
            <w:tcW w:w="5462" w:type="dxa"/>
            <w:shd w:val="clear" w:color="auto" w:fill="auto"/>
            <w:noWrap/>
            <w:vAlign w:val="center"/>
            <w:hideMark/>
          </w:tcPr>
          <w:p w14:paraId="343557AB" w14:textId="77777777" w:rsidR="00E31838"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Na ocorrência de nova insuficiência de cobertura patrimonial, que demande equacionamento antes do término da amortização referida no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deve ser realizada nova operação de equacionamento.</w:t>
            </w:r>
          </w:p>
          <w:p w14:paraId="0BF7BCA2" w14:textId="41E2637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3A0C5251"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43E9F23" w14:textId="2AFF0005" w:rsidTr="00E31838">
        <w:tc>
          <w:tcPr>
            <w:tcW w:w="4598" w:type="dxa"/>
            <w:vAlign w:val="center"/>
          </w:tcPr>
          <w:p w14:paraId="30424BBB" w14:textId="77777777" w:rsidR="00E31838" w:rsidRDefault="00E31838" w:rsidP="000053DA">
            <w:pPr>
              <w:spacing w:after="0" w:line="240" w:lineRule="auto"/>
              <w:jc w:val="center"/>
              <w:rPr>
                <w:rFonts w:ascii="Calibri" w:hAnsi="Calibri" w:cs="Calibri"/>
                <w:b/>
                <w:bCs/>
                <w:sz w:val="24"/>
                <w:szCs w:val="24"/>
              </w:rPr>
            </w:pPr>
            <w:r w:rsidRPr="00E86BD3">
              <w:rPr>
                <w:rFonts w:ascii="Calibri" w:hAnsi="Calibri" w:cs="Calibri"/>
                <w:b/>
                <w:bCs/>
                <w:sz w:val="24"/>
                <w:szCs w:val="24"/>
              </w:rPr>
              <w:t>Seção IV</w:t>
            </w:r>
          </w:p>
          <w:p w14:paraId="520957DB" w14:textId="7A600D76" w:rsidR="00E31838" w:rsidRPr="00E86BD3"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E86BD3">
              <w:rPr>
                <w:rFonts w:ascii="Calibri" w:hAnsi="Calibri" w:cs="Calibri"/>
                <w:b/>
                <w:bCs/>
                <w:sz w:val="24"/>
                <w:szCs w:val="24"/>
              </w:rPr>
              <w:t>Dos Instrumentos Contratuais</w:t>
            </w:r>
          </w:p>
        </w:tc>
        <w:tc>
          <w:tcPr>
            <w:tcW w:w="5462" w:type="dxa"/>
            <w:shd w:val="clear" w:color="auto" w:fill="auto"/>
            <w:noWrap/>
            <w:vAlign w:val="center"/>
            <w:hideMark/>
          </w:tcPr>
          <w:p w14:paraId="74132BFF" w14:textId="77777777"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IV</w:t>
            </w:r>
          </w:p>
          <w:p w14:paraId="3A385B86" w14:textId="77FC3E0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E86BD3">
              <w:rPr>
                <w:rFonts w:ascii="Calibri" w:hAnsi="Calibri" w:cs="Calibri"/>
                <w:b/>
                <w:bCs/>
                <w:sz w:val="24"/>
                <w:szCs w:val="24"/>
              </w:rPr>
              <w:t>Instrumentos Contratuais</w:t>
            </w:r>
          </w:p>
        </w:tc>
        <w:tc>
          <w:tcPr>
            <w:tcW w:w="4076" w:type="dxa"/>
            <w:shd w:val="clear" w:color="auto" w:fill="auto"/>
            <w:noWrap/>
            <w:vAlign w:val="center"/>
            <w:hideMark/>
          </w:tcPr>
          <w:p w14:paraId="1F1BED30"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07767ABD" w14:textId="0D4F49B6" w:rsidTr="00E31838">
        <w:tc>
          <w:tcPr>
            <w:tcW w:w="4598" w:type="dxa"/>
            <w:vAlign w:val="center"/>
          </w:tcPr>
          <w:p w14:paraId="1B3D9C9F" w14:textId="56B23CCF"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30. Nos instrumentos contratuais firmados com o patrocinador, a cláusula de revisão anual automática do saldo devedor em função de ganhos ou perdas atuariais, caso prevista, deve estar vinculada ao valor do equilíbrio técnico ajustado positivo ou negativo, respectivamente, apurado no plano de benefícios.</w:t>
            </w:r>
          </w:p>
        </w:tc>
        <w:tc>
          <w:tcPr>
            <w:tcW w:w="5462" w:type="dxa"/>
            <w:shd w:val="clear" w:color="auto" w:fill="auto"/>
            <w:noWrap/>
            <w:vAlign w:val="center"/>
            <w:hideMark/>
          </w:tcPr>
          <w:p w14:paraId="0A444BBA" w14:textId="76349DD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30.  Nos instrumentos contratuais firmados com o patrocinador, a cláusula de revisão anual automática do saldo devedor em função de ganhos ou perdas atuariais, caso prevista, deve estar vinculada ao valor do equilíbrio técnico ajustado positivo ou negativo, respectivamente, apurado no plano de benefícios.</w:t>
            </w:r>
          </w:p>
        </w:tc>
        <w:tc>
          <w:tcPr>
            <w:tcW w:w="4076" w:type="dxa"/>
            <w:shd w:val="clear" w:color="auto" w:fill="auto"/>
            <w:noWrap/>
            <w:vAlign w:val="center"/>
            <w:hideMark/>
          </w:tcPr>
          <w:p w14:paraId="7919DCC2"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132B99E" w14:textId="5B3479D8" w:rsidTr="00E31838">
        <w:tc>
          <w:tcPr>
            <w:tcW w:w="4598" w:type="dxa"/>
            <w:vAlign w:val="center"/>
          </w:tcPr>
          <w:p w14:paraId="1EB0A8B7" w14:textId="0ED3B14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§1º O valor do equilíbrio técnico ajustado negativo somente pode ser incorporado ao saldo devedor dos instrumentos contratuais de dívida dos patrocinadores quando o prazo remanescente da dívida for igual ou inferior ao prazo máximo de equacionamento.</w:t>
            </w:r>
          </w:p>
        </w:tc>
        <w:tc>
          <w:tcPr>
            <w:tcW w:w="5462" w:type="dxa"/>
            <w:shd w:val="clear" w:color="auto" w:fill="auto"/>
            <w:noWrap/>
            <w:vAlign w:val="center"/>
            <w:hideMark/>
          </w:tcPr>
          <w:p w14:paraId="74C2C926" w14:textId="7203693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1º  O valor do equilíbrio técnico ajustado negativo somente pode ser incorporado ao saldo devedor dos instrumentos contratuais de dívida dos patrocinadores quando o prazo remanescente da dívida for igual ou inferior ao prazo máximo de equacionamento.</w:t>
            </w:r>
          </w:p>
        </w:tc>
        <w:tc>
          <w:tcPr>
            <w:tcW w:w="4076" w:type="dxa"/>
            <w:shd w:val="clear" w:color="auto" w:fill="auto"/>
            <w:noWrap/>
            <w:vAlign w:val="center"/>
            <w:hideMark/>
          </w:tcPr>
          <w:p w14:paraId="6FABAE8A"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9CA95FA" w14:textId="55F5AC7A" w:rsidTr="00E31838">
        <w:tc>
          <w:tcPr>
            <w:tcW w:w="4598" w:type="dxa"/>
            <w:vAlign w:val="center"/>
          </w:tcPr>
          <w:p w14:paraId="1D886136" w14:textId="6A44059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§2º O valor do equilíbrio técnico ajustado positivo ou negativo utilizado para revisão </w:t>
            </w:r>
            <w:r w:rsidRPr="0010524E">
              <w:rPr>
                <w:rFonts w:ascii="Calibri" w:hAnsi="Calibri" w:cs="Calibri"/>
                <w:sz w:val="24"/>
                <w:szCs w:val="24"/>
              </w:rPr>
              <w:lastRenderedPageBreak/>
              <w:t>anual do saldo devedor da dívida do patrocinador, na forma do caput, deve observar as proporções contributivas definidas para o rateio da insuficiência entre participantes, assistidos e patrocinadores.</w:t>
            </w:r>
          </w:p>
        </w:tc>
        <w:tc>
          <w:tcPr>
            <w:tcW w:w="5462" w:type="dxa"/>
            <w:shd w:val="clear" w:color="auto" w:fill="auto"/>
            <w:noWrap/>
            <w:vAlign w:val="center"/>
            <w:hideMark/>
          </w:tcPr>
          <w:p w14:paraId="07982A40" w14:textId="7966192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 2º  O valor do equilíbrio técnico ajustado positivo ou negativo utilizado para revisão anual do saldo devedor </w:t>
            </w:r>
            <w:r w:rsidRPr="0010524E">
              <w:rPr>
                <w:rFonts w:ascii="Calibri" w:eastAsia="Times New Roman" w:hAnsi="Calibri" w:cs="Calibri"/>
                <w:kern w:val="0"/>
                <w:sz w:val="24"/>
                <w:szCs w:val="24"/>
                <w:lang w:eastAsia="pt-BR"/>
                <w14:ligatures w14:val="none"/>
              </w:rPr>
              <w:lastRenderedPageBreak/>
              <w:t xml:space="preserve">da dívida do patrocinador, na forma do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deve observar as proporções contributivas definidas para o rateio da insuficiência entre participantes, assistidos e patrocinadores.</w:t>
            </w:r>
          </w:p>
        </w:tc>
        <w:tc>
          <w:tcPr>
            <w:tcW w:w="4076" w:type="dxa"/>
            <w:shd w:val="clear" w:color="auto" w:fill="auto"/>
            <w:noWrap/>
            <w:vAlign w:val="center"/>
            <w:hideMark/>
          </w:tcPr>
          <w:p w14:paraId="739995A4"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36034FE" w14:textId="469BF913" w:rsidTr="00E31838">
        <w:tc>
          <w:tcPr>
            <w:tcW w:w="4598" w:type="dxa"/>
            <w:vAlign w:val="center"/>
          </w:tcPr>
          <w:p w14:paraId="60F75CE1" w14:textId="4E968EA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§3º O instrumento contratual deverá ficar à disposição da Previc, juntamente com os fluxos anuais de receitas, despesas e patrimônio de cobertura, pelo período de pagamento de todas as parcelas do contrato, observadas as demais disposições regulatórias da matéria.</w:t>
            </w:r>
          </w:p>
        </w:tc>
        <w:tc>
          <w:tcPr>
            <w:tcW w:w="5462" w:type="dxa"/>
            <w:shd w:val="clear" w:color="auto" w:fill="auto"/>
            <w:noWrap/>
            <w:vAlign w:val="center"/>
            <w:hideMark/>
          </w:tcPr>
          <w:p w14:paraId="4A111029" w14:textId="3530F1C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3º  O instrumento contratual deverá ficar à disposição da Previc, juntamente com os fluxos anuais de receitas, despesas e patrimônio de cobertura, pelo período de pagamento de todas as parcelas do contrato, observadas as demais disposições regulatórias da matéria.</w:t>
            </w:r>
          </w:p>
        </w:tc>
        <w:tc>
          <w:tcPr>
            <w:tcW w:w="4076" w:type="dxa"/>
            <w:shd w:val="clear" w:color="auto" w:fill="auto"/>
            <w:noWrap/>
            <w:vAlign w:val="center"/>
            <w:hideMark/>
          </w:tcPr>
          <w:p w14:paraId="0BA5C36C"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B6BCAFE" w14:textId="2315CFE1" w:rsidTr="00E31838">
        <w:tc>
          <w:tcPr>
            <w:tcW w:w="4598" w:type="dxa"/>
            <w:vAlign w:val="center"/>
          </w:tcPr>
          <w:p w14:paraId="6A49C9E8" w14:textId="77777777" w:rsidR="00E31838" w:rsidRDefault="00E31838" w:rsidP="000053DA">
            <w:pPr>
              <w:spacing w:after="0" w:line="240" w:lineRule="auto"/>
              <w:jc w:val="center"/>
              <w:rPr>
                <w:rFonts w:ascii="Calibri" w:hAnsi="Calibri" w:cs="Calibri"/>
                <w:sz w:val="24"/>
                <w:szCs w:val="24"/>
              </w:rPr>
            </w:pPr>
            <w:r w:rsidRPr="0010524E">
              <w:rPr>
                <w:rFonts w:ascii="Calibri" w:hAnsi="Calibri" w:cs="Calibri"/>
                <w:sz w:val="24"/>
                <w:szCs w:val="24"/>
              </w:rPr>
              <w:t>CAPÍTULO VIII</w:t>
            </w:r>
          </w:p>
          <w:p w14:paraId="2BC01BB2" w14:textId="2BD3BFBF"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DO ESTUDO TÉCNICO DE ADEQUAÇÃO DAS HIPÓTESES ATUARIAIS</w:t>
            </w:r>
          </w:p>
        </w:tc>
        <w:tc>
          <w:tcPr>
            <w:tcW w:w="5462" w:type="dxa"/>
            <w:shd w:val="clear" w:color="auto" w:fill="auto"/>
            <w:noWrap/>
            <w:vAlign w:val="center"/>
            <w:hideMark/>
          </w:tcPr>
          <w:p w14:paraId="0D17E614" w14:textId="77777777"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VI</w:t>
            </w:r>
          </w:p>
          <w:p w14:paraId="2C0441B0" w14:textId="68E24323"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Estudo Técnico de Adequação das Hipóteses Atuariais</w:t>
            </w:r>
          </w:p>
        </w:tc>
        <w:tc>
          <w:tcPr>
            <w:tcW w:w="4076" w:type="dxa"/>
            <w:shd w:val="clear" w:color="auto" w:fill="auto"/>
            <w:noWrap/>
            <w:vAlign w:val="center"/>
            <w:hideMark/>
          </w:tcPr>
          <w:p w14:paraId="3A58D62E"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137348AC" w14:textId="63D10AB1" w:rsidTr="00E31838">
        <w:tc>
          <w:tcPr>
            <w:tcW w:w="4598" w:type="dxa"/>
            <w:vAlign w:val="center"/>
          </w:tcPr>
          <w:p w14:paraId="1104FCDC" w14:textId="77777777" w:rsidR="00E31838" w:rsidRDefault="00E31838" w:rsidP="000053DA">
            <w:pPr>
              <w:spacing w:after="0" w:line="240" w:lineRule="auto"/>
              <w:jc w:val="center"/>
              <w:rPr>
                <w:rFonts w:ascii="Calibri" w:hAnsi="Calibri" w:cs="Calibri"/>
                <w:b/>
                <w:bCs/>
                <w:sz w:val="24"/>
                <w:szCs w:val="24"/>
              </w:rPr>
            </w:pPr>
            <w:r w:rsidRPr="00E86BD3">
              <w:rPr>
                <w:rFonts w:ascii="Calibri" w:hAnsi="Calibri" w:cs="Calibri"/>
                <w:b/>
                <w:bCs/>
                <w:sz w:val="24"/>
                <w:szCs w:val="24"/>
              </w:rPr>
              <w:t>Seção I</w:t>
            </w:r>
          </w:p>
          <w:p w14:paraId="62074EC0" w14:textId="0765317B" w:rsidR="00E31838" w:rsidRPr="00E86BD3"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E86BD3">
              <w:rPr>
                <w:rFonts w:ascii="Calibri" w:hAnsi="Calibri" w:cs="Calibri"/>
                <w:b/>
                <w:bCs/>
                <w:sz w:val="24"/>
                <w:szCs w:val="24"/>
              </w:rPr>
              <w:t>Das Definições e dos Requisitos Gerais</w:t>
            </w:r>
          </w:p>
        </w:tc>
        <w:tc>
          <w:tcPr>
            <w:tcW w:w="5462" w:type="dxa"/>
            <w:shd w:val="clear" w:color="auto" w:fill="auto"/>
            <w:noWrap/>
            <w:vAlign w:val="center"/>
            <w:hideMark/>
          </w:tcPr>
          <w:p w14:paraId="47983126" w14:textId="77777777"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212C350E" w14:textId="34A259FE"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Requisitos Gerais</w:t>
            </w:r>
          </w:p>
        </w:tc>
        <w:tc>
          <w:tcPr>
            <w:tcW w:w="4076" w:type="dxa"/>
            <w:shd w:val="clear" w:color="auto" w:fill="auto"/>
            <w:noWrap/>
            <w:vAlign w:val="center"/>
            <w:hideMark/>
          </w:tcPr>
          <w:p w14:paraId="37FC27CA"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337A2C9A" w14:textId="6A8A7DD7" w:rsidTr="00E31838">
        <w:tc>
          <w:tcPr>
            <w:tcW w:w="4598" w:type="dxa"/>
            <w:vAlign w:val="center"/>
          </w:tcPr>
          <w:p w14:paraId="3DB1FF3C" w14:textId="59E2280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31. Toda a hipótese atuarial adotada para avaliação atuarial de plano de benefícios deve estar embasada em estudo técnico de adequação.</w:t>
            </w:r>
          </w:p>
        </w:tc>
        <w:tc>
          <w:tcPr>
            <w:tcW w:w="5462" w:type="dxa"/>
            <w:shd w:val="clear" w:color="auto" w:fill="auto"/>
            <w:noWrap/>
            <w:vAlign w:val="center"/>
            <w:hideMark/>
          </w:tcPr>
          <w:p w14:paraId="4361B923" w14:textId="5D11F5E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31.  Toda a hipótese atuarial adotada para avaliação atuarial de plano de benefícios deve estar embasada em estudo técnico de adequação.</w:t>
            </w:r>
          </w:p>
        </w:tc>
        <w:tc>
          <w:tcPr>
            <w:tcW w:w="4076" w:type="dxa"/>
            <w:shd w:val="clear" w:color="auto" w:fill="auto"/>
            <w:noWrap/>
            <w:vAlign w:val="center"/>
            <w:hideMark/>
          </w:tcPr>
          <w:p w14:paraId="17084E15" w14:textId="06A0B2B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119A8F4" w14:textId="57515716" w:rsidTr="00E31838">
        <w:tc>
          <w:tcPr>
            <w:tcW w:w="4598" w:type="dxa"/>
            <w:vAlign w:val="center"/>
          </w:tcPr>
          <w:p w14:paraId="203B78C0" w14:textId="5427903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32. O estudo técnico de adequação é o instrumento técnico de responsabilidade da EFPC, no qual devem ser demonstradas para cada plano de benefícios:</w:t>
            </w:r>
          </w:p>
        </w:tc>
        <w:tc>
          <w:tcPr>
            <w:tcW w:w="5462" w:type="dxa"/>
            <w:shd w:val="clear" w:color="auto" w:fill="auto"/>
            <w:noWrap/>
            <w:vAlign w:val="center"/>
            <w:hideMark/>
          </w:tcPr>
          <w:p w14:paraId="7B02FBEF" w14:textId="249CB83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32.  O estudo técnico de adequação é o instrumento técnico de responsabilidade da EFPC, no qual devem ser demonstradas para cada plano de benefícios:</w:t>
            </w:r>
          </w:p>
        </w:tc>
        <w:tc>
          <w:tcPr>
            <w:tcW w:w="4076" w:type="dxa"/>
            <w:shd w:val="clear" w:color="auto" w:fill="auto"/>
            <w:noWrap/>
            <w:vAlign w:val="center"/>
            <w:hideMark/>
          </w:tcPr>
          <w:p w14:paraId="3C87EA4C"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7301BE3" w14:textId="5EAE2E5D" w:rsidTr="00E31838">
        <w:tc>
          <w:tcPr>
            <w:tcW w:w="4598" w:type="dxa"/>
            <w:vAlign w:val="center"/>
          </w:tcPr>
          <w:p w14:paraId="0C32CFEE" w14:textId="0CD4030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I - a convergência entre a hipótese de taxa real anual de juros e a taxa de retorno real anual projetada para as aplicações dos recursos </w:t>
            </w:r>
            <w:r w:rsidRPr="0010524E">
              <w:rPr>
                <w:rFonts w:ascii="Calibri" w:hAnsi="Calibri" w:cs="Calibri"/>
                <w:sz w:val="24"/>
                <w:szCs w:val="24"/>
              </w:rPr>
              <w:lastRenderedPageBreak/>
              <w:t>garantidores relacionados aos benefícios a conceder e concedidos que tenham seu valor ou nível previamente estabelecido e cujo custeio seja determinado atuarialmente; e</w:t>
            </w:r>
          </w:p>
        </w:tc>
        <w:tc>
          <w:tcPr>
            <w:tcW w:w="5462" w:type="dxa"/>
            <w:shd w:val="clear" w:color="auto" w:fill="auto"/>
            <w:noWrap/>
            <w:vAlign w:val="center"/>
            <w:hideMark/>
          </w:tcPr>
          <w:p w14:paraId="09601B69" w14:textId="7D57599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I - a convergência entre a hipótese de taxa real anual de juros e a taxa de retorno real anual projetada para as aplicações dos recursos garantidores relacionados </w:t>
            </w:r>
            <w:r w:rsidRPr="0010524E">
              <w:rPr>
                <w:rFonts w:ascii="Calibri" w:eastAsia="Times New Roman" w:hAnsi="Calibri" w:cs="Calibri"/>
                <w:kern w:val="0"/>
                <w:sz w:val="24"/>
                <w:szCs w:val="24"/>
                <w:lang w:eastAsia="pt-BR"/>
                <w14:ligatures w14:val="none"/>
              </w:rPr>
              <w:lastRenderedPageBreak/>
              <w:t>aos benefícios a conceder e concedidos que tenham seu valor ou nível previamente estabelecido e cujo custeio seja determinado atuarialmente; e</w:t>
            </w:r>
          </w:p>
        </w:tc>
        <w:tc>
          <w:tcPr>
            <w:tcW w:w="4076" w:type="dxa"/>
            <w:shd w:val="clear" w:color="auto" w:fill="auto"/>
            <w:noWrap/>
            <w:vAlign w:val="center"/>
            <w:hideMark/>
          </w:tcPr>
          <w:p w14:paraId="47083C72"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18226AD" w14:textId="2FA180F6" w:rsidTr="00E31838">
        <w:tc>
          <w:tcPr>
            <w:tcW w:w="4598" w:type="dxa"/>
            <w:vAlign w:val="center"/>
          </w:tcPr>
          <w:p w14:paraId="295850F7" w14:textId="3C8582E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a aderência das demais hipóteses biométricas, demográficas, econômicas e financeiras às características da massa de participantes e assistidos e do plano de benefícios.</w:t>
            </w:r>
          </w:p>
        </w:tc>
        <w:tc>
          <w:tcPr>
            <w:tcW w:w="5462" w:type="dxa"/>
            <w:shd w:val="clear" w:color="auto" w:fill="auto"/>
            <w:noWrap/>
            <w:vAlign w:val="center"/>
            <w:hideMark/>
          </w:tcPr>
          <w:p w14:paraId="19C3914C" w14:textId="2CE3227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a aderência das demais hipóteses biométricas, demográficas, econômicas e financeiras às características da massa de participantes e assistidos e do plano de benefícios.</w:t>
            </w:r>
          </w:p>
        </w:tc>
        <w:tc>
          <w:tcPr>
            <w:tcW w:w="4076" w:type="dxa"/>
            <w:shd w:val="clear" w:color="auto" w:fill="auto"/>
            <w:noWrap/>
            <w:vAlign w:val="center"/>
            <w:hideMark/>
          </w:tcPr>
          <w:p w14:paraId="7EA9CAAD"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08FC71A" w14:textId="7BB33F6B" w:rsidTr="00E31838">
        <w:tc>
          <w:tcPr>
            <w:tcW w:w="4598" w:type="dxa"/>
            <w:vAlign w:val="center"/>
          </w:tcPr>
          <w:p w14:paraId="31E5329B" w14:textId="68FBC3D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33. O estudo técnico de adequação deve:</w:t>
            </w:r>
          </w:p>
        </w:tc>
        <w:tc>
          <w:tcPr>
            <w:tcW w:w="5462" w:type="dxa"/>
            <w:shd w:val="clear" w:color="auto" w:fill="auto"/>
            <w:noWrap/>
            <w:vAlign w:val="center"/>
            <w:hideMark/>
          </w:tcPr>
          <w:p w14:paraId="3D8ACABA" w14:textId="4A1C2B6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33.  O estudo técnico de adequação deve:</w:t>
            </w:r>
          </w:p>
        </w:tc>
        <w:tc>
          <w:tcPr>
            <w:tcW w:w="4076" w:type="dxa"/>
            <w:shd w:val="clear" w:color="auto" w:fill="auto"/>
            <w:noWrap/>
            <w:vAlign w:val="center"/>
            <w:hideMark/>
          </w:tcPr>
          <w:p w14:paraId="10900442"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33A36C6" w14:textId="391A9345" w:rsidTr="00E31838">
        <w:tc>
          <w:tcPr>
            <w:tcW w:w="4598" w:type="dxa"/>
            <w:vAlign w:val="center"/>
          </w:tcPr>
          <w:p w14:paraId="434874BE" w14:textId="1D93F1F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estar acompanhado de parecer conclusivo do atuário acerca do conjunto de hipóteses tecnicamente adequado ao plano de benefícios, considerando a aderência e a convergência verificadas nos estudos;</w:t>
            </w:r>
          </w:p>
        </w:tc>
        <w:tc>
          <w:tcPr>
            <w:tcW w:w="5462" w:type="dxa"/>
            <w:shd w:val="clear" w:color="auto" w:fill="auto"/>
            <w:noWrap/>
            <w:vAlign w:val="center"/>
            <w:hideMark/>
          </w:tcPr>
          <w:p w14:paraId="7C4831A7" w14:textId="3B0B25B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estar acompanhado de parecer conclusivo do atuário acerca do conjunto de hipóteses tecnicamente adequado ao plano de benefícios, considerando a aderência e a convergência verificadas nos estudos;</w:t>
            </w:r>
          </w:p>
        </w:tc>
        <w:tc>
          <w:tcPr>
            <w:tcW w:w="4076" w:type="dxa"/>
            <w:shd w:val="clear" w:color="auto" w:fill="auto"/>
            <w:noWrap/>
            <w:vAlign w:val="center"/>
            <w:hideMark/>
          </w:tcPr>
          <w:p w14:paraId="78A5C016"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E79E5DA" w14:textId="03D02017" w:rsidTr="00E31838">
        <w:tc>
          <w:tcPr>
            <w:tcW w:w="4598" w:type="dxa"/>
            <w:vAlign w:val="center"/>
          </w:tcPr>
          <w:p w14:paraId="668986F3" w14:textId="4FB707D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possuir atestado de validação, expedido pelo Administrador Estatutário Tecnicamente Qualificado (AETQ), relativo às informações de investimento utilizadas no estudo técnico; e</w:t>
            </w:r>
          </w:p>
        </w:tc>
        <w:tc>
          <w:tcPr>
            <w:tcW w:w="5462" w:type="dxa"/>
            <w:shd w:val="clear" w:color="auto" w:fill="auto"/>
            <w:noWrap/>
            <w:vAlign w:val="center"/>
            <w:hideMark/>
          </w:tcPr>
          <w:p w14:paraId="58A5DA85" w14:textId="71B4E35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possuir atestado de validação, expedido pelo Administrador Estatutário Tecnicamente Qualificado (AETQ), relativo às informações de investimento utilizadas no estudo técnico; e</w:t>
            </w:r>
          </w:p>
        </w:tc>
        <w:tc>
          <w:tcPr>
            <w:tcW w:w="4076" w:type="dxa"/>
            <w:shd w:val="clear" w:color="auto" w:fill="auto"/>
            <w:noWrap/>
            <w:vAlign w:val="center"/>
            <w:hideMark/>
          </w:tcPr>
          <w:p w14:paraId="6DBD0F0F"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557E8EA" w14:textId="5904CB68" w:rsidTr="00E31838">
        <w:tc>
          <w:tcPr>
            <w:tcW w:w="4598" w:type="dxa"/>
            <w:vAlign w:val="center"/>
          </w:tcPr>
          <w:p w14:paraId="6F4341BE" w14:textId="3BB4C54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possuir atestado de validação, expedido pelo ARPB, relativo aos dados cadastrais e demais informações referentes ao passivo atuarial utilizados no estudo técnico.</w:t>
            </w:r>
          </w:p>
        </w:tc>
        <w:tc>
          <w:tcPr>
            <w:tcW w:w="5462" w:type="dxa"/>
            <w:shd w:val="clear" w:color="auto" w:fill="auto"/>
            <w:noWrap/>
            <w:vAlign w:val="center"/>
            <w:hideMark/>
          </w:tcPr>
          <w:p w14:paraId="6F8E389D" w14:textId="5E04008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possuir atestado de validação, expedido pelo ARPB, relativo aos dados cadastrais e demais informações referentes ao passivo atuarial utilizados no estudo técnico.</w:t>
            </w:r>
          </w:p>
        </w:tc>
        <w:tc>
          <w:tcPr>
            <w:tcW w:w="4076" w:type="dxa"/>
            <w:shd w:val="clear" w:color="auto" w:fill="auto"/>
            <w:noWrap/>
            <w:vAlign w:val="center"/>
            <w:hideMark/>
          </w:tcPr>
          <w:p w14:paraId="3E1ECE9B"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75509A03" w14:textId="12BA62BC" w:rsidTr="00E31838">
        <w:tc>
          <w:tcPr>
            <w:tcW w:w="4598" w:type="dxa"/>
            <w:vAlign w:val="center"/>
          </w:tcPr>
          <w:p w14:paraId="780AE37C" w14:textId="21003C0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34. Em relação ao procedimento de elaboração, o estudo técnico de adequação deve ser:</w:t>
            </w:r>
          </w:p>
        </w:tc>
        <w:tc>
          <w:tcPr>
            <w:tcW w:w="5462" w:type="dxa"/>
            <w:shd w:val="clear" w:color="auto" w:fill="auto"/>
            <w:noWrap/>
            <w:vAlign w:val="center"/>
            <w:hideMark/>
          </w:tcPr>
          <w:p w14:paraId="755105D1" w14:textId="243E81E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34.  Em relação ao procedimento de elaboração, o estudo técnico de adequação deve ser:</w:t>
            </w:r>
          </w:p>
        </w:tc>
        <w:tc>
          <w:tcPr>
            <w:tcW w:w="4076" w:type="dxa"/>
            <w:shd w:val="clear" w:color="auto" w:fill="auto"/>
            <w:noWrap/>
            <w:vAlign w:val="center"/>
            <w:hideMark/>
          </w:tcPr>
          <w:p w14:paraId="40591BA3"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F35AB7E" w14:textId="7983336E" w:rsidTr="00E31838">
        <w:tc>
          <w:tcPr>
            <w:tcW w:w="4598" w:type="dxa"/>
            <w:vAlign w:val="center"/>
          </w:tcPr>
          <w:p w14:paraId="764036F1" w14:textId="210AFA1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I - elaborado pelo atuário habilitado e legalmente responsável pelo plano de benefícios;</w:t>
            </w:r>
          </w:p>
        </w:tc>
        <w:tc>
          <w:tcPr>
            <w:tcW w:w="5462" w:type="dxa"/>
            <w:shd w:val="clear" w:color="auto" w:fill="auto"/>
            <w:noWrap/>
            <w:vAlign w:val="center"/>
            <w:hideMark/>
          </w:tcPr>
          <w:p w14:paraId="1A04DD58" w14:textId="73BC9DBF"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elaborado pelo atuário habilitado e legalmente responsável pelo plano de benefícios;</w:t>
            </w:r>
          </w:p>
        </w:tc>
        <w:tc>
          <w:tcPr>
            <w:tcW w:w="4076" w:type="dxa"/>
            <w:shd w:val="clear" w:color="auto" w:fill="auto"/>
            <w:noWrap/>
            <w:vAlign w:val="center"/>
            <w:hideMark/>
          </w:tcPr>
          <w:p w14:paraId="47AC312A"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98206BA" w14:textId="276DCD7C" w:rsidTr="00E31838">
        <w:tc>
          <w:tcPr>
            <w:tcW w:w="4598" w:type="dxa"/>
            <w:vAlign w:val="center"/>
          </w:tcPr>
          <w:p w14:paraId="63648183" w14:textId="3D27E96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embasado em informações fornecidas pela EFPC e pelo respectivo patrocinador ou instituidor.</w:t>
            </w:r>
          </w:p>
        </w:tc>
        <w:tc>
          <w:tcPr>
            <w:tcW w:w="5462" w:type="dxa"/>
            <w:shd w:val="clear" w:color="auto" w:fill="auto"/>
            <w:noWrap/>
            <w:vAlign w:val="center"/>
            <w:hideMark/>
          </w:tcPr>
          <w:p w14:paraId="4915491C" w14:textId="7FD1A82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embasado em informações fornecidas pela EFPC e pelo respectivo patrocinador ou instituidor.</w:t>
            </w:r>
          </w:p>
        </w:tc>
        <w:tc>
          <w:tcPr>
            <w:tcW w:w="4076" w:type="dxa"/>
            <w:shd w:val="clear" w:color="auto" w:fill="auto"/>
            <w:noWrap/>
            <w:vAlign w:val="center"/>
            <w:hideMark/>
          </w:tcPr>
          <w:p w14:paraId="50A2A5EA"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FC291E0" w14:textId="17C1E98C" w:rsidTr="00E31838">
        <w:tc>
          <w:tcPr>
            <w:tcW w:w="4598" w:type="dxa"/>
            <w:vAlign w:val="center"/>
          </w:tcPr>
          <w:p w14:paraId="29248228" w14:textId="3F326AC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§1º Os dados cadastrais e demais informações referentes ao passivo atuarial devem ser providenciados pelo ARPB e as informações relativas aos investimentos devem ser providenciadas pelo AETQ.</w:t>
            </w:r>
          </w:p>
        </w:tc>
        <w:tc>
          <w:tcPr>
            <w:tcW w:w="5462" w:type="dxa"/>
            <w:shd w:val="clear" w:color="auto" w:fill="auto"/>
            <w:noWrap/>
            <w:vAlign w:val="center"/>
            <w:hideMark/>
          </w:tcPr>
          <w:p w14:paraId="7FB20CA1" w14:textId="74F7829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1º  Os dados cadastrais e demais informações referentes ao passivo atuarial devem ser providenciados pelo ARPB e as informações relativas aos investimentos devem ser providenciadas pelo AETQ.</w:t>
            </w:r>
          </w:p>
        </w:tc>
        <w:tc>
          <w:tcPr>
            <w:tcW w:w="4076" w:type="dxa"/>
            <w:shd w:val="clear" w:color="auto" w:fill="auto"/>
            <w:vAlign w:val="center"/>
            <w:hideMark/>
          </w:tcPr>
          <w:p w14:paraId="6C9B80B2"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5270024" w14:textId="1D43BDDB" w:rsidTr="00E31838">
        <w:tc>
          <w:tcPr>
            <w:tcW w:w="4598" w:type="dxa"/>
            <w:vAlign w:val="center"/>
          </w:tcPr>
          <w:p w14:paraId="50795E9B" w14:textId="0C3794B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§2º Cabe à EFPC solicitar a manifestação fundamentada do patrocinador ou instituidor acerca das hipóteses econômicas e financeiras que guardem relação com suas respectivas atividades, devendo essa informação ser utilizada como subsídio para a demonstração da aderência dessas hipóteses no estudo técnico referido no caput.</w:t>
            </w:r>
          </w:p>
        </w:tc>
        <w:tc>
          <w:tcPr>
            <w:tcW w:w="5462" w:type="dxa"/>
            <w:shd w:val="clear" w:color="auto" w:fill="auto"/>
            <w:noWrap/>
            <w:vAlign w:val="center"/>
            <w:hideMark/>
          </w:tcPr>
          <w:p w14:paraId="78E43D73" w14:textId="5903621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 2º  Cabe à EFPC solicitar a manifestação fundamentada do patrocinador ou instituidor acerca das hipóteses econômicas e financeiras que guardem relação com suas respectivas atividades, devendo essa informação ser utilizada como subsídio para a demonstração da aderência dessas hipóteses no estudo técnico referido no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w:t>
            </w:r>
          </w:p>
        </w:tc>
        <w:tc>
          <w:tcPr>
            <w:tcW w:w="4076" w:type="dxa"/>
            <w:shd w:val="clear" w:color="auto" w:fill="auto"/>
            <w:noWrap/>
            <w:vAlign w:val="center"/>
            <w:hideMark/>
          </w:tcPr>
          <w:p w14:paraId="67166DAB"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F96D226" w14:textId="3F80593D" w:rsidTr="00E31838">
        <w:tc>
          <w:tcPr>
            <w:tcW w:w="4598" w:type="dxa"/>
            <w:vAlign w:val="center"/>
          </w:tcPr>
          <w:p w14:paraId="62223FD6" w14:textId="4B50CEF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35. Em relação ao prazo de validade, o estudo técnico de adequação deve ter:</w:t>
            </w:r>
          </w:p>
        </w:tc>
        <w:tc>
          <w:tcPr>
            <w:tcW w:w="5462" w:type="dxa"/>
            <w:shd w:val="clear" w:color="auto" w:fill="auto"/>
            <w:noWrap/>
            <w:vAlign w:val="center"/>
            <w:hideMark/>
          </w:tcPr>
          <w:p w14:paraId="774329A7" w14:textId="73057A0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35.  Em relação ao prazo de validade, o estudo técnico de adequação deve ter:</w:t>
            </w:r>
          </w:p>
        </w:tc>
        <w:tc>
          <w:tcPr>
            <w:tcW w:w="4076" w:type="dxa"/>
            <w:shd w:val="clear" w:color="auto" w:fill="auto"/>
            <w:noWrap/>
            <w:vAlign w:val="center"/>
            <w:hideMark/>
          </w:tcPr>
          <w:p w14:paraId="66A1E62C"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CA1EABF" w14:textId="3A475807" w:rsidTr="00E31838">
        <w:tc>
          <w:tcPr>
            <w:tcW w:w="4598" w:type="dxa"/>
            <w:vAlign w:val="center"/>
          </w:tcPr>
          <w:p w14:paraId="4588DAAF" w14:textId="762123E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validade geral máxima de três anos, contados a partir da data de sua realização, cabendo ao ARPB avaliar e indicar a necessidade de realização em menor período, conforme parecer do atuário habilitado e legalmente responsável pelo plano de benefícios.</w:t>
            </w:r>
          </w:p>
        </w:tc>
        <w:tc>
          <w:tcPr>
            <w:tcW w:w="5462" w:type="dxa"/>
            <w:shd w:val="clear" w:color="auto" w:fill="auto"/>
            <w:noWrap/>
            <w:vAlign w:val="center"/>
            <w:hideMark/>
          </w:tcPr>
          <w:p w14:paraId="44F918AC" w14:textId="318969F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validade geral máxima de três anos, contados a partir da data de sua realização, cabendo ao ARPB avaliar e indicar a necessidade de realização em menor período, conforme parecer do atuário habilitado e legalmente responsável pelo plano de benefícios.</w:t>
            </w:r>
          </w:p>
        </w:tc>
        <w:tc>
          <w:tcPr>
            <w:tcW w:w="4076" w:type="dxa"/>
            <w:shd w:val="clear" w:color="auto" w:fill="auto"/>
            <w:noWrap/>
            <w:vAlign w:val="center"/>
            <w:hideMark/>
          </w:tcPr>
          <w:p w14:paraId="2334504F"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7B114655" w14:textId="12206B9E" w:rsidTr="00E31838">
        <w:tc>
          <w:tcPr>
            <w:tcW w:w="4598" w:type="dxa"/>
            <w:vAlign w:val="center"/>
          </w:tcPr>
          <w:p w14:paraId="78F70651" w14:textId="706A97D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II - validade específica em relação à hipótese de taxa real anual de juros de um ano.</w:t>
            </w:r>
          </w:p>
        </w:tc>
        <w:tc>
          <w:tcPr>
            <w:tcW w:w="5462" w:type="dxa"/>
            <w:shd w:val="clear" w:color="auto" w:fill="auto"/>
            <w:noWrap/>
            <w:vAlign w:val="center"/>
            <w:hideMark/>
          </w:tcPr>
          <w:p w14:paraId="3925C7D3" w14:textId="0AF1413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validade específica em relação à hipótese de taxa real anual de juros de um ano.</w:t>
            </w:r>
          </w:p>
        </w:tc>
        <w:tc>
          <w:tcPr>
            <w:tcW w:w="4076" w:type="dxa"/>
            <w:shd w:val="clear" w:color="auto" w:fill="auto"/>
            <w:noWrap/>
            <w:vAlign w:val="center"/>
            <w:hideMark/>
          </w:tcPr>
          <w:p w14:paraId="796FC270"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374F05C" w14:textId="5E181A89" w:rsidTr="00E31838">
        <w:tc>
          <w:tcPr>
            <w:tcW w:w="4598" w:type="dxa"/>
            <w:vAlign w:val="center"/>
          </w:tcPr>
          <w:p w14:paraId="131425D1" w14:textId="3A70F38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A validade do estudo técnico de adequação para a hipótese de tábua de mortalidade geral, que trata o inciso I deste artigo, será de cinco anos para os planos de benefícios que adotarem tábua geracional de mortalidade geral com a respectiva escala de melhoria de longevidade.</w:t>
            </w:r>
          </w:p>
        </w:tc>
        <w:tc>
          <w:tcPr>
            <w:tcW w:w="5462" w:type="dxa"/>
            <w:shd w:val="clear" w:color="auto" w:fill="auto"/>
            <w:noWrap/>
            <w:vAlign w:val="center"/>
            <w:hideMark/>
          </w:tcPr>
          <w:p w14:paraId="7073D12B" w14:textId="526C30A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 validade do estudo técnico de adequação para a hipótese de tábua de mortalidade geral, que trata o inciso I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será de cinco anos para os planos de benefícios que adotarem tábua geracional de mortalidade geral com a respectiva escala de melhoria de longevidade.</w:t>
            </w:r>
          </w:p>
        </w:tc>
        <w:tc>
          <w:tcPr>
            <w:tcW w:w="4076" w:type="dxa"/>
            <w:shd w:val="clear" w:color="auto" w:fill="auto"/>
            <w:noWrap/>
            <w:vAlign w:val="center"/>
            <w:hideMark/>
          </w:tcPr>
          <w:p w14:paraId="262C443A"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FE6AD23" w14:textId="7F3E687B" w:rsidTr="00E31838">
        <w:tc>
          <w:tcPr>
            <w:tcW w:w="4598" w:type="dxa"/>
            <w:vAlign w:val="center"/>
          </w:tcPr>
          <w:p w14:paraId="43DC7109" w14:textId="5A4D4D5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36. Na ocorrência de fato relevante que enseje a elaboração de nova avaliação atuarial, o estudo técnico de adequação deve refletir a nova realidade do plano de benefícios.</w:t>
            </w:r>
          </w:p>
        </w:tc>
        <w:tc>
          <w:tcPr>
            <w:tcW w:w="5462" w:type="dxa"/>
            <w:shd w:val="clear" w:color="auto" w:fill="auto"/>
            <w:noWrap/>
            <w:vAlign w:val="center"/>
            <w:hideMark/>
          </w:tcPr>
          <w:p w14:paraId="2D0C4418" w14:textId="3FC188E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36.  Na ocorrência de fato relevante que enseje a elaboração de nova avaliação atuarial, o estudo técnico de adequação deve refletir a nova realidade do plano de benefícios.</w:t>
            </w:r>
          </w:p>
        </w:tc>
        <w:tc>
          <w:tcPr>
            <w:tcW w:w="4076" w:type="dxa"/>
            <w:shd w:val="clear" w:color="auto" w:fill="auto"/>
            <w:noWrap/>
            <w:vAlign w:val="center"/>
            <w:hideMark/>
          </w:tcPr>
          <w:p w14:paraId="4A9D25E2"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0AB8EF6" w14:textId="342B2366" w:rsidTr="00E31838">
        <w:tc>
          <w:tcPr>
            <w:tcW w:w="4598" w:type="dxa"/>
            <w:vAlign w:val="center"/>
          </w:tcPr>
          <w:p w14:paraId="0EAB1AD3" w14:textId="629D06C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37. A Previc pode determinar, a qualquer tempo, a realização de novo estudo técnico de adequação caso o estudo original seja avaliado como inconsistente ou insuficiente, apontando especificamente as inconsistências ou insuficiências a serem sanadas, bem como o devido embasamento técnico ou normativo.</w:t>
            </w:r>
          </w:p>
        </w:tc>
        <w:tc>
          <w:tcPr>
            <w:tcW w:w="5462" w:type="dxa"/>
            <w:shd w:val="clear" w:color="auto" w:fill="auto"/>
            <w:noWrap/>
            <w:vAlign w:val="center"/>
            <w:hideMark/>
          </w:tcPr>
          <w:p w14:paraId="4D15FA90" w14:textId="60D7EF2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37.  A Previc pode determinar, a qualquer tempo, a realização de novo estudo técnico de adequação caso o estudo original seja avaliado como inconsistente ou insuficiente, apontando especificamente as inconsistências ou insuficiências a serem sanadas, bem como o devido embasamento técnico ou normativo.</w:t>
            </w:r>
          </w:p>
        </w:tc>
        <w:tc>
          <w:tcPr>
            <w:tcW w:w="4076" w:type="dxa"/>
            <w:shd w:val="clear" w:color="auto" w:fill="auto"/>
            <w:noWrap/>
            <w:vAlign w:val="center"/>
            <w:hideMark/>
          </w:tcPr>
          <w:p w14:paraId="5F3A379C"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053990A" w14:textId="0E56CA4A" w:rsidTr="00E31838">
        <w:tc>
          <w:tcPr>
            <w:tcW w:w="4598" w:type="dxa"/>
            <w:vAlign w:val="center"/>
          </w:tcPr>
          <w:p w14:paraId="23B9A5FF" w14:textId="3D19EA0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38. Em relação à governança e à divulgação, o estudo técnico de adequação do plano de benefícios deve ser:</w:t>
            </w:r>
          </w:p>
        </w:tc>
        <w:tc>
          <w:tcPr>
            <w:tcW w:w="5462" w:type="dxa"/>
            <w:shd w:val="clear" w:color="auto" w:fill="auto"/>
            <w:noWrap/>
            <w:vAlign w:val="center"/>
            <w:hideMark/>
          </w:tcPr>
          <w:p w14:paraId="65AB4A51" w14:textId="6F1012D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38.  Em relação à governança e à divulgação, o estudo técnico de adequação do plano de benefícios deve ser:</w:t>
            </w:r>
          </w:p>
        </w:tc>
        <w:tc>
          <w:tcPr>
            <w:tcW w:w="4076" w:type="dxa"/>
            <w:shd w:val="clear" w:color="auto" w:fill="auto"/>
            <w:noWrap/>
            <w:vAlign w:val="center"/>
            <w:hideMark/>
          </w:tcPr>
          <w:p w14:paraId="774EE242"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81933FE" w14:textId="04582A3D" w:rsidTr="00E31838">
        <w:tc>
          <w:tcPr>
            <w:tcW w:w="4598" w:type="dxa"/>
            <w:vAlign w:val="center"/>
          </w:tcPr>
          <w:p w14:paraId="600C4870" w14:textId="2633809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aprovado pela Diretoria Executiva e pelo Conselho Deliberativo da EFPC;</w:t>
            </w:r>
          </w:p>
        </w:tc>
        <w:tc>
          <w:tcPr>
            <w:tcW w:w="5462" w:type="dxa"/>
            <w:shd w:val="clear" w:color="auto" w:fill="auto"/>
            <w:noWrap/>
            <w:vAlign w:val="center"/>
            <w:hideMark/>
          </w:tcPr>
          <w:p w14:paraId="5EC1E1CE" w14:textId="26001FE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aprovado pela Diretoria Executiva e pelo Conselho Deliberativo da EFPC;</w:t>
            </w:r>
          </w:p>
        </w:tc>
        <w:tc>
          <w:tcPr>
            <w:tcW w:w="4076" w:type="dxa"/>
            <w:shd w:val="clear" w:color="auto" w:fill="auto"/>
            <w:noWrap/>
            <w:vAlign w:val="center"/>
            <w:hideMark/>
          </w:tcPr>
          <w:p w14:paraId="4F007D04"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4D032A2" w14:textId="05929B64" w:rsidTr="00E31838">
        <w:tc>
          <w:tcPr>
            <w:tcW w:w="4598" w:type="dxa"/>
            <w:vAlign w:val="center"/>
          </w:tcPr>
          <w:p w14:paraId="56FFD269" w14:textId="20D99C6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acompanhado de parecer emitido pelo Conselho Fiscal; e</w:t>
            </w:r>
          </w:p>
        </w:tc>
        <w:tc>
          <w:tcPr>
            <w:tcW w:w="5462" w:type="dxa"/>
            <w:shd w:val="clear" w:color="auto" w:fill="auto"/>
            <w:noWrap/>
            <w:vAlign w:val="center"/>
            <w:hideMark/>
          </w:tcPr>
          <w:p w14:paraId="5F4DA546" w14:textId="12FDF29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disponibilizado ao Conselho Fiscal; e</w:t>
            </w:r>
          </w:p>
        </w:tc>
        <w:tc>
          <w:tcPr>
            <w:tcW w:w="4076" w:type="dxa"/>
            <w:shd w:val="clear" w:color="auto" w:fill="auto"/>
            <w:noWrap/>
            <w:vAlign w:val="center"/>
            <w:hideMark/>
          </w:tcPr>
          <w:p w14:paraId="40CA6A23" w14:textId="678143C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 alteração justifica-se para não vincular a realização do estudo a um parecer do </w:t>
            </w:r>
            <w:r w:rsidRPr="0010524E">
              <w:rPr>
                <w:rFonts w:ascii="Calibri" w:eastAsia="Times New Roman" w:hAnsi="Calibri" w:cs="Calibri"/>
                <w:kern w:val="0"/>
                <w:sz w:val="24"/>
                <w:szCs w:val="24"/>
                <w:lang w:eastAsia="pt-BR"/>
                <w14:ligatures w14:val="none"/>
              </w:rPr>
              <w:lastRenderedPageBreak/>
              <w:t>Conselho Fiscal, cuja atuação, em regra, deve se dar a posteriori da tomada de decisão do Conselho Deliberativo e da Diretoria Executiva. Assim, a obrigação que deve constar é a de que estudo deve ser disponibilizado ao Conselho Fiscal.</w:t>
            </w:r>
          </w:p>
        </w:tc>
      </w:tr>
      <w:tr w:rsidR="00E31838" w:rsidRPr="0010524E" w14:paraId="67989D40" w14:textId="5300E806" w:rsidTr="00E31838">
        <w:tc>
          <w:tcPr>
            <w:tcW w:w="4598" w:type="dxa"/>
            <w:vAlign w:val="center"/>
          </w:tcPr>
          <w:p w14:paraId="643BF37C" w14:textId="5751794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III - disponibilizado, quando requisitado, aos participantes, aos assistidos, aos patrocinadores, aos instituidores e à Previc.</w:t>
            </w:r>
          </w:p>
        </w:tc>
        <w:tc>
          <w:tcPr>
            <w:tcW w:w="5462" w:type="dxa"/>
            <w:shd w:val="clear" w:color="auto" w:fill="auto"/>
            <w:noWrap/>
            <w:vAlign w:val="center"/>
            <w:hideMark/>
          </w:tcPr>
          <w:p w14:paraId="32C86CCD" w14:textId="3350541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disponibilizado, quando requisitado, aos participantes, aos assistidos, aos patrocinadores, aos instituidores e à Previc.</w:t>
            </w:r>
          </w:p>
        </w:tc>
        <w:tc>
          <w:tcPr>
            <w:tcW w:w="4076" w:type="dxa"/>
            <w:shd w:val="clear" w:color="auto" w:fill="auto"/>
            <w:noWrap/>
            <w:vAlign w:val="center"/>
            <w:hideMark/>
          </w:tcPr>
          <w:p w14:paraId="4E02B74F"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C22ABFD" w14:textId="684B3C55" w:rsidTr="00E31838">
        <w:tc>
          <w:tcPr>
            <w:tcW w:w="4598" w:type="dxa"/>
            <w:vAlign w:val="center"/>
          </w:tcPr>
          <w:p w14:paraId="3E907F99" w14:textId="6BA56CA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§1º A aprovação referida no inciso I deste artigo não exime o atuário do plano da responsabilidade técnica sobre estudos, cálculos e serviços por ele prestados.</w:t>
            </w:r>
          </w:p>
        </w:tc>
        <w:tc>
          <w:tcPr>
            <w:tcW w:w="5462" w:type="dxa"/>
            <w:shd w:val="clear" w:color="auto" w:fill="auto"/>
            <w:noWrap/>
            <w:vAlign w:val="center"/>
            <w:hideMark/>
          </w:tcPr>
          <w:p w14:paraId="6767BEB6" w14:textId="44EB13E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 1º  A aprovação referida no inciso I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não exime o atuário do plano da responsabilidade técnica sobre estudos, cálculos e serviços por ele prestados.</w:t>
            </w:r>
          </w:p>
        </w:tc>
        <w:tc>
          <w:tcPr>
            <w:tcW w:w="4076" w:type="dxa"/>
            <w:shd w:val="clear" w:color="auto" w:fill="auto"/>
            <w:noWrap/>
            <w:vAlign w:val="center"/>
            <w:hideMark/>
          </w:tcPr>
          <w:p w14:paraId="120C4A73"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1FF50D5" w14:textId="741B673C" w:rsidTr="00E31838">
        <w:tc>
          <w:tcPr>
            <w:tcW w:w="4598" w:type="dxa"/>
            <w:vAlign w:val="center"/>
          </w:tcPr>
          <w:p w14:paraId="4F135827" w14:textId="444746A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§2º O estudo técnico de adequação deve ficar arquivado na EFPC, à disposição da Previc.</w:t>
            </w:r>
          </w:p>
        </w:tc>
        <w:tc>
          <w:tcPr>
            <w:tcW w:w="5462" w:type="dxa"/>
            <w:shd w:val="clear" w:color="auto" w:fill="auto"/>
            <w:noWrap/>
            <w:vAlign w:val="center"/>
            <w:hideMark/>
          </w:tcPr>
          <w:p w14:paraId="669C5864" w14:textId="2BB5AF0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2º  O estudo técnico de adequação deve ficar arquivado na EFPC, à disposição da Previc.</w:t>
            </w:r>
          </w:p>
        </w:tc>
        <w:tc>
          <w:tcPr>
            <w:tcW w:w="4076" w:type="dxa"/>
            <w:shd w:val="clear" w:color="auto" w:fill="auto"/>
            <w:noWrap/>
            <w:vAlign w:val="center"/>
            <w:hideMark/>
          </w:tcPr>
          <w:p w14:paraId="16F7DB0F"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7E9D4B9A" w14:textId="3A11EE66" w:rsidTr="00E31838">
        <w:tc>
          <w:tcPr>
            <w:tcW w:w="4598" w:type="dxa"/>
            <w:vAlign w:val="center"/>
          </w:tcPr>
          <w:p w14:paraId="54476442" w14:textId="51DE132A" w:rsidR="00E31838" w:rsidRDefault="00E31838" w:rsidP="000053DA">
            <w:pPr>
              <w:spacing w:after="0" w:line="240" w:lineRule="auto"/>
              <w:jc w:val="center"/>
              <w:rPr>
                <w:rFonts w:ascii="Calibri" w:hAnsi="Calibri" w:cs="Calibri"/>
                <w:sz w:val="24"/>
                <w:szCs w:val="24"/>
              </w:rPr>
            </w:pPr>
            <w:r w:rsidRPr="0010524E">
              <w:rPr>
                <w:rFonts w:ascii="Calibri" w:hAnsi="Calibri" w:cs="Calibri"/>
                <w:sz w:val="24"/>
                <w:szCs w:val="24"/>
              </w:rPr>
              <w:t>CAPÍTULO IX</w:t>
            </w:r>
          </w:p>
          <w:p w14:paraId="0F157008" w14:textId="195E5DF6"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DA AUTORIZAÇÃO PARA ADOÇÃO DE TAXA DE JUROS FORA DO INTERVALO</w:t>
            </w:r>
          </w:p>
        </w:tc>
        <w:tc>
          <w:tcPr>
            <w:tcW w:w="5462" w:type="dxa"/>
            <w:shd w:val="clear" w:color="auto" w:fill="auto"/>
            <w:noWrap/>
            <w:vAlign w:val="center"/>
            <w:hideMark/>
          </w:tcPr>
          <w:p w14:paraId="67755AD7" w14:textId="1C2AE703"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VII</w:t>
            </w:r>
          </w:p>
          <w:p w14:paraId="176E57B2" w14:textId="79E87FA2"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Autorização para Adoção de Taxa de Juros fora do Intervalo</w:t>
            </w:r>
          </w:p>
        </w:tc>
        <w:tc>
          <w:tcPr>
            <w:tcW w:w="4076" w:type="dxa"/>
            <w:shd w:val="clear" w:color="auto" w:fill="auto"/>
            <w:noWrap/>
            <w:vAlign w:val="center"/>
            <w:hideMark/>
          </w:tcPr>
          <w:p w14:paraId="7F2703D4"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7FF5B36D" w14:textId="08237C08" w:rsidTr="00E31838">
        <w:tc>
          <w:tcPr>
            <w:tcW w:w="4598" w:type="dxa"/>
            <w:vAlign w:val="center"/>
          </w:tcPr>
          <w:p w14:paraId="20ADFABE" w14:textId="28A6C4E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39. Caso pretenda adotar taxa real anual de juros fora do intervalo regulatório estabelecido, a EFPC deve enviar à Previc:</w:t>
            </w:r>
          </w:p>
        </w:tc>
        <w:tc>
          <w:tcPr>
            <w:tcW w:w="5462" w:type="dxa"/>
            <w:shd w:val="clear" w:color="auto" w:fill="auto"/>
            <w:noWrap/>
            <w:vAlign w:val="center"/>
            <w:hideMark/>
          </w:tcPr>
          <w:p w14:paraId="1B9B4312" w14:textId="36475DB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39.  Caso pretenda adotar taxa real anual de juros fora do intervalo regulatório estabelecido, a EFPC deve enviar à Previc:</w:t>
            </w:r>
          </w:p>
        </w:tc>
        <w:tc>
          <w:tcPr>
            <w:tcW w:w="4076" w:type="dxa"/>
            <w:shd w:val="clear" w:color="auto" w:fill="auto"/>
            <w:noWrap/>
            <w:vAlign w:val="center"/>
            <w:hideMark/>
          </w:tcPr>
          <w:p w14:paraId="2E68CE8D"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55E6CB1" w14:textId="19724E40" w:rsidTr="00E31838">
        <w:tc>
          <w:tcPr>
            <w:tcW w:w="4598" w:type="dxa"/>
            <w:vAlign w:val="center"/>
          </w:tcPr>
          <w:p w14:paraId="6995C79A" w14:textId="20DBBC3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requerimento de autorização assinado pelo representante legal da EFPC;</w:t>
            </w:r>
          </w:p>
        </w:tc>
        <w:tc>
          <w:tcPr>
            <w:tcW w:w="5462" w:type="dxa"/>
            <w:shd w:val="clear" w:color="auto" w:fill="auto"/>
            <w:noWrap/>
            <w:vAlign w:val="center"/>
            <w:hideMark/>
          </w:tcPr>
          <w:p w14:paraId="0E393590" w14:textId="316F111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requerimento de autorização assinado pelo representante legal da EFPC;</w:t>
            </w:r>
          </w:p>
        </w:tc>
        <w:tc>
          <w:tcPr>
            <w:tcW w:w="4076" w:type="dxa"/>
            <w:shd w:val="clear" w:color="auto" w:fill="auto"/>
            <w:noWrap/>
            <w:vAlign w:val="center"/>
            <w:hideMark/>
          </w:tcPr>
          <w:p w14:paraId="43C89B25"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34B065B" w14:textId="543652DA" w:rsidTr="00E31838">
        <w:tc>
          <w:tcPr>
            <w:tcW w:w="4598" w:type="dxa"/>
            <w:vAlign w:val="center"/>
          </w:tcPr>
          <w:p w14:paraId="44F42060" w14:textId="28D0409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cópia do estudo técnico de adequação; e</w:t>
            </w:r>
          </w:p>
        </w:tc>
        <w:tc>
          <w:tcPr>
            <w:tcW w:w="5462" w:type="dxa"/>
            <w:shd w:val="clear" w:color="auto" w:fill="auto"/>
            <w:noWrap/>
            <w:vAlign w:val="center"/>
            <w:hideMark/>
          </w:tcPr>
          <w:p w14:paraId="4BCB6666" w14:textId="50E1145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cópia do estudo técnico de adequação; e</w:t>
            </w:r>
          </w:p>
        </w:tc>
        <w:tc>
          <w:tcPr>
            <w:tcW w:w="4076" w:type="dxa"/>
            <w:shd w:val="clear" w:color="auto" w:fill="auto"/>
            <w:noWrap/>
            <w:vAlign w:val="center"/>
            <w:hideMark/>
          </w:tcPr>
          <w:p w14:paraId="55242833"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0D090D9" w14:textId="220D4EE3" w:rsidTr="00E31838">
        <w:tc>
          <w:tcPr>
            <w:tcW w:w="4598" w:type="dxa"/>
            <w:vAlign w:val="center"/>
          </w:tcPr>
          <w:p w14:paraId="35C94A70" w14:textId="584B3DB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demais documentos necessários.</w:t>
            </w:r>
          </w:p>
        </w:tc>
        <w:tc>
          <w:tcPr>
            <w:tcW w:w="5462" w:type="dxa"/>
            <w:shd w:val="clear" w:color="auto" w:fill="auto"/>
            <w:noWrap/>
            <w:vAlign w:val="center"/>
            <w:hideMark/>
          </w:tcPr>
          <w:p w14:paraId="01A7CCB2" w14:textId="5218B2F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demais documentos necessários.</w:t>
            </w:r>
          </w:p>
        </w:tc>
        <w:tc>
          <w:tcPr>
            <w:tcW w:w="4076" w:type="dxa"/>
            <w:shd w:val="clear" w:color="auto" w:fill="auto"/>
            <w:noWrap/>
            <w:vAlign w:val="center"/>
            <w:hideMark/>
          </w:tcPr>
          <w:p w14:paraId="1D64801D"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77BF509" w14:textId="2BB4C437" w:rsidTr="00E31838">
        <w:tc>
          <w:tcPr>
            <w:tcW w:w="4598" w:type="dxa"/>
            <w:vAlign w:val="center"/>
          </w:tcPr>
          <w:p w14:paraId="5F10F934" w14:textId="598C8E2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Art. 40. O requerimento de autorização para adoção de taxa real anual de juros referido no inciso I do art. 39 desta Instrução deve ser </w:t>
            </w:r>
            <w:r w:rsidRPr="0010524E">
              <w:rPr>
                <w:rFonts w:ascii="Calibri" w:hAnsi="Calibri" w:cs="Calibri"/>
                <w:sz w:val="24"/>
                <w:szCs w:val="24"/>
              </w:rPr>
              <w:lastRenderedPageBreak/>
              <w:t>encaminhado à Previc em formulário padrão juntamente com os seguintes documentos:</w:t>
            </w:r>
          </w:p>
        </w:tc>
        <w:tc>
          <w:tcPr>
            <w:tcW w:w="5462" w:type="dxa"/>
            <w:shd w:val="clear" w:color="auto" w:fill="auto"/>
            <w:noWrap/>
            <w:vAlign w:val="center"/>
            <w:hideMark/>
          </w:tcPr>
          <w:p w14:paraId="0A14880A" w14:textId="185DFA8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Art. 40.  O requerimento de autorização para adoção de taxa real anual de juros referido no inciso I do art. </w:t>
            </w:r>
            <w:r w:rsidRPr="0010524E">
              <w:rPr>
                <w:rFonts w:ascii="Calibri" w:eastAsia="Times New Roman" w:hAnsi="Calibri" w:cs="Calibri"/>
                <w:kern w:val="0"/>
                <w:sz w:val="24"/>
                <w:szCs w:val="24"/>
                <w:lang w:eastAsia="pt-BR"/>
                <w14:ligatures w14:val="none"/>
              </w:rPr>
              <w:lastRenderedPageBreak/>
              <w:t>39 deve ser encaminhado à Previc em formulário padrão juntamente com os seguintes documentos:</w:t>
            </w:r>
          </w:p>
        </w:tc>
        <w:tc>
          <w:tcPr>
            <w:tcW w:w="4076" w:type="dxa"/>
            <w:shd w:val="clear" w:color="auto" w:fill="auto"/>
            <w:noWrap/>
            <w:vAlign w:val="center"/>
            <w:hideMark/>
          </w:tcPr>
          <w:p w14:paraId="50B3A287"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6903CC9" w14:textId="12ED5F77" w:rsidTr="00E31838">
        <w:tc>
          <w:tcPr>
            <w:tcW w:w="4598" w:type="dxa"/>
            <w:vAlign w:val="center"/>
          </w:tcPr>
          <w:p w14:paraId="5DE8F803" w14:textId="0035FF6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ata de reunião da Diretoria Executiva, contendo aprovação ao estudo técnico de adequação e ao requerimento de autorização, bem como encaminhamento ao Conselho Deliberativo;</w:t>
            </w:r>
          </w:p>
        </w:tc>
        <w:tc>
          <w:tcPr>
            <w:tcW w:w="5462" w:type="dxa"/>
            <w:shd w:val="clear" w:color="auto" w:fill="auto"/>
            <w:noWrap/>
            <w:vAlign w:val="center"/>
            <w:hideMark/>
          </w:tcPr>
          <w:p w14:paraId="79F63D45" w14:textId="55E8B39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ata de reunião da Diretoria Executiva, contendo aprovação ao estudo técnico de adequação e ao requerimento de autorização, bem como encaminhamento ao Conselho Deliberativo;</w:t>
            </w:r>
          </w:p>
        </w:tc>
        <w:tc>
          <w:tcPr>
            <w:tcW w:w="4076" w:type="dxa"/>
            <w:shd w:val="clear" w:color="auto" w:fill="auto"/>
            <w:noWrap/>
            <w:vAlign w:val="center"/>
            <w:hideMark/>
          </w:tcPr>
          <w:p w14:paraId="76996A17"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65982A8" w14:textId="7DDA436B" w:rsidTr="00E31838">
        <w:tc>
          <w:tcPr>
            <w:tcW w:w="4598" w:type="dxa"/>
            <w:vAlign w:val="center"/>
          </w:tcPr>
          <w:p w14:paraId="1023B896" w14:textId="3293E3B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ata da reunião do Conselho Deliberativo, contendo aprovação ao estudo técnico de adequação e ao requerimento de autorização; e</w:t>
            </w:r>
          </w:p>
        </w:tc>
        <w:tc>
          <w:tcPr>
            <w:tcW w:w="5462" w:type="dxa"/>
            <w:shd w:val="clear" w:color="auto" w:fill="auto"/>
            <w:noWrap/>
            <w:vAlign w:val="center"/>
            <w:hideMark/>
          </w:tcPr>
          <w:p w14:paraId="2572D51E" w14:textId="6F2AB9A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ata da reunião do Conselho Deliberativo, contendo aprovação ao estudo técnico de adequação e ao requerimento de autorização; e</w:t>
            </w:r>
          </w:p>
        </w:tc>
        <w:tc>
          <w:tcPr>
            <w:tcW w:w="4076" w:type="dxa"/>
            <w:shd w:val="clear" w:color="auto" w:fill="auto"/>
            <w:noWrap/>
            <w:vAlign w:val="center"/>
            <w:hideMark/>
          </w:tcPr>
          <w:p w14:paraId="41669685"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3E4D685" w14:textId="3282E4C6" w:rsidTr="00E31838">
        <w:tc>
          <w:tcPr>
            <w:tcW w:w="4598" w:type="dxa"/>
            <w:vAlign w:val="center"/>
          </w:tcPr>
          <w:p w14:paraId="6A2B8A04" w14:textId="6E93C06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parecer a que se refere o inciso II do art. 38 desta Instrução, bem como ata da reunião Conselho Fiscal atestando a sua ciência do requerimento de autorização.</w:t>
            </w:r>
          </w:p>
        </w:tc>
        <w:tc>
          <w:tcPr>
            <w:tcW w:w="5462" w:type="dxa"/>
            <w:shd w:val="clear" w:color="auto" w:fill="auto"/>
            <w:noWrap/>
            <w:vAlign w:val="center"/>
            <w:hideMark/>
          </w:tcPr>
          <w:p w14:paraId="28DCF31C" w14:textId="4141622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3F67430D" w14:textId="2EF64CA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O dispositivo está sendo excluído para não dá margem à interpretação de que o conhecimento do Conselho Fiscal seja uma etapa prévia à tomada de decisão do Conselho Deliberativo e da Diretoria Executiva.</w:t>
            </w:r>
          </w:p>
        </w:tc>
      </w:tr>
      <w:tr w:rsidR="00E31838" w:rsidRPr="0010524E" w14:paraId="255E63D3" w14:textId="2FB314E8" w:rsidTr="00E31838">
        <w:tc>
          <w:tcPr>
            <w:tcW w:w="4598" w:type="dxa"/>
            <w:vAlign w:val="center"/>
          </w:tcPr>
          <w:p w14:paraId="6AD76EB1" w14:textId="3548AD8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41. O indeferimento do requerimento de autorização para adoção da taxa real anual de juros do plano de benefícios implica utilização de taxa dentro do intervalo regulatório estabelecido.</w:t>
            </w:r>
          </w:p>
        </w:tc>
        <w:tc>
          <w:tcPr>
            <w:tcW w:w="5462" w:type="dxa"/>
            <w:shd w:val="clear" w:color="auto" w:fill="auto"/>
            <w:noWrap/>
            <w:vAlign w:val="center"/>
            <w:hideMark/>
          </w:tcPr>
          <w:p w14:paraId="6CA7B2A3" w14:textId="5D20A10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41.  O indeferimento do requerimento de autorização para adoção da taxa real anual de juros do plano de benefícios implica utilização de taxa dentro do intervalo regulatório estabelecido.</w:t>
            </w:r>
          </w:p>
        </w:tc>
        <w:tc>
          <w:tcPr>
            <w:tcW w:w="4076" w:type="dxa"/>
            <w:shd w:val="clear" w:color="auto" w:fill="auto"/>
            <w:noWrap/>
            <w:vAlign w:val="center"/>
            <w:hideMark/>
          </w:tcPr>
          <w:p w14:paraId="787D0907"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AE793B9" w14:textId="1D81E6DD" w:rsidTr="00E31838">
        <w:tc>
          <w:tcPr>
            <w:tcW w:w="4598" w:type="dxa"/>
            <w:vAlign w:val="center"/>
          </w:tcPr>
          <w:p w14:paraId="563C5F24" w14:textId="38101A4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A Previc pode determinar, nos termos do art. 37 desta Instrução, a realização de novo estudo técnico de adequação.</w:t>
            </w:r>
          </w:p>
        </w:tc>
        <w:tc>
          <w:tcPr>
            <w:tcW w:w="5462" w:type="dxa"/>
            <w:shd w:val="clear" w:color="auto" w:fill="auto"/>
            <w:noWrap/>
            <w:vAlign w:val="center"/>
            <w:hideMark/>
          </w:tcPr>
          <w:p w14:paraId="046B8E99" w14:textId="45D05E4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 Previc pode determinar, nos termos do art. 37, a realização de novo estudo técnico de adequação.</w:t>
            </w:r>
          </w:p>
        </w:tc>
        <w:tc>
          <w:tcPr>
            <w:tcW w:w="4076" w:type="dxa"/>
            <w:shd w:val="clear" w:color="auto" w:fill="auto"/>
            <w:noWrap/>
            <w:vAlign w:val="center"/>
            <w:hideMark/>
          </w:tcPr>
          <w:p w14:paraId="2D4A2740" w14:textId="69B2DC2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DC7A230" w14:textId="782139A6" w:rsidTr="00E31838">
        <w:tc>
          <w:tcPr>
            <w:tcW w:w="4598" w:type="dxa"/>
            <w:vAlign w:val="center"/>
          </w:tcPr>
          <w:p w14:paraId="18D1E491" w14:textId="0999216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Art. 42. A autorização concedida pela Previc aplica-se exclusivamente à adoção da taxa real </w:t>
            </w:r>
            <w:r w:rsidRPr="0010524E">
              <w:rPr>
                <w:rFonts w:ascii="Calibri" w:hAnsi="Calibri" w:cs="Calibri"/>
                <w:sz w:val="24"/>
                <w:szCs w:val="24"/>
              </w:rPr>
              <w:lastRenderedPageBreak/>
              <w:t>anual de juros do plano de benefícios e não exime a responsabilidade dos gestores da EFPC e de outros profissionais que tenham contribuído para a realização do trabalho, os quais devem observar os princípios de segurança, rentabilidade, solvência, liquidez e transparência, respondendo na forma da lei pelos seus atos.</w:t>
            </w:r>
          </w:p>
        </w:tc>
        <w:tc>
          <w:tcPr>
            <w:tcW w:w="5462" w:type="dxa"/>
            <w:shd w:val="clear" w:color="auto" w:fill="auto"/>
            <w:noWrap/>
            <w:vAlign w:val="center"/>
            <w:hideMark/>
          </w:tcPr>
          <w:p w14:paraId="017F3820" w14:textId="0782B84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Art. 42.  A autorização concedida pela Previc aplica-se exclusivamente à adoção da taxa real anual de juros do </w:t>
            </w:r>
            <w:r w:rsidRPr="0010524E">
              <w:rPr>
                <w:rFonts w:ascii="Calibri" w:eastAsia="Times New Roman" w:hAnsi="Calibri" w:cs="Calibri"/>
                <w:kern w:val="0"/>
                <w:sz w:val="24"/>
                <w:szCs w:val="24"/>
                <w:lang w:eastAsia="pt-BR"/>
                <w14:ligatures w14:val="none"/>
              </w:rPr>
              <w:lastRenderedPageBreak/>
              <w:t>plano de benefícios e não exime a responsabilidade dos gestores da EFPC e de outros profissionais que tenham contribuído para a realização do trabalho, os quais devem observar os princípios de segurança, rentabilidade, solvência, liquidez e transparência, respondendo na forma da lei pelos seus atos.</w:t>
            </w:r>
          </w:p>
        </w:tc>
        <w:tc>
          <w:tcPr>
            <w:tcW w:w="4076" w:type="dxa"/>
            <w:shd w:val="clear" w:color="auto" w:fill="auto"/>
            <w:noWrap/>
            <w:vAlign w:val="center"/>
            <w:hideMark/>
          </w:tcPr>
          <w:p w14:paraId="0898CBDD"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7F5C6433" w14:textId="76CC13DD" w:rsidTr="00E31838">
        <w:tc>
          <w:tcPr>
            <w:tcW w:w="4598" w:type="dxa"/>
            <w:vAlign w:val="center"/>
          </w:tcPr>
          <w:p w14:paraId="35075F9E" w14:textId="5918613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A autorização referida no caput é válida somente para a avaliação atuarial do ano de referência.</w:t>
            </w:r>
          </w:p>
        </w:tc>
        <w:tc>
          <w:tcPr>
            <w:tcW w:w="5462" w:type="dxa"/>
            <w:shd w:val="clear" w:color="auto" w:fill="auto"/>
            <w:noWrap/>
            <w:vAlign w:val="center"/>
            <w:hideMark/>
          </w:tcPr>
          <w:p w14:paraId="46F8BDBB" w14:textId="1844156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 autorização referida no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é válida somente para a avaliação atuarial do ano de referência.</w:t>
            </w:r>
          </w:p>
        </w:tc>
        <w:tc>
          <w:tcPr>
            <w:tcW w:w="4076" w:type="dxa"/>
            <w:shd w:val="clear" w:color="auto" w:fill="auto"/>
            <w:noWrap/>
            <w:vAlign w:val="center"/>
            <w:hideMark/>
          </w:tcPr>
          <w:p w14:paraId="4F9379C9"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9A7EE46" w14:textId="71A771F1" w:rsidTr="00E31838">
        <w:tc>
          <w:tcPr>
            <w:tcW w:w="4598" w:type="dxa"/>
            <w:vAlign w:val="center"/>
          </w:tcPr>
          <w:p w14:paraId="107FD5DA" w14:textId="77777777" w:rsidR="00E31838" w:rsidRDefault="00E31838" w:rsidP="00E86BD3">
            <w:pPr>
              <w:spacing w:after="0" w:line="240" w:lineRule="auto"/>
              <w:jc w:val="center"/>
              <w:rPr>
                <w:rFonts w:ascii="Calibri" w:hAnsi="Calibri" w:cs="Calibri"/>
                <w:sz w:val="24"/>
                <w:szCs w:val="24"/>
              </w:rPr>
            </w:pPr>
            <w:r w:rsidRPr="0010524E">
              <w:rPr>
                <w:rFonts w:ascii="Calibri" w:hAnsi="Calibri" w:cs="Calibri"/>
                <w:sz w:val="24"/>
                <w:szCs w:val="24"/>
              </w:rPr>
              <w:t>CAPÍTULO X</w:t>
            </w:r>
          </w:p>
          <w:p w14:paraId="14B22ABD" w14:textId="133BC18C" w:rsidR="00E31838" w:rsidRPr="0010524E" w:rsidRDefault="00E31838" w:rsidP="00E86BD3">
            <w:pPr>
              <w:spacing w:after="0" w:line="240" w:lineRule="auto"/>
              <w:jc w:val="center"/>
              <w:rPr>
                <w:rFonts w:ascii="Calibri" w:eastAsia="Times New Roman" w:hAnsi="Calibri" w:cs="Calibri"/>
                <w:kern w:val="0"/>
                <w:sz w:val="24"/>
                <w:szCs w:val="24"/>
                <w:lang w:eastAsia="pt-BR"/>
                <w14:ligatures w14:val="none"/>
              </w:rPr>
            </w:pPr>
            <w:r w:rsidRPr="0010524E">
              <w:rPr>
                <w:rFonts w:ascii="Calibri" w:hAnsi="Calibri" w:cs="Calibri"/>
                <w:sz w:val="24"/>
                <w:szCs w:val="24"/>
              </w:rPr>
              <w:t>DISPOSIÇÕES FINAIS</w:t>
            </w:r>
          </w:p>
        </w:tc>
        <w:tc>
          <w:tcPr>
            <w:tcW w:w="5462" w:type="dxa"/>
            <w:shd w:val="clear" w:color="auto" w:fill="auto"/>
            <w:noWrap/>
            <w:vAlign w:val="center"/>
          </w:tcPr>
          <w:p w14:paraId="7F0424B0" w14:textId="5027FFF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5D006707"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5CCA597" w14:textId="6B872C82" w:rsidTr="00E31838">
        <w:tc>
          <w:tcPr>
            <w:tcW w:w="4598" w:type="dxa"/>
            <w:vAlign w:val="center"/>
          </w:tcPr>
          <w:p w14:paraId="4CE601AA" w14:textId="6BF4158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43. Os documentos elaborados para atendimento ao estabelecido nesta Instrução devem ser mantidos na EFPC à disposição da Previc.</w:t>
            </w:r>
          </w:p>
        </w:tc>
        <w:tc>
          <w:tcPr>
            <w:tcW w:w="5462" w:type="dxa"/>
            <w:shd w:val="clear" w:color="auto" w:fill="auto"/>
            <w:noWrap/>
            <w:vAlign w:val="center"/>
            <w:hideMark/>
          </w:tcPr>
          <w:p w14:paraId="12DC3114" w14:textId="0B0B7E6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24539985" w14:textId="52FC8F4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Deslocado para o final</w:t>
            </w:r>
          </w:p>
        </w:tc>
      </w:tr>
      <w:tr w:rsidR="00E31838" w:rsidRPr="0010524E" w14:paraId="20FF7209" w14:textId="4FCA6255" w:rsidTr="00E31838">
        <w:tc>
          <w:tcPr>
            <w:tcW w:w="4598" w:type="dxa"/>
            <w:vAlign w:val="center"/>
          </w:tcPr>
          <w:p w14:paraId="520456F5" w14:textId="0DEB441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44. O estudo técnico de adequação das hipóteses atuariais em relação à convergência da taxa real anual de juros, à aderência das demais hipóteses atuariais do plano de benefícios ou pedido de autorização para adoção de taxa de juros fora do intervalo, deve cumprir os requisitos especificados em Portaria da Diretoria de Fiscalização e Monitoramento - DIFIS.</w:t>
            </w:r>
          </w:p>
        </w:tc>
        <w:tc>
          <w:tcPr>
            <w:tcW w:w="5462" w:type="dxa"/>
            <w:shd w:val="clear" w:color="auto" w:fill="auto"/>
            <w:noWrap/>
            <w:vAlign w:val="center"/>
            <w:hideMark/>
          </w:tcPr>
          <w:p w14:paraId="64545D2C" w14:textId="53DBAD3F"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43.  O estudo técnico de adequação das hipóteses atuariais em relação à convergência da taxa real anual de juros, à aderência das demais hipóteses atuariais do plano de benefícios ou pedido de autorização para adoção de taxa de juros fora do intervalo, deve cumprir os requisitos especificados em Portaria da Diretoria –Diretoria de Normas - Dinor.</w:t>
            </w:r>
          </w:p>
        </w:tc>
        <w:tc>
          <w:tcPr>
            <w:tcW w:w="4076" w:type="dxa"/>
            <w:shd w:val="clear" w:color="auto" w:fill="auto"/>
            <w:noWrap/>
            <w:vAlign w:val="center"/>
            <w:hideMark/>
          </w:tcPr>
          <w:p w14:paraId="13874AF0" w14:textId="0F3ECD3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Como a análise dos pedidos de taxas fora do intervalo ficarão a cargo da Dinor, faz-se necessário ajustar a remissão de qual diretoria será responsável por emitir as regras do processo.</w:t>
            </w:r>
          </w:p>
        </w:tc>
      </w:tr>
      <w:tr w:rsidR="00E31838" w:rsidRPr="0010524E" w14:paraId="596C765A" w14:textId="6EDBEA4C" w:rsidTr="00E31838">
        <w:tc>
          <w:tcPr>
            <w:tcW w:w="4598" w:type="dxa"/>
            <w:vAlign w:val="center"/>
          </w:tcPr>
          <w:p w14:paraId="2A250C8B" w14:textId="5C78B59D" w:rsidR="00E31838" w:rsidRPr="0010524E" w:rsidRDefault="00E31838" w:rsidP="000053DA">
            <w:pPr>
              <w:spacing w:after="0" w:line="240" w:lineRule="auto"/>
              <w:jc w:val="both"/>
              <w:rPr>
                <w:rFonts w:ascii="Calibri" w:hAnsi="Calibri" w:cs="Calibri"/>
                <w:b/>
                <w:sz w:val="24"/>
                <w:szCs w:val="24"/>
              </w:rPr>
            </w:pPr>
            <w:r w:rsidRPr="0010524E">
              <w:rPr>
                <w:rFonts w:ascii="Calibri" w:hAnsi="Calibri" w:cs="Calibri"/>
                <w:b/>
                <w:sz w:val="24"/>
                <w:szCs w:val="24"/>
              </w:rPr>
              <w:t xml:space="preserve">Resolução Previc nº 8, de </w:t>
            </w:r>
            <w:r>
              <w:rPr>
                <w:rFonts w:ascii="Calibri" w:hAnsi="Calibri" w:cs="Calibri"/>
                <w:b/>
                <w:sz w:val="24"/>
                <w:szCs w:val="24"/>
              </w:rPr>
              <w:t xml:space="preserve">23 de março de </w:t>
            </w:r>
            <w:r w:rsidRPr="0010524E">
              <w:rPr>
                <w:rFonts w:ascii="Calibri" w:hAnsi="Calibri" w:cs="Calibri"/>
                <w:b/>
                <w:sz w:val="24"/>
                <w:szCs w:val="24"/>
              </w:rPr>
              <w:t>2022.</w:t>
            </w:r>
          </w:p>
        </w:tc>
        <w:tc>
          <w:tcPr>
            <w:tcW w:w="5462" w:type="dxa"/>
            <w:shd w:val="clear" w:color="auto" w:fill="auto"/>
            <w:noWrap/>
            <w:vAlign w:val="center"/>
          </w:tcPr>
          <w:p w14:paraId="6A5F0D1B"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4076" w:type="dxa"/>
            <w:shd w:val="clear" w:color="auto" w:fill="auto"/>
            <w:noWrap/>
            <w:vAlign w:val="center"/>
          </w:tcPr>
          <w:p w14:paraId="5B86B221"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17A89C77" w14:textId="77777777" w:rsidTr="00E31838">
        <w:tc>
          <w:tcPr>
            <w:tcW w:w="4598" w:type="dxa"/>
            <w:vAlign w:val="center"/>
          </w:tcPr>
          <w:p w14:paraId="5958A203" w14:textId="06BB5CDC" w:rsidR="00E31838" w:rsidRPr="00E86BD3" w:rsidRDefault="00E31838" w:rsidP="00E86BD3">
            <w:pPr>
              <w:pStyle w:val="legislacao-ementa"/>
              <w:shd w:val="clear" w:color="auto" w:fill="FFFFFF"/>
              <w:spacing w:before="0" w:beforeAutospacing="0" w:after="150" w:afterAutospacing="0"/>
              <w:jc w:val="both"/>
              <w:rPr>
                <w:rFonts w:asciiTheme="minorHAnsi" w:hAnsiTheme="minorHAnsi" w:cs="Calibri"/>
                <w:b/>
                <w:bCs/>
                <w:i/>
                <w:iCs/>
              </w:rPr>
            </w:pPr>
            <w:r w:rsidRPr="00E86BD3">
              <w:rPr>
                <w:rStyle w:val="nfase"/>
                <w:rFonts w:asciiTheme="minorHAnsi" w:hAnsiTheme="minorHAnsi" w:cs="Helvetica"/>
                <w:i w:val="0"/>
                <w:iCs w:val="0"/>
                <w:color w:val="333333"/>
                <w:szCs w:val="23"/>
              </w:rPr>
              <w:lastRenderedPageBreak/>
              <w:t>Dispõe sobre as regras para contratação de seguros para cobertura de riscos pelas entidades fechadas de previdência complementar.</w:t>
            </w:r>
          </w:p>
        </w:tc>
        <w:tc>
          <w:tcPr>
            <w:tcW w:w="5462" w:type="dxa"/>
            <w:shd w:val="clear" w:color="auto" w:fill="auto"/>
            <w:noWrap/>
            <w:vAlign w:val="center"/>
          </w:tcPr>
          <w:p w14:paraId="384C3218"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4076" w:type="dxa"/>
            <w:shd w:val="clear" w:color="auto" w:fill="auto"/>
            <w:noWrap/>
            <w:vAlign w:val="center"/>
          </w:tcPr>
          <w:p w14:paraId="5E2A96DD"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34813E3E" w14:textId="0B49AF37" w:rsidTr="00E31838">
        <w:tc>
          <w:tcPr>
            <w:tcW w:w="4598" w:type="dxa"/>
            <w:vAlign w:val="center"/>
          </w:tcPr>
          <w:p w14:paraId="3E5280F4" w14:textId="31555DE5" w:rsidR="00E31838" w:rsidRPr="00E86BD3" w:rsidRDefault="00E31838" w:rsidP="00E86BD3">
            <w:pPr>
              <w:spacing w:after="0" w:line="240" w:lineRule="auto"/>
              <w:rPr>
                <w:rStyle w:val="nfase"/>
                <w:rFonts w:cs="Helvetica"/>
                <w:i w:val="0"/>
                <w:iCs w:val="0"/>
                <w:color w:val="333333"/>
                <w:szCs w:val="23"/>
              </w:rPr>
            </w:pPr>
            <w:r w:rsidRPr="00E86BD3">
              <w:rPr>
                <w:rFonts w:ascii="Calibri" w:hAnsi="Calibri" w:cs="Calibri"/>
                <w:sz w:val="24"/>
                <w:szCs w:val="28"/>
              </w:rPr>
              <w:t>Contratação de seguro</w:t>
            </w:r>
          </w:p>
        </w:tc>
        <w:tc>
          <w:tcPr>
            <w:tcW w:w="5462" w:type="dxa"/>
            <w:shd w:val="clear" w:color="auto" w:fill="auto"/>
            <w:noWrap/>
            <w:vAlign w:val="center"/>
            <w:hideMark/>
          </w:tcPr>
          <w:p w14:paraId="6DE013AE" w14:textId="77777777"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VIII</w:t>
            </w:r>
          </w:p>
          <w:p w14:paraId="05DFAF11" w14:textId="485FE462"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Contratação de Seguro em planos de benefícios</w:t>
            </w:r>
          </w:p>
        </w:tc>
        <w:tc>
          <w:tcPr>
            <w:tcW w:w="4076" w:type="dxa"/>
            <w:shd w:val="clear" w:color="auto" w:fill="auto"/>
            <w:noWrap/>
            <w:vAlign w:val="center"/>
            <w:hideMark/>
          </w:tcPr>
          <w:p w14:paraId="714BD07A"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13E6D5EC" w14:textId="795A516C" w:rsidTr="00E31838">
        <w:tc>
          <w:tcPr>
            <w:tcW w:w="4598" w:type="dxa"/>
            <w:vAlign w:val="center"/>
          </w:tcPr>
          <w:p w14:paraId="478643D2" w14:textId="12B56E6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3º A EFPC pode contratar seguro específico para cobertura dos seguintes riscos em planos de benefícios:</w:t>
            </w:r>
          </w:p>
        </w:tc>
        <w:tc>
          <w:tcPr>
            <w:tcW w:w="5462" w:type="dxa"/>
            <w:shd w:val="clear" w:color="auto" w:fill="auto"/>
            <w:noWrap/>
            <w:vAlign w:val="center"/>
            <w:hideMark/>
          </w:tcPr>
          <w:p w14:paraId="019DE39B" w14:textId="5E487C0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44.  A EFPC pode contratar seguro específico para cobertura dos seguintes riscos em planos de benefícios:</w:t>
            </w:r>
          </w:p>
        </w:tc>
        <w:tc>
          <w:tcPr>
            <w:tcW w:w="4076" w:type="dxa"/>
            <w:shd w:val="clear" w:color="auto" w:fill="auto"/>
            <w:noWrap/>
            <w:vAlign w:val="center"/>
            <w:hideMark/>
          </w:tcPr>
          <w:p w14:paraId="21315953"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748A3E01" w14:textId="2CDE783A" w:rsidTr="00E31838">
        <w:tc>
          <w:tcPr>
            <w:tcW w:w="4598" w:type="dxa"/>
            <w:vAlign w:val="center"/>
          </w:tcPr>
          <w:p w14:paraId="19636A5F" w14:textId="4924D03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invalidez de participante;</w:t>
            </w:r>
          </w:p>
        </w:tc>
        <w:tc>
          <w:tcPr>
            <w:tcW w:w="5462" w:type="dxa"/>
            <w:shd w:val="clear" w:color="auto" w:fill="auto"/>
            <w:noWrap/>
            <w:vAlign w:val="center"/>
            <w:hideMark/>
          </w:tcPr>
          <w:p w14:paraId="3FA6A37C" w14:textId="48FBC2A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invalidez de participante;</w:t>
            </w:r>
          </w:p>
        </w:tc>
        <w:tc>
          <w:tcPr>
            <w:tcW w:w="4076" w:type="dxa"/>
            <w:shd w:val="clear" w:color="auto" w:fill="auto"/>
            <w:noWrap/>
            <w:vAlign w:val="center"/>
            <w:hideMark/>
          </w:tcPr>
          <w:p w14:paraId="76DAA97B"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2B3DE17" w14:textId="2627B1CB" w:rsidTr="00E31838">
        <w:tc>
          <w:tcPr>
            <w:tcW w:w="4598" w:type="dxa"/>
            <w:vAlign w:val="center"/>
          </w:tcPr>
          <w:p w14:paraId="5C24A1A7" w14:textId="7BCEC5E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morte de participante ou assistido;</w:t>
            </w:r>
          </w:p>
        </w:tc>
        <w:tc>
          <w:tcPr>
            <w:tcW w:w="5462" w:type="dxa"/>
            <w:shd w:val="clear" w:color="auto" w:fill="auto"/>
            <w:noWrap/>
            <w:vAlign w:val="center"/>
            <w:hideMark/>
          </w:tcPr>
          <w:p w14:paraId="7E9A1537" w14:textId="4247E9E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morte de participante ou assistido;</w:t>
            </w:r>
          </w:p>
        </w:tc>
        <w:tc>
          <w:tcPr>
            <w:tcW w:w="4076" w:type="dxa"/>
            <w:shd w:val="clear" w:color="auto" w:fill="auto"/>
            <w:noWrap/>
            <w:vAlign w:val="center"/>
            <w:hideMark/>
          </w:tcPr>
          <w:p w14:paraId="782CD297"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CFE997A" w14:textId="3383C91F" w:rsidTr="00E31838">
        <w:tc>
          <w:tcPr>
            <w:tcW w:w="4598" w:type="dxa"/>
            <w:vAlign w:val="center"/>
          </w:tcPr>
          <w:p w14:paraId="74673365" w14:textId="3A66501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sobrevivência do assistido;</w:t>
            </w:r>
          </w:p>
        </w:tc>
        <w:tc>
          <w:tcPr>
            <w:tcW w:w="5462" w:type="dxa"/>
            <w:shd w:val="clear" w:color="auto" w:fill="auto"/>
            <w:noWrap/>
            <w:vAlign w:val="center"/>
            <w:hideMark/>
          </w:tcPr>
          <w:p w14:paraId="4E5F0429" w14:textId="350CD6FF"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sobrevivência do assistido;</w:t>
            </w:r>
          </w:p>
        </w:tc>
        <w:tc>
          <w:tcPr>
            <w:tcW w:w="4076" w:type="dxa"/>
            <w:shd w:val="clear" w:color="auto" w:fill="auto"/>
            <w:noWrap/>
            <w:vAlign w:val="center"/>
            <w:hideMark/>
          </w:tcPr>
          <w:p w14:paraId="2E2F853E"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78F43E6" w14:textId="3A2FD8A4" w:rsidTr="00E31838">
        <w:tc>
          <w:tcPr>
            <w:tcW w:w="4598" w:type="dxa"/>
            <w:vAlign w:val="center"/>
          </w:tcPr>
          <w:p w14:paraId="537E2674" w14:textId="50B4B50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IV - desvios das hipóteses biométricas; e</w:t>
            </w:r>
          </w:p>
        </w:tc>
        <w:tc>
          <w:tcPr>
            <w:tcW w:w="5462" w:type="dxa"/>
            <w:shd w:val="clear" w:color="auto" w:fill="auto"/>
            <w:noWrap/>
            <w:vAlign w:val="center"/>
            <w:hideMark/>
          </w:tcPr>
          <w:p w14:paraId="685F62C1" w14:textId="49C2239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IV - desvios das hipóteses biométricas; e</w:t>
            </w:r>
          </w:p>
        </w:tc>
        <w:tc>
          <w:tcPr>
            <w:tcW w:w="4076" w:type="dxa"/>
            <w:shd w:val="clear" w:color="auto" w:fill="auto"/>
            <w:noWrap/>
            <w:vAlign w:val="center"/>
            <w:hideMark/>
          </w:tcPr>
          <w:p w14:paraId="2E5C72D6"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F7C530E" w14:textId="2EC6D8BC" w:rsidTr="00E31838">
        <w:tc>
          <w:tcPr>
            <w:tcW w:w="4598" w:type="dxa"/>
            <w:vAlign w:val="center"/>
          </w:tcPr>
          <w:p w14:paraId="1E33C8F4" w14:textId="3353026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V - outros riscos atuariais ou financeiros.</w:t>
            </w:r>
          </w:p>
        </w:tc>
        <w:tc>
          <w:tcPr>
            <w:tcW w:w="5462" w:type="dxa"/>
            <w:shd w:val="clear" w:color="auto" w:fill="auto"/>
            <w:noWrap/>
            <w:vAlign w:val="center"/>
            <w:hideMark/>
          </w:tcPr>
          <w:p w14:paraId="32FFCE00" w14:textId="062C22E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 - outros riscos atuariais ou financeiros.</w:t>
            </w:r>
          </w:p>
        </w:tc>
        <w:tc>
          <w:tcPr>
            <w:tcW w:w="4076" w:type="dxa"/>
            <w:shd w:val="clear" w:color="auto" w:fill="auto"/>
            <w:noWrap/>
            <w:vAlign w:val="center"/>
            <w:hideMark/>
          </w:tcPr>
          <w:p w14:paraId="1A8EA80D"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678875F" w14:textId="3F245A02" w:rsidTr="00E31838">
        <w:tc>
          <w:tcPr>
            <w:tcW w:w="4598" w:type="dxa"/>
            <w:vAlign w:val="center"/>
          </w:tcPr>
          <w:p w14:paraId="7C930847" w14:textId="00BD0BC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Os riscos previstos neste artigo no caput podem ter cobertura total ou parcial.</w:t>
            </w:r>
          </w:p>
        </w:tc>
        <w:tc>
          <w:tcPr>
            <w:tcW w:w="5462" w:type="dxa"/>
            <w:shd w:val="clear" w:color="auto" w:fill="auto"/>
            <w:noWrap/>
            <w:vAlign w:val="center"/>
            <w:hideMark/>
          </w:tcPr>
          <w:p w14:paraId="64322461" w14:textId="2A305ED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Os riscos previstos </w:t>
            </w:r>
            <w:r w:rsidRPr="0010524E">
              <w:rPr>
                <w:rFonts w:ascii="Calibri" w:eastAsia="Times New Roman" w:hAnsi="Calibri" w:cs="Calibri"/>
                <w:b/>
                <w:bCs/>
                <w:kern w:val="0"/>
                <w:sz w:val="24"/>
                <w:szCs w:val="24"/>
                <w:lang w:eastAsia="pt-BR"/>
                <w14:ligatures w14:val="none"/>
              </w:rPr>
              <w:t>no caput</w:t>
            </w:r>
            <w:r w:rsidRPr="0010524E">
              <w:rPr>
                <w:rFonts w:ascii="Calibri" w:eastAsia="Times New Roman" w:hAnsi="Calibri" w:cs="Calibri"/>
                <w:kern w:val="0"/>
                <w:sz w:val="24"/>
                <w:szCs w:val="24"/>
                <w:lang w:eastAsia="pt-BR"/>
                <w14:ligatures w14:val="none"/>
              </w:rPr>
              <w:t xml:space="preserve"> podem ter cobertura total ou parcial.</w:t>
            </w:r>
          </w:p>
        </w:tc>
        <w:tc>
          <w:tcPr>
            <w:tcW w:w="4076" w:type="dxa"/>
            <w:shd w:val="clear" w:color="auto" w:fill="auto"/>
            <w:noWrap/>
            <w:vAlign w:val="center"/>
            <w:hideMark/>
          </w:tcPr>
          <w:p w14:paraId="72AA8A68"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66E6C18" w14:textId="7284449A" w:rsidTr="00E31838">
        <w:tc>
          <w:tcPr>
            <w:tcW w:w="4598" w:type="dxa"/>
            <w:vAlign w:val="center"/>
          </w:tcPr>
          <w:p w14:paraId="04DC51A9" w14:textId="5D3263C1"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hideMark/>
          </w:tcPr>
          <w:p w14:paraId="310AC231" w14:textId="77777777" w:rsidR="00E31838"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3786910D" w14:textId="04C8B1DD"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Contrato de Seguro</w:t>
            </w:r>
          </w:p>
        </w:tc>
        <w:tc>
          <w:tcPr>
            <w:tcW w:w="4076" w:type="dxa"/>
            <w:shd w:val="clear" w:color="auto" w:fill="auto"/>
            <w:noWrap/>
            <w:vAlign w:val="center"/>
            <w:hideMark/>
          </w:tcPr>
          <w:p w14:paraId="40776435"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256BDCB3" w14:textId="1F5E1E1B" w:rsidTr="00E31838">
        <w:tc>
          <w:tcPr>
            <w:tcW w:w="4598" w:type="dxa"/>
            <w:vAlign w:val="center"/>
          </w:tcPr>
          <w:p w14:paraId="50081DCC" w14:textId="73169606"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Contrato de seguro</w:t>
            </w:r>
          </w:p>
        </w:tc>
        <w:tc>
          <w:tcPr>
            <w:tcW w:w="5462" w:type="dxa"/>
            <w:shd w:val="clear" w:color="auto" w:fill="auto"/>
            <w:noWrap/>
            <w:vAlign w:val="center"/>
            <w:hideMark/>
          </w:tcPr>
          <w:p w14:paraId="6BF8FB5C" w14:textId="238D6336"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4076" w:type="dxa"/>
            <w:shd w:val="clear" w:color="auto" w:fill="auto"/>
            <w:noWrap/>
            <w:vAlign w:val="center"/>
            <w:hideMark/>
          </w:tcPr>
          <w:p w14:paraId="49CFF301"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3835CF94" w14:textId="6B8FD352" w:rsidTr="00E31838">
        <w:tc>
          <w:tcPr>
            <w:tcW w:w="4598" w:type="dxa"/>
            <w:vAlign w:val="center"/>
          </w:tcPr>
          <w:p w14:paraId="01AA8E90" w14:textId="712DA7B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4º O contrato de seguro, em relação a cada plano de benefícios, deve dispor, no mínimo, sobre:</w:t>
            </w:r>
          </w:p>
        </w:tc>
        <w:tc>
          <w:tcPr>
            <w:tcW w:w="5462" w:type="dxa"/>
            <w:shd w:val="clear" w:color="auto" w:fill="auto"/>
            <w:noWrap/>
            <w:vAlign w:val="center"/>
            <w:hideMark/>
          </w:tcPr>
          <w:p w14:paraId="77300449" w14:textId="66297B7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45.  O contrato de seguro, em relação a cada plano de benefícios, deve dispor, no mínimo, sobre:</w:t>
            </w:r>
          </w:p>
        </w:tc>
        <w:tc>
          <w:tcPr>
            <w:tcW w:w="4076" w:type="dxa"/>
            <w:shd w:val="clear" w:color="auto" w:fill="auto"/>
            <w:noWrap/>
            <w:vAlign w:val="center"/>
            <w:hideMark/>
          </w:tcPr>
          <w:p w14:paraId="0821604E"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9974AE7" w14:textId="3EBC0DC5" w:rsidTr="00E31838">
        <w:tc>
          <w:tcPr>
            <w:tcW w:w="4598" w:type="dxa"/>
            <w:vAlign w:val="center"/>
          </w:tcPr>
          <w:p w14:paraId="352A6FDB" w14:textId="19F1AE9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descrição das coberturas, indicando as importâncias seguradas de responsabilidade da sociedade seguradora, bem como as formas de atualização ou recálculo;</w:t>
            </w:r>
          </w:p>
        </w:tc>
        <w:tc>
          <w:tcPr>
            <w:tcW w:w="5462" w:type="dxa"/>
            <w:shd w:val="clear" w:color="auto" w:fill="auto"/>
            <w:noWrap/>
            <w:vAlign w:val="center"/>
            <w:hideMark/>
          </w:tcPr>
          <w:p w14:paraId="7B40E545" w14:textId="1476BF0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descrição das coberturas, indicando as importâncias seguradas de responsabilidade da sociedade seguradora, bem como as formas de atualização ou recálculo;</w:t>
            </w:r>
          </w:p>
        </w:tc>
        <w:tc>
          <w:tcPr>
            <w:tcW w:w="4076" w:type="dxa"/>
            <w:shd w:val="clear" w:color="auto" w:fill="auto"/>
            <w:noWrap/>
            <w:vAlign w:val="center"/>
            <w:hideMark/>
          </w:tcPr>
          <w:p w14:paraId="03A88CFE"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E037438" w14:textId="0CB20CC7" w:rsidTr="00E31838">
        <w:tc>
          <w:tcPr>
            <w:tcW w:w="4598" w:type="dxa"/>
            <w:vAlign w:val="center"/>
          </w:tcPr>
          <w:p w14:paraId="7C289D0B" w14:textId="7A05764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II - previsão de emissão de endosso alterando a EFPC de origem para a EFPC de destino, sem solução de continuidade das coberturas e condições contratadas, na hipótese de transferência de gerenciamento do plano de benefícios para outra EFPC;</w:t>
            </w:r>
          </w:p>
        </w:tc>
        <w:tc>
          <w:tcPr>
            <w:tcW w:w="5462" w:type="dxa"/>
            <w:shd w:val="clear" w:color="auto" w:fill="auto"/>
            <w:noWrap/>
            <w:vAlign w:val="center"/>
            <w:hideMark/>
          </w:tcPr>
          <w:p w14:paraId="1F59D6EF" w14:textId="72EE408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previsão de emissão de endosso alterando a EFPC de origem para a EFPC de destino, sem solução de continuidade das coberturas e condições contratadas, na hipótese de transferência de gerenciamento do plano de benefícios para outra EFPC;</w:t>
            </w:r>
          </w:p>
        </w:tc>
        <w:tc>
          <w:tcPr>
            <w:tcW w:w="4076" w:type="dxa"/>
            <w:shd w:val="clear" w:color="auto" w:fill="auto"/>
            <w:noWrap/>
            <w:vAlign w:val="center"/>
            <w:hideMark/>
          </w:tcPr>
          <w:p w14:paraId="54976344" w14:textId="76E0E43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Deixar mais claro que se trata de uma operação de transferência.</w:t>
            </w:r>
          </w:p>
        </w:tc>
      </w:tr>
      <w:tr w:rsidR="00E31838" w:rsidRPr="0010524E" w14:paraId="252DDD88" w14:textId="284FB0C0" w:rsidTr="00E31838">
        <w:tc>
          <w:tcPr>
            <w:tcW w:w="4598" w:type="dxa"/>
            <w:vAlign w:val="center"/>
          </w:tcPr>
          <w:p w14:paraId="06FFA53E" w14:textId="309FCCC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previsão de emissão de endosso alterando o beneficiário do seguro da EFPC para o assistido em gozo de renda continuada, sem solução de continuidade das coberturas e condições contratadas, em caso de retirada de patrocínio ou liquidação do plano de benefícios, observada a legislação aplicável;</w:t>
            </w:r>
          </w:p>
        </w:tc>
        <w:tc>
          <w:tcPr>
            <w:tcW w:w="5462" w:type="dxa"/>
            <w:shd w:val="clear" w:color="auto" w:fill="auto"/>
            <w:noWrap/>
            <w:vAlign w:val="center"/>
            <w:hideMark/>
          </w:tcPr>
          <w:p w14:paraId="2E2255BA" w14:textId="16418B2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previsão de emissão de endosso alterando o beneficiário do seguro da EFPC para o assistido em gozo de renda continuada, sem solução de continuidade das coberturas e condições contratadas, em caso de retirada de patrocínio ou liquidação do plano de benefícios, observada a legislação aplicável;</w:t>
            </w:r>
          </w:p>
        </w:tc>
        <w:tc>
          <w:tcPr>
            <w:tcW w:w="4076" w:type="dxa"/>
            <w:shd w:val="clear" w:color="auto" w:fill="auto"/>
            <w:noWrap/>
            <w:vAlign w:val="center"/>
            <w:hideMark/>
          </w:tcPr>
          <w:p w14:paraId="763F96E2"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A1595B8" w14:textId="6D1F01EC" w:rsidTr="00E31838">
        <w:tc>
          <w:tcPr>
            <w:tcW w:w="4598" w:type="dxa"/>
            <w:vAlign w:val="center"/>
          </w:tcPr>
          <w:p w14:paraId="3853980F" w14:textId="462BAF9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IV - prazo de vigência do contrato, que não pode ser indeterminado;</w:t>
            </w:r>
          </w:p>
        </w:tc>
        <w:tc>
          <w:tcPr>
            <w:tcW w:w="5462" w:type="dxa"/>
            <w:shd w:val="clear" w:color="auto" w:fill="auto"/>
            <w:noWrap/>
            <w:vAlign w:val="center"/>
            <w:hideMark/>
          </w:tcPr>
          <w:p w14:paraId="5719CAA1" w14:textId="7B5AC7E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IV - prazo de vigência do contrato, que não pode ser indeterminado;</w:t>
            </w:r>
          </w:p>
        </w:tc>
        <w:tc>
          <w:tcPr>
            <w:tcW w:w="4076" w:type="dxa"/>
            <w:shd w:val="clear" w:color="auto" w:fill="auto"/>
            <w:noWrap/>
            <w:vAlign w:val="center"/>
            <w:hideMark/>
          </w:tcPr>
          <w:p w14:paraId="137F7881"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7909C72" w14:textId="74C8B301" w:rsidTr="00E31838">
        <w:tc>
          <w:tcPr>
            <w:tcW w:w="4598" w:type="dxa"/>
            <w:vAlign w:val="center"/>
          </w:tcPr>
          <w:p w14:paraId="343C1C98" w14:textId="48389DA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V - previsão de pagamento das rendas contratadas junto à sociedade seguradora, no caso de rescisão ou não renovação do contrato;</w:t>
            </w:r>
          </w:p>
        </w:tc>
        <w:tc>
          <w:tcPr>
            <w:tcW w:w="5462" w:type="dxa"/>
            <w:shd w:val="clear" w:color="auto" w:fill="auto"/>
            <w:noWrap/>
            <w:vAlign w:val="center"/>
            <w:hideMark/>
          </w:tcPr>
          <w:p w14:paraId="3C658686" w14:textId="7C7F734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 - previsão de pagamento das rendas contratadas junto à sociedade seguradora, no caso de rescisão ou não renovação do contrato;</w:t>
            </w:r>
          </w:p>
        </w:tc>
        <w:tc>
          <w:tcPr>
            <w:tcW w:w="4076" w:type="dxa"/>
            <w:shd w:val="clear" w:color="auto" w:fill="auto"/>
            <w:noWrap/>
            <w:vAlign w:val="center"/>
            <w:hideMark/>
          </w:tcPr>
          <w:p w14:paraId="1DE6A763"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EA06A6C" w14:textId="4C828E6C" w:rsidTr="00E31838">
        <w:tc>
          <w:tcPr>
            <w:tcW w:w="4598" w:type="dxa"/>
            <w:vAlign w:val="center"/>
          </w:tcPr>
          <w:p w14:paraId="29E9D48F" w14:textId="1BE3127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VI - previsão de prazos de pagamento dos prêmios e das indenizações; e</w:t>
            </w:r>
          </w:p>
        </w:tc>
        <w:tc>
          <w:tcPr>
            <w:tcW w:w="5462" w:type="dxa"/>
            <w:shd w:val="clear" w:color="auto" w:fill="auto"/>
            <w:noWrap/>
            <w:vAlign w:val="center"/>
            <w:hideMark/>
          </w:tcPr>
          <w:p w14:paraId="7A5E37A0" w14:textId="0C96AA3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VI - previsão de prazos de pagamento dos prêmios e das indenizações; e</w:t>
            </w:r>
          </w:p>
        </w:tc>
        <w:tc>
          <w:tcPr>
            <w:tcW w:w="4076" w:type="dxa"/>
            <w:shd w:val="clear" w:color="auto" w:fill="auto"/>
            <w:noWrap/>
            <w:vAlign w:val="center"/>
            <w:hideMark/>
          </w:tcPr>
          <w:p w14:paraId="0B89012B"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C9567E2" w14:textId="29ED9D39" w:rsidTr="00E31838">
        <w:tc>
          <w:tcPr>
            <w:tcW w:w="4598" w:type="dxa"/>
            <w:vAlign w:val="center"/>
          </w:tcPr>
          <w:p w14:paraId="77A5EE23" w14:textId="573B526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VII - descrição dos riscos excluídos e dos não cobertos, caso previstos.</w:t>
            </w:r>
          </w:p>
        </w:tc>
        <w:tc>
          <w:tcPr>
            <w:tcW w:w="5462" w:type="dxa"/>
            <w:shd w:val="clear" w:color="auto" w:fill="auto"/>
            <w:noWrap/>
            <w:vAlign w:val="center"/>
            <w:hideMark/>
          </w:tcPr>
          <w:p w14:paraId="376018D6" w14:textId="53C144E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VII - descrição dos riscos excluídos e dos não cobertos, caso previstos.</w:t>
            </w:r>
          </w:p>
        </w:tc>
        <w:tc>
          <w:tcPr>
            <w:tcW w:w="4076" w:type="dxa"/>
            <w:shd w:val="clear" w:color="auto" w:fill="auto"/>
            <w:noWrap/>
            <w:vAlign w:val="center"/>
            <w:hideMark/>
          </w:tcPr>
          <w:p w14:paraId="7CA5932B"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632988D" w14:textId="1A244670" w:rsidTr="00E31838">
        <w:tc>
          <w:tcPr>
            <w:tcW w:w="4598" w:type="dxa"/>
            <w:vAlign w:val="center"/>
          </w:tcPr>
          <w:p w14:paraId="5969A264" w14:textId="17D8E72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Art. 5º Previamente à celebração ou à renovação de contrato de seguro, a diretoria executiva e o conselho deliberativo da EFPC devem aprovar estudo técnico que demonstre </w:t>
            </w:r>
            <w:r w:rsidRPr="0010524E">
              <w:rPr>
                <w:rFonts w:ascii="Calibri" w:hAnsi="Calibri" w:cs="Calibri"/>
                <w:sz w:val="24"/>
                <w:szCs w:val="24"/>
              </w:rPr>
              <w:lastRenderedPageBreak/>
              <w:t>a sua viabilidade econômico-financeira e atuarial para cada plano de benefícios.</w:t>
            </w:r>
          </w:p>
        </w:tc>
        <w:tc>
          <w:tcPr>
            <w:tcW w:w="5462" w:type="dxa"/>
            <w:shd w:val="clear" w:color="auto" w:fill="auto"/>
            <w:noWrap/>
            <w:vAlign w:val="center"/>
            <w:hideMark/>
          </w:tcPr>
          <w:p w14:paraId="647ED78B" w14:textId="18ECAB2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Art. 46.  Previamente à celebração ou à renovação de contrato de seguro, a diretoria executiva e o conselho deliberativo da EFPC devem aprovar estudo técnico que demonstre a sua viabilidade econômico-financeira e atuarial para cada plano de benefícios.</w:t>
            </w:r>
          </w:p>
        </w:tc>
        <w:tc>
          <w:tcPr>
            <w:tcW w:w="4076" w:type="dxa"/>
            <w:shd w:val="clear" w:color="auto" w:fill="auto"/>
            <w:noWrap/>
            <w:vAlign w:val="center"/>
            <w:hideMark/>
          </w:tcPr>
          <w:p w14:paraId="711FCE21"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F88031A" w14:textId="619B8DEA" w:rsidTr="00E31838">
        <w:tc>
          <w:tcPr>
            <w:tcW w:w="4598" w:type="dxa"/>
            <w:vAlign w:val="center"/>
          </w:tcPr>
          <w:p w14:paraId="2AD26760" w14:textId="5A13B71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1º O estudo técnico previsto no caput deve conter, no mínimo:</w:t>
            </w:r>
          </w:p>
        </w:tc>
        <w:tc>
          <w:tcPr>
            <w:tcW w:w="5462" w:type="dxa"/>
            <w:shd w:val="clear" w:color="auto" w:fill="auto"/>
            <w:noWrap/>
            <w:vAlign w:val="center"/>
            <w:hideMark/>
          </w:tcPr>
          <w:p w14:paraId="02EF9A79" w14:textId="24EB8DD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 1º  O estudo técnico previsto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 conter, no mínimo:</w:t>
            </w:r>
          </w:p>
        </w:tc>
        <w:tc>
          <w:tcPr>
            <w:tcW w:w="4076" w:type="dxa"/>
            <w:shd w:val="clear" w:color="auto" w:fill="auto"/>
            <w:noWrap/>
            <w:vAlign w:val="center"/>
            <w:hideMark/>
          </w:tcPr>
          <w:p w14:paraId="3D05D3B9"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0FAFB3C" w14:textId="47243B24" w:rsidTr="00E31838">
        <w:tc>
          <w:tcPr>
            <w:tcW w:w="4598" w:type="dxa"/>
            <w:vAlign w:val="center"/>
          </w:tcPr>
          <w:p w14:paraId="3CFA2B7C" w14:textId="3488B6FF"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a descrição das bases, das fórmulas de cálculo e dos critérios de atualização dos valores referentes aos benefícios previstos no regulamento e passíveis de contratação de cobertura de riscos com sociedade seguradora;</w:t>
            </w:r>
          </w:p>
        </w:tc>
        <w:tc>
          <w:tcPr>
            <w:tcW w:w="5462" w:type="dxa"/>
            <w:shd w:val="clear" w:color="auto" w:fill="auto"/>
            <w:noWrap/>
            <w:vAlign w:val="center"/>
            <w:hideMark/>
          </w:tcPr>
          <w:p w14:paraId="304611B3" w14:textId="33DB948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a descrição das bases, das fórmulas de cálculo e dos critérios de atualização dos valores referentes aos benefícios previstos no regulamento e passíveis de contratação de cobertura de riscos com sociedade seguradora;</w:t>
            </w:r>
          </w:p>
        </w:tc>
        <w:tc>
          <w:tcPr>
            <w:tcW w:w="4076" w:type="dxa"/>
            <w:shd w:val="clear" w:color="auto" w:fill="auto"/>
            <w:noWrap/>
            <w:vAlign w:val="center"/>
            <w:hideMark/>
          </w:tcPr>
          <w:p w14:paraId="0B21CE2E"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4BBC348" w14:textId="447EF3A2" w:rsidTr="00E31838">
        <w:tc>
          <w:tcPr>
            <w:tcW w:w="4598" w:type="dxa"/>
            <w:vAlign w:val="center"/>
          </w:tcPr>
          <w:p w14:paraId="7C0AF553" w14:textId="09170C1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a estimativa de gastos com prêmios futuros; e</w:t>
            </w:r>
          </w:p>
        </w:tc>
        <w:tc>
          <w:tcPr>
            <w:tcW w:w="5462" w:type="dxa"/>
            <w:shd w:val="clear" w:color="auto" w:fill="auto"/>
            <w:noWrap/>
            <w:vAlign w:val="center"/>
            <w:hideMark/>
          </w:tcPr>
          <w:p w14:paraId="5AD976B3" w14:textId="776CE1B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a estimativa de gastos com prêmios futuros; e</w:t>
            </w:r>
          </w:p>
        </w:tc>
        <w:tc>
          <w:tcPr>
            <w:tcW w:w="4076" w:type="dxa"/>
            <w:shd w:val="clear" w:color="auto" w:fill="auto"/>
            <w:noWrap/>
            <w:vAlign w:val="center"/>
            <w:hideMark/>
          </w:tcPr>
          <w:p w14:paraId="63AB9880"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2267FD9" w14:textId="46279D9D" w:rsidTr="00E31838">
        <w:tc>
          <w:tcPr>
            <w:tcW w:w="4598" w:type="dxa"/>
            <w:vAlign w:val="center"/>
          </w:tcPr>
          <w:p w14:paraId="2F3C1EA3" w14:textId="1761DA1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a avaliação de custos e de riscos que indiquem a necessidade e a vantagem de contratação de seguro para a cobertura do respectivo risco objeto.</w:t>
            </w:r>
          </w:p>
        </w:tc>
        <w:tc>
          <w:tcPr>
            <w:tcW w:w="5462" w:type="dxa"/>
            <w:shd w:val="clear" w:color="auto" w:fill="auto"/>
            <w:noWrap/>
            <w:vAlign w:val="center"/>
            <w:hideMark/>
          </w:tcPr>
          <w:p w14:paraId="567EAB0A" w14:textId="5D63D6C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a avaliação de custos e de riscos que indiquem a necessidade e a vantagem de contratação de seguro para a cobertura do respectivo risco objeto.</w:t>
            </w:r>
          </w:p>
        </w:tc>
        <w:tc>
          <w:tcPr>
            <w:tcW w:w="4076" w:type="dxa"/>
            <w:shd w:val="clear" w:color="auto" w:fill="auto"/>
            <w:noWrap/>
            <w:vAlign w:val="center"/>
            <w:hideMark/>
          </w:tcPr>
          <w:p w14:paraId="54747BEB"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7CF6BDA0" w14:textId="55550049" w:rsidTr="00E31838">
        <w:tc>
          <w:tcPr>
            <w:tcW w:w="4598" w:type="dxa"/>
            <w:vAlign w:val="center"/>
          </w:tcPr>
          <w:p w14:paraId="434C4DAF" w14:textId="77DD6B2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2º Fica dispensado o estudo técnico previsto no caput quando da contratação das coberturas adicionais de que trata o art. 7º.</w:t>
            </w:r>
          </w:p>
        </w:tc>
        <w:tc>
          <w:tcPr>
            <w:tcW w:w="5462" w:type="dxa"/>
            <w:shd w:val="clear" w:color="auto" w:fill="auto"/>
            <w:noWrap/>
            <w:vAlign w:val="center"/>
            <w:hideMark/>
          </w:tcPr>
          <w:p w14:paraId="2DACA32B" w14:textId="7B17DC2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 2º  Fica dispensado o estudo técnico previsto no </w:t>
            </w:r>
            <w:r w:rsidRPr="0010524E">
              <w:rPr>
                <w:rFonts w:ascii="Calibri" w:eastAsia="Times New Roman" w:hAnsi="Calibri" w:cs="Calibri"/>
                <w:b/>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quando da contratação das coberturas adicionais de que trata o art. 48.</w:t>
            </w:r>
          </w:p>
        </w:tc>
        <w:tc>
          <w:tcPr>
            <w:tcW w:w="4076" w:type="dxa"/>
            <w:shd w:val="clear" w:color="auto" w:fill="auto"/>
            <w:noWrap/>
            <w:vAlign w:val="center"/>
            <w:hideMark/>
          </w:tcPr>
          <w:p w14:paraId="52FC78CB" w14:textId="612114F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C6C0E42" w14:textId="066CC82D" w:rsidTr="00E31838">
        <w:tc>
          <w:tcPr>
            <w:tcW w:w="4598" w:type="dxa"/>
            <w:vAlign w:val="center"/>
          </w:tcPr>
          <w:p w14:paraId="2B6AC5A5" w14:textId="1396E72F"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hAnsi="Calibri" w:cs="Calibri"/>
                <w:sz w:val="24"/>
                <w:szCs w:val="24"/>
              </w:rPr>
              <w:t>Cobertura do seguro</w:t>
            </w:r>
          </w:p>
        </w:tc>
        <w:tc>
          <w:tcPr>
            <w:tcW w:w="5462" w:type="dxa"/>
            <w:shd w:val="clear" w:color="auto" w:fill="auto"/>
            <w:noWrap/>
            <w:vAlign w:val="center"/>
            <w:hideMark/>
          </w:tcPr>
          <w:p w14:paraId="6F0CE6C5" w14:textId="77777777" w:rsidR="00E31838" w:rsidRDefault="00E31838" w:rsidP="00E86BD3">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Subseção II </w:t>
            </w:r>
          </w:p>
          <w:p w14:paraId="2E43AEFF" w14:textId="5CFE1292" w:rsidR="00E31838" w:rsidRPr="0010524E" w:rsidRDefault="00E31838" w:rsidP="00E86BD3">
            <w:pPr>
              <w:spacing w:after="0" w:line="240" w:lineRule="auto"/>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Cobertura do seguro</w:t>
            </w:r>
          </w:p>
        </w:tc>
        <w:tc>
          <w:tcPr>
            <w:tcW w:w="4076" w:type="dxa"/>
            <w:shd w:val="clear" w:color="auto" w:fill="auto"/>
            <w:noWrap/>
            <w:vAlign w:val="center"/>
            <w:hideMark/>
          </w:tcPr>
          <w:p w14:paraId="759D481F" w14:textId="77777777"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r>
      <w:tr w:rsidR="00E31838" w:rsidRPr="0010524E" w14:paraId="1F63C0B5" w14:textId="66AC09FA" w:rsidTr="00E31838">
        <w:tc>
          <w:tcPr>
            <w:tcW w:w="4598" w:type="dxa"/>
            <w:vAlign w:val="center"/>
          </w:tcPr>
          <w:p w14:paraId="2A2C0FE5" w14:textId="0570D66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6º Os contratos de seguro para a cobertura dos riscos referidos nos incisos I e II do art. 3º podem prever a indenização na forma de pagamento único ou de renda continuada.</w:t>
            </w:r>
          </w:p>
        </w:tc>
        <w:tc>
          <w:tcPr>
            <w:tcW w:w="5462" w:type="dxa"/>
            <w:shd w:val="clear" w:color="auto" w:fill="auto"/>
            <w:noWrap/>
            <w:vAlign w:val="center"/>
            <w:hideMark/>
          </w:tcPr>
          <w:p w14:paraId="5A9C8D8E" w14:textId="36E2C56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47.  Os contratos de seguro para a cobertura dos riscos referidos nos incisos I e II do art. 44 podem prever a indenização na forma de pagamento único ou de renda continuada.</w:t>
            </w:r>
          </w:p>
        </w:tc>
        <w:tc>
          <w:tcPr>
            <w:tcW w:w="4076" w:type="dxa"/>
            <w:shd w:val="clear" w:color="auto" w:fill="auto"/>
            <w:noWrap/>
            <w:vAlign w:val="center"/>
            <w:hideMark/>
          </w:tcPr>
          <w:p w14:paraId="42EF77B9" w14:textId="2FA17B5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C1EE8FB" w14:textId="4FF04D6C" w:rsidTr="00E31838">
        <w:tc>
          <w:tcPr>
            <w:tcW w:w="4598" w:type="dxa"/>
            <w:vAlign w:val="center"/>
          </w:tcPr>
          <w:p w14:paraId="65DABE95" w14:textId="5FFDD7D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Art. 7º A EFPC, em relação a planos cujos benefícios decorrentes de invalidez e morte </w:t>
            </w:r>
            <w:r w:rsidRPr="0010524E">
              <w:rPr>
                <w:rFonts w:ascii="Calibri" w:hAnsi="Calibri" w:cs="Calibri"/>
                <w:sz w:val="24"/>
                <w:szCs w:val="24"/>
              </w:rPr>
              <w:lastRenderedPageBreak/>
              <w:t>sejam estruturados unicamente com base em saldos de contas, pode contratar cobertura adicional junto à sociedade seguradora, desde que essa possibilidade esteja prevista no regulamento e que a adesão dos participantes seja opcional.</w:t>
            </w:r>
          </w:p>
        </w:tc>
        <w:tc>
          <w:tcPr>
            <w:tcW w:w="5462" w:type="dxa"/>
            <w:shd w:val="clear" w:color="auto" w:fill="auto"/>
            <w:noWrap/>
            <w:vAlign w:val="center"/>
            <w:hideMark/>
          </w:tcPr>
          <w:p w14:paraId="01FDE95D" w14:textId="7DB4D42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Art. 48.  A EFPC, em relação a planos cujos benefícios decorrentes de invalidez e morte sejam estruturados </w:t>
            </w:r>
            <w:r w:rsidRPr="0010524E">
              <w:rPr>
                <w:rFonts w:ascii="Calibri" w:eastAsia="Times New Roman" w:hAnsi="Calibri" w:cs="Calibri"/>
                <w:kern w:val="0"/>
                <w:sz w:val="24"/>
                <w:szCs w:val="24"/>
                <w:lang w:eastAsia="pt-BR"/>
                <w14:ligatures w14:val="none"/>
              </w:rPr>
              <w:lastRenderedPageBreak/>
              <w:t>unicamente com base em saldos de contas, pode contratar cobertura adicional junto à sociedade seguradora, desde que essa possibilidade esteja prevista no regulamento e que a adesão dos participantes seja opcional.</w:t>
            </w:r>
          </w:p>
        </w:tc>
        <w:tc>
          <w:tcPr>
            <w:tcW w:w="4076" w:type="dxa"/>
            <w:shd w:val="clear" w:color="auto" w:fill="auto"/>
            <w:noWrap/>
            <w:vAlign w:val="center"/>
            <w:hideMark/>
          </w:tcPr>
          <w:p w14:paraId="04EE3828"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82A4CE6" w14:textId="631B68B6" w:rsidTr="00E31838">
        <w:tc>
          <w:tcPr>
            <w:tcW w:w="4598" w:type="dxa"/>
            <w:vAlign w:val="center"/>
          </w:tcPr>
          <w:p w14:paraId="3AEEBD33" w14:textId="074B295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1º O regulamento deve dispor sobre eventuais situações que causem a suspensão da cobertura a que se refere o caput, inclusive em decorrência de rescisão ou não renovação do contrato com a sociedade seguradora.</w:t>
            </w:r>
          </w:p>
        </w:tc>
        <w:tc>
          <w:tcPr>
            <w:tcW w:w="5462" w:type="dxa"/>
            <w:shd w:val="clear" w:color="auto" w:fill="auto"/>
            <w:noWrap/>
            <w:vAlign w:val="center"/>
            <w:hideMark/>
          </w:tcPr>
          <w:p w14:paraId="7301B2DD" w14:textId="66F8F32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 1º  O regulamento deve dispor sobre eventuais situações que causem a suspensão da cobertura a que se refere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inclusive em decorrência de rescisão ou não renovação do contrato com a sociedade seguradora.</w:t>
            </w:r>
          </w:p>
        </w:tc>
        <w:tc>
          <w:tcPr>
            <w:tcW w:w="4076" w:type="dxa"/>
            <w:shd w:val="clear" w:color="auto" w:fill="auto"/>
            <w:noWrap/>
            <w:vAlign w:val="center"/>
            <w:hideMark/>
          </w:tcPr>
          <w:p w14:paraId="2337B096"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0A0A60F" w14:textId="141E177C" w:rsidTr="00E31838">
        <w:tc>
          <w:tcPr>
            <w:tcW w:w="4598" w:type="dxa"/>
            <w:vAlign w:val="center"/>
          </w:tcPr>
          <w:p w14:paraId="4CD1C277" w14:textId="6A878C0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2º Para as coberturas adicionais tratadas no caput não se aplica o disposto no art. 10.</w:t>
            </w:r>
          </w:p>
        </w:tc>
        <w:tc>
          <w:tcPr>
            <w:tcW w:w="5462" w:type="dxa"/>
            <w:shd w:val="clear" w:color="auto" w:fill="auto"/>
            <w:noWrap/>
            <w:vAlign w:val="center"/>
            <w:hideMark/>
          </w:tcPr>
          <w:p w14:paraId="5540BB2E" w14:textId="08BF611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 2º  Para as coberturas adicionais tratadas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não se aplica o disposto no art.405</w:t>
            </w:r>
          </w:p>
        </w:tc>
        <w:tc>
          <w:tcPr>
            <w:tcW w:w="4076" w:type="dxa"/>
            <w:shd w:val="clear" w:color="auto" w:fill="auto"/>
            <w:noWrap/>
            <w:vAlign w:val="center"/>
            <w:hideMark/>
          </w:tcPr>
          <w:p w14:paraId="2F59B831" w14:textId="4F95306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1F77FCB" w14:textId="49107797" w:rsidTr="00E31838">
        <w:tc>
          <w:tcPr>
            <w:tcW w:w="4598" w:type="dxa"/>
            <w:vAlign w:val="center"/>
          </w:tcPr>
          <w:p w14:paraId="2677D5BA" w14:textId="543EB5A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8º O contrato de seguro para a cobertura do risco referido no inciso III do art. 3º tem por objetivo assegurar o pagamento de renda continuada, nas condições contratadas, após o término do pagamento do benefício pela EFPC.</w:t>
            </w:r>
          </w:p>
        </w:tc>
        <w:tc>
          <w:tcPr>
            <w:tcW w:w="5462" w:type="dxa"/>
            <w:shd w:val="clear" w:color="auto" w:fill="auto"/>
            <w:noWrap/>
            <w:vAlign w:val="center"/>
            <w:hideMark/>
          </w:tcPr>
          <w:p w14:paraId="745B20F2" w14:textId="27F0CE4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49.  O contrato de seguro para a cobertura do risco referido no inciso III do art. 44 tem por objetivo assegurar o pagamento de renda continuada, nas condições contratadas, após o término do pagamento do benefício pela EFPC.</w:t>
            </w:r>
          </w:p>
        </w:tc>
        <w:tc>
          <w:tcPr>
            <w:tcW w:w="4076" w:type="dxa"/>
            <w:shd w:val="clear" w:color="auto" w:fill="auto"/>
            <w:noWrap/>
            <w:vAlign w:val="center"/>
          </w:tcPr>
          <w:p w14:paraId="670BD820" w14:textId="04B2C08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BB274D7" w14:textId="07C1986E" w:rsidTr="00E31838">
        <w:tc>
          <w:tcPr>
            <w:tcW w:w="4598" w:type="dxa"/>
            <w:vAlign w:val="center"/>
          </w:tcPr>
          <w:p w14:paraId="2CF1A80A" w14:textId="6F9025D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Parágrafo único.  O pagamento do prêmio para cobertura do risco referido no inciso III do art. 3º pode advir das seguintes fontes:</w:t>
            </w:r>
          </w:p>
        </w:tc>
        <w:tc>
          <w:tcPr>
            <w:tcW w:w="5462" w:type="dxa"/>
            <w:shd w:val="clear" w:color="auto" w:fill="auto"/>
            <w:noWrap/>
            <w:vAlign w:val="center"/>
            <w:hideMark/>
          </w:tcPr>
          <w:p w14:paraId="2C58D95F" w14:textId="011A5BE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O pagamento do prêmio para cobertura do risco referido no inciso III do art. 44 pode advir das seguintes fontes:</w:t>
            </w:r>
          </w:p>
        </w:tc>
        <w:tc>
          <w:tcPr>
            <w:tcW w:w="4076" w:type="dxa"/>
            <w:shd w:val="clear" w:color="auto" w:fill="auto"/>
            <w:noWrap/>
            <w:vAlign w:val="center"/>
          </w:tcPr>
          <w:p w14:paraId="6797D279" w14:textId="588F8EB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6FB5928" w14:textId="34ED10BE" w:rsidTr="00E31838">
        <w:tc>
          <w:tcPr>
            <w:tcW w:w="4598" w:type="dxa"/>
            <w:vAlign w:val="center"/>
          </w:tcPr>
          <w:p w14:paraId="715CBBF0" w14:textId="5346939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contribuição normal e periódica com finalidade específica;</w:t>
            </w:r>
          </w:p>
        </w:tc>
        <w:tc>
          <w:tcPr>
            <w:tcW w:w="5462" w:type="dxa"/>
            <w:shd w:val="clear" w:color="auto" w:fill="auto"/>
            <w:noWrap/>
            <w:vAlign w:val="center"/>
            <w:hideMark/>
          </w:tcPr>
          <w:p w14:paraId="17BDD0A1" w14:textId="5AE2EA8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contribuição normal e periódica com finalidade específica;</w:t>
            </w:r>
          </w:p>
        </w:tc>
        <w:tc>
          <w:tcPr>
            <w:tcW w:w="4076" w:type="dxa"/>
            <w:shd w:val="clear" w:color="auto" w:fill="auto"/>
            <w:noWrap/>
            <w:vAlign w:val="center"/>
            <w:hideMark/>
          </w:tcPr>
          <w:p w14:paraId="67F96935"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835B590" w14:textId="1B182EF2" w:rsidTr="00E31838">
        <w:tc>
          <w:tcPr>
            <w:tcW w:w="4598" w:type="dxa"/>
            <w:vAlign w:val="center"/>
          </w:tcPr>
          <w:p w14:paraId="2F22FDE1" w14:textId="0FE4CE5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contribuição em forma de aporte único com finalidade específica; ou</w:t>
            </w:r>
          </w:p>
        </w:tc>
        <w:tc>
          <w:tcPr>
            <w:tcW w:w="5462" w:type="dxa"/>
            <w:shd w:val="clear" w:color="auto" w:fill="auto"/>
            <w:noWrap/>
            <w:vAlign w:val="center"/>
            <w:hideMark/>
          </w:tcPr>
          <w:p w14:paraId="5F66062D" w14:textId="17D86F0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contribuição em forma de aporte único com finalidade específica; ou</w:t>
            </w:r>
          </w:p>
        </w:tc>
        <w:tc>
          <w:tcPr>
            <w:tcW w:w="4076" w:type="dxa"/>
            <w:shd w:val="clear" w:color="auto" w:fill="auto"/>
            <w:noWrap/>
            <w:vAlign w:val="center"/>
            <w:hideMark/>
          </w:tcPr>
          <w:p w14:paraId="6807E248"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769F2064" w14:textId="3697F7ED" w:rsidTr="00E31838">
        <w:tc>
          <w:tcPr>
            <w:tcW w:w="4598" w:type="dxa"/>
            <w:vAlign w:val="center"/>
          </w:tcPr>
          <w:p w14:paraId="0877DB8E" w14:textId="6C8CF90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III - segregação de parcela do saldo de conta total, a partir da concessão do benefício programado previsto no regulamento do plano de benefícios.</w:t>
            </w:r>
          </w:p>
        </w:tc>
        <w:tc>
          <w:tcPr>
            <w:tcW w:w="5462" w:type="dxa"/>
            <w:shd w:val="clear" w:color="auto" w:fill="auto"/>
            <w:noWrap/>
            <w:vAlign w:val="center"/>
            <w:hideMark/>
          </w:tcPr>
          <w:p w14:paraId="27F1DCDB" w14:textId="77C47CB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segregação de parcela do saldo de conta total, a partir da concessão do benefício programado previsto no regulamento do plano de benefícios.</w:t>
            </w:r>
          </w:p>
        </w:tc>
        <w:tc>
          <w:tcPr>
            <w:tcW w:w="4076" w:type="dxa"/>
            <w:shd w:val="clear" w:color="auto" w:fill="auto"/>
            <w:noWrap/>
            <w:vAlign w:val="center"/>
            <w:hideMark/>
          </w:tcPr>
          <w:p w14:paraId="04B28D83"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9C362BA" w14:textId="0095C85D" w:rsidTr="00E31838">
        <w:tc>
          <w:tcPr>
            <w:tcW w:w="4598" w:type="dxa"/>
            <w:vAlign w:val="center"/>
          </w:tcPr>
          <w:p w14:paraId="30327EB0" w14:textId="0D5BE63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9º O contrato de seguro para a cobertura do risco referido no inciso IV do art. 3º tem por objetivo limitar a variabilidade do fluxo de pagamentos dos benefícios decorrentes dos compromissos assumidos perante os participantes e assistidos, de forma isolada ou conjunta, decorrentes de:</w:t>
            </w:r>
          </w:p>
        </w:tc>
        <w:tc>
          <w:tcPr>
            <w:tcW w:w="5462" w:type="dxa"/>
            <w:shd w:val="clear" w:color="auto" w:fill="auto"/>
            <w:noWrap/>
            <w:vAlign w:val="center"/>
            <w:hideMark/>
          </w:tcPr>
          <w:p w14:paraId="35919CD2" w14:textId="6380EDD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50.  O contrato de seguro para a cobertura do risco referido no inciso IV do art. 44 tem por objetivo limitar a variabilidade do fluxo de pagamentos dos benefícios decorrentes dos compromissos assumidos perante os participantes e assistidos, de forma isolada ou conjunta, decorrentes de:</w:t>
            </w:r>
          </w:p>
        </w:tc>
        <w:tc>
          <w:tcPr>
            <w:tcW w:w="4076" w:type="dxa"/>
            <w:shd w:val="clear" w:color="auto" w:fill="auto"/>
            <w:noWrap/>
            <w:vAlign w:val="center"/>
            <w:hideMark/>
          </w:tcPr>
          <w:p w14:paraId="2E39E8ED" w14:textId="3C8AEC0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EAC78B5" w14:textId="2B7A0C88" w:rsidTr="00E31838">
        <w:tc>
          <w:tcPr>
            <w:tcW w:w="4598" w:type="dxa"/>
            <w:vAlign w:val="center"/>
          </w:tcPr>
          <w:p w14:paraId="714DB412" w14:textId="0BD4D7A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entrada em invalidez;</w:t>
            </w:r>
          </w:p>
        </w:tc>
        <w:tc>
          <w:tcPr>
            <w:tcW w:w="5462" w:type="dxa"/>
            <w:shd w:val="clear" w:color="auto" w:fill="auto"/>
            <w:noWrap/>
            <w:vAlign w:val="center"/>
            <w:hideMark/>
          </w:tcPr>
          <w:p w14:paraId="17C4DE2A" w14:textId="23505C7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entrada em invalidez;</w:t>
            </w:r>
          </w:p>
        </w:tc>
        <w:tc>
          <w:tcPr>
            <w:tcW w:w="4076" w:type="dxa"/>
            <w:shd w:val="clear" w:color="auto" w:fill="auto"/>
            <w:noWrap/>
            <w:vAlign w:val="center"/>
            <w:hideMark/>
          </w:tcPr>
          <w:p w14:paraId="768BBA9C"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24C6307" w14:textId="12545EC5" w:rsidTr="00E31838">
        <w:tc>
          <w:tcPr>
            <w:tcW w:w="4598" w:type="dxa"/>
            <w:vAlign w:val="center"/>
          </w:tcPr>
          <w:p w14:paraId="1CA4A928" w14:textId="58CA246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mortalidade de inválidos;</w:t>
            </w:r>
          </w:p>
        </w:tc>
        <w:tc>
          <w:tcPr>
            <w:tcW w:w="5462" w:type="dxa"/>
            <w:shd w:val="clear" w:color="auto" w:fill="auto"/>
            <w:noWrap/>
            <w:vAlign w:val="center"/>
            <w:hideMark/>
          </w:tcPr>
          <w:p w14:paraId="0BE7BA73" w14:textId="6F5980BF"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mortalidade de inválidos;</w:t>
            </w:r>
          </w:p>
        </w:tc>
        <w:tc>
          <w:tcPr>
            <w:tcW w:w="4076" w:type="dxa"/>
            <w:shd w:val="clear" w:color="auto" w:fill="auto"/>
            <w:noWrap/>
            <w:vAlign w:val="center"/>
            <w:hideMark/>
          </w:tcPr>
          <w:p w14:paraId="53E87843"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27FD0C5" w14:textId="0F9432AE" w:rsidTr="00E31838">
        <w:tc>
          <w:tcPr>
            <w:tcW w:w="4598" w:type="dxa"/>
            <w:vAlign w:val="center"/>
          </w:tcPr>
          <w:p w14:paraId="5F7B9A8C" w14:textId="19BF689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mortalidade geral;</w:t>
            </w:r>
          </w:p>
        </w:tc>
        <w:tc>
          <w:tcPr>
            <w:tcW w:w="5462" w:type="dxa"/>
            <w:shd w:val="clear" w:color="auto" w:fill="auto"/>
            <w:noWrap/>
            <w:vAlign w:val="center"/>
            <w:hideMark/>
          </w:tcPr>
          <w:p w14:paraId="07976536" w14:textId="757BF01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mortalidade geral;</w:t>
            </w:r>
          </w:p>
        </w:tc>
        <w:tc>
          <w:tcPr>
            <w:tcW w:w="4076" w:type="dxa"/>
            <w:shd w:val="clear" w:color="auto" w:fill="auto"/>
            <w:noWrap/>
            <w:vAlign w:val="center"/>
            <w:hideMark/>
          </w:tcPr>
          <w:p w14:paraId="561287B5"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23EFFA3C" w14:textId="2F1F5C7F" w:rsidTr="00E31838">
        <w:tc>
          <w:tcPr>
            <w:tcW w:w="4598" w:type="dxa"/>
            <w:vAlign w:val="center"/>
          </w:tcPr>
          <w:p w14:paraId="19EA3FA5" w14:textId="35E75A9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IV - sobrevivência de inválidos; ou</w:t>
            </w:r>
          </w:p>
        </w:tc>
        <w:tc>
          <w:tcPr>
            <w:tcW w:w="5462" w:type="dxa"/>
            <w:shd w:val="clear" w:color="auto" w:fill="auto"/>
            <w:noWrap/>
            <w:vAlign w:val="center"/>
            <w:hideMark/>
          </w:tcPr>
          <w:p w14:paraId="367CFE88" w14:textId="7F4D0F3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IV - sobrevivência de inválidos; ou</w:t>
            </w:r>
          </w:p>
        </w:tc>
        <w:tc>
          <w:tcPr>
            <w:tcW w:w="4076" w:type="dxa"/>
            <w:shd w:val="clear" w:color="auto" w:fill="auto"/>
            <w:noWrap/>
            <w:vAlign w:val="center"/>
            <w:hideMark/>
          </w:tcPr>
          <w:p w14:paraId="743D7674"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E69EE21" w14:textId="76E1593B" w:rsidTr="00E31838">
        <w:tc>
          <w:tcPr>
            <w:tcW w:w="4598" w:type="dxa"/>
            <w:vAlign w:val="center"/>
          </w:tcPr>
          <w:p w14:paraId="28B4D718" w14:textId="6C7E695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V - sobrevivência geral.</w:t>
            </w:r>
          </w:p>
        </w:tc>
        <w:tc>
          <w:tcPr>
            <w:tcW w:w="5462" w:type="dxa"/>
            <w:shd w:val="clear" w:color="auto" w:fill="auto"/>
            <w:noWrap/>
            <w:vAlign w:val="center"/>
            <w:hideMark/>
          </w:tcPr>
          <w:p w14:paraId="2D74C019" w14:textId="1699A49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 - sobrevivência geral.</w:t>
            </w:r>
          </w:p>
        </w:tc>
        <w:tc>
          <w:tcPr>
            <w:tcW w:w="4076" w:type="dxa"/>
            <w:shd w:val="clear" w:color="auto" w:fill="auto"/>
            <w:noWrap/>
            <w:vAlign w:val="center"/>
            <w:hideMark/>
          </w:tcPr>
          <w:p w14:paraId="72FA50D3"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7DD8DD94" w14:textId="48890A3E" w:rsidTr="00E31838">
        <w:tc>
          <w:tcPr>
            <w:tcW w:w="4598" w:type="dxa"/>
            <w:vAlign w:val="center"/>
          </w:tcPr>
          <w:p w14:paraId="355728B9" w14:textId="16A3347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1º A EFPC deve considerar o fluxo de pagamento dos benefícios projetados a partir das hipóteses atuariais aderentes adotadas na avaliação atuarial do exercício anterior, para fins de demonstração da viabilidade econômico-financeira e atuarial da contratação do seguro de que trata o caput.</w:t>
            </w:r>
          </w:p>
        </w:tc>
        <w:tc>
          <w:tcPr>
            <w:tcW w:w="5462" w:type="dxa"/>
            <w:shd w:val="clear" w:color="auto" w:fill="auto"/>
            <w:noWrap/>
            <w:vAlign w:val="center"/>
            <w:hideMark/>
          </w:tcPr>
          <w:p w14:paraId="31A2155A" w14:textId="5E9C639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 1º  A EFPC deve considerar o fluxo de pagamento dos benefícios projetados a partir das hipóteses atuariais aderentes adotadas na avaliação atuarial do exercício anterior, para fins de demonstração da viabilidade econômico-financeira e atuarial da contratação do seguro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w:t>
            </w:r>
          </w:p>
        </w:tc>
        <w:tc>
          <w:tcPr>
            <w:tcW w:w="4076" w:type="dxa"/>
            <w:shd w:val="clear" w:color="auto" w:fill="auto"/>
            <w:noWrap/>
            <w:vAlign w:val="center"/>
            <w:hideMark/>
          </w:tcPr>
          <w:p w14:paraId="3219DEE3"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99FBE65" w14:textId="4EF1EC8E" w:rsidTr="00E31838">
        <w:tc>
          <w:tcPr>
            <w:tcW w:w="4598" w:type="dxa"/>
            <w:vAlign w:val="center"/>
          </w:tcPr>
          <w:p w14:paraId="7E8A94B6" w14:textId="6D167C9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 xml:space="preserve">§ 2º A cobertura para desvio de hipóteses biométricas pode ser contratada, alternativamente, por meio de seguro de índice biométrico, no qual as indenizações </w:t>
            </w:r>
            <w:r w:rsidRPr="0010524E">
              <w:rPr>
                <w:rFonts w:ascii="Calibri" w:hAnsi="Calibri" w:cs="Calibri"/>
                <w:sz w:val="24"/>
                <w:szCs w:val="24"/>
              </w:rPr>
              <w:lastRenderedPageBreak/>
              <w:t>sejam calculadas com base nas taxas biométricas observadas e estimadas.</w:t>
            </w:r>
          </w:p>
        </w:tc>
        <w:tc>
          <w:tcPr>
            <w:tcW w:w="5462" w:type="dxa"/>
            <w:shd w:val="clear" w:color="auto" w:fill="auto"/>
            <w:noWrap/>
            <w:vAlign w:val="center"/>
            <w:hideMark/>
          </w:tcPr>
          <w:p w14:paraId="7CF629E2" w14:textId="6976C29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2º  A cobertura para desvio de hipóteses biométricas pode ser contratada, alternativamente, por meio de seguro de índice biométrico, no qual as indenizações sejam calculadas com base nas taxas biométricas observadas e estimadas.</w:t>
            </w:r>
          </w:p>
        </w:tc>
        <w:tc>
          <w:tcPr>
            <w:tcW w:w="4076" w:type="dxa"/>
            <w:shd w:val="clear" w:color="auto" w:fill="auto"/>
            <w:noWrap/>
            <w:vAlign w:val="center"/>
            <w:hideMark/>
          </w:tcPr>
          <w:p w14:paraId="0AB1B48C"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85073B4" w14:textId="338045CC" w:rsidTr="00E31838">
        <w:tc>
          <w:tcPr>
            <w:tcW w:w="4598" w:type="dxa"/>
            <w:vAlign w:val="center"/>
          </w:tcPr>
          <w:p w14:paraId="70C4A69F" w14:textId="739E53A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11. Nenhum recurso financeiro destinado ao pagamento de prêmio ou de indenização pode transitar diretamente entre a sociedade seguradora e o participante ou assistido, ressalvada a hipótese de ausência de vínculo entre o segurado e a EFPC, observada a legislação aplicável.</w:t>
            </w:r>
          </w:p>
        </w:tc>
        <w:tc>
          <w:tcPr>
            <w:tcW w:w="5462" w:type="dxa"/>
            <w:shd w:val="clear" w:color="auto" w:fill="auto"/>
            <w:noWrap/>
            <w:vAlign w:val="center"/>
            <w:hideMark/>
          </w:tcPr>
          <w:p w14:paraId="1F392240" w14:textId="2AF3A51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51.  Nenhum recurso financeiro destinado ao pagamento de prêmio ou de indenização pode transitar diretamente entre a sociedade seguradora e o participante ou assistido, ressalvada a hipótese de ausência de vínculo entre o segurado e a EFPC, observada a legislação aplicável.</w:t>
            </w:r>
          </w:p>
        </w:tc>
        <w:tc>
          <w:tcPr>
            <w:tcW w:w="4076" w:type="dxa"/>
            <w:shd w:val="clear" w:color="auto" w:fill="auto"/>
            <w:noWrap/>
            <w:vAlign w:val="center"/>
            <w:hideMark/>
          </w:tcPr>
          <w:p w14:paraId="6DE3B342"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628E778" w14:textId="05671728" w:rsidTr="00E31838">
        <w:tc>
          <w:tcPr>
            <w:tcW w:w="4598" w:type="dxa"/>
            <w:vAlign w:val="center"/>
          </w:tcPr>
          <w:p w14:paraId="5736F99A" w14:textId="0FB85D1F"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12. Qualquer pagamento da sociedade seguradora à EFPC, que não seja a título de indenização, deve:</w:t>
            </w:r>
          </w:p>
        </w:tc>
        <w:tc>
          <w:tcPr>
            <w:tcW w:w="5462" w:type="dxa"/>
            <w:shd w:val="clear" w:color="auto" w:fill="auto"/>
            <w:noWrap/>
            <w:vAlign w:val="center"/>
            <w:hideMark/>
          </w:tcPr>
          <w:p w14:paraId="6F40DC5F" w14:textId="723F8B1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52.  Qualquer pagamento da sociedade seguradora à EFPC, que não seja a título de indenização, deve:</w:t>
            </w:r>
          </w:p>
        </w:tc>
        <w:tc>
          <w:tcPr>
            <w:tcW w:w="4076" w:type="dxa"/>
            <w:shd w:val="clear" w:color="auto" w:fill="auto"/>
            <w:noWrap/>
            <w:vAlign w:val="center"/>
            <w:hideMark/>
          </w:tcPr>
          <w:p w14:paraId="265321BF"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76E36169" w14:textId="3B522A56" w:rsidTr="00E31838">
        <w:tc>
          <w:tcPr>
            <w:tcW w:w="4598" w:type="dxa"/>
            <w:vAlign w:val="center"/>
          </w:tcPr>
          <w:p w14:paraId="7A711BF5" w14:textId="5A9CC51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ter previsão contratual;</w:t>
            </w:r>
          </w:p>
        </w:tc>
        <w:tc>
          <w:tcPr>
            <w:tcW w:w="5462" w:type="dxa"/>
            <w:shd w:val="clear" w:color="auto" w:fill="auto"/>
            <w:noWrap/>
            <w:vAlign w:val="center"/>
            <w:hideMark/>
          </w:tcPr>
          <w:p w14:paraId="505C6990" w14:textId="7D0B44EC"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ter previsão contratual;</w:t>
            </w:r>
          </w:p>
        </w:tc>
        <w:tc>
          <w:tcPr>
            <w:tcW w:w="4076" w:type="dxa"/>
            <w:shd w:val="clear" w:color="auto" w:fill="auto"/>
            <w:noWrap/>
            <w:vAlign w:val="center"/>
            <w:hideMark/>
          </w:tcPr>
          <w:p w14:paraId="044AABE2"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36F6716B" w14:textId="58C8B11E" w:rsidTr="00E31838">
        <w:tc>
          <w:tcPr>
            <w:tcW w:w="4598" w:type="dxa"/>
            <w:vAlign w:val="center"/>
          </w:tcPr>
          <w:p w14:paraId="2C20789F" w14:textId="2DE8766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ser destinado ao respectivo plano de benefícios; e</w:t>
            </w:r>
          </w:p>
        </w:tc>
        <w:tc>
          <w:tcPr>
            <w:tcW w:w="5462" w:type="dxa"/>
            <w:shd w:val="clear" w:color="auto" w:fill="auto"/>
            <w:noWrap/>
            <w:vAlign w:val="center"/>
            <w:hideMark/>
          </w:tcPr>
          <w:p w14:paraId="3B3A9DCF" w14:textId="2270F71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ser destinado ao respectivo plano de benefícios; e</w:t>
            </w:r>
          </w:p>
        </w:tc>
        <w:tc>
          <w:tcPr>
            <w:tcW w:w="4076" w:type="dxa"/>
            <w:shd w:val="clear" w:color="auto" w:fill="auto"/>
            <w:noWrap/>
            <w:vAlign w:val="center"/>
            <w:hideMark/>
          </w:tcPr>
          <w:p w14:paraId="52C4D1A2"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A3FCAE0" w14:textId="74D9DD67" w:rsidTr="00E31838">
        <w:tc>
          <w:tcPr>
            <w:tcW w:w="4598" w:type="dxa"/>
            <w:vAlign w:val="center"/>
          </w:tcPr>
          <w:p w14:paraId="42623E77" w14:textId="690768B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ser divulgado aos participantes e assistidos no Relatório Anual de Informações.</w:t>
            </w:r>
          </w:p>
        </w:tc>
        <w:tc>
          <w:tcPr>
            <w:tcW w:w="5462" w:type="dxa"/>
            <w:shd w:val="clear" w:color="auto" w:fill="auto"/>
            <w:noWrap/>
            <w:vAlign w:val="center"/>
            <w:hideMark/>
          </w:tcPr>
          <w:p w14:paraId="018B630B" w14:textId="53098FC0"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ser divulgado aos participantes e assistidos no Relatório Anual de Informações.</w:t>
            </w:r>
          </w:p>
        </w:tc>
        <w:tc>
          <w:tcPr>
            <w:tcW w:w="4076" w:type="dxa"/>
            <w:shd w:val="clear" w:color="auto" w:fill="auto"/>
            <w:noWrap/>
            <w:vAlign w:val="center"/>
            <w:hideMark/>
          </w:tcPr>
          <w:p w14:paraId="5B635438"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63A3C0C3" w14:textId="27D415F4" w:rsidTr="00E31838">
        <w:tc>
          <w:tcPr>
            <w:tcW w:w="4598" w:type="dxa"/>
            <w:vAlign w:val="center"/>
          </w:tcPr>
          <w:p w14:paraId="4AB522C7" w14:textId="55E2AE2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13. A EFPC deve dar publicidade aos participantes e assistidos sobre a contratação do seguro, informando as respectivas condições e formas de acesso, quando houver.</w:t>
            </w:r>
          </w:p>
        </w:tc>
        <w:tc>
          <w:tcPr>
            <w:tcW w:w="5462" w:type="dxa"/>
            <w:shd w:val="clear" w:color="auto" w:fill="auto"/>
            <w:noWrap/>
            <w:vAlign w:val="center"/>
            <w:hideMark/>
          </w:tcPr>
          <w:p w14:paraId="04F3733F" w14:textId="1D9449A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53.  A EFPC deve dar publicidade aos participantes e assistidos sobre a contratação do seguro, informando as respectivas condições e formas de acesso, quando houver.</w:t>
            </w:r>
          </w:p>
        </w:tc>
        <w:tc>
          <w:tcPr>
            <w:tcW w:w="4076" w:type="dxa"/>
            <w:shd w:val="clear" w:color="auto" w:fill="auto"/>
            <w:noWrap/>
            <w:vAlign w:val="center"/>
            <w:hideMark/>
          </w:tcPr>
          <w:p w14:paraId="0A98E12D"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89A2CE2" w14:textId="55E85E73" w:rsidTr="00E31838">
        <w:tc>
          <w:tcPr>
            <w:tcW w:w="4598" w:type="dxa"/>
            <w:vAlign w:val="center"/>
          </w:tcPr>
          <w:p w14:paraId="256BAFB0" w14:textId="44F4A8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10. A nota técnica atuarial e o plano de custeio de cada plano de benefícios objeto de contrato de seguro devem prever o tratamento a ser dado às seguintes situações:</w:t>
            </w:r>
          </w:p>
        </w:tc>
        <w:tc>
          <w:tcPr>
            <w:tcW w:w="5462" w:type="dxa"/>
            <w:shd w:val="clear" w:color="auto" w:fill="auto"/>
            <w:noWrap/>
            <w:vAlign w:val="center"/>
          </w:tcPr>
          <w:p w14:paraId="611839F5" w14:textId="7B85539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79745294" w14:textId="7B14ED7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Deslocado para o capítulo que trata dos dados atuariais, contábeis e de investimentos.</w:t>
            </w:r>
          </w:p>
        </w:tc>
      </w:tr>
      <w:tr w:rsidR="00E31838" w:rsidRPr="0010524E" w14:paraId="57F0E6DB" w14:textId="1063BE6D" w:rsidTr="00E31838">
        <w:tc>
          <w:tcPr>
            <w:tcW w:w="4598" w:type="dxa"/>
            <w:vAlign w:val="center"/>
          </w:tcPr>
          <w:p w14:paraId="53C489F1" w14:textId="022182D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exclusão de determinados riscos pela sociedade seguradora; e</w:t>
            </w:r>
          </w:p>
        </w:tc>
        <w:tc>
          <w:tcPr>
            <w:tcW w:w="5462" w:type="dxa"/>
            <w:shd w:val="clear" w:color="auto" w:fill="auto"/>
            <w:noWrap/>
            <w:vAlign w:val="center"/>
          </w:tcPr>
          <w:p w14:paraId="293F048B" w14:textId="3ACEE95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719E1033" w14:textId="68F88F6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Deslocado para o capítulo que trata dos dados atuariais, contábeis e de investimentos.</w:t>
            </w:r>
          </w:p>
        </w:tc>
      </w:tr>
      <w:tr w:rsidR="00E31838" w:rsidRPr="0010524E" w14:paraId="0722DDB3" w14:textId="0779BE39" w:rsidTr="00E31838">
        <w:tc>
          <w:tcPr>
            <w:tcW w:w="4598" w:type="dxa"/>
            <w:vAlign w:val="center"/>
          </w:tcPr>
          <w:p w14:paraId="285426C1" w14:textId="3B7DB46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II - recusa de participantes ou assistidos pela sociedade seguradora.</w:t>
            </w:r>
          </w:p>
        </w:tc>
        <w:tc>
          <w:tcPr>
            <w:tcW w:w="5462" w:type="dxa"/>
            <w:shd w:val="clear" w:color="auto" w:fill="auto"/>
            <w:noWrap/>
            <w:vAlign w:val="center"/>
          </w:tcPr>
          <w:p w14:paraId="453A9D44" w14:textId="57D23FA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74B01111" w14:textId="326CDEE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Deslocado para o capítulo que trata dos dados atuariais, contábeis e de investimentos.</w:t>
            </w:r>
          </w:p>
        </w:tc>
      </w:tr>
      <w:tr w:rsidR="00E31838" w:rsidRPr="0010524E" w14:paraId="3407002E" w14:textId="1DE0CDF6" w:rsidTr="00E31838">
        <w:tc>
          <w:tcPr>
            <w:tcW w:w="4598" w:type="dxa"/>
            <w:vAlign w:val="center"/>
          </w:tcPr>
          <w:p w14:paraId="700F80DA" w14:textId="335E3C3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2º Para fins desta Resolução, considera-se:</w:t>
            </w:r>
          </w:p>
        </w:tc>
        <w:tc>
          <w:tcPr>
            <w:tcW w:w="5462" w:type="dxa"/>
            <w:shd w:val="clear" w:color="auto" w:fill="auto"/>
            <w:noWrap/>
            <w:vAlign w:val="center"/>
          </w:tcPr>
          <w:p w14:paraId="48B50C21" w14:textId="6FFBA2B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649F3443" w14:textId="79F28FB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Deslocado para a Seção I - Conceitos e definições</w:t>
            </w:r>
          </w:p>
        </w:tc>
      </w:tr>
      <w:tr w:rsidR="00E31838" w:rsidRPr="0010524E" w14:paraId="591D3E1C" w14:textId="37EF8F10" w:rsidTr="00E31838">
        <w:tc>
          <w:tcPr>
            <w:tcW w:w="4598" w:type="dxa"/>
            <w:vAlign w:val="center"/>
          </w:tcPr>
          <w:p w14:paraId="24A699AA" w14:textId="2AFF21F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 - indenização: pagamento efetuado por sociedade seguradora à EFPC referente às coberturas contratadas;</w:t>
            </w:r>
          </w:p>
        </w:tc>
        <w:tc>
          <w:tcPr>
            <w:tcW w:w="5462" w:type="dxa"/>
            <w:shd w:val="clear" w:color="auto" w:fill="auto"/>
            <w:noWrap/>
            <w:vAlign w:val="center"/>
          </w:tcPr>
          <w:p w14:paraId="4052C597" w14:textId="239D43F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4272FF08" w14:textId="7A684AF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Deslocado para a Seção I - Conceitos e definições</w:t>
            </w:r>
          </w:p>
        </w:tc>
      </w:tr>
      <w:tr w:rsidR="00E31838" w:rsidRPr="0010524E" w14:paraId="2B48BE3F" w14:textId="2B5AE65A" w:rsidTr="00E31838">
        <w:tc>
          <w:tcPr>
            <w:tcW w:w="4598" w:type="dxa"/>
            <w:vAlign w:val="center"/>
          </w:tcPr>
          <w:p w14:paraId="17DB19DA" w14:textId="41AA9DE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 - prêmio: importância paga pela EFPC à sociedade seguradora, na forma prevista em contrato;</w:t>
            </w:r>
          </w:p>
        </w:tc>
        <w:tc>
          <w:tcPr>
            <w:tcW w:w="5462" w:type="dxa"/>
            <w:shd w:val="clear" w:color="auto" w:fill="auto"/>
            <w:noWrap/>
            <w:vAlign w:val="center"/>
          </w:tcPr>
          <w:p w14:paraId="4D56F286" w14:textId="6344D7F5"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1BA2E901" w14:textId="45586923"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Deslocado para a Seção I - Conceitos e definições</w:t>
            </w:r>
          </w:p>
        </w:tc>
      </w:tr>
      <w:tr w:rsidR="00E31838" w:rsidRPr="0010524E" w14:paraId="7C8BBE47" w14:textId="18BADA73" w:rsidTr="00E31838">
        <w:tc>
          <w:tcPr>
            <w:tcW w:w="4598" w:type="dxa"/>
            <w:vAlign w:val="center"/>
          </w:tcPr>
          <w:p w14:paraId="1E7D7C07" w14:textId="1A02553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III - saldo de conta total: valor correspondente à totalidade dos recursos alocados em nome do participante ou assistido com o objetivo de pagamento de benefícios, na forma prevista em regulamento do plano de benefícios;</w:t>
            </w:r>
          </w:p>
        </w:tc>
        <w:tc>
          <w:tcPr>
            <w:tcW w:w="5462" w:type="dxa"/>
            <w:shd w:val="clear" w:color="auto" w:fill="auto"/>
            <w:noWrap/>
            <w:vAlign w:val="center"/>
          </w:tcPr>
          <w:p w14:paraId="6D945F36" w14:textId="631DB68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70159665" w14:textId="30F1CE3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Deslocado para a Seção I - Conceitos e definições</w:t>
            </w:r>
          </w:p>
        </w:tc>
      </w:tr>
      <w:tr w:rsidR="00E31838" w:rsidRPr="0010524E" w14:paraId="5B51AFE6" w14:textId="6C39B3B6" w:rsidTr="00E31838">
        <w:tc>
          <w:tcPr>
            <w:tcW w:w="4598" w:type="dxa"/>
            <w:vAlign w:val="center"/>
          </w:tcPr>
          <w:p w14:paraId="6855CDE8" w14:textId="1E5D556F"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IV - segurado: o participante, o assistido ou a EFPC, conforme o caso;</w:t>
            </w:r>
          </w:p>
        </w:tc>
        <w:tc>
          <w:tcPr>
            <w:tcW w:w="5462" w:type="dxa"/>
            <w:shd w:val="clear" w:color="auto" w:fill="auto"/>
            <w:noWrap/>
            <w:vAlign w:val="center"/>
          </w:tcPr>
          <w:p w14:paraId="783928CA" w14:textId="05F15CA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43DEB77B" w14:textId="3464CEAD"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Deslocado para a Seção I - Conceitos e definições</w:t>
            </w:r>
          </w:p>
        </w:tc>
      </w:tr>
      <w:tr w:rsidR="00E31838" w:rsidRPr="0010524E" w14:paraId="35A326AC" w14:textId="10263079" w:rsidTr="00E31838">
        <w:tc>
          <w:tcPr>
            <w:tcW w:w="4598" w:type="dxa"/>
            <w:vAlign w:val="center"/>
          </w:tcPr>
          <w:p w14:paraId="797D1A5B" w14:textId="7DBE76FF"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V - cobertura parcial de risco: a cobertura contratada em valor parcial do benefício previsto em regulamento do plano de benefícios ou do fluxo de pagamento estimado;</w:t>
            </w:r>
          </w:p>
        </w:tc>
        <w:tc>
          <w:tcPr>
            <w:tcW w:w="5462" w:type="dxa"/>
            <w:shd w:val="clear" w:color="auto" w:fill="auto"/>
            <w:noWrap/>
            <w:vAlign w:val="center"/>
          </w:tcPr>
          <w:p w14:paraId="55A38E54" w14:textId="177C17D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7E981064" w14:textId="76D20C2A"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Deslocado para a Seção I - Conceitos e definições</w:t>
            </w:r>
          </w:p>
        </w:tc>
      </w:tr>
      <w:tr w:rsidR="00E31838" w:rsidRPr="0010524E" w14:paraId="54557ED0" w14:textId="3A826C2B" w:rsidTr="00E31838">
        <w:tc>
          <w:tcPr>
            <w:tcW w:w="4598" w:type="dxa"/>
            <w:vAlign w:val="center"/>
          </w:tcPr>
          <w:p w14:paraId="7602F358" w14:textId="7971427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VI - cobertura total de risco: a cobertura contratada correspondente à totalidade do valor do benefício previsto em regulamento do plano de benefícios ou do fluxo de pagamento estimado;</w:t>
            </w:r>
          </w:p>
        </w:tc>
        <w:tc>
          <w:tcPr>
            <w:tcW w:w="5462" w:type="dxa"/>
            <w:shd w:val="clear" w:color="auto" w:fill="auto"/>
            <w:noWrap/>
            <w:vAlign w:val="center"/>
          </w:tcPr>
          <w:p w14:paraId="4BF92BD4" w14:textId="0EAB23D1"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31134B91" w14:textId="1E16021E"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Deslocado para a Seção I - Conceitos e definições</w:t>
            </w:r>
          </w:p>
        </w:tc>
      </w:tr>
      <w:tr w:rsidR="00E31838" w:rsidRPr="0010524E" w14:paraId="10476A5A" w14:textId="18BC75B4" w:rsidTr="00E31838">
        <w:tc>
          <w:tcPr>
            <w:tcW w:w="4598" w:type="dxa"/>
            <w:vAlign w:val="center"/>
          </w:tcPr>
          <w:p w14:paraId="6B508272" w14:textId="42B497AF"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lastRenderedPageBreak/>
              <w:t>VII - cobertura adicional de risco: a cobertura oferecida aos participantes em planos cujos benefícios decorrentes de invalidez e morte sejam estruturados unicamente com base em saldos de contas; e</w:t>
            </w:r>
          </w:p>
        </w:tc>
        <w:tc>
          <w:tcPr>
            <w:tcW w:w="5462" w:type="dxa"/>
            <w:shd w:val="clear" w:color="auto" w:fill="auto"/>
            <w:noWrap/>
            <w:vAlign w:val="center"/>
          </w:tcPr>
          <w:p w14:paraId="3B981EA4" w14:textId="1528862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55DC4614" w14:textId="5F7E7762"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Deslocado para a Seção I - Conceitos e definições</w:t>
            </w:r>
          </w:p>
        </w:tc>
      </w:tr>
      <w:tr w:rsidR="00E31838" w:rsidRPr="0010524E" w14:paraId="74A07BA7" w14:textId="3583EECE" w:rsidTr="00E31838">
        <w:tc>
          <w:tcPr>
            <w:tcW w:w="4598" w:type="dxa"/>
            <w:vAlign w:val="center"/>
          </w:tcPr>
          <w:p w14:paraId="28E50491" w14:textId="20FBCEF8"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VIII - contrato de seguro: instrumento firmado entre a EFPC e a sociedade seguradora com a finalidade exclusiva de disciplinar a contratação de seguro para cobertura de riscos de plano de benefícios.</w:t>
            </w:r>
          </w:p>
        </w:tc>
        <w:tc>
          <w:tcPr>
            <w:tcW w:w="5462" w:type="dxa"/>
            <w:shd w:val="clear" w:color="auto" w:fill="auto"/>
            <w:noWrap/>
            <w:vAlign w:val="center"/>
          </w:tcPr>
          <w:p w14:paraId="1B93D27B" w14:textId="4EAE745B"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hideMark/>
          </w:tcPr>
          <w:p w14:paraId="10FE851D" w14:textId="2E865319"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Deslocado para a Seção I - Conceitos e definições</w:t>
            </w:r>
          </w:p>
        </w:tc>
      </w:tr>
      <w:tr w:rsidR="00E31838" w:rsidRPr="0010524E" w14:paraId="74B8325D" w14:textId="721AD1BF" w:rsidTr="00E31838">
        <w:tc>
          <w:tcPr>
            <w:tcW w:w="4598" w:type="dxa"/>
            <w:vAlign w:val="center"/>
          </w:tcPr>
          <w:p w14:paraId="7C04DD64" w14:textId="311BF842" w:rsidR="00E31838" w:rsidRPr="0010524E" w:rsidRDefault="00E31838" w:rsidP="000053DA">
            <w:pPr>
              <w:spacing w:after="0" w:line="240" w:lineRule="auto"/>
              <w:jc w:val="both"/>
              <w:rPr>
                <w:rFonts w:ascii="Calibri" w:hAnsi="Calibri" w:cs="Calibri"/>
                <w:b/>
                <w:sz w:val="24"/>
                <w:szCs w:val="24"/>
              </w:rPr>
            </w:pPr>
            <w:r w:rsidRPr="0010524E">
              <w:rPr>
                <w:rFonts w:ascii="Calibri" w:hAnsi="Calibri" w:cs="Calibri"/>
                <w:b/>
                <w:sz w:val="24"/>
                <w:szCs w:val="24"/>
              </w:rPr>
              <w:t>Instrução Previc nº 33, de</w:t>
            </w:r>
            <w:r>
              <w:rPr>
                <w:rFonts w:ascii="Calibri" w:hAnsi="Calibri" w:cs="Calibri"/>
                <w:b/>
                <w:sz w:val="24"/>
                <w:szCs w:val="24"/>
              </w:rPr>
              <w:t xml:space="preserve"> 23 de outubro de</w:t>
            </w:r>
            <w:r w:rsidRPr="0010524E">
              <w:rPr>
                <w:rFonts w:ascii="Calibri" w:hAnsi="Calibri" w:cs="Calibri"/>
                <w:b/>
                <w:sz w:val="24"/>
                <w:szCs w:val="24"/>
              </w:rPr>
              <w:t xml:space="preserve"> 2018.</w:t>
            </w:r>
          </w:p>
        </w:tc>
        <w:tc>
          <w:tcPr>
            <w:tcW w:w="5462" w:type="dxa"/>
            <w:shd w:val="clear" w:color="auto" w:fill="auto"/>
            <w:noWrap/>
            <w:vAlign w:val="center"/>
          </w:tcPr>
          <w:p w14:paraId="61AE3EC9"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74AB8FCA"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8E99D41" w14:textId="77777777" w:rsidTr="00E31838">
        <w:tc>
          <w:tcPr>
            <w:tcW w:w="4598" w:type="dxa"/>
            <w:vAlign w:val="center"/>
          </w:tcPr>
          <w:p w14:paraId="003B9741" w14:textId="59CB001D" w:rsidR="00E31838" w:rsidRPr="0010524E" w:rsidRDefault="00E31838" w:rsidP="000053DA">
            <w:pPr>
              <w:spacing w:after="0" w:line="240" w:lineRule="auto"/>
              <w:jc w:val="both"/>
              <w:rPr>
                <w:rFonts w:ascii="Calibri" w:hAnsi="Calibri" w:cs="Calibri"/>
                <w:b/>
                <w:sz w:val="24"/>
                <w:szCs w:val="24"/>
              </w:rPr>
            </w:pPr>
            <w:r>
              <w:t>Regulamenta critérios técnico-atuariais para definição da duração do passivo, da taxa de juros parâmetro, do ajuste de precificação, do estudo técnico de adequação das hipóteses atuarias, além de estabelecer procedimentos a serem adotados pelas entidades fechadas de previdência complementar para destinação e utilização de superávit e elaboração, aprovação e execução de planos de equacionamento de déficit.</w:t>
            </w:r>
          </w:p>
        </w:tc>
        <w:tc>
          <w:tcPr>
            <w:tcW w:w="5462" w:type="dxa"/>
            <w:shd w:val="clear" w:color="auto" w:fill="auto"/>
            <w:noWrap/>
            <w:vAlign w:val="center"/>
          </w:tcPr>
          <w:p w14:paraId="092646EC"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1C7B88F4"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5D6979A7" w14:textId="74FE7F3A" w:rsidTr="00E31838">
        <w:tc>
          <w:tcPr>
            <w:tcW w:w="4598" w:type="dxa"/>
            <w:vAlign w:val="center"/>
          </w:tcPr>
          <w:p w14:paraId="4FB67BDB" w14:textId="2624D296"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hAnsi="Calibri" w:cs="Calibri"/>
                <w:sz w:val="24"/>
                <w:szCs w:val="24"/>
              </w:rPr>
              <w:t>Art. 43. Os documentos elaborados para atendimento ao estabelecido nesta Instrução devem ser mantidos na EFPC à disposição da Previc.</w:t>
            </w:r>
          </w:p>
        </w:tc>
        <w:tc>
          <w:tcPr>
            <w:tcW w:w="5462" w:type="dxa"/>
            <w:shd w:val="clear" w:color="auto" w:fill="auto"/>
            <w:noWrap/>
            <w:vAlign w:val="center"/>
            <w:hideMark/>
          </w:tcPr>
          <w:p w14:paraId="721E4592" w14:textId="298AA34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54.  Os documentos elaborados para atendimento ao estabelecido neste Capítulo devem ser mantidos na EFPC à disposição da Previc.</w:t>
            </w:r>
          </w:p>
        </w:tc>
        <w:tc>
          <w:tcPr>
            <w:tcW w:w="4076" w:type="dxa"/>
            <w:shd w:val="clear" w:color="auto" w:fill="auto"/>
            <w:noWrap/>
            <w:vAlign w:val="center"/>
            <w:hideMark/>
          </w:tcPr>
          <w:p w14:paraId="0E5FF35E" w14:textId="2645B2A4"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Trazido para o final da Resolução, uma vez que trata de todos os documentos de forma genérica.</w:t>
            </w:r>
          </w:p>
        </w:tc>
      </w:tr>
      <w:tr w:rsidR="00E31838" w:rsidRPr="0010524E" w14:paraId="3543673D" w14:textId="77777777" w:rsidTr="00E31838">
        <w:tc>
          <w:tcPr>
            <w:tcW w:w="4598" w:type="dxa"/>
            <w:vAlign w:val="center"/>
          </w:tcPr>
          <w:p w14:paraId="3C657786" w14:textId="1B3547B7" w:rsidR="00E31838" w:rsidRPr="0010524E" w:rsidRDefault="00E31838" w:rsidP="002800D7">
            <w:pPr>
              <w:spacing w:after="0"/>
              <w:jc w:val="both"/>
              <w:rPr>
                <w:rFonts w:ascii="Calibri" w:hAnsi="Calibri" w:cs="Calibri"/>
                <w:sz w:val="24"/>
                <w:szCs w:val="24"/>
              </w:rPr>
            </w:pPr>
            <w:r w:rsidRPr="002800D7">
              <w:rPr>
                <w:rFonts w:ascii="Calibri" w:hAnsi="Calibri" w:cs="Calibri"/>
                <w:b/>
                <w:bCs/>
                <w:sz w:val="24"/>
                <w:szCs w:val="24"/>
              </w:rPr>
              <w:t>RESOLUÇÃO PREVIC Nº 9, DE 30 DE MARÇO DE 2022</w:t>
            </w:r>
          </w:p>
        </w:tc>
        <w:tc>
          <w:tcPr>
            <w:tcW w:w="5462" w:type="dxa"/>
            <w:shd w:val="clear" w:color="auto" w:fill="auto"/>
            <w:noWrap/>
          </w:tcPr>
          <w:p w14:paraId="1BA736C9" w14:textId="77777777" w:rsidR="00E31838" w:rsidRPr="002800D7" w:rsidRDefault="00E31838" w:rsidP="000053DA">
            <w:pPr>
              <w:spacing w:after="0" w:line="240" w:lineRule="auto"/>
              <w:jc w:val="center"/>
              <w:rPr>
                <w:rFonts w:ascii="Calibri" w:hAnsi="Calibri" w:cstheme="minorHAnsi"/>
                <w:sz w:val="24"/>
                <w:szCs w:val="24"/>
              </w:rPr>
            </w:pPr>
          </w:p>
        </w:tc>
        <w:tc>
          <w:tcPr>
            <w:tcW w:w="4076" w:type="dxa"/>
            <w:shd w:val="clear" w:color="auto" w:fill="auto"/>
            <w:noWrap/>
            <w:vAlign w:val="center"/>
          </w:tcPr>
          <w:p w14:paraId="78ED6E18"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5633D59" w14:textId="77777777" w:rsidTr="00E31838">
        <w:tc>
          <w:tcPr>
            <w:tcW w:w="4598" w:type="dxa"/>
            <w:vAlign w:val="center"/>
          </w:tcPr>
          <w:p w14:paraId="7711761A" w14:textId="77777777" w:rsidR="00E31838" w:rsidRDefault="00E31838" w:rsidP="000053DA">
            <w:pPr>
              <w:spacing w:after="0" w:line="240" w:lineRule="auto"/>
              <w:jc w:val="both"/>
              <w:rPr>
                <w:rStyle w:val="nfase"/>
                <w:rFonts w:cs="Helvetica"/>
                <w:i w:val="0"/>
                <w:iCs w:val="0"/>
                <w:color w:val="333333"/>
                <w:sz w:val="24"/>
                <w:szCs w:val="25"/>
                <w:shd w:val="clear" w:color="auto" w:fill="FFFFFF"/>
              </w:rPr>
            </w:pPr>
            <w:r w:rsidRPr="002800D7">
              <w:rPr>
                <w:rStyle w:val="nfase"/>
                <w:rFonts w:cs="Helvetica"/>
                <w:i w:val="0"/>
                <w:iCs w:val="0"/>
                <w:color w:val="333333"/>
                <w:sz w:val="24"/>
                <w:szCs w:val="25"/>
                <w:shd w:val="clear" w:color="auto" w:fill="FFFFFF"/>
              </w:rPr>
              <w:t xml:space="preserve">Dispõe sobre os prazos e os procedimentos a serem observados para decisão administrativa </w:t>
            </w:r>
            <w:r w:rsidRPr="002800D7">
              <w:rPr>
                <w:rStyle w:val="nfase"/>
                <w:rFonts w:cs="Helvetica"/>
                <w:i w:val="0"/>
                <w:iCs w:val="0"/>
                <w:color w:val="333333"/>
                <w:sz w:val="24"/>
                <w:szCs w:val="25"/>
                <w:shd w:val="clear" w:color="auto" w:fill="FFFFFF"/>
              </w:rPr>
              <w:lastRenderedPageBreak/>
              <w:t>dos requerimentos de licenciamento apresentados à Superintendência Nacional de Previdência Complementar pelas entidades fechadas de previdência complementar</w:t>
            </w:r>
          </w:p>
          <w:p w14:paraId="3D49C347" w14:textId="0A75998F" w:rsidR="00E31838" w:rsidRPr="002800D7" w:rsidRDefault="00E31838" w:rsidP="000053DA">
            <w:pPr>
              <w:spacing w:after="0" w:line="240" w:lineRule="auto"/>
              <w:jc w:val="both"/>
              <w:rPr>
                <w:rFonts w:cs="Calibri"/>
                <w:i/>
                <w:iCs/>
                <w:szCs w:val="23"/>
              </w:rPr>
            </w:pPr>
          </w:p>
        </w:tc>
        <w:tc>
          <w:tcPr>
            <w:tcW w:w="5462" w:type="dxa"/>
            <w:shd w:val="clear" w:color="auto" w:fill="auto"/>
            <w:noWrap/>
          </w:tcPr>
          <w:p w14:paraId="51D54CB0" w14:textId="77777777" w:rsidR="00E31838" w:rsidRPr="002800D7" w:rsidRDefault="00E31838" w:rsidP="000053DA">
            <w:pPr>
              <w:spacing w:after="0" w:line="240" w:lineRule="auto"/>
              <w:jc w:val="center"/>
              <w:rPr>
                <w:rFonts w:ascii="Calibri" w:hAnsi="Calibri" w:cstheme="minorHAnsi"/>
                <w:sz w:val="24"/>
                <w:szCs w:val="24"/>
              </w:rPr>
            </w:pPr>
          </w:p>
        </w:tc>
        <w:tc>
          <w:tcPr>
            <w:tcW w:w="4076" w:type="dxa"/>
            <w:shd w:val="clear" w:color="auto" w:fill="auto"/>
            <w:noWrap/>
            <w:vAlign w:val="center"/>
          </w:tcPr>
          <w:p w14:paraId="7EEBEA3A"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44BFCAC0" w14:textId="284C905A" w:rsidTr="00E31838">
        <w:tc>
          <w:tcPr>
            <w:tcW w:w="4598" w:type="dxa"/>
            <w:vAlign w:val="center"/>
          </w:tcPr>
          <w:p w14:paraId="43C740A6" w14:textId="77777777" w:rsidR="00E31838" w:rsidRPr="0010524E" w:rsidRDefault="00E31838" w:rsidP="000053DA">
            <w:pPr>
              <w:spacing w:after="0" w:line="240" w:lineRule="auto"/>
              <w:jc w:val="both"/>
              <w:rPr>
                <w:rFonts w:ascii="Calibri" w:hAnsi="Calibri" w:cs="Calibri"/>
                <w:sz w:val="24"/>
                <w:szCs w:val="24"/>
              </w:rPr>
            </w:pPr>
          </w:p>
        </w:tc>
        <w:tc>
          <w:tcPr>
            <w:tcW w:w="5462" w:type="dxa"/>
            <w:shd w:val="clear" w:color="auto" w:fill="auto"/>
            <w:noWrap/>
          </w:tcPr>
          <w:p w14:paraId="6FFD6601" w14:textId="77777777" w:rsidR="00E31838" w:rsidRPr="002800D7" w:rsidRDefault="00E31838" w:rsidP="000053DA">
            <w:pPr>
              <w:spacing w:after="0" w:line="240" w:lineRule="auto"/>
              <w:jc w:val="center"/>
              <w:rPr>
                <w:rFonts w:ascii="Calibri" w:hAnsi="Calibri" w:cstheme="minorHAnsi"/>
                <w:sz w:val="24"/>
                <w:szCs w:val="24"/>
              </w:rPr>
            </w:pPr>
            <w:r w:rsidRPr="002800D7">
              <w:rPr>
                <w:rFonts w:ascii="Calibri" w:hAnsi="Calibri" w:cstheme="minorHAnsi"/>
                <w:sz w:val="24"/>
                <w:szCs w:val="24"/>
              </w:rPr>
              <w:t>CAPÍTULO III</w:t>
            </w:r>
          </w:p>
          <w:p w14:paraId="4E07F785" w14:textId="673F35B0" w:rsidR="00E31838" w:rsidRPr="0010524E"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2800D7">
              <w:rPr>
                <w:rFonts w:ascii="Calibri" w:hAnsi="Calibri"/>
                <w:sz w:val="24"/>
                <w:szCs w:val="24"/>
              </w:rPr>
              <w:t>LICENCIAMENTO</w:t>
            </w:r>
          </w:p>
        </w:tc>
        <w:tc>
          <w:tcPr>
            <w:tcW w:w="4076" w:type="dxa"/>
            <w:shd w:val="clear" w:color="auto" w:fill="auto"/>
            <w:noWrap/>
            <w:vAlign w:val="center"/>
          </w:tcPr>
          <w:p w14:paraId="22AF93A4" w14:textId="77777777" w:rsidR="00E31838" w:rsidRPr="0010524E" w:rsidRDefault="00E31838" w:rsidP="000053DA">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17F71E6E" w14:textId="3C9FC29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174B9FA" w14:textId="77777777"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0D4895D" w14:textId="77777777" w:rsidR="00E31838" w:rsidRDefault="00E31838" w:rsidP="000053DA">
            <w:pPr>
              <w:spacing w:after="0"/>
              <w:jc w:val="center"/>
              <w:rPr>
                <w:rFonts w:ascii="Calibri" w:eastAsia="Calibri" w:hAnsi="Calibri" w:cs="Calibri"/>
                <w:b/>
                <w:bCs/>
                <w:sz w:val="24"/>
                <w:szCs w:val="24"/>
              </w:rPr>
            </w:pPr>
            <w:r w:rsidRPr="0010524E">
              <w:rPr>
                <w:rFonts w:ascii="Calibri" w:eastAsia="Calibri" w:hAnsi="Calibri" w:cs="Calibri"/>
                <w:b/>
                <w:bCs/>
                <w:sz w:val="24"/>
                <w:szCs w:val="24"/>
              </w:rPr>
              <w:t>Seção I</w:t>
            </w:r>
          </w:p>
          <w:p w14:paraId="660F6849" w14:textId="44A662F1" w:rsidR="00E31838" w:rsidRPr="0010524E" w:rsidRDefault="00E31838" w:rsidP="000053D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Disposições gerais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20A8C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B4BA1E8" w14:textId="14F39F7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F9838A6" w14:textId="77777777"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3A5885" w14:textId="77777777" w:rsidR="00E31838" w:rsidRDefault="00E31838" w:rsidP="000053D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0DC237C3" w14:textId="3062ADE0" w:rsidR="00E31838" w:rsidRPr="0010524E" w:rsidRDefault="00E31838" w:rsidP="000053D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Modelos Certificados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E1E64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B35DCF9" w14:textId="7ABABD9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61F887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15. A EFPC pode solicitar certificação de modelos de regulamentos de planos de benefícios e de convênios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C4481A" w14:textId="61F91D78" w:rsidR="00E31838" w:rsidRPr="0010524E" w:rsidRDefault="00E31838" w:rsidP="000053DA">
            <w:pPr>
              <w:spacing w:after="120"/>
              <w:jc w:val="both"/>
              <w:rPr>
                <w:rFonts w:ascii="Calibri" w:eastAsia="Times New Roman" w:hAnsi="Calibri" w:cs="Calibri"/>
                <w:kern w:val="0"/>
                <w:sz w:val="24"/>
                <w:szCs w:val="24"/>
                <w:lang w:eastAsia="pt-BR"/>
                <w14:ligatures w14:val="none"/>
              </w:rPr>
            </w:pPr>
            <w:bookmarkStart w:id="1" w:name="_Ref138861730"/>
            <w:r w:rsidRPr="0010524E">
              <w:rPr>
                <w:rFonts w:ascii="Calibri" w:eastAsia="Times New Roman" w:hAnsi="Calibri" w:cs="Calibri"/>
                <w:kern w:val="0"/>
                <w:sz w:val="24"/>
                <w:szCs w:val="24"/>
                <w:lang w:eastAsia="pt-BR"/>
                <w14:ligatures w14:val="none"/>
              </w:rPr>
              <w:t>Art.55. A EFPC pode solicitar certificação de modelos de regulamentos de planos de benefícios e de convênios de adesão.</w:t>
            </w:r>
            <w:bookmarkEnd w:id="1"/>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0EF0B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8E1C560" w14:textId="29CCFB5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C6B085C" w14:textId="77777777" w:rsidR="00E31838" w:rsidRPr="0010524E" w:rsidRDefault="00E31838" w:rsidP="000053DA">
            <w:pPr>
              <w:spacing w:after="0" w:line="240" w:lineRule="auto"/>
              <w:jc w:val="both"/>
              <w:rPr>
                <w:rFonts w:ascii="Calibri" w:hAnsi="Calibri" w:cs="Calibri"/>
                <w:sz w:val="24"/>
                <w:szCs w:val="24"/>
              </w:rPr>
            </w:pPr>
            <w:r w:rsidRPr="0010524E">
              <w:rPr>
                <w:rFonts w:ascii="Calibri" w:hAnsi="Calibri" w:cs="Calibri"/>
                <w:sz w:val="24"/>
                <w:szCs w:val="24"/>
              </w:rPr>
              <w:t>§ 1º A EFPC deve manter os modelos certificados atualizados, considerando a legislação aplicável, sob pena de tornar a certificação sem efeito.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2C8B5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§1º  A EFPC deve manter os modelos certificados atualizados, considerando a legislação aplicável e as orientações manifestadas pela Previc, sob pena de impossibilidade de utilização do modelo em requerimentos futuros de implantação de plano ou de aprovação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EA3AE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para deixar a redação mais clara.</w:t>
            </w:r>
          </w:p>
        </w:tc>
      </w:tr>
      <w:tr w:rsidR="00E31838" w:rsidRPr="0010524E" w14:paraId="7336D1F1" w14:textId="3B3A65C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85D9C1C" w14:textId="77777777" w:rsidR="00E31838" w:rsidRPr="0010524E" w:rsidRDefault="00E31838" w:rsidP="000053DA">
            <w:pPr>
              <w:spacing w:after="0" w:line="240" w:lineRule="auto"/>
              <w:jc w:val="both"/>
              <w:rPr>
                <w:rFonts w:ascii="Calibri" w:hAnsi="Calibri" w:cs="Calibri"/>
                <w:sz w:val="24"/>
                <w:szCs w:val="24"/>
              </w:rPr>
            </w:pPr>
            <w:r w:rsidRPr="0010524E">
              <w:rPr>
                <w:rFonts w:ascii="Calibri" w:hAnsi="Calibri" w:cs="Calibri"/>
                <w:sz w:val="24"/>
                <w:szCs w:val="24"/>
              </w:rPr>
              <w:t>§ 2º A atualização de modelo certificado resulta na revogação expressa da versão anterior.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3ACCC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A atualização de modelo certificado ocorre por meio de requerimento de alteração de modelo certificado, resultando na revogação expressa da versão anterior.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CE58F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para deixar a redação mais clara.</w:t>
            </w:r>
          </w:p>
        </w:tc>
      </w:tr>
      <w:tr w:rsidR="00E31838" w:rsidRPr="0010524E" w14:paraId="0A5AC538" w14:textId="30889BC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920F3D4" w14:textId="77777777" w:rsidR="00E31838" w:rsidRPr="0010524E" w:rsidRDefault="00E31838" w:rsidP="000053DA">
            <w:pPr>
              <w:spacing w:after="0" w:line="240" w:lineRule="auto"/>
              <w:jc w:val="both"/>
              <w:rPr>
                <w:rFonts w:ascii="Calibri" w:hAnsi="Calibri" w:cs="Calibri"/>
                <w:sz w:val="24"/>
                <w:szCs w:val="24"/>
              </w:rPr>
            </w:pPr>
            <w:r w:rsidRPr="0010524E">
              <w:rPr>
                <w:rFonts w:ascii="Calibri" w:hAnsi="Calibri" w:cs="Calibri"/>
                <w:sz w:val="24"/>
                <w:szCs w:val="24"/>
              </w:rPr>
              <w:t>§ 3º Os modelos certificados devem ser identificados por numeração específica, com controle de versão.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36C77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§3º  Os modelos certificados são identificados por numeração específica, com controle de versão.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8DC8B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5B6EC25" w14:textId="469D4E3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2EDE2A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Art. 16. Os modelos certificados contêm cláusulas fixas e cláusulas variáveis.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3C5A52" w14:textId="77777777" w:rsidR="00E31838" w:rsidRPr="0010524E" w:rsidRDefault="00E31838" w:rsidP="000053DA">
            <w:pPr>
              <w:tabs>
                <w:tab w:val="left" w:pos="993"/>
              </w:tabs>
              <w:spacing w:after="120"/>
              <w:jc w:val="both"/>
              <w:rPr>
                <w:sz w:val="24"/>
                <w:szCs w:val="24"/>
              </w:rPr>
            </w:pPr>
            <w:r w:rsidRPr="0010524E">
              <w:rPr>
                <w:rFonts w:ascii="Calibri" w:eastAsia="Calibri" w:hAnsi="Calibri" w:cs="Calibri"/>
                <w:sz w:val="24"/>
                <w:szCs w:val="24"/>
              </w:rPr>
              <w:t>Art. 56.  Os modelos certificados contêm:</w:t>
            </w:r>
          </w:p>
          <w:p w14:paraId="2B1BFC21" w14:textId="7C810226" w:rsidR="00E31838" w:rsidRPr="0010524E" w:rsidRDefault="00E31838" w:rsidP="000053DA">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A435F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 Sem alteração de mérito.</w:t>
            </w:r>
          </w:p>
        </w:tc>
      </w:tr>
      <w:tr w:rsidR="00E31838" w:rsidRPr="0010524E" w14:paraId="6D2372F6" w14:textId="457527F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58E0FE6"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1º As cláusulas fixas correspondem às disposições comuns a todos os regulamentos de plano de benefícios ou de convênios de adesão, implantados com base nos modelos certificados.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04B6D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cláusulas fixas que correspondem às disposições comuns a todos os regulamentos de plano de benefícios ou de convênios de adesão, implantados com base no modelo certificado.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E6DFC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 Sem alteração de mérito.</w:t>
            </w:r>
          </w:p>
        </w:tc>
      </w:tr>
      <w:tr w:rsidR="00E31838" w:rsidRPr="0010524E" w14:paraId="5EEFD40B" w14:textId="3228999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3FE44E0" w14:textId="77777777"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A5027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cláusulas variáveis que correspondem às disposições diferentes entre os regulamentos de planos de benefícios e os convênios de adesão, implantados com base no modelo certificado.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5B845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 Sem alteração de mérito.</w:t>
            </w:r>
          </w:p>
        </w:tc>
      </w:tr>
      <w:tr w:rsidR="00E31838" w:rsidRPr="0010524E" w14:paraId="410ED982" w14:textId="4F68FD1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1A681E3"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2º As cláusulas fixas definidas nos modelos certificados não podem ser alteradas.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D1BDC6" w14:textId="36EA0A1F"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As cláusulas fixas definidas nos modelos certificados somente podem ser alteradas por meio da atualização de que trata os §§1º e 2º do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_Ref138861730 \* Lower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art. 55</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6A4CB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 Sem alteração de mérito.</w:t>
            </w:r>
          </w:p>
        </w:tc>
      </w:tr>
      <w:tr w:rsidR="00E31838" w:rsidRPr="0010524E" w14:paraId="60B077F5" w14:textId="1B51B6D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1BB2AD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3º As cláusulas variáveis correspondem às disposições diferentes entre os regulamentos de planos de benefícios e os convênio de adesão, implantados com base no modelo certificado.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665E8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As cláusulas variáveis devem ser identificadas no modelo certificado destacadas entre parênteses.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46442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 Sem alteração de mérito.</w:t>
            </w:r>
          </w:p>
        </w:tc>
      </w:tr>
      <w:tr w:rsidR="00E31838" w:rsidRPr="0010524E" w14:paraId="2062A109" w14:textId="1915164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CF6E744"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4º As cláusulas variáveis de modelos certificados de regulamento de plano de benefícios podem ser diferentes de um plano para outro, em razão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12FFC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§3º  Nos requerimentos de implantação de plano de benefícios com modelo certificado as cláusulas variáveis podem ser diferentes de um plano para outro, em razão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EC757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 Sem alteração de mérito.</w:t>
            </w:r>
          </w:p>
        </w:tc>
      </w:tr>
      <w:tr w:rsidR="00E31838" w:rsidRPr="0010524E" w14:paraId="477FDEFC" w14:textId="06D1DBD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2C88B19"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particularidades do patrocinador ou instituidor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8CF3B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particularidades do patrocinador ou instituidor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6F28D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761D9F9" w14:textId="3C4466B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F9A3993"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II - características do grupo de participantes;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9F6F9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características do grupo de participantes;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885CE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5FE0A48B" w14:textId="00D5AFB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FF3F22E"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III - percentuais e prazos de recolhimento de contribuições;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9ECEE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percentuais e prazos de recolhimento de contribuições;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74B8C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958C7A7" w14:textId="6DCA53F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8156002"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IV - critérios de reajuste de contribuições e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10FBB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IV - critérios de reajuste de contribuições e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94ED1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7077D60" w14:textId="530650E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DF016E7"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 - percentuais ou prazos para pagamento dos benefícios;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AB6F7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percentuais ou prazos para pagamento dos benefícios;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DFF00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D3A1B37" w14:textId="1FAF9B8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561C75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VI - critérios de elegibilidade aos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29D51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VI - critérios de elegibilidade aos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E07D7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5E1488E4" w14:textId="77F69C0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932F6C7"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5º As cláusulas variáveis de modelos certificados de convênio de adesão podem ser diferentes de um convênio para outro, em razão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321C6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§4º  Nos requerimentos de aprovação de convênio de adesão com modelo certificado as cláusulas variáveis podem ser diferentes de um convênio para outro, em razão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78EC7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2AF1B89" w14:textId="2B9320A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4D46FD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particularidades do patrocinador ou instituidor do plano de benefícios;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D2685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particularidades do patrocinador ou instituidor do plano de benefícios;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FA7D8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C991292" w14:textId="4C4F6C8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2C008A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existência ou não de solidariedade entre patrocinadores.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19874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existência ou não de solidariedade entre patrocinadores.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676BA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7208D05" w14:textId="67583EB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CABABDD" w14:textId="77777777"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276FAA" w14:textId="77777777" w:rsidR="00E31838" w:rsidRDefault="00E31838" w:rsidP="000053D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p w14:paraId="70ED11BA" w14:textId="1EF3A613" w:rsidR="00E31838" w:rsidRPr="0010524E" w:rsidRDefault="00E31838" w:rsidP="000053D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Modelos Padronizados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CE019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6D26BE9" w14:textId="6309DCD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E4B76F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17. Os modelos padronizados de regulamentos de planos de benefícios, de convênios de adesão e de outros documentos, disponibilizados pela Previc em seu sítio eletrônico, devem ser preferencialmente utilizados pela EFPC nos pertinentes requerimentos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20C9FD" w14:textId="4DE07110" w:rsidR="00E31838" w:rsidRPr="0010524E" w:rsidRDefault="00E31838" w:rsidP="000053DA">
            <w:pPr>
              <w:tabs>
                <w:tab w:val="left" w:pos="993"/>
              </w:tabs>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57. Os modelos padronizados de regulamentos de planos de benefícios, de convênios de adesão e de outros documentos, disponibilizados pela Previc em seu sítio eletrônico, devem ser preferencialmente utilizados pela EFPC nos pertinentes requerimentos de licenciamento.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F1AEF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33E2F6B" w14:textId="584BA99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182AF9C" w14:textId="77777777"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97BED3" w14:textId="7DD119D3" w:rsidR="00E31838" w:rsidRPr="0010524E" w:rsidRDefault="00E31838" w:rsidP="000053DA">
            <w:pPr>
              <w:pStyle w:val="PargrafodaLista"/>
              <w:numPr>
                <w:ilvl w:val="0"/>
                <w:numId w:val="8"/>
              </w:numPr>
              <w:tabs>
                <w:tab w:val="left" w:pos="993"/>
              </w:tabs>
              <w:spacing w:after="120"/>
              <w:ind w:left="0" w:firstLine="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Aplicam-se aos modelos padronizados, no que couber, as regras definidas para os modelos certificados dispostas no art. 56</w:t>
            </w:r>
            <w:r w:rsidRPr="0010524E">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80859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NOVO </w:t>
            </w:r>
          </w:p>
          <w:p w14:paraId="5A928D2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Inclusão para maior clareza.</w:t>
            </w:r>
          </w:p>
        </w:tc>
      </w:tr>
      <w:tr w:rsidR="00E31838" w:rsidRPr="0010524E" w14:paraId="0588E53A" w14:textId="70C3A01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854A6F1" w14:textId="77777777"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77B84F" w14:textId="77777777" w:rsidR="00E31838" w:rsidRDefault="00E31838" w:rsidP="000053D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III</w:t>
            </w:r>
          </w:p>
          <w:p w14:paraId="3295249C" w14:textId="44E65C1B" w:rsidR="00E31838" w:rsidRPr="0010524E" w:rsidRDefault="00E31838" w:rsidP="000053D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Licenciamento Automático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AA479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B82146E"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CC9C6FB" w14:textId="71B58B41" w:rsidR="00E31838" w:rsidRPr="0010524E" w:rsidRDefault="00E31838" w:rsidP="000053DA">
            <w:pPr>
              <w:spacing w:after="0"/>
              <w:jc w:val="both"/>
              <w:rPr>
                <w:rFonts w:ascii="Calibri" w:hAnsi="Calibri" w:cs="Calibri"/>
                <w:sz w:val="24"/>
                <w:szCs w:val="24"/>
              </w:rPr>
            </w:pPr>
            <w:r w:rsidRPr="002800D7">
              <w:rPr>
                <w:rFonts w:ascii="Calibri" w:hAnsi="Calibri" w:cs="Calibri"/>
                <w:sz w:val="24"/>
                <w:szCs w:val="24"/>
              </w:rPr>
              <w:t>Art. 18. O licenciamento automático é o processo pelo qual a autorização ocorre na data de emissão do protocolo de instrução de requerimento de licenciamento pelo sistema informatizado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E39679" w14:textId="77777777" w:rsidR="00E31838" w:rsidRPr="0010524E" w:rsidRDefault="00E31838" w:rsidP="000053DA">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109393" w14:textId="25C78998" w:rsidR="00E31838" w:rsidRPr="0010524E" w:rsidRDefault="00E31838" w:rsidP="000053D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definições</w:t>
            </w:r>
          </w:p>
        </w:tc>
      </w:tr>
      <w:tr w:rsidR="00E31838" w:rsidRPr="0010524E" w14:paraId="4D9289E6" w14:textId="3F58199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7AF1032"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19. Podem ser objeto de licenciamento automático os requerimentos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0D321F" w14:textId="77777777" w:rsidR="00E31838" w:rsidRPr="0010524E" w:rsidRDefault="00E31838" w:rsidP="000053DA">
            <w:pPr>
              <w:pStyle w:val="PargrafodaLista"/>
              <w:numPr>
                <w:ilvl w:val="0"/>
                <w:numId w:val="8"/>
              </w:numPr>
              <w:tabs>
                <w:tab w:val="left" w:pos="993"/>
              </w:tabs>
              <w:spacing w:after="120"/>
              <w:ind w:left="0" w:firstLine="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Podem ser objeto de licenciamento automático os requerimentos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488E9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C131532" w14:textId="12D3CE2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9C116F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aplicação de regulamento de plano de benefícios, mediante utilização de modelo certificado ou de modelo padronizado;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9BF15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implantação de plano de benefícios, mediante utilização de modelo certificado ou de modelo padronizado;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86024D" w14:textId="76D68C6B" w:rsidR="00E31838" w:rsidRPr="0010524E" w:rsidRDefault="00E31838" w:rsidP="000053D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Alterado</w:t>
            </w:r>
          </w:p>
        </w:tc>
      </w:tr>
      <w:tr w:rsidR="00E31838" w:rsidRPr="0010524E" w14:paraId="74B355D0" w14:textId="27A29DA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320F51B"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alterações de regulamento de plano de benefícios, que tratem exclusivamente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67F3C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alterações de regulamento de plano de benefícios, que tratem exclusivamente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FF497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87859BE" w14:textId="7E44C2B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EF01443"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 nome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46000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 nome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7B83B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80A908F" w14:textId="0580547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C17C78E"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b) razão social ou do endereço da EFPC, de patrocinador ou de instituidor, condicionado ao protocolo da respectiva alteração do convênio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4F844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b) mudança na razão social ou no endereço da EFPC, de patrocinador ou de instituidor, condicionado ao protocolo da respectiva alteração do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917A3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77B22EA" w14:textId="64507CF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8588C19"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c) correções de remissões ou ajustes ortográficos;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03863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 correções de remissões ou ajustes ortográficos;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41558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17E96F9" w14:textId="76B99D8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9F7430D" w14:textId="69194EC9" w:rsidR="00E31838" w:rsidRPr="0010524E" w:rsidRDefault="00E31838" w:rsidP="000053DA">
            <w:pPr>
              <w:spacing w:after="0"/>
              <w:jc w:val="both"/>
              <w:rPr>
                <w:rFonts w:ascii="Calibri" w:hAnsi="Calibri" w:cs="Calibri"/>
                <w:sz w:val="24"/>
                <w:szCs w:val="24"/>
              </w:rPr>
            </w:pPr>
            <w:r>
              <w:rPr>
                <w:rFonts w:ascii="Calibri" w:hAnsi="Calibri" w:cs="Calibri"/>
                <w:sz w:val="24"/>
                <w:szCs w:val="24"/>
              </w:rPr>
              <w:lastRenderedPageBreak/>
              <w:t>d</w:t>
            </w:r>
            <w:r w:rsidRPr="0010524E">
              <w:rPr>
                <w:rFonts w:ascii="Calibri" w:hAnsi="Calibri" w:cs="Calibri"/>
                <w:sz w:val="24"/>
                <w:szCs w:val="24"/>
              </w:rPr>
              <w:t>) datas ou prazos referentes a procedimentos operacionais da EFPC, tais como: repasse de abono anual, pagamento de benefícios, repasse de contribuições e mudança de perfil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D40D9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 datas ou prazos referentes a procedimentos operacionais da EFPC, tais como: repasse de abono anual, pagamento de benefícios, repasse de contribuições e mudança de perfil de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1AE2E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D7F940E" w14:textId="6C5BDA5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072A201"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e) redução dos prazos de carência;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BDC82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 redução dos prazos de carência para elegibilidade a benefício ou instituto;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B40DB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62871D7" w14:textId="595AF94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25F9DB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f) aumento da parcela patronal na composição do valor do resgate;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339F3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f) aumento da parcela patronal na composição do valor do resgate;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702AD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CF6E17F" w14:textId="1BCB443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8A428F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g) atualização do valor da Unidade de Referência, quando definida no regulamento;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C52A4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g) atualização do valor da Unidade de Referência, quando definida no regulamento;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F2F03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898E562" w14:textId="2F32155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635ABB7"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h) alteração do índice de reajuste dos benefícios do plano;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096F8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07BAD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 Nota 329/2023</w:t>
            </w:r>
          </w:p>
        </w:tc>
      </w:tr>
      <w:tr w:rsidR="00E31838" w:rsidRPr="0010524E" w14:paraId="41B0A269" w14:textId="6057D12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CA4E1C7"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III - aprovação de convênio de adesão, mediante utilização de modelo certificado ou de modelo padronizado;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766ED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aprovação de convênio de adesão, mediante utilização de modelo certificado ou de modelo padronizado;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86853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6E3A70B" w14:textId="2133398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053686B"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IV - alterações de convênio de adesão, que tratem exclusivamente de: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D9954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alterações de convênio de adesão, que tratem exclusivamente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40BEC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D27E7D8" w14:textId="2E3A030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68C272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 adesão de patrocinador ou instituidor ao plano de benefícios, restringindo-se à inclusão da identificação e qualificação do convenente;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C74BC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 adesão de patrocinador ou instituidor ao plano de benefícios, restringindo-se à inclusão da identificação e qualificação do convenente;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B1E84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7A7A1BB" w14:textId="3F81932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EF62855"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b) mudança na razão social ou no endereço da EFPC, de patrocinador, de instituidor ou de anuente;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75F6B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b) mudança na razão social ou no endereço da EFPC, de patrocinador, de instituidor ou de anuente;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864F9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7CA0B5BB" w14:textId="65B621E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4F448EB"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c) nome do plano de benefícios;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9E2BD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c) nome do plano de benefícios;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05F55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CEFB6CF" w14:textId="5ABEDE1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C68C59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d) correções de remissões ou ajustes ortográficos.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6FFE4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 correções de remissões ou ajustes ortográficos.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79CE6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E5CA134" w14:textId="215BBB4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344ECEE"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 - transferência de gerenciamento, quando o respectivo Termo de Transferência de Gerenciamento for elaborado mediante a utilização de modelo padronizado;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42361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22AD3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 Nota 329/2023</w:t>
            </w:r>
          </w:p>
        </w:tc>
      </w:tr>
      <w:tr w:rsidR="00E31838" w:rsidRPr="0010524E" w14:paraId="0D84CAC3" w14:textId="5A8A7FF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2A10987"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VI - retirada vazia de patrocinador ou de instituidor, quando o respectivo Termo de Retirada for elaborado mediante a utilização de modelo padronizado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F75E6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EC7D0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 Nota 329/2023</w:t>
            </w:r>
          </w:p>
        </w:tc>
      </w:tr>
      <w:tr w:rsidR="00E31838" w:rsidRPr="0010524E" w14:paraId="4995C8C9" w14:textId="0C46A6A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A635941"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Parágrafo único. Os tipos de requerimentos referidos nos incisos I, III, V e VI devem mencionar o número de identificação do modelo certificado ou do modelo padronizado utilizado.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63F83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Os tipos de requerimentos referidos nos incisos I e III devem mencionar o número de identificação do modelo certificado ou do modelo padronizado utilizado.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363B8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em face da exclusão dos itens V e VI</w:t>
            </w:r>
          </w:p>
        </w:tc>
      </w:tr>
      <w:tr w:rsidR="00E31838" w:rsidRPr="0010524E" w14:paraId="39B137E6" w14:textId="2327AE6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244A9B4" w14:textId="77777777"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2F1A55" w14:textId="77777777" w:rsidR="00E31838" w:rsidRPr="0010524E" w:rsidRDefault="00E31838" w:rsidP="000053DA">
            <w:pPr>
              <w:pStyle w:val="PargrafodaLista"/>
              <w:numPr>
                <w:ilvl w:val="0"/>
                <w:numId w:val="8"/>
              </w:numPr>
              <w:tabs>
                <w:tab w:val="left" w:pos="993"/>
              </w:tabs>
              <w:spacing w:after="120"/>
              <w:ind w:left="0" w:firstLine="0"/>
              <w:contextualSpacing w:val="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 Expediente Explicativo dos requerimentos sujeitos ao licenciamento automático deve constar no assunto a expressão “LICENCIAMENTO AUTOMÁTICO”, seguida da denominação do tipo de operação, em destaque.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1214B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2E62C342" w14:textId="74881E8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6A8CA0D"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20. O requerimento de licenciamento instruído por meio de licenciamento automático não afasta a prerrogativa de 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5C1FF3" w14:textId="77777777" w:rsidR="00E31838" w:rsidRPr="0010524E" w:rsidRDefault="00E31838" w:rsidP="000053DA">
            <w:pPr>
              <w:pStyle w:val="PargrafodaLista"/>
              <w:numPr>
                <w:ilvl w:val="0"/>
                <w:numId w:val="8"/>
              </w:numPr>
              <w:tabs>
                <w:tab w:val="left" w:pos="993"/>
              </w:tabs>
              <w:spacing w:after="120"/>
              <w:ind w:left="0" w:firstLine="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O requerimento de licenciamento instruído por meio de licenciamento automático não afasta a prerrogativa de a Previc: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42953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542D699" w14:textId="4549301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DE98D07"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I - realizar, a qualquer tempo, a análise dos requerimentos quanto à fundamentação, aos riscos e à adequação legal, de acordo com as normas vigentes;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D3F50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realizar, a qualquer tempo, a análise do requerimento quanto à fundamentação, aos riscos e à adequação legal, de acordo com as normas vigentes;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6CAD5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62D614A" w14:textId="3E481C0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02F65F3"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apresentar as exigências e as orientações que julgar necessárias para a correção das inconsistências identificadas.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567083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apresentar as exigências documentais necessárias.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B350B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Alterado para restringir à exigências documentais. Não faz sentido falar em exigências materiais – ou atende, ou não atende aos critérios definidos. </w:t>
            </w:r>
          </w:p>
        </w:tc>
      </w:tr>
      <w:tr w:rsidR="00E31838" w:rsidRPr="0010524E" w14:paraId="25174574" w14:textId="2CAF347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5FA2CA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Parágrafo único. Aplica-se o disposto no art. 5º às exigências e às orientações referidas no inciso II.</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90A5B0" w14:textId="77777777" w:rsidR="00E31838" w:rsidRPr="0010524E" w:rsidRDefault="00E31838" w:rsidP="000053DA">
            <w:pPr>
              <w:spacing w:after="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313DA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Entende-se que já englobado nos incisos.</w:t>
            </w:r>
          </w:p>
        </w:tc>
      </w:tr>
      <w:tr w:rsidR="00E31838" w:rsidRPr="0010524E" w14:paraId="04D76708" w14:textId="46CE075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8D02A71"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21. A autorização por licenciamento automático será considerada nula para todos os fins, quando o respectivo requerimento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F8E67A" w14:textId="77777777" w:rsidR="00E31838" w:rsidRPr="0010524E" w:rsidRDefault="00E31838" w:rsidP="000053DA">
            <w:pPr>
              <w:pStyle w:val="PargrafodaLista"/>
              <w:numPr>
                <w:ilvl w:val="0"/>
                <w:numId w:val="8"/>
              </w:numPr>
              <w:tabs>
                <w:tab w:val="left" w:pos="993"/>
              </w:tabs>
              <w:spacing w:after="120"/>
              <w:ind w:left="0" w:firstLine="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 autorização por licenciamento automático será considerada nula para todos os fins, quando o respectivo requerimento de licenciamento: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AE9D5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00D8D72" w14:textId="657A077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6984F82"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não observar a legislação aplicável;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2F118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não observar a legislação aplicável;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BF758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4044C5D" w14:textId="214F187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2F8257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não se enquadrar nas condições estabelecidas para esse tipo de autorização.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C2BC1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não se enquadrar nas condições estabelecidas para essa modalidade de licenciamento.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B5D6F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E31838" w:rsidRPr="0010524E" w14:paraId="7DC518F0" w14:textId="53D0448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3F24E66"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Parágrafo único. A nulidade da autorização deve ser objeto de notificação formal à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B664E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 nulidade da autorização deve ser objeto de notificação formal à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493D6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F6119C1"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AA3C04D" w14:textId="438C44A0" w:rsidR="00E31838" w:rsidRPr="0010524E" w:rsidRDefault="00E31838" w:rsidP="00D04E54">
            <w:pPr>
              <w:spacing w:after="0"/>
              <w:jc w:val="both"/>
              <w:rPr>
                <w:rFonts w:ascii="Calibri" w:hAnsi="Calibri" w:cs="Calibri"/>
                <w:sz w:val="24"/>
                <w:szCs w:val="24"/>
              </w:rPr>
            </w:pPr>
            <w:r w:rsidRPr="00D04E54">
              <w:rPr>
                <w:rFonts w:ascii="Calibri" w:hAnsi="Calibri" w:cs="Calibri"/>
                <w:b/>
                <w:bCs/>
                <w:sz w:val="24"/>
                <w:szCs w:val="24"/>
              </w:rPr>
              <w:t>RESOLUÇÃO PREVIC Nº 13, DE 16 DE AGOSTO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1547C6" w14:textId="77777777" w:rsidR="00E31838" w:rsidRPr="0010524E" w:rsidRDefault="00E31838" w:rsidP="000053DA">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6F763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B774251"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20F96EE" w14:textId="1B2AC610" w:rsidR="00E31838" w:rsidRPr="00D04E54" w:rsidRDefault="00E31838" w:rsidP="000053DA">
            <w:pPr>
              <w:spacing w:after="0"/>
              <w:jc w:val="both"/>
              <w:rPr>
                <w:rFonts w:cs="Calibri"/>
                <w:i/>
                <w:iCs/>
                <w:sz w:val="24"/>
                <w:szCs w:val="24"/>
              </w:rPr>
            </w:pPr>
            <w:r w:rsidRPr="00D04E54">
              <w:rPr>
                <w:rStyle w:val="nfase"/>
                <w:rFonts w:cs="Helvetica"/>
                <w:i w:val="0"/>
                <w:iCs w:val="0"/>
                <w:color w:val="333333"/>
                <w:szCs w:val="23"/>
                <w:shd w:val="clear" w:color="auto" w:fill="FFFFFF"/>
              </w:rPr>
              <w:t>Dispõe sobre os procedimentos para o licenciamento e o funcionamento de planos de benefícios instituídos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1DF1D0" w14:textId="77777777" w:rsidR="00E31838" w:rsidRPr="0010524E" w:rsidRDefault="00E31838" w:rsidP="000053DA">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D2B21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5F64085" w14:textId="1E5F737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5B692F2" w14:textId="77777777"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159B36" w14:textId="77777777" w:rsidR="00E31838" w:rsidRDefault="00E31838" w:rsidP="000053D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IV</w:t>
            </w:r>
          </w:p>
          <w:p w14:paraId="683006C8" w14:textId="50F0556F" w:rsidR="00E31838" w:rsidRPr="0010524E" w:rsidRDefault="00E31838" w:rsidP="000053D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lastRenderedPageBreak/>
              <w:t>Plano Instituído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8121B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B0C3687" w14:textId="1A2ADB4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74CA5C2" w14:textId="5F739089"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2º O plano de benefícios instituído pode ser oferecido às seguintes pessoas físicas, em relação ao instituidor:</w:t>
            </w:r>
          </w:p>
          <w:p w14:paraId="027FE4BD" w14:textId="55209EA9"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76D14A" w14:textId="77777777" w:rsidR="00E31838" w:rsidRPr="0010524E" w:rsidRDefault="00E31838" w:rsidP="000053DA">
            <w:pPr>
              <w:pStyle w:val="PargrafodaLista"/>
              <w:numPr>
                <w:ilvl w:val="0"/>
                <w:numId w:val="8"/>
              </w:numPr>
              <w:tabs>
                <w:tab w:val="left" w:pos="993"/>
              </w:tabs>
              <w:spacing w:after="120"/>
              <w:ind w:left="0" w:firstLine="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O plano de benefícios instituído é exclusivo para instituidores e pode ser oferecido às seguintes pessoas físicas, em relação ao instituidor: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4811A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redação</w:t>
            </w:r>
          </w:p>
          <w:p w14:paraId="43D9F15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Trazer maior clareza – temos recebido questionamentos se o plano instituído por ter instituidores e patrocinadores.</w:t>
            </w:r>
          </w:p>
        </w:tc>
      </w:tr>
      <w:tr w:rsidR="00E31838" w:rsidRPr="0010524E" w14:paraId="2A4FA989" w14:textId="0A86A45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E949B0E"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I - associados;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0D42E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associados;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CC511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4DDCA66" w14:textId="5441083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D27BFDD"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II - membros com vínculo direto;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F86BF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membros com vínculo direto;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536F3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5AFAD11F" w14:textId="3DDC496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BAA80D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III - membros com vínculo indireto;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1DDDD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membros com vínculo indireto;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D49F9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8214558" w14:textId="312186D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33582B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IV - cônjuges e parentes consanguíneos ou afins, até o terceiro grau ou por adoção, das pessoas físicas referidas nos incisos I a III.</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E50C1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IV - cônjuges e parentes consanguíneos ou afins, até o terceiro grau ou por adoção, das pessoas físicas referidas nos incisos I a III.</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0C8A4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CF8550E" w14:textId="6C8C406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469395D"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3º  A EFPC, quando autorizada pela Superintendência Nacional de Previdência Complementar (Previc), pode assumir a qualidade de instituidor em planos de benefícios instituídos, em relação: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CA708A" w14:textId="77777777" w:rsidR="00E31838" w:rsidRPr="0010524E" w:rsidRDefault="00E31838" w:rsidP="000053DA">
            <w:pPr>
              <w:pStyle w:val="PargrafodaLista"/>
              <w:numPr>
                <w:ilvl w:val="0"/>
                <w:numId w:val="8"/>
              </w:numPr>
              <w:tabs>
                <w:tab w:val="left" w:pos="993"/>
              </w:tabs>
              <w:spacing w:after="120"/>
              <w:ind w:left="0" w:firstLine="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 EFPC, quando autorizada pela Previc, pode assumir a qualidade de instituidor em planos de benefícios instituídos, em relação: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4C2A1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75E48D5" w14:textId="08D1168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DE3CE9B"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aos participantes e assistidos dos planos de benefícios por ela administrados;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779E5F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aos participantes e assistidos dos planos de benefícios por ela administrados;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778CB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62DBD75" w14:textId="65BD5E2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71CF2FD"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às pessoas físicas vinculadas às pessoas jurídicas integrantes de grupo econômico que tenham relação de controle, de coligação ou de interligação com patrocinador dos planos de que trata o inciso I;</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A2A50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às pessoas físicas vinculadas às pessoas jurídicas integrantes de grupo econômico que tenham relação de controle, de coligação ou de interligação com patrocinador dos planos de que trata o inciso I;</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A2FF6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17C9CD2" w14:textId="25A7305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3CA0892"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III - às pessoas físicas vinculadas às pessoas jurídicas mantidas ou instituídas por </w:t>
            </w:r>
            <w:r w:rsidRPr="0010524E">
              <w:rPr>
                <w:rFonts w:ascii="Calibri" w:hAnsi="Calibri" w:cs="Calibri"/>
                <w:sz w:val="24"/>
                <w:szCs w:val="24"/>
              </w:rPr>
              <w:lastRenderedPageBreak/>
              <w:t>patrocinador dos planos de que trata o inciso I;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B7A56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III - às pessoas físicas vinculadas às pessoas jurídicas mantidas ou instituídas por patrocinador dos planos de que trata o inciso I;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521F0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2C4D1D2" w14:textId="432FD2D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498D8F7"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IV - aos cônjuges e aos parentes consanguíneos ou afins, até o terceiro grau ou por adoção, das pessoas físicas referidas nos incisos I a III.</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C849C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IV - aos cônjuges e aos parentes consanguíneos ou afins, até o terceiro grau ou por adoção, das pessoas físicas referidas nos incisos I a III.</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C4538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559D974" w14:textId="40A745F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3B245D6"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Parágrafo único.  A EFPC, na condição de instituidora, não pode efetuar contribuições para 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2DEB1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 EFPC, na condição de instituidor, não pode efetuar contribuições para 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A07FF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F75BDC7" w14:textId="492D66B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ED14702" w14:textId="77777777"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9DE5E0" w14:textId="77777777" w:rsidR="00E31838" w:rsidRPr="0010524E" w:rsidRDefault="00E31838" w:rsidP="000053DA">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Instituidor Setorial e do Afiliado Setorial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88AD8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E7520F7"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6163808" w14:textId="00BB9474" w:rsidR="00E31838" w:rsidRPr="00286849" w:rsidRDefault="00E31838" w:rsidP="00286849">
            <w:pPr>
              <w:pStyle w:val="NormalWeb"/>
              <w:shd w:val="clear" w:color="auto" w:fill="FFFFFF"/>
              <w:spacing w:before="0" w:beforeAutospacing="0" w:after="150" w:afterAutospacing="0"/>
              <w:jc w:val="both"/>
              <w:rPr>
                <w:rFonts w:ascii="Calibri" w:eastAsiaTheme="minorHAnsi" w:hAnsi="Calibri" w:cs="Calibri"/>
                <w:kern w:val="2"/>
                <w:lang w:eastAsia="en-US"/>
                <w14:ligatures w14:val="standardContextual"/>
              </w:rPr>
            </w:pPr>
            <w:r w:rsidRPr="00286849">
              <w:rPr>
                <w:rFonts w:ascii="Calibri" w:eastAsiaTheme="minorHAnsi" w:hAnsi="Calibri" w:cs="Calibri"/>
                <w:kern w:val="2"/>
                <w:lang w:eastAsia="en-US"/>
                <w14:ligatures w14:val="standardContextual"/>
              </w:rPr>
              <w:t>Art. 4º Para fins de licenciamento e funcionamento de planos de benefícios setoriais, entende-se por:</w:t>
            </w:r>
          </w:p>
          <w:p w14:paraId="5D706BF0" w14:textId="77777777" w:rsidR="00E31838" w:rsidRPr="00286849" w:rsidRDefault="00E31838" w:rsidP="00286849">
            <w:pPr>
              <w:pStyle w:val="NormalWeb"/>
              <w:shd w:val="clear" w:color="auto" w:fill="FFFFFF"/>
              <w:spacing w:before="0" w:beforeAutospacing="0" w:after="150" w:afterAutospacing="0"/>
              <w:jc w:val="both"/>
              <w:rPr>
                <w:rFonts w:ascii="Calibri" w:eastAsiaTheme="minorHAnsi" w:hAnsi="Calibri" w:cs="Calibri"/>
                <w:kern w:val="2"/>
                <w:lang w:eastAsia="en-US"/>
                <w14:ligatures w14:val="standardContextual"/>
              </w:rPr>
            </w:pPr>
            <w:r w:rsidRPr="00286849">
              <w:rPr>
                <w:rFonts w:ascii="Calibri" w:eastAsiaTheme="minorHAnsi" w:hAnsi="Calibri" w:cs="Calibri"/>
                <w:kern w:val="2"/>
                <w:lang w:eastAsia="en-US"/>
                <w14:ligatures w14:val="standardContextual"/>
              </w:rPr>
              <w:t>I - instituidor setorial - pessoa jurídica que represente segmento econômico ou social de caráter setorial;</w:t>
            </w:r>
          </w:p>
          <w:p w14:paraId="3CE9B8A5" w14:textId="77777777" w:rsidR="00E31838" w:rsidRPr="00286849" w:rsidRDefault="00E31838" w:rsidP="00286849">
            <w:pPr>
              <w:pStyle w:val="NormalWeb"/>
              <w:shd w:val="clear" w:color="auto" w:fill="FFFFFF"/>
              <w:spacing w:before="0" w:beforeAutospacing="0" w:after="150" w:afterAutospacing="0"/>
              <w:jc w:val="both"/>
              <w:rPr>
                <w:rFonts w:ascii="Calibri" w:eastAsiaTheme="minorHAnsi" w:hAnsi="Calibri" w:cs="Calibri"/>
                <w:kern w:val="2"/>
                <w:lang w:eastAsia="en-US"/>
                <w14:ligatures w14:val="standardContextual"/>
              </w:rPr>
            </w:pPr>
            <w:r w:rsidRPr="00286849">
              <w:rPr>
                <w:rFonts w:ascii="Calibri" w:eastAsiaTheme="minorHAnsi" w:hAnsi="Calibri" w:cs="Calibri"/>
                <w:kern w:val="2"/>
                <w:lang w:eastAsia="en-US"/>
                <w14:ligatures w14:val="standardContextual"/>
              </w:rPr>
              <w:t>II - plano setorial - plano de benefícios instituído por instituidor setorial; e</w:t>
            </w:r>
          </w:p>
          <w:p w14:paraId="76D5458C" w14:textId="35BDD997" w:rsidR="00E31838" w:rsidRPr="0010524E" w:rsidRDefault="00E31838" w:rsidP="00286849">
            <w:pPr>
              <w:pStyle w:val="NormalWeb"/>
              <w:shd w:val="clear" w:color="auto" w:fill="FFFFFF"/>
              <w:spacing w:before="0" w:beforeAutospacing="0" w:after="150" w:afterAutospacing="0"/>
              <w:jc w:val="both"/>
              <w:rPr>
                <w:rFonts w:ascii="Calibri" w:hAnsi="Calibri" w:cs="Calibri"/>
              </w:rPr>
            </w:pPr>
            <w:r w:rsidRPr="00286849">
              <w:rPr>
                <w:rFonts w:ascii="Calibri" w:eastAsiaTheme="minorHAnsi" w:hAnsi="Calibri" w:cs="Calibri"/>
                <w:kern w:val="2"/>
                <w:lang w:eastAsia="en-US"/>
                <w14:ligatures w14:val="standardContextual"/>
              </w:rPr>
              <w:t>III - afiliado setorial - pessoa jurídica que mantenha vínculo de natureza econômica ou social com instituidor setorial.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D9F668" w14:textId="77777777" w:rsidR="00E31838" w:rsidRPr="00286849" w:rsidRDefault="00E31838" w:rsidP="00286849">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CED903" w14:textId="1A8E15AA" w:rsidR="00E31838" w:rsidRPr="0010524E" w:rsidRDefault="00E31838" w:rsidP="000053D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definições</w:t>
            </w:r>
          </w:p>
        </w:tc>
      </w:tr>
      <w:tr w:rsidR="00E31838" w:rsidRPr="0010524E" w14:paraId="474B505B" w14:textId="03EF780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9384EE9"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5º  A condição de instituidor setorial deve ser formalizada mediante a celebração de convênio de adesão a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038372F" w14:textId="30DEE9DD" w:rsidR="00E31838" w:rsidRPr="00286849" w:rsidRDefault="00E31838" w:rsidP="00286849">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65.  </w:t>
            </w:r>
            <w:r w:rsidRPr="00286849">
              <w:rPr>
                <w:rFonts w:ascii="Calibri" w:eastAsia="Times New Roman" w:hAnsi="Calibri" w:cs="Calibri"/>
                <w:kern w:val="0"/>
                <w:sz w:val="24"/>
                <w:szCs w:val="24"/>
                <w:lang w:eastAsia="pt-BR"/>
                <w14:ligatures w14:val="none"/>
              </w:rPr>
              <w:t>A condição de instituidor setorial deve ser formalizada mediante a celebração de convênio de adesão a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A9C72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D49D983" w14:textId="71F36AA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F569DA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 1º  O instituidor setorial pode ter afiliados setoriais.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8EC084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§1º  O instituidor setorial pode ter afiliados setoriais.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05A2F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6AD017C" w14:textId="7D6E94C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52A5322"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2º  No caso de adesão de instituidor setorial, os associados do afiliado setorial devem ser considerados para fins de comprovação do número mínimo de associados de que trata 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C3EFF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No caso de adesão de instituidor setorial, os associados do afiliado setorial devem ser considerados para fins de comprovação do número mínimo de associados de que trata a normatização do CNPC.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DA459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w:t>
            </w:r>
          </w:p>
        </w:tc>
      </w:tr>
      <w:tr w:rsidR="00E31838" w:rsidRPr="0010524E" w14:paraId="52517914" w14:textId="4F3278A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61EB209"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6º  A condição de afiliado setorial deve ser formalizada por meio de documento contratual específico com o instituidor setorial.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A0E1C0" w14:textId="1D23C3A9" w:rsidR="00E31838" w:rsidRPr="009F01A7" w:rsidRDefault="00E31838" w:rsidP="009F01A7">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66.  </w:t>
            </w:r>
            <w:r w:rsidRPr="009F01A7">
              <w:rPr>
                <w:rFonts w:ascii="Calibri" w:eastAsia="Times New Roman" w:hAnsi="Calibri" w:cs="Calibri"/>
                <w:kern w:val="0"/>
                <w:sz w:val="24"/>
                <w:szCs w:val="24"/>
                <w:lang w:eastAsia="pt-BR"/>
                <w14:ligatures w14:val="none"/>
              </w:rPr>
              <w:t>A condição de afiliado setorial deve ser formalizada por meio de instrumento contratual específico com o instituidor setorial.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0184D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w:t>
            </w:r>
          </w:p>
        </w:tc>
      </w:tr>
      <w:tr w:rsidR="00E31838" w:rsidRPr="0010524E" w14:paraId="0FC1E98F" w14:textId="747F45C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A9ED9B9"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Parágrafo único.  O documento contratual a que se refere o caput deve ficar disponível na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133F6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O instrumento contratual a que se refere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 ficar disponível na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756C2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Melhoria de redação.</w:t>
            </w:r>
          </w:p>
        </w:tc>
      </w:tr>
      <w:tr w:rsidR="00E31838" w:rsidRPr="0010524E" w14:paraId="2086CD8D" w14:textId="185CDF1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A6270D2"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7º  A troca de vínculo de participantes entre afiliados setoriais associados a um mesmo instituidor setorial ou entre instituidores setoriais vinculados a um mesmo plano setorial não caracteriza desligamento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8F1DB3" w14:textId="014382DA" w:rsidR="00E31838" w:rsidRPr="009F01A7" w:rsidRDefault="00E31838" w:rsidP="009F01A7">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67.  </w:t>
            </w:r>
            <w:r w:rsidRPr="009F01A7">
              <w:rPr>
                <w:rFonts w:ascii="Calibri" w:eastAsia="Times New Roman" w:hAnsi="Calibri" w:cs="Calibri"/>
                <w:kern w:val="0"/>
                <w:sz w:val="24"/>
                <w:szCs w:val="24"/>
                <w:lang w:eastAsia="pt-BR"/>
                <w14:ligatures w14:val="none"/>
              </w:rPr>
              <w:t>A troca de vínculo de participantes entre afiliados setoriais associados a um mesmo instituidor setorial ou entre instituidores setoriais vinculados a um mesmo plano de benefícios não caracteriza desligamento do plano.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734E1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55812641" w14:textId="5907927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E8858D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Parágrafo único.  A EFPC deve manter o histórico de vínculos dos participantes entre afiliados setoriais.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C5EA6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 EFPC deve manter o histórico de vínculos dos participantes nos instituidores e afiliados setoriais.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BF573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1D1FD25" w14:textId="00664FD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5440D4F" w14:textId="2B618E0D" w:rsidR="00E31838" w:rsidRPr="0010524E" w:rsidRDefault="00E31838" w:rsidP="009F01A7">
            <w:pPr>
              <w:spacing w:after="0"/>
              <w:jc w:val="both"/>
              <w:rPr>
                <w:rFonts w:ascii="Calibri" w:hAnsi="Calibri" w:cs="Calibri"/>
                <w:sz w:val="24"/>
                <w:szCs w:val="24"/>
              </w:rPr>
            </w:pPr>
            <w:r w:rsidRPr="0010524E">
              <w:rPr>
                <w:rFonts w:ascii="Calibri" w:hAnsi="Calibri" w:cs="Calibri"/>
                <w:sz w:val="24"/>
                <w:szCs w:val="24"/>
              </w:rPr>
              <w:t xml:space="preserve">Art. 8º  Os instituidores setoriais e os afiliados setoriais podem efetuar contribuições para seus associados ou empregados, desde que </w:t>
            </w:r>
            <w:r w:rsidRPr="0010524E">
              <w:rPr>
                <w:rFonts w:ascii="Calibri" w:hAnsi="Calibri" w:cs="Calibri"/>
                <w:sz w:val="24"/>
                <w:szCs w:val="24"/>
              </w:rPr>
              <w:lastRenderedPageBreak/>
              <w:t>previstos em instrumento contratual específico.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BF89E7" w14:textId="58935C44" w:rsidR="00E31838" w:rsidRPr="009F01A7" w:rsidRDefault="00E31838" w:rsidP="009F01A7">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 xml:space="preserve">Art. 68.  </w:t>
            </w:r>
            <w:r w:rsidRPr="009F01A7">
              <w:rPr>
                <w:rFonts w:ascii="Calibri" w:eastAsia="Times New Roman" w:hAnsi="Calibri" w:cs="Calibri"/>
                <w:kern w:val="0"/>
                <w:sz w:val="24"/>
                <w:szCs w:val="24"/>
                <w:lang w:eastAsia="pt-BR"/>
                <w14:ligatures w14:val="none"/>
              </w:rPr>
              <w:t xml:space="preserve">Os instituidores setoriais e os afiliados setoriais podem efetuar contribuições para seus associados ou </w:t>
            </w:r>
            <w:r w:rsidRPr="009F01A7">
              <w:rPr>
                <w:rFonts w:ascii="Calibri" w:eastAsia="Times New Roman" w:hAnsi="Calibri" w:cs="Calibri"/>
                <w:kern w:val="0"/>
                <w:sz w:val="24"/>
                <w:szCs w:val="24"/>
                <w:lang w:eastAsia="pt-BR"/>
                <w14:ligatures w14:val="none"/>
              </w:rPr>
              <w:lastRenderedPageBreak/>
              <w:t>empregados, desde que previstos em instrumento contratual específico.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1A6CF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C4C086F"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C9B56BE" w14:textId="49E9460F" w:rsidR="00E31838" w:rsidRPr="009F01A7" w:rsidRDefault="00E31838" w:rsidP="009F01A7">
            <w:pPr>
              <w:spacing w:after="0"/>
              <w:jc w:val="both"/>
              <w:rPr>
                <w:rFonts w:ascii="Calibri" w:hAnsi="Calibri" w:cs="Calibri"/>
                <w:b/>
                <w:bCs/>
                <w:sz w:val="24"/>
                <w:szCs w:val="24"/>
              </w:rPr>
            </w:pPr>
            <w:r w:rsidRPr="009F01A7">
              <w:rPr>
                <w:rFonts w:ascii="Calibri" w:hAnsi="Calibri" w:cs="Calibri"/>
                <w:b/>
                <w:bCs/>
                <w:sz w:val="24"/>
                <w:szCs w:val="24"/>
              </w:rPr>
              <w:t>RESOLUÇÃO PREVIC Nº 17, DE 16 DE NOVEMBRO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5B9CEC" w14:textId="77777777" w:rsidR="00E31838" w:rsidRPr="0010524E" w:rsidRDefault="00E31838" w:rsidP="000053DA">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A00B2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595C0581"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554B7A2" w14:textId="3F6898A8" w:rsidR="00E31838" w:rsidRPr="009F01A7" w:rsidRDefault="00E31838" w:rsidP="009F01A7">
            <w:pPr>
              <w:spacing w:after="0"/>
              <w:jc w:val="both"/>
              <w:rPr>
                <w:rFonts w:ascii="Calibri" w:hAnsi="Calibri" w:cs="Calibri"/>
                <w:b/>
                <w:bCs/>
                <w:sz w:val="24"/>
                <w:szCs w:val="24"/>
              </w:rPr>
            </w:pPr>
            <w:r>
              <w:t>Dispõe sobre instruções complementares para a disponibilização, pelas entidades fechadas de previdência complementar, dos institutos do benefício proporcional diferido, da portabilidade, do resgate e do autopatrocínio.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15B623" w14:textId="77777777" w:rsidR="00E31838" w:rsidRPr="0010524E" w:rsidRDefault="00E31838" w:rsidP="000053DA">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F9595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1A6708F" w14:textId="0472B4A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B75C051" w14:textId="77777777"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4C5D16" w14:textId="77777777" w:rsidR="00E31838" w:rsidRDefault="00E31838" w:rsidP="000053D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w:t>
            </w:r>
          </w:p>
          <w:p w14:paraId="1F5FDD30" w14:textId="3B1C0C06" w:rsidR="00E31838" w:rsidRPr="0010524E" w:rsidRDefault="00E31838" w:rsidP="000053DA">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Institutos do Benefício Proporcional Diferido, Portabilidade, Resgate e Autopatrocínio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B5345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66BC59D" w14:textId="1C4D1A4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8959767" w14:textId="77777777" w:rsidR="00E31838" w:rsidRPr="0010524E" w:rsidRDefault="00E31838" w:rsidP="000053DA">
            <w:pPr>
              <w:spacing w:after="0"/>
              <w:jc w:val="both"/>
              <w:rPr>
                <w:rFonts w:ascii="Calibri" w:hAnsi="Calibri" w:cs="Calibri"/>
                <w:sz w:val="24"/>
                <w:szCs w:val="24"/>
              </w:rPr>
            </w:pPr>
            <w:bookmarkStart w:id="2" w:name="_Hlk97816910"/>
            <w:r w:rsidRPr="0010524E">
              <w:rPr>
                <w:rFonts w:ascii="Calibri" w:hAnsi="Calibri" w:cs="Calibri"/>
                <w:sz w:val="24"/>
                <w:szCs w:val="24"/>
              </w:rPr>
              <w:t xml:space="preserve">Art. 2º  </w:t>
            </w:r>
            <w:bookmarkEnd w:id="2"/>
            <w:r w:rsidRPr="0010524E">
              <w:rPr>
                <w:rFonts w:ascii="Calibri" w:hAnsi="Calibri" w:cs="Calibri"/>
                <w:sz w:val="24"/>
                <w:szCs w:val="24"/>
              </w:rPr>
              <w:t>O regulamento do plano de benefícios deve dispor, em relação aos institutos, no mínimo, sobre: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DE382F" w14:textId="104ADD31" w:rsidR="00E31838" w:rsidRPr="002F28C3" w:rsidRDefault="00E31838" w:rsidP="002F28C3">
            <w:pPr>
              <w:tabs>
                <w:tab w:val="left" w:pos="993"/>
              </w:tabs>
              <w:spacing w:after="120"/>
              <w:jc w:val="both"/>
              <w:rPr>
                <w:rFonts w:ascii="Calibri" w:eastAsia="Times New Roman" w:hAnsi="Calibri" w:cs="Calibri"/>
                <w:kern w:val="0"/>
                <w:sz w:val="24"/>
                <w:szCs w:val="24"/>
                <w:lang w:eastAsia="pt-BR"/>
                <w14:ligatures w14:val="none"/>
              </w:rPr>
            </w:pPr>
            <w:bookmarkStart w:id="3" w:name="_Ref138839558"/>
            <w:r>
              <w:rPr>
                <w:rFonts w:ascii="Calibri" w:eastAsia="Times New Roman" w:hAnsi="Calibri" w:cs="Calibri"/>
                <w:kern w:val="0"/>
                <w:sz w:val="24"/>
                <w:szCs w:val="24"/>
                <w:lang w:eastAsia="pt-BR"/>
                <w14:ligatures w14:val="none"/>
              </w:rPr>
              <w:t xml:space="preserve">Art. 69.  </w:t>
            </w:r>
            <w:r w:rsidRPr="002F28C3">
              <w:rPr>
                <w:rFonts w:ascii="Calibri" w:eastAsia="Times New Roman" w:hAnsi="Calibri" w:cs="Calibri"/>
                <w:kern w:val="0"/>
                <w:sz w:val="24"/>
                <w:szCs w:val="24"/>
                <w:lang w:eastAsia="pt-BR"/>
                <w14:ligatures w14:val="none"/>
              </w:rPr>
              <w:t>O regulamento do plano de benefícios deve dispor, em relação aos institutos, no mínimo, sobre:</w:t>
            </w:r>
            <w:bookmarkEnd w:id="3"/>
            <w:r w:rsidRPr="002F28C3">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1E673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5D3DBC7" w14:textId="09EE73A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F88D6D3"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I - a carência, os requisitos e as demais condições de acesso aos institutos;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FA63EB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carência, requisitos e demais condições de acesso aos institutos;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C1833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E31838" w:rsidRPr="0010524E" w14:paraId="49B82B7C" w14:textId="0E9CFA1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BA3325D"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a forma de cálculo, de pagamento e de atualização do benefício decorrente da opção pelo benefício proporcional diferido;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ED0082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forma de cálculo, de pagamento e de atualização do benefício decorrente da opção pelo benefício proporcional diferido;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D5AF7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E31838" w:rsidRPr="0010524E" w14:paraId="11709778" w14:textId="4B296AF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9691F0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III - as condições para a manutenção e o custeio de eventuais coberturas dos riscos de invalidez e morte do participante, quando oferecidas durante a fase de diferimento ao participante optante pelo benefício proporcional diferido;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0D8D18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condições para a manutenção e custeio de eventuais coberturas dos riscos de invalidez e morte do participante, quando oferecidas durante a fase de diferimento ao participante optante pelo benefício proporcional diferido;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EAC41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E31838" w:rsidRPr="0010524E" w14:paraId="6C5D0D6B" w14:textId="6B225C5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76FA186"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IV - as diretrizes a serem utilizadas para o custeio das despesas administrativas, de déficits e de serviço passado, durante a fase de diferimento, pelo participante optante pelo benefício proporcional diferido, quando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945DB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IV - diretrizes a serem utilizadas para o custeio das despesas administrativas, de déficits e de serviço passado, durante a fase de diferimento, pelo participante optante pelo benefício proporcional diferido, quando aplicável;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DCB6C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E31838" w:rsidRPr="0010524E" w14:paraId="19BED4BB" w14:textId="76DC52E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8D8A35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 - a forma de apuração do direito acumulado para fins de portabilidade, inclusive quando se tratar de opção a ser realizada por participante que tenha previamente optado pelo benefício proporcional diferido;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9FF99A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 - forma de apuração do direito acumulado para fins de portabilidade, inclusive quando se tratar de opção a ser realizada por participante que tenha previamente optado pelo benefício proporcional diferido;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B73D7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E31838" w:rsidRPr="0010524E" w14:paraId="1015C3A6" w14:textId="187CF6D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8F3C82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VI - o critério de atualização do valor a ser objeto de portabilidade ou resgate, no período compreendido entre a data-base de cálculo, de que trata o § 1º do art. 3º, e a efetiva transferência dos recursos ao plano de benefícios de destino ou o efetivo pagamento, respectivamente;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51445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 - critério de atualização do valor a ser objeto de portabilidade ou resgate, no período compreendido entre a data de que trata o §1º do </w:t>
            </w:r>
            <w:r w:rsidRPr="002F28C3">
              <w:rPr>
                <w:rFonts w:ascii="Calibri" w:eastAsia="Times New Roman" w:hAnsi="Calibri" w:cs="Calibri"/>
                <w:kern w:val="0"/>
                <w:sz w:val="24"/>
                <w:szCs w:val="24"/>
                <w:highlight w:val="yellow"/>
                <w:lang w:eastAsia="pt-BR"/>
                <w14:ligatures w14:val="none"/>
              </w:rPr>
              <w:fldChar w:fldCharType="begin"/>
            </w:r>
            <w:r w:rsidRPr="002F28C3">
              <w:rPr>
                <w:rFonts w:ascii="Calibri" w:eastAsia="Times New Roman" w:hAnsi="Calibri" w:cs="Calibri"/>
                <w:kern w:val="0"/>
                <w:sz w:val="24"/>
                <w:szCs w:val="24"/>
                <w:highlight w:val="yellow"/>
                <w:lang w:eastAsia="pt-BR"/>
                <w14:ligatures w14:val="none"/>
              </w:rPr>
              <w:instrText xml:space="preserve"> REF  _Ref138838640 \* Lower \r  \* MERGEFORMAT </w:instrText>
            </w:r>
            <w:r w:rsidRPr="002F28C3">
              <w:rPr>
                <w:rFonts w:ascii="Calibri" w:eastAsia="Times New Roman" w:hAnsi="Calibri" w:cs="Calibri"/>
                <w:kern w:val="0"/>
                <w:sz w:val="24"/>
                <w:szCs w:val="24"/>
                <w:highlight w:val="yellow"/>
                <w:lang w:eastAsia="pt-BR"/>
                <w14:ligatures w14:val="none"/>
              </w:rPr>
              <w:fldChar w:fldCharType="separate"/>
            </w:r>
            <w:r w:rsidRPr="002F28C3">
              <w:rPr>
                <w:rFonts w:ascii="Calibri" w:eastAsia="Times New Roman" w:hAnsi="Calibri" w:cs="Calibri"/>
                <w:kern w:val="0"/>
                <w:sz w:val="24"/>
                <w:szCs w:val="24"/>
                <w:highlight w:val="yellow"/>
                <w:lang w:eastAsia="pt-BR"/>
                <w14:ligatures w14:val="none"/>
              </w:rPr>
              <w:t>art. 116</w:t>
            </w:r>
            <w:r w:rsidRPr="002F28C3">
              <w:rPr>
                <w:rFonts w:ascii="Calibri" w:eastAsia="Times New Roman" w:hAnsi="Calibri" w:cs="Calibri"/>
                <w:kern w:val="0"/>
                <w:sz w:val="24"/>
                <w:szCs w:val="24"/>
                <w:highlight w:val="yellow"/>
                <w:lang w:eastAsia="pt-BR"/>
                <w14:ligatures w14:val="none"/>
              </w:rPr>
              <w:fldChar w:fldCharType="end"/>
            </w:r>
            <w:r w:rsidRPr="0010524E">
              <w:rPr>
                <w:rFonts w:ascii="Calibri" w:eastAsia="Times New Roman" w:hAnsi="Calibri" w:cs="Calibri"/>
                <w:kern w:val="0"/>
                <w:sz w:val="24"/>
                <w:szCs w:val="24"/>
                <w:lang w:eastAsia="pt-BR"/>
                <w14:ligatures w14:val="none"/>
              </w:rPr>
              <w:t>, e a efetiva transferência dos recursos ao plano de benefícios de destino ou o efetivo pagamento, respectivamente;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B6EFA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E31838" w:rsidRPr="0010524E" w14:paraId="00A3B607" w14:textId="066B50E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DFF7E3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VII - o critério de atualização dos recursos objeto de portabilidade procedente de outros planos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D98CAD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VII - critério de atualização dos recursos objeto de portabilidade procedente de outros planos de previdência complementar;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AA2D9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E31838" w:rsidRPr="0010524E" w14:paraId="506CD70B" w14:textId="15E97DA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38AD88D"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VIII - os critérios de apuração, as condições de acesso e as formas de pagamento do resgate, inclusive quando se tratar de opção a ser realizada por participante que tenha </w:t>
            </w:r>
            <w:r w:rsidRPr="0010524E">
              <w:rPr>
                <w:rFonts w:ascii="Calibri" w:hAnsi="Calibri" w:cs="Calibri"/>
                <w:sz w:val="24"/>
                <w:szCs w:val="24"/>
              </w:rPr>
              <w:lastRenderedPageBreak/>
              <w:t>previamente optado pelo benefício proporcional diferido;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0A260E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VIII - critérios de apuração, condições de acesso e formas de pagamento do resgate, inclusive quando se tratar de opção a ser realizada por participante que tenha previamente optado pelo benefício proporcional diferido;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6D694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E31838" w:rsidRPr="0010524E" w14:paraId="390D88A0" w14:textId="1978715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A82A80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IX - a destinação da parcela patronal não resgatável, quando for o caso;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1762E8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IX - destinação da parcela patronal não resgatável, quando for o caso;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E4AEA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E31838" w:rsidRPr="0010524E" w14:paraId="19988FE2" w14:textId="6D1C6C9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73F316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X - o prazo e a forma para a disponibilização, pela EFPC, do extrato previdenciário de que trata o art. 3º;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E58669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 - prazo e a forma para a disponibilização, pela EFPC, do extrato previdenciário de que trata 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_Ref138838640 \* Lower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art. 116</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654F1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 e de remissão</w:t>
            </w:r>
          </w:p>
        </w:tc>
      </w:tr>
      <w:tr w:rsidR="00E31838" w:rsidRPr="0010524E" w14:paraId="5B914A0C" w14:textId="2168AAC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CD4991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XI - o prazo para a opção do participante pelos institutos, que deve ser de, no mínimo, trinta dias, contados da data do recebimento do extrato previdenciário, de que trata o art. 3º;</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02900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XI - prazo para a opção do participante pelos institutos, que deve ser de, no mínimo, trinta dias, contados da data do recebimento do extrato previdenciário de que trata 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_Ref138838640 \* Lower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art. 116</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5B3F1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 e de remissão</w:t>
            </w:r>
          </w:p>
        </w:tc>
      </w:tr>
      <w:tr w:rsidR="00E31838" w:rsidRPr="0010524E" w14:paraId="510FCE8D" w14:textId="1376B31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FD29AA1"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XII - a possibilidade de opção, pelo participante, por mais de um instituto, de forma simultânea e combinada, se for o caso;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82FE6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XII - possibilidade de opção, pelo participante, por mais de um instituto, de forma simultânea e combinada, se for o caso;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65E50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E31838" w:rsidRPr="0010524E" w14:paraId="6A6E190A" w14:textId="48DCA75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673D9F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XIII - o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57E351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XIII -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C7BB6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forma</w:t>
            </w:r>
          </w:p>
        </w:tc>
      </w:tr>
      <w:tr w:rsidR="00E31838" w:rsidRPr="0010524E" w14:paraId="6E569B59" w14:textId="0ED05B2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705916F" w14:textId="77777777"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A8F635" w14:textId="77777777" w:rsidR="00E31838" w:rsidRPr="0010524E" w:rsidRDefault="00E31838" w:rsidP="000053DA">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Extrato previdenciário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FA59E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06EC03C" w14:textId="2AE351B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EBA90A7"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Art. 3º  A EFPC deve disponibilizar extrato previdenciário ao participante, por meio físico </w:t>
            </w:r>
            <w:r w:rsidRPr="0010524E">
              <w:rPr>
                <w:rFonts w:ascii="Calibri" w:hAnsi="Calibri" w:cs="Calibri"/>
                <w:sz w:val="24"/>
                <w:szCs w:val="24"/>
              </w:rPr>
              <w:lastRenderedPageBreak/>
              <w:t>ou eletrônico, observado o prazo de trinta dias, contados da data-base de cálculo, referente a cada plano de benefícios ao qual esteja vinculado.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4C46D7" w14:textId="52A4AF89" w:rsidR="00E31838" w:rsidRPr="002F28C3" w:rsidRDefault="00E31838" w:rsidP="002F28C3">
            <w:pPr>
              <w:tabs>
                <w:tab w:val="left" w:pos="993"/>
              </w:tabs>
              <w:spacing w:after="120"/>
              <w:jc w:val="both"/>
              <w:rPr>
                <w:rFonts w:ascii="Calibri" w:eastAsia="Times New Roman" w:hAnsi="Calibri" w:cs="Calibri"/>
                <w:kern w:val="0"/>
                <w:sz w:val="24"/>
                <w:szCs w:val="24"/>
                <w:lang w:eastAsia="pt-BR"/>
                <w14:ligatures w14:val="none"/>
              </w:rPr>
            </w:pPr>
            <w:bookmarkStart w:id="4" w:name="_Ref138838640"/>
            <w:r>
              <w:rPr>
                <w:rFonts w:ascii="Calibri" w:eastAsia="Times New Roman" w:hAnsi="Calibri" w:cs="Calibri"/>
                <w:kern w:val="0"/>
                <w:sz w:val="24"/>
                <w:szCs w:val="24"/>
                <w:lang w:eastAsia="pt-BR"/>
                <w14:ligatures w14:val="none"/>
              </w:rPr>
              <w:lastRenderedPageBreak/>
              <w:t xml:space="preserve">Art. 70.  </w:t>
            </w:r>
            <w:r w:rsidRPr="002F28C3">
              <w:rPr>
                <w:rFonts w:ascii="Calibri" w:eastAsia="Times New Roman" w:hAnsi="Calibri" w:cs="Calibri"/>
                <w:kern w:val="0"/>
                <w:sz w:val="24"/>
                <w:szCs w:val="24"/>
                <w:lang w:eastAsia="pt-BR"/>
                <w14:ligatures w14:val="none"/>
              </w:rPr>
              <w:t xml:space="preserve">A EFPC deve disponibilizar extrato previdenciário ao participante, por meio físico ou </w:t>
            </w:r>
            <w:r w:rsidRPr="002F28C3">
              <w:rPr>
                <w:rFonts w:ascii="Calibri" w:eastAsia="Times New Roman" w:hAnsi="Calibri" w:cs="Calibri"/>
                <w:kern w:val="0"/>
                <w:sz w:val="24"/>
                <w:szCs w:val="24"/>
                <w:lang w:eastAsia="pt-BR"/>
                <w14:ligatures w14:val="none"/>
              </w:rPr>
              <w:lastRenderedPageBreak/>
              <w:t>eletrônico, observado o prazo de trinta dias, contados da data-base de apuração, referente a cada plano de benefícios ao qual esteja vinculado.</w:t>
            </w:r>
            <w:bookmarkEnd w:id="4"/>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46566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Ajuste de redação visando padronizar o termo à norma do CNPC.</w:t>
            </w:r>
          </w:p>
        </w:tc>
      </w:tr>
      <w:tr w:rsidR="00E31838" w:rsidRPr="0010524E" w14:paraId="0AC555E1" w14:textId="3D32C36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3D18474"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1º  A data-base de cálculo das informações previstas no extrato previdenciário de que trata o caput, corresponde à data 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D33AF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A data-base de apuração das informações previstas no extrato previdenciário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corresponde à data 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8B0ED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redação visando padronizar o termo à norma do CNPC.</w:t>
            </w:r>
          </w:p>
        </w:tc>
      </w:tr>
      <w:tr w:rsidR="00E31838" w:rsidRPr="0010524E" w14:paraId="44BFFE8A" w14:textId="329C7E3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F7C514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recebimento da comunicação da cessação 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4822D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recebimento da comunicação da cessação do vínculo com o patrocinador ou com o instituidor;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6E1F9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redação</w:t>
            </w:r>
          </w:p>
        </w:tc>
      </w:tr>
      <w:tr w:rsidR="00E31838" w:rsidRPr="0010524E" w14:paraId="1BF22D0F" w14:textId="68C635F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494BD91"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 vínculo empregatício do participante com o patrocinador;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39177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45845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alocado no inciso</w:t>
            </w:r>
          </w:p>
        </w:tc>
      </w:tr>
      <w:tr w:rsidR="00E31838" w:rsidRPr="0010524E" w14:paraId="1CCBFBD3" w14:textId="7EA1F6D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4B7682D"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b) vínculo associativo com instituidor;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24440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5213B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alocado no inciso</w:t>
            </w:r>
          </w:p>
        </w:tc>
      </w:tr>
      <w:tr w:rsidR="00E31838" w:rsidRPr="0010524E" w14:paraId="403EE198" w14:textId="52B6D0E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888900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requerimento protocolado pelo participante para a nova opção, no caso de participante que tenha optado pelo benefício proporcional diferido e que queira realizar posterior opção pela portabilidade, resgate ou autopatrocínio;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0AA6E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requerimento protocolado pelo participante para a nova opção, no caso de participante que tenha optado pelo benefício proporcional diferido ou pelo autopatrocínio e que queira realizar posterior opção por outro instituto;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B29D0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redação para prever todas possibilidades de opção</w:t>
            </w:r>
          </w:p>
        </w:tc>
      </w:tr>
      <w:tr w:rsidR="00E31838" w:rsidRPr="0010524E" w14:paraId="6FAB5FCF" w14:textId="2F5CA02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7616C12"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III - requerimento protocolado pelo participante, em quaisquer outras circunstâncias.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7BBEE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requerimento protocolado pelo participante, em quaisquer outras circunstâncias.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58D33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073AA09" w14:textId="43D3D4B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C8773F3"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 2º  A ausência de comunicação tempestiva, pelo patrocinador, da cessação do vínculo empregatício, não retira do participante o direito de optar pelos institutos.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77EC8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§2º  A ausência de comunicação tempestiva, pelo patrocinador, da cessação do vínculo empregatício, não retira do participante o direito de optar pelos institutos.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BA845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4648F5D" w14:textId="5D6E380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04F1088"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3º  O extrato previdenciário deve: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3A158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§3º  O extrato previdenciário deve: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580FD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877268F" w14:textId="781B9B4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0DC979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 xml:space="preserve">I - conter as informações relativas a cada um dos institutos, na forma dos arts. 4º a 7º;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B117AE" w14:textId="23CE332C"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conter as informações relativas a cada um dos institutos, na forma dos arts.</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_Ref138838944 \r \t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 xml:space="preserve"> 71</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 xml:space="preserve">  a 74;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E6708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remissão</w:t>
            </w:r>
          </w:p>
        </w:tc>
      </w:tr>
      <w:tr w:rsidR="00E31838" w:rsidRPr="0010524E" w14:paraId="62015684" w14:textId="4553FDA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E0F1509"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fazer referência à possibilidade de opção por mais de um instituto, caso haja previsão regulamentar.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A6F95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fazer referência à possibilidade de opção por mais de um instituto, caso haja previsão regulamentar.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B8A79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9498BBF" w14:textId="2DF93EA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860F4EB"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4º  O extrato previdenciário deve conter, no mínimo, em relação ao instituto do benefício proporcional diferido: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AA0DBF2" w14:textId="175F43A4" w:rsidR="00E31838" w:rsidRPr="002F28C3" w:rsidRDefault="00E31838" w:rsidP="002F28C3">
            <w:pPr>
              <w:tabs>
                <w:tab w:val="left" w:pos="993"/>
              </w:tabs>
              <w:spacing w:after="120"/>
              <w:jc w:val="both"/>
              <w:rPr>
                <w:rFonts w:ascii="Calibri" w:eastAsia="Times New Roman" w:hAnsi="Calibri" w:cs="Calibri"/>
                <w:kern w:val="0"/>
                <w:sz w:val="24"/>
                <w:szCs w:val="24"/>
                <w:lang w:eastAsia="pt-BR"/>
                <w14:ligatures w14:val="none"/>
              </w:rPr>
            </w:pPr>
            <w:bookmarkStart w:id="5" w:name="_Ref138838944"/>
            <w:r>
              <w:rPr>
                <w:rFonts w:ascii="Calibri" w:eastAsia="Times New Roman" w:hAnsi="Calibri" w:cs="Calibri"/>
                <w:kern w:val="0"/>
                <w:sz w:val="24"/>
                <w:szCs w:val="24"/>
                <w:lang w:eastAsia="pt-BR"/>
                <w14:ligatures w14:val="none"/>
              </w:rPr>
              <w:t xml:space="preserve">Art. 71.  </w:t>
            </w:r>
            <w:r w:rsidRPr="002F28C3">
              <w:rPr>
                <w:rFonts w:ascii="Calibri" w:eastAsia="Times New Roman" w:hAnsi="Calibri" w:cs="Calibri"/>
                <w:kern w:val="0"/>
                <w:sz w:val="24"/>
                <w:szCs w:val="24"/>
                <w:lang w:eastAsia="pt-BR"/>
                <w14:ligatures w14:val="none"/>
              </w:rPr>
              <w:t>O extrato previdenciário deve conter, no mínimo, em relação ao instituto do benefício proporcional diferido:</w:t>
            </w:r>
            <w:bookmarkEnd w:id="5"/>
            <w:r w:rsidRPr="002F28C3">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22C76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6B6AA5F" w14:textId="76D0A16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582EE7D"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a estimativa do valor do benefício decorrente da opção pelo instituto, de acordo com a modalidade do plano de benefícios e o disposto no seu regulamento;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03EB8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a estimativa do valor e os critérios de cálculo e atualização do benefício decorrente da opção pelo instituto, observada a modalidade do plano de benefícios e o disposto no regulamento;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707EA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texto, unificando incisos I e V, bem como incisos I e II do PU da redação original.</w:t>
            </w:r>
          </w:p>
        </w:tc>
      </w:tr>
      <w:tr w:rsidR="00E31838" w:rsidRPr="0010524E" w14:paraId="0152A02A" w14:textId="329D843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8B2EE15"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as condições de cobertura dos riscos de invalidez e morte, quando oferecidas durante a fase de diferimento, com a indicação do critério para seu custeio;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6460D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as condições de cobertura dos riscos de invalidez e morte, quando oferecidas durante a fase de diferimento, com a indicação do critério para seu custeio;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E4D1D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1D962B3" w14:textId="339DA3B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9D71F2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III - o critério para o custeio de déficits ou de serviço passado, quando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CD4233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o critério para o custeio de déficits ou de serviço passado, quando aplicável;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57014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C90A0ED" w14:textId="6BB574A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BAC5FA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IV - o critério para o custeio das despesas administrativas, conforme definido em plano de custeio;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EDEF98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IV - o critério para o custeio das despesas administrativas, conforme definido em plano de custeio.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17011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BA117D0" w14:textId="35626C4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37A5CF7"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 - o critério para a atualização do seu valor.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4D6AC3" w14:textId="77777777" w:rsidR="00E31838" w:rsidRPr="0010524E" w:rsidRDefault="00E31838" w:rsidP="000053DA">
            <w:pPr>
              <w:spacing w:after="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059E9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alocado no inciso I</w:t>
            </w:r>
          </w:p>
        </w:tc>
      </w:tr>
      <w:tr w:rsidR="00E31838" w:rsidRPr="0010524E" w14:paraId="15B4E1BE" w14:textId="08019D0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E1B590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Parágrafo único.  A EFPC, no extrato previdenciário, em relação ao instituto do benefício proporcional diferido, deve: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346DC3" w14:textId="77777777" w:rsidR="00E31838" w:rsidRPr="0010524E" w:rsidRDefault="00E31838" w:rsidP="000053DA">
            <w:pPr>
              <w:spacing w:after="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63BF7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alocado no inciso I</w:t>
            </w:r>
          </w:p>
        </w:tc>
      </w:tr>
      <w:tr w:rsidR="00E31838" w:rsidRPr="0010524E" w14:paraId="7B6EAC63" w14:textId="0F98489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74501A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I - informar as premissas utilizadas no cálculo da estimativa de que trata o inciso I do caput;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5C3B88" w14:textId="77777777" w:rsidR="00E31838" w:rsidRPr="0010524E" w:rsidRDefault="00E31838" w:rsidP="000053DA">
            <w:pPr>
              <w:spacing w:after="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64932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alocado no inciso I</w:t>
            </w:r>
          </w:p>
        </w:tc>
      </w:tr>
      <w:tr w:rsidR="00E31838" w:rsidRPr="0010524E" w14:paraId="5EA3C009" w14:textId="3CC61FF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FD85503"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destacar que o valor do benefício, quando o plano estiver configurado na modalidade de contribuição definida, dependerá da remuneração apropriada ao saldo da conta individual mantida em favor do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424875" w14:textId="77777777" w:rsidR="00E31838" w:rsidRPr="0010524E" w:rsidRDefault="00E31838" w:rsidP="000053DA">
            <w:pPr>
              <w:spacing w:after="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E2675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alocado no inciso I</w:t>
            </w:r>
          </w:p>
        </w:tc>
      </w:tr>
      <w:tr w:rsidR="00E31838" w:rsidRPr="0010524E" w14:paraId="693782B5" w14:textId="5D90C50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F0060A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5º  O extrato previdenciário deve conter, no mínimo, em relação ao instituto da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87C738" w14:textId="161A5F02" w:rsidR="00E31838" w:rsidRPr="002F28C3" w:rsidRDefault="00E31838" w:rsidP="002F28C3">
            <w:pPr>
              <w:tabs>
                <w:tab w:val="left" w:pos="993"/>
              </w:tabs>
              <w:spacing w:after="120"/>
              <w:jc w:val="both"/>
              <w:rPr>
                <w:rFonts w:ascii="Calibri" w:eastAsia="Times New Roman" w:hAnsi="Calibri" w:cs="Calibri"/>
                <w:kern w:val="0"/>
                <w:sz w:val="24"/>
                <w:szCs w:val="24"/>
                <w:lang w:eastAsia="pt-BR"/>
                <w14:ligatures w14:val="none"/>
              </w:rPr>
            </w:pPr>
            <w:bookmarkStart w:id="6" w:name="_Ref138839796"/>
            <w:r>
              <w:rPr>
                <w:rFonts w:ascii="Calibri" w:eastAsia="Times New Roman" w:hAnsi="Calibri" w:cs="Calibri"/>
                <w:kern w:val="0"/>
                <w:sz w:val="24"/>
                <w:szCs w:val="24"/>
                <w:lang w:eastAsia="pt-BR"/>
                <w14:ligatures w14:val="none"/>
              </w:rPr>
              <w:t xml:space="preserve">Art. 72.  </w:t>
            </w:r>
            <w:r w:rsidRPr="002F28C3">
              <w:rPr>
                <w:rFonts w:ascii="Calibri" w:eastAsia="Times New Roman" w:hAnsi="Calibri" w:cs="Calibri"/>
                <w:kern w:val="0"/>
                <w:sz w:val="24"/>
                <w:szCs w:val="24"/>
                <w:lang w:eastAsia="pt-BR"/>
                <w14:ligatures w14:val="none"/>
              </w:rPr>
              <w:t>O extrato previdenciário deve conter, no mínimo, em relação ao instituto da portabilidade:</w:t>
            </w:r>
            <w:bookmarkEnd w:id="6"/>
            <w:r w:rsidRPr="002F28C3">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F29B2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A743323" w14:textId="6A6C47A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19E3B8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o valor correspondente ao direito acumulado no plano de benefícios, com a demonstração do cálculo, segregado entre contribuições do participante e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5ED22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o valor correspondente ao direito acumulado no plano de benefícios, com a demonstração do cálculo, segregado entre contribuições do participante e do patrocinador;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B21FA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5CF4C217" w14:textId="054B423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6DAA2C6"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o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A376B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o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0D72A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1BE21BF" w14:textId="21AA7B9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4C6E07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III - o valor das contribuições extraordinárias e dos resultados deficitários não equacionados cabíveis ao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9F307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o valor das contribuições extraordinárias e dos resultados deficitários não equacionados cabíveis ao participante;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1243C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AE5F585" w14:textId="666A10F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6218609"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IV - o valor de outros débitos do participante em relação ao plano de benefícios, inclusive aqueles decorrentes de operações da EFPC com o participante;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1FE57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o valor de outros débitos do participante em relação ao plano de benefícios, inclusive aqueles decorrentes de operações da EFPC com o participante;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B2795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3164CF1" w14:textId="074D4C6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308ACE9"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V - o critério para a atualização dos valores informados, nos termos dos incisos I a IV, entre a data-base de cálculo e a data de sua efetiva transferência.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DE25F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 - o critério para a atualização dos valores informados, nos termos dos incisos I a IV, entre a data-base de apuração e a data de sua efetiva transferência.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63148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redação visando padronizar o termo à norma do CNPC.</w:t>
            </w:r>
          </w:p>
        </w:tc>
      </w:tr>
      <w:tr w:rsidR="00E31838" w:rsidRPr="0010524E" w14:paraId="070BB833" w14:textId="51326C2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2CF074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6º  O extrato previdenciário deve conter, no mínimo, em relação ao instituto do resgate: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5849EA" w14:textId="2C0E6D93" w:rsidR="00E31838" w:rsidRPr="002F28C3" w:rsidRDefault="00E31838" w:rsidP="002F28C3">
            <w:pPr>
              <w:tabs>
                <w:tab w:val="left" w:pos="993"/>
              </w:tabs>
              <w:spacing w:after="120"/>
              <w:jc w:val="both"/>
              <w:rPr>
                <w:rFonts w:ascii="Calibri" w:eastAsia="Times New Roman" w:hAnsi="Calibri" w:cs="Calibri"/>
                <w:kern w:val="0"/>
                <w:sz w:val="24"/>
                <w:szCs w:val="24"/>
                <w:lang w:eastAsia="pt-BR"/>
                <w14:ligatures w14:val="none"/>
              </w:rPr>
            </w:pPr>
            <w:bookmarkStart w:id="7" w:name="_Ref138839897"/>
            <w:r>
              <w:rPr>
                <w:rFonts w:ascii="Calibri" w:eastAsia="Times New Roman" w:hAnsi="Calibri" w:cs="Calibri"/>
                <w:kern w:val="0"/>
                <w:sz w:val="24"/>
                <w:szCs w:val="24"/>
                <w:lang w:eastAsia="pt-BR"/>
                <w14:ligatures w14:val="none"/>
              </w:rPr>
              <w:t xml:space="preserve">Art. 73.  </w:t>
            </w:r>
            <w:r w:rsidRPr="002F28C3">
              <w:rPr>
                <w:rFonts w:ascii="Calibri" w:eastAsia="Times New Roman" w:hAnsi="Calibri" w:cs="Calibri"/>
                <w:kern w:val="0"/>
                <w:sz w:val="24"/>
                <w:szCs w:val="24"/>
                <w:lang w:eastAsia="pt-BR"/>
                <w14:ligatures w14:val="none"/>
              </w:rPr>
              <w:t>O extrato previdenciário deve conter, no mínimo, em relação ao instituto do resgate:</w:t>
            </w:r>
            <w:bookmarkEnd w:id="7"/>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1879F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50CBD402" w14:textId="44C4BDD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7A62A3B"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no caso de resgate integral: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AF11F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no caso de resgate integral: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52211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92B6969" w14:textId="6B1D92D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6911F1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 o respectivo valor, com a demonstração do cálculo, segregado entre contribuições do participante e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63022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 o respectivo valor, com a demonstração do cálculo, segregado entre contribuições do participante e do patrocinador;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55BC7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51D1111" w14:textId="0443B0D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177AE9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b) o valor de contribuições extraordinárias e resultados deficitários não equacionados cabíveis ao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72DC8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b) o valor de contribuições extraordinárias e resultados deficitários não equacionados cabíveis ao participante;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8428C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745BD3C3" w14:textId="4751D5F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7248A8D"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c) o valor de outros débitos do participante em relação ao plano de benefícios, inclusive aquelas decorrentes de operações com participantes;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E400B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c) o valor de outros débitos do participante em relação ao plano de benefícios, inclusive aquelas decorrentes de operações com participantes;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FD316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9F00F36" w14:textId="374D1BB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1D7E045"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d) o critério para a atualização dos valores informados, nos termos das alíneas “a” a “c”, entre a data-base de cálculo e a data do seu efetivo pagamento;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C3776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d) o critério para a atualização dos valores informados, nos termos das alíneas “a” a “c”, entre a data-base de apuração e a data do seu efetivo pagamento;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C991E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redação visando padronizar o termo à norma do CNPC.</w:t>
            </w:r>
          </w:p>
        </w:tc>
      </w:tr>
      <w:tr w:rsidR="00E31838" w:rsidRPr="0010524E" w14:paraId="3183C0AB" w14:textId="453D4FC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984437D"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no caso de resgate parcial: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1DE71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no caso de resgate parcial: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36CDD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15B4FD7" w14:textId="7057175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6833AD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a) o percentual respectivo, observado o disposto no regulamento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75E27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 o percentual respectivo, observado o disposto no regulamento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7EA3B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758B367" w14:textId="582DD44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712B2F5"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b) a demonstração do cálculo, segregado entre contribuições do participante e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6868A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b) a demonstração do cálculo, segregado entre contribuições do participante e do patrocinador;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82934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5CF40BEE" w14:textId="4F5906D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0E761A4"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c) o critério para a atualização do valor informado, nos termos da alínea “a”, entre a data-base de cálculo e a data do seu efetivo pagamento.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99A7A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 o critério para a atualização do valor informado, nos termos da alínea “a”, entre a data-base de apuração e a data do seu efetivo pagamento.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C1415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redação visando padronizar o termo à norma do CNPC.</w:t>
            </w:r>
          </w:p>
        </w:tc>
      </w:tr>
      <w:tr w:rsidR="00E31838" w:rsidRPr="0010524E" w14:paraId="17E2D6FC" w14:textId="021214C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97A9031"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Parágrafo único.  O extrato previdenciário deve conter informações sobre a opção de tributação do participante e a estimativa da alíquota incidente e do valor líquido para o resgate.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FA5C6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O extrato previdenciário deve conter informações sobre a opção de tributação do participante e a estimativa da alíquota incidente e do valor líquido para o resgate.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B7A28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69C8903" w14:textId="200800B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C3F0332"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7º  O extrato previdenciário deve conter, no mínimo, em relação ao instituto do autopatrocínio: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6A857A" w14:textId="2A7E6A38" w:rsidR="00E31838" w:rsidRPr="004C5F6B" w:rsidRDefault="00E31838" w:rsidP="004C5F6B">
            <w:pPr>
              <w:tabs>
                <w:tab w:val="left" w:pos="993"/>
              </w:tabs>
              <w:spacing w:after="120"/>
              <w:jc w:val="both"/>
              <w:rPr>
                <w:rFonts w:ascii="Calibri" w:eastAsia="Times New Roman" w:hAnsi="Calibri" w:cs="Calibri"/>
                <w:kern w:val="0"/>
                <w:sz w:val="24"/>
                <w:szCs w:val="24"/>
                <w:lang w:eastAsia="pt-BR"/>
                <w14:ligatures w14:val="none"/>
              </w:rPr>
            </w:pPr>
            <w:bookmarkStart w:id="8" w:name="_Ref138839017"/>
            <w:r>
              <w:rPr>
                <w:rFonts w:ascii="Calibri" w:eastAsia="Times New Roman" w:hAnsi="Calibri" w:cs="Calibri"/>
                <w:kern w:val="0"/>
                <w:sz w:val="24"/>
                <w:szCs w:val="24"/>
                <w:lang w:eastAsia="pt-BR"/>
                <w14:ligatures w14:val="none"/>
              </w:rPr>
              <w:t xml:space="preserve">Art. 74.  </w:t>
            </w:r>
            <w:r w:rsidRPr="004C5F6B">
              <w:rPr>
                <w:rFonts w:ascii="Calibri" w:eastAsia="Times New Roman" w:hAnsi="Calibri" w:cs="Calibri"/>
                <w:kern w:val="0"/>
                <w:sz w:val="24"/>
                <w:szCs w:val="24"/>
                <w:lang w:eastAsia="pt-BR"/>
                <w14:ligatures w14:val="none"/>
              </w:rPr>
              <w:t>O extrato previdenciário deve conter, no mínimo, em relação ao instituto do autopatrocínio:</w:t>
            </w:r>
            <w:bookmarkEnd w:id="8"/>
            <w:r w:rsidRPr="004C5F6B">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8FA43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9808C6C" w14:textId="2AF4AED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E40EB31"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o valor base de remuneração, para fins de contribuição, e o critério para a sua atualização;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8B8BF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o valor base de remuneração, para fins de contribuição, e o critério para a sua atualização;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867D4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826DEB0" w14:textId="6CA8DCC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397C23B"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o percentual ou valor da contribuição e o critério para a sua atualização ou alteração, se for o caso, conforme definido em plano de custeio;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0337B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o percentual ou valor da contribuição e o critério para a sua atualização ou alteração, se for o caso, conforme definido em plano de custeio;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7D18A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21DBBBA" w14:textId="7BA0066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639C5A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III - as condições de cobertura dos riscos de invalidez e de morte durante a fase de contribuição, quando previstas em regulamento, com a indicação do critério para seu custeio;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5F741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as condições de cobertura dos riscos de invalidez e de morte durante a fase de contribuição, quando previstas em regulamento, com a indicação do critério para seu custeio;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F5CF4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2ED9AE3" w14:textId="4412627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9B780D9"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IV - o critério para o custeio de déficits ou de serviço passado, quando aplicável;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D6DA1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o critério para o custeio de déficits ou de serviço passado, quando aplicável;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79FD0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AC6F9E7" w14:textId="7AC01AF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05BD506"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 - o critério para o custeio das despesas administrativas definidas em plano de custeio.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0829D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 - o critério para o custeio das despesas administrativas definidas em plano de custeio.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3ABF3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4F39B9D" w14:textId="1C70DC8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B8522BE" w14:textId="77777777"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92ACB7" w14:textId="77777777" w:rsidR="00E31838" w:rsidRPr="0010524E" w:rsidRDefault="00E31838" w:rsidP="000053DA">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Termo de opção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F8AC3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7B134C3" w14:textId="0778DFC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D7EAB62"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8º  O participante deve formalizar sua opção pelos institutos por meio do preenchimento de termo de opção, disponibilizado pela EFPC em meio físico ou eletrônico, no prazo a que se refere o inciso XI do art. 2º.</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81C3C9" w14:textId="22101871" w:rsidR="00E31838" w:rsidRPr="004C5F6B" w:rsidRDefault="00E31838" w:rsidP="004C5F6B">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75.  </w:t>
            </w:r>
            <w:r w:rsidRPr="004C5F6B">
              <w:rPr>
                <w:rFonts w:ascii="Calibri" w:eastAsia="Times New Roman" w:hAnsi="Calibri" w:cs="Calibri"/>
                <w:kern w:val="0"/>
                <w:sz w:val="24"/>
                <w:szCs w:val="24"/>
                <w:lang w:eastAsia="pt-BR"/>
                <w14:ligatures w14:val="none"/>
              </w:rPr>
              <w:t>O participante deve formalizar sua opção pelos institutos por meio do preenchimento de termo de opção, disponibilizado pela EFPC em meio físico ou eletrônico, no prazo a que se refere o inciso XI do art. 69.</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40F98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remissão</w:t>
            </w:r>
          </w:p>
        </w:tc>
      </w:tr>
      <w:tr w:rsidR="00E31838" w:rsidRPr="0010524E" w14:paraId="0A46FAE7" w14:textId="4C0BCCD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44207A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1º  O termo de opção deve possibilitar a opção por mais de um instituto, mediante a combinação que mais aprouver ao participante, especialmente quando houver interesse no resgate parcial, observados os dispositivos pertinentes no regulamento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2DC58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§1º  O termo de opção deve possibilitar a opção por mais de um instituto, mediante a combinação que mais aprouver ao participante, especialmente quando houver interesse no resgate parcial, observados os dispositivos pertinentes no regulamento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FF96C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AC5B434" w14:textId="642D609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0141767"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 2º  Na hipótese de questionamento, pelo participante, das informações constantes do extrato previdenciário, o prazo para opção a </w:t>
            </w:r>
            <w:r w:rsidRPr="0010524E">
              <w:rPr>
                <w:rFonts w:ascii="Calibri" w:hAnsi="Calibri" w:cs="Calibri"/>
                <w:sz w:val="24"/>
                <w:szCs w:val="24"/>
              </w:rPr>
              <w:lastRenderedPageBreak/>
              <w:t>que se refere o caput deve ser suspenso até que sejam prestados, pela EFPC, os esclarecimentos pertinentes, observado o prazo de trinta dias, contados da data do questionamento.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D2C00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§2º  Na hipótese de questionamento, pelo participante, das informações constantes do extrato previdenciário, o prazo para opção a que se refere o </w:t>
            </w:r>
            <w:r w:rsidRPr="0010524E">
              <w:rPr>
                <w:rFonts w:ascii="Calibri" w:eastAsia="Times New Roman" w:hAnsi="Calibri" w:cs="Calibri"/>
                <w:b/>
                <w:bCs/>
                <w:kern w:val="0"/>
                <w:sz w:val="24"/>
                <w:szCs w:val="24"/>
                <w:lang w:eastAsia="pt-BR"/>
                <w14:ligatures w14:val="none"/>
              </w:rPr>
              <w:lastRenderedPageBreak/>
              <w:t>caput</w:t>
            </w:r>
            <w:r w:rsidRPr="0010524E">
              <w:rPr>
                <w:rFonts w:ascii="Calibri" w:eastAsia="Times New Roman" w:hAnsi="Calibri" w:cs="Calibri"/>
                <w:kern w:val="0"/>
                <w:sz w:val="24"/>
                <w:szCs w:val="24"/>
                <w:lang w:eastAsia="pt-BR"/>
                <w14:ligatures w14:val="none"/>
              </w:rPr>
              <w:t xml:space="preserve"> deve ser suspenso até que sejam prestados, pela EFPC, os esclarecimentos pertinentes, observado o prazo de trinta dias, contados da data do questionamento.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1EB9A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ED80383" w14:textId="20519AA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D9F1BFD"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3º  Na hipótese de opção pela portabilidade, as informações de que tratam os incisos IV, V e VII do art. 9º devem constar do termo de opção.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017E5E" w14:textId="2440D004"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§3º  Na hipótese de opção pela portabilidade, as informações de que tratam os incisos IV, V, VI e VII do art. 76 devem constar do termo de opção.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59C49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remissão</w:t>
            </w:r>
          </w:p>
        </w:tc>
      </w:tr>
      <w:tr w:rsidR="00E31838" w:rsidRPr="0010524E" w14:paraId="572EC306" w14:textId="22AEC8C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75E4C54" w14:textId="77777777"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A3253C" w14:textId="77777777" w:rsidR="00E31838" w:rsidRPr="0010524E" w:rsidRDefault="00E31838" w:rsidP="000053DA">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Termo de portabilidade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D825C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3FA4816" w14:textId="581DE25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FE1507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9º  A portabilidade deve ser implementada por meio de termo de portabilidade emitido pela entidade de origem, em meio físico ou eletrônico, contendo,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D9FE31" w14:textId="7FFF3894" w:rsidR="00E31838" w:rsidRPr="004C5F6B" w:rsidRDefault="00E31838" w:rsidP="004C5F6B">
            <w:pPr>
              <w:tabs>
                <w:tab w:val="left" w:pos="993"/>
              </w:tabs>
              <w:spacing w:after="120"/>
              <w:jc w:val="both"/>
              <w:rPr>
                <w:rFonts w:ascii="Calibri" w:eastAsia="Times New Roman" w:hAnsi="Calibri" w:cs="Calibri"/>
                <w:kern w:val="0"/>
                <w:sz w:val="24"/>
                <w:szCs w:val="24"/>
                <w:lang w:eastAsia="pt-BR"/>
                <w14:ligatures w14:val="none"/>
              </w:rPr>
            </w:pPr>
            <w:bookmarkStart w:id="9" w:name="_Ref138839669"/>
            <w:r>
              <w:rPr>
                <w:rFonts w:ascii="Calibri" w:eastAsia="Times New Roman" w:hAnsi="Calibri" w:cs="Calibri"/>
                <w:kern w:val="0"/>
                <w:sz w:val="24"/>
                <w:szCs w:val="24"/>
                <w:lang w:eastAsia="pt-BR"/>
                <w14:ligatures w14:val="none"/>
              </w:rPr>
              <w:t xml:space="preserve">Art. 76.  </w:t>
            </w:r>
            <w:r w:rsidRPr="004C5F6B">
              <w:rPr>
                <w:rFonts w:ascii="Calibri" w:eastAsia="Times New Roman" w:hAnsi="Calibri" w:cs="Calibri"/>
                <w:kern w:val="0"/>
                <w:sz w:val="24"/>
                <w:szCs w:val="24"/>
                <w:lang w:eastAsia="pt-BR"/>
                <w14:ligatures w14:val="none"/>
              </w:rPr>
              <w:t>A portabilidade deve ser implementada por meio de termo de portabilidade emitido pela entidade de origem, em meio físico ou eletrônico, contendo, no mínimo:</w:t>
            </w:r>
            <w:bookmarkEnd w:id="9"/>
            <w:r w:rsidRPr="004C5F6B">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F9609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7C9BA8B8" w14:textId="399ECB4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3AC2A51"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a identificação do participante e sua anuência quanto às informações constantes do termo de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E0335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a identificação do participante e sua anuência quanto às informações constantes do termo de portabilidade;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1ED9F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2C1A85A" w14:textId="385E137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AA4A78E"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a identificação da entidade de origem, com assinatura do seu representante legal;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BCF79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a identificação da entidade de origem, com assinatura do seu representante legal;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72F8D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7C4A390B" w14:textId="3D5C172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A64406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III - a identificação do plano de benefícios de origem;</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07FEF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a identificação do plano de benefícios de origem;</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CBDF8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FC358F4" w14:textId="01ED3AB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67B6264"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IV - a identificação da entidade de destino, incluindo os dados de contato para envio do termo de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7A78D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IV - a identificação da entidade de destino, incluindo os dados de contato para envio do termo de portabilidade;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7B644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8A8FE5D" w14:textId="68C170E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4385BF7"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V - a identificação do plano de benefícios de destino;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2CC59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 - a identificação do plano de benefícios de destino;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A5B1F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5720722F" w14:textId="3C17DBF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6330104"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VI - o valor a ser objeto de portabilidade, com segregação entre as parcelas correspondentes às contribuições do participante e do patrocinador, e o critério para sua atualização até a data da sua efetiva transferência;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BAB80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 - o valor a ser objeto de portabilidade, com segregação entre as parcelas correspondentes às contribuições do participante e do patrocinador, e o critério para sua atualização até a data da sua efetiva transferência;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3248D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1021D88" w14:textId="3F73542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2C9635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VII - a indicação dos dados bancários de titularidade da entidade de destino, a serem utilizados para a transferência dos recursos.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F5F55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VII - a indicação dos dados bancários de titularidade da entidade de destino, a serem utilizados para a transferência dos recursos.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D330C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03D10D3" w14:textId="49D7748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9338D79"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1º  Para fins do disposto neste artigo, entende-se por: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C7351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Para fins do disposto neste artigo, entende-se por: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4CD2B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7CC1D4A3" w14:textId="23B7B8E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1BB2DAB"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entidade de origem: aquela que administra o plano de benefícios ao qual está vinculado o participante;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D3C9B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entidade de origem: aquela que administra o plano de benefícios ao qual está vinculado o participante;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EF775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9B8C733" w14:textId="796F421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3076C79"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entidade de destino: aquela que administra o plano de benefícios ao qual o participante pretende transferir seus recursos.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D9302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entidade de destino: aquela que administra o plano de benefícios ao qual o participante pretende transferir seus recursos.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192BF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F16B6EA" w14:textId="0D9D572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0BEBDE8"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2º  Em caso de portabilidade entre planos administrados pela mesma entidade, as informações previstas nos incisos IV e VII do caput ficam dispensadas da inclusão no termo de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88209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Em caso de portabilidade entre planos administrados pela mesma entidade, as informações previstas nos incisos IV e VII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ficam dispensadas da inclusão no termo de portabilidade.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57C46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8BFF653" w14:textId="7034E88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5740B3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Art. 10.  A entidade de origem deve encaminhar o termo de portabilidade à entidade de destino, observado o prazo de </w:t>
            </w:r>
            <w:r w:rsidRPr="0010524E">
              <w:rPr>
                <w:rFonts w:ascii="Calibri" w:hAnsi="Calibri" w:cs="Calibri"/>
                <w:sz w:val="24"/>
                <w:szCs w:val="24"/>
              </w:rPr>
              <w:lastRenderedPageBreak/>
              <w:t>cinco dias úteis, contados da data do protocolo do termo de opção ou do envio das informações necessárias para a confecção do termo de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E03A5E" w14:textId="68AEF64B" w:rsidR="00E31838" w:rsidRPr="004C5F6B" w:rsidRDefault="00E31838" w:rsidP="004C5F6B">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 xml:space="preserve">Art. 77.  </w:t>
            </w:r>
            <w:r w:rsidRPr="004C5F6B">
              <w:rPr>
                <w:rFonts w:ascii="Calibri" w:eastAsia="Times New Roman" w:hAnsi="Calibri" w:cs="Calibri"/>
                <w:kern w:val="0"/>
                <w:sz w:val="24"/>
                <w:szCs w:val="24"/>
                <w:lang w:eastAsia="pt-BR"/>
                <w14:ligatures w14:val="none"/>
              </w:rPr>
              <w:t xml:space="preserve">A entidade de origem deve encaminhar o termo de portabilidade à entidade de destino, observado o prazo de cinco dias úteis, contados da data </w:t>
            </w:r>
            <w:r w:rsidRPr="004C5F6B">
              <w:rPr>
                <w:rFonts w:ascii="Calibri" w:eastAsia="Times New Roman" w:hAnsi="Calibri" w:cs="Calibri"/>
                <w:kern w:val="0"/>
                <w:sz w:val="24"/>
                <w:szCs w:val="24"/>
                <w:lang w:eastAsia="pt-BR"/>
                <w14:ligatures w14:val="none"/>
              </w:rPr>
              <w:lastRenderedPageBreak/>
              <w:t>do protocolo do termo de opção ou do envio das informações necessárias para a confecção do termo de portabilidade.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2BF0C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AA57BC0" w14:textId="4DE12B5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759C2AB"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Parágrafo único.  Quando se tratar de portabilidade para entidade aberta de previdência complementar ou sociedade seguradora, o respectivo termo deve ser entregue ao próprio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8DDEE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Quando se tratar de portabilidade para entidade aberta de previdência complementar ou sociedade seguradora, o respectivo termo deve ser entregue ao próprio participante.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AD3A6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DEECFF1" w14:textId="6CD3DC8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989266D" w14:textId="77777777" w:rsidR="00E31838" w:rsidRPr="0010524E" w:rsidRDefault="00E31838" w:rsidP="000053DA">
            <w:pPr>
              <w:spacing w:after="0"/>
              <w:jc w:val="both"/>
              <w:rPr>
                <w:rFonts w:ascii="Calibri" w:hAnsi="Calibri" w:cs="Calibri"/>
                <w:sz w:val="24"/>
                <w:szCs w:val="24"/>
              </w:rPr>
            </w:pPr>
            <w:bookmarkStart w:id="10" w:name="_Hlk97816861"/>
            <w:r w:rsidRPr="0010524E">
              <w:rPr>
                <w:rFonts w:ascii="Calibri" w:hAnsi="Calibri" w:cs="Calibri"/>
                <w:sz w:val="24"/>
                <w:szCs w:val="24"/>
              </w:rPr>
              <w:t xml:space="preserve">Art. 11.  O valor a ser objeto de portabilidade corresponde ao somatório dos valores referidos nos incisos I a IV do art. 5º, </w:t>
            </w:r>
            <w:bookmarkEnd w:id="10"/>
            <w:r w:rsidRPr="0010524E">
              <w:rPr>
                <w:rFonts w:ascii="Calibri" w:hAnsi="Calibri" w:cs="Calibri"/>
                <w:sz w:val="24"/>
                <w:szCs w:val="24"/>
              </w:rPr>
              <w:t>acrescido de eventuais contribuições efetuadas posteriormente a essa data.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940DD8" w14:textId="563B9C1E" w:rsidR="00E31838" w:rsidRPr="004C5F6B" w:rsidRDefault="00E31838" w:rsidP="004C5F6B">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78.  </w:t>
            </w:r>
            <w:r w:rsidRPr="004C5F6B">
              <w:rPr>
                <w:rFonts w:ascii="Calibri" w:eastAsia="Times New Roman" w:hAnsi="Calibri" w:cs="Calibri"/>
                <w:kern w:val="0"/>
                <w:sz w:val="24"/>
                <w:szCs w:val="24"/>
                <w:lang w:eastAsia="pt-BR"/>
                <w14:ligatures w14:val="none"/>
              </w:rPr>
              <w:t>O valor a ser objeto de portabilidade corresponde ao somatório dos valores referidos nos incisos I a IV do art.72, acrescido de eventuais contribuições efetuadas posteriormente a essa data.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E4070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remissão</w:t>
            </w:r>
          </w:p>
        </w:tc>
      </w:tr>
      <w:tr w:rsidR="00E31838" w:rsidRPr="0010524E" w14:paraId="69C30160" w14:textId="3970BF9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DAC2B1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12.  A entidade de destino deve manter registro contábil específico dos recursos recepcionados de outros planos em decorrência da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FCEED6" w14:textId="536D516D" w:rsidR="00E31838" w:rsidRPr="004C5F6B" w:rsidRDefault="00E31838" w:rsidP="004C5F6B">
            <w:pPr>
              <w:tabs>
                <w:tab w:val="left" w:pos="993"/>
              </w:tabs>
              <w:spacing w:after="120"/>
              <w:jc w:val="both"/>
              <w:rPr>
                <w:rFonts w:ascii="Calibri" w:eastAsia="Times New Roman" w:hAnsi="Calibri" w:cs="Calibri"/>
                <w:kern w:val="0"/>
                <w:sz w:val="24"/>
                <w:szCs w:val="24"/>
                <w:lang w:eastAsia="pt-BR"/>
                <w14:ligatures w14:val="none"/>
              </w:rPr>
            </w:pPr>
            <w:bookmarkStart w:id="11" w:name="_Ref138840006"/>
            <w:r>
              <w:rPr>
                <w:rFonts w:ascii="Calibri" w:eastAsia="Times New Roman" w:hAnsi="Calibri" w:cs="Calibri"/>
                <w:kern w:val="0"/>
                <w:sz w:val="24"/>
                <w:szCs w:val="24"/>
                <w:lang w:eastAsia="pt-BR"/>
                <w14:ligatures w14:val="none"/>
              </w:rPr>
              <w:t xml:space="preserve">Art. 79.  </w:t>
            </w:r>
            <w:r w:rsidRPr="004C5F6B">
              <w:rPr>
                <w:rFonts w:ascii="Calibri" w:eastAsia="Times New Roman" w:hAnsi="Calibri" w:cs="Calibri"/>
                <w:kern w:val="0"/>
                <w:sz w:val="24"/>
                <w:szCs w:val="24"/>
                <w:lang w:eastAsia="pt-BR"/>
                <w14:ligatures w14:val="none"/>
              </w:rPr>
              <w:t>A entidade de destino deve manter registro contábil específico dos recursos recepcionados de outros planos em decorrência da portabilidade.</w:t>
            </w:r>
            <w:bookmarkEnd w:id="11"/>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63626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6FDE820" w14:textId="1689BAF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918B8BB"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1º  Os recursos de que trata o caput devem ser segregados entre contribuições do participante e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73DD9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Os recursos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devem ser segregados entre contribuições do participante e do patrocinador.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09974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E3DE894" w14:textId="1B9415A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5BEB8DD"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2º  O disposto no caput não se aplica à parcela utilizada para pagamento de aporte inicial previsto no regulamento e na nota técnica atuarial do plano de benefícios de destino.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C6DAB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O disposto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não se aplica à parcela utilizada para pagamento de aporte inicial previsto no regulamento e na nota técnica atuarial do plano de benefícios de destino.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C07B1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1AB9B0A" w14:textId="15818FB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81078D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Art. 13.  A segregação de que tratam os incisos I e II do art. 5º, a alínea “a” do inciso I e a alínea “b” do inciso II do art. 6º, o inciso VI do art. 9º e o § 1º do art. 12 não se aplica aos recursos: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F7B7EE" w14:textId="5AA17444" w:rsidR="00E31838" w:rsidRPr="004C5F6B" w:rsidRDefault="00E31838" w:rsidP="004C5F6B">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80.  </w:t>
            </w:r>
            <w:r w:rsidRPr="004C5F6B">
              <w:rPr>
                <w:rFonts w:ascii="Calibri" w:eastAsia="Times New Roman" w:hAnsi="Calibri" w:cs="Calibri"/>
                <w:kern w:val="0"/>
                <w:sz w:val="24"/>
                <w:szCs w:val="24"/>
                <w:lang w:eastAsia="pt-BR"/>
                <w14:ligatures w14:val="none"/>
              </w:rPr>
              <w:t xml:space="preserve">A segregação de que tratam os incisos I e II do </w:t>
            </w:r>
            <w:r w:rsidRPr="004C5F6B">
              <w:rPr>
                <w:rFonts w:ascii="Calibri" w:eastAsia="Times New Roman" w:hAnsi="Calibri" w:cs="Calibri"/>
                <w:kern w:val="0"/>
                <w:sz w:val="24"/>
                <w:szCs w:val="24"/>
                <w:lang w:eastAsia="pt-BR"/>
                <w14:ligatures w14:val="none"/>
              </w:rPr>
              <w:fldChar w:fldCharType="begin"/>
            </w:r>
            <w:r w:rsidRPr="004C5F6B">
              <w:rPr>
                <w:rFonts w:ascii="Calibri" w:eastAsia="Times New Roman" w:hAnsi="Calibri" w:cs="Calibri"/>
                <w:kern w:val="0"/>
                <w:sz w:val="24"/>
                <w:szCs w:val="24"/>
                <w:lang w:eastAsia="pt-BR"/>
                <w14:ligatures w14:val="none"/>
              </w:rPr>
              <w:instrText xml:space="preserve"> REF  _Ref138839796 \* Lower \r  \* MERGEFORMAT </w:instrText>
            </w:r>
            <w:r w:rsidRPr="004C5F6B">
              <w:rPr>
                <w:rFonts w:ascii="Calibri" w:eastAsia="Times New Roman" w:hAnsi="Calibri" w:cs="Calibri"/>
                <w:kern w:val="0"/>
                <w:sz w:val="24"/>
                <w:szCs w:val="24"/>
                <w:lang w:eastAsia="pt-BR"/>
                <w14:ligatures w14:val="none"/>
              </w:rPr>
              <w:fldChar w:fldCharType="separate"/>
            </w:r>
            <w:r w:rsidRPr="004C5F6B">
              <w:rPr>
                <w:rFonts w:ascii="Calibri" w:eastAsia="Times New Roman" w:hAnsi="Calibri" w:cs="Calibri"/>
                <w:kern w:val="0"/>
                <w:sz w:val="24"/>
                <w:szCs w:val="24"/>
                <w:lang w:eastAsia="pt-BR"/>
                <w14:ligatures w14:val="none"/>
              </w:rPr>
              <w:t>art. 72</w:t>
            </w:r>
            <w:r w:rsidRPr="004C5F6B">
              <w:rPr>
                <w:rFonts w:ascii="Calibri" w:eastAsia="Times New Roman" w:hAnsi="Calibri" w:cs="Calibri"/>
                <w:kern w:val="0"/>
                <w:sz w:val="24"/>
                <w:szCs w:val="24"/>
                <w:lang w:eastAsia="pt-BR"/>
                <w14:ligatures w14:val="none"/>
              </w:rPr>
              <w:fldChar w:fldCharType="end"/>
            </w:r>
            <w:r w:rsidRPr="004C5F6B">
              <w:rPr>
                <w:rFonts w:ascii="Calibri" w:eastAsia="Times New Roman" w:hAnsi="Calibri" w:cs="Calibri"/>
                <w:kern w:val="0"/>
                <w:sz w:val="24"/>
                <w:szCs w:val="24"/>
                <w:lang w:eastAsia="pt-BR"/>
                <w14:ligatures w14:val="none"/>
              </w:rPr>
              <w:t xml:space="preserve">, a alínea “a” do inciso I e a alínea “b” do inciso II do art.73, o inciso VI do </w:t>
            </w:r>
            <w:r w:rsidRPr="004C5F6B">
              <w:rPr>
                <w:rFonts w:ascii="Calibri" w:eastAsia="Times New Roman" w:hAnsi="Calibri" w:cs="Calibri"/>
                <w:kern w:val="0"/>
                <w:sz w:val="24"/>
                <w:szCs w:val="24"/>
                <w:lang w:eastAsia="pt-BR"/>
                <w14:ligatures w14:val="none"/>
              </w:rPr>
              <w:fldChar w:fldCharType="begin"/>
            </w:r>
            <w:r w:rsidRPr="004C5F6B">
              <w:rPr>
                <w:rFonts w:ascii="Calibri" w:eastAsia="Times New Roman" w:hAnsi="Calibri" w:cs="Calibri"/>
                <w:kern w:val="0"/>
                <w:sz w:val="24"/>
                <w:szCs w:val="24"/>
                <w:lang w:eastAsia="pt-BR"/>
                <w14:ligatures w14:val="none"/>
              </w:rPr>
              <w:instrText xml:space="preserve"> REF  _Ref138839669 \* Lower \r  \* MERGEFORMAT </w:instrText>
            </w:r>
            <w:r w:rsidRPr="004C5F6B">
              <w:rPr>
                <w:rFonts w:ascii="Calibri" w:eastAsia="Times New Roman" w:hAnsi="Calibri" w:cs="Calibri"/>
                <w:kern w:val="0"/>
                <w:sz w:val="24"/>
                <w:szCs w:val="24"/>
                <w:lang w:eastAsia="pt-BR"/>
                <w14:ligatures w14:val="none"/>
              </w:rPr>
              <w:fldChar w:fldCharType="separate"/>
            </w:r>
            <w:r w:rsidRPr="004C5F6B">
              <w:rPr>
                <w:rFonts w:ascii="Calibri" w:eastAsia="Times New Roman" w:hAnsi="Calibri" w:cs="Calibri"/>
                <w:kern w:val="0"/>
                <w:sz w:val="24"/>
                <w:szCs w:val="24"/>
                <w:lang w:eastAsia="pt-BR"/>
                <w14:ligatures w14:val="none"/>
              </w:rPr>
              <w:t>art.76</w:t>
            </w:r>
            <w:r w:rsidRPr="004C5F6B">
              <w:rPr>
                <w:rFonts w:ascii="Calibri" w:eastAsia="Times New Roman" w:hAnsi="Calibri" w:cs="Calibri"/>
                <w:kern w:val="0"/>
                <w:sz w:val="24"/>
                <w:szCs w:val="24"/>
                <w:lang w:eastAsia="pt-BR"/>
                <w14:ligatures w14:val="none"/>
              </w:rPr>
              <w:fldChar w:fldCharType="end"/>
            </w:r>
            <w:r w:rsidRPr="004C5F6B">
              <w:rPr>
                <w:rFonts w:ascii="Calibri" w:eastAsia="Times New Roman" w:hAnsi="Calibri" w:cs="Calibri"/>
                <w:kern w:val="0"/>
                <w:sz w:val="24"/>
                <w:szCs w:val="24"/>
                <w:lang w:eastAsia="pt-BR"/>
                <w14:ligatures w14:val="none"/>
              </w:rPr>
              <w:t xml:space="preserve"> e o § 1º do </w:t>
            </w:r>
            <w:r w:rsidRPr="004C5F6B">
              <w:rPr>
                <w:rFonts w:ascii="Calibri" w:eastAsia="Times New Roman" w:hAnsi="Calibri" w:cs="Calibri"/>
                <w:kern w:val="0"/>
                <w:sz w:val="24"/>
                <w:szCs w:val="24"/>
                <w:lang w:eastAsia="pt-BR"/>
                <w14:ligatures w14:val="none"/>
              </w:rPr>
              <w:fldChar w:fldCharType="begin"/>
            </w:r>
            <w:r w:rsidRPr="004C5F6B">
              <w:rPr>
                <w:rFonts w:ascii="Calibri" w:eastAsia="Times New Roman" w:hAnsi="Calibri" w:cs="Calibri"/>
                <w:kern w:val="0"/>
                <w:sz w:val="24"/>
                <w:szCs w:val="24"/>
                <w:lang w:eastAsia="pt-BR"/>
                <w14:ligatures w14:val="none"/>
              </w:rPr>
              <w:instrText xml:space="preserve"> REF  _Ref138840006 \* Lower \r  \* MERGEFORMAT </w:instrText>
            </w:r>
            <w:r w:rsidRPr="004C5F6B">
              <w:rPr>
                <w:rFonts w:ascii="Calibri" w:eastAsia="Times New Roman" w:hAnsi="Calibri" w:cs="Calibri"/>
                <w:kern w:val="0"/>
                <w:sz w:val="24"/>
                <w:szCs w:val="24"/>
                <w:lang w:eastAsia="pt-BR"/>
                <w14:ligatures w14:val="none"/>
              </w:rPr>
              <w:fldChar w:fldCharType="separate"/>
            </w:r>
            <w:r w:rsidRPr="004C5F6B">
              <w:rPr>
                <w:rFonts w:ascii="Calibri" w:eastAsia="Times New Roman" w:hAnsi="Calibri" w:cs="Calibri"/>
                <w:kern w:val="0"/>
                <w:sz w:val="24"/>
                <w:szCs w:val="24"/>
                <w:lang w:eastAsia="pt-BR"/>
                <w14:ligatures w14:val="none"/>
              </w:rPr>
              <w:t>art. 125</w:t>
            </w:r>
            <w:r w:rsidRPr="004C5F6B">
              <w:rPr>
                <w:rFonts w:ascii="Calibri" w:eastAsia="Times New Roman" w:hAnsi="Calibri" w:cs="Calibri"/>
                <w:kern w:val="0"/>
                <w:sz w:val="24"/>
                <w:szCs w:val="24"/>
                <w:lang w:eastAsia="pt-BR"/>
                <w14:ligatures w14:val="none"/>
              </w:rPr>
              <w:fldChar w:fldCharType="end"/>
            </w:r>
            <w:r w:rsidRPr="004C5F6B">
              <w:rPr>
                <w:rFonts w:ascii="Calibri" w:eastAsia="Times New Roman" w:hAnsi="Calibri" w:cs="Calibri"/>
                <w:kern w:val="0"/>
                <w:sz w:val="24"/>
                <w:szCs w:val="24"/>
                <w:lang w:eastAsia="pt-BR"/>
                <w14:ligatures w14:val="none"/>
              </w:rPr>
              <w:t xml:space="preserve"> não se aplica aos recursos: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57DC4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remissão</w:t>
            </w:r>
          </w:p>
        </w:tc>
      </w:tr>
      <w:tr w:rsidR="00E31838" w:rsidRPr="0010524E" w14:paraId="7B19CDFB" w14:textId="1BC6FBA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F67AE65"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recebidos em decorrência de retirada de patrocínio de outro plano previdenciário;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9A116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recebidos em decorrência de retirada de patrocínio de outro plano previdenciário;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9AD63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E51870B" w14:textId="747B3BA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7FFFEA3"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decorrentes de portabilidade realizada anteriormente à vigência desta Resolução.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D86EC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decorrentes de portabilidade realizada anteriormente a 21 de novembro de 2022.</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1ED80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Style w:val="cf01"/>
                <w:rFonts w:ascii="Calibri" w:eastAsia="Times New Roman" w:hAnsi="Calibri" w:cs="Calibri"/>
                <w:kern w:val="0"/>
                <w:sz w:val="24"/>
                <w:szCs w:val="24"/>
                <w:lang w:eastAsia="pt-BR"/>
                <w14:ligatures w14:val="none"/>
              </w:rPr>
              <w:t>Início de vigência da Res. Previc 17, que instituiu a nova regra do caput.</w:t>
            </w:r>
          </w:p>
        </w:tc>
      </w:tr>
      <w:tr w:rsidR="00E31838" w:rsidRPr="0010524E" w14:paraId="391AF036" w14:textId="104FA7E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8B65AF4"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1º  Os recursos referidos no caput podem ser informados como contribuições do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CC380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Os recursos referidos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podem ser informados como contribuições do participante.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8F3CC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AA0F91A" w14:textId="39E200F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97E2C9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2º  Quando a modelagem de acumulação do recurso garantidor do benefício pleno for de benefício definido, a EFPC pode assumir como valor das contribuições do patrocinador a diferença entre a reserva matemática e a reserva constituída pelo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82A3E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§2º  Quando a modelagem de acumulação do recurso garantidor do benefício pleno for de benefício definido, a EFPC pode assumir como valor das contribuições do patrocinador a diferença entre a reserva matemática e a reserva constituída pelo participante.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D6D47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53BACB2" w14:textId="069832D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C810C33"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Art. 14.  A transferência dos recursos entre os planos de benefícios de origem e de destino, em decorrência da portabilidade, deve ser efetuada em moeda corrente nacional, observado o prazo de dez dias úteis, contados da data do protocolo do termo de portabilidade a que se refere o art. 9º perante a entidade de origem ou da data em o participante tiver realizado a entrega </w:t>
            </w:r>
            <w:r w:rsidRPr="0010524E">
              <w:rPr>
                <w:rFonts w:ascii="Calibri" w:hAnsi="Calibri" w:cs="Calibri"/>
                <w:sz w:val="24"/>
                <w:szCs w:val="24"/>
              </w:rPr>
              <w:lastRenderedPageBreak/>
              <w:t>completa da documentação e informações exigidas pela entidade de origem, o que resultar no maior prazo.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BDCB61" w14:textId="3725603B" w:rsidR="00E31838" w:rsidRPr="004C5F6B" w:rsidRDefault="00E31838" w:rsidP="004C5F6B">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 xml:space="preserve">Art. 81.  </w:t>
            </w:r>
            <w:r w:rsidRPr="004C5F6B">
              <w:rPr>
                <w:rFonts w:ascii="Calibri" w:eastAsia="Times New Roman" w:hAnsi="Calibri" w:cs="Calibri"/>
                <w:kern w:val="0"/>
                <w:sz w:val="24"/>
                <w:szCs w:val="24"/>
                <w:lang w:eastAsia="pt-BR"/>
                <w14:ligatures w14:val="none"/>
              </w:rPr>
              <w:t xml:space="preserve">A transferência dos recursos entre os planos de benefícios de origem e de destino, em decorrência da portabilidade, deve ser efetuada em moeda corrente nacional, observado o prazo de dez dias úteis, contados da data do protocolo do termo de portabilidade perante a entidade de origem ou da data em o participante tiver realizado a entrega completa da </w:t>
            </w:r>
            <w:r w:rsidRPr="004C5F6B">
              <w:rPr>
                <w:rFonts w:ascii="Calibri" w:eastAsia="Times New Roman" w:hAnsi="Calibri" w:cs="Calibri"/>
                <w:kern w:val="0"/>
                <w:sz w:val="24"/>
                <w:szCs w:val="24"/>
                <w:lang w:eastAsia="pt-BR"/>
                <w14:ligatures w14:val="none"/>
              </w:rPr>
              <w:lastRenderedPageBreak/>
              <w:t>documentação e informações exigidas pela entidade de origem, o que resultar no maior prazo.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3033B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4AB4B45" w14:textId="0B1F4CC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D5D06A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15.  As coberturas dos benefícios dos participantes que optaram pelo autopatrocínio não podem ser distintas daquelas previstas no plano de custeio para os demais participantes.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D3F96D" w14:textId="661A3898" w:rsidR="00E31838" w:rsidRPr="004C5F6B" w:rsidRDefault="00E31838" w:rsidP="004C5F6B">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82.  </w:t>
            </w:r>
            <w:r w:rsidRPr="004C5F6B">
              <w:rPr>
                <w:rFonts w:ascii="Calibri" w:eastAsia="Times New Roman" w:hAnsi="Calibri" w:cs="Calibri"/>
                <w:kern w:val="0"/>
                <w:sz w:val="24"/>
                <w:szCs w:val="24"/>
                <w:lang w:eastAsia="pt-BR"/>
                <w14:ligatures w14:val="none"/>
              </w:rPr>
              <w:t>As coberturas dos benefícios dos participantes que optaram pelo autopatrocínio não podem ser distintas daquelas previstas no plano de custeio para os demais participantes.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14812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03557C3" w14:textId="5451310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A73865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16.  As EFPC devem realizar as adaptações obrigatórias nos regulamentos dos planos de benefícios administrados, em razão das disposições da Resolução CNPC nº 50, de 16 de fevereiro de 2022, até o dia 31 de dezembro de 2023.</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F4624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66B5F57" w14:textId="59AF919C" w:rsidR="00E31838" w:rsidRPr="0010524E" w:rsidRDefault="00E31838" w:rsidP="000053D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w:t>
            </w:r>
          </w:p>
        </w:tc>
      </w:tr>
      <w:tr w:rsidR="00E31838" w:rsidRPr="0010524E" w14:paraId="6E671AAA" w14:textId="1277A18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9748E7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Parágrafo único.  Os planos que possuam somente assistidos em gozo de benefícios de prestação continuada e participantes ativos elegíveis ao benefício programado estão dispensados de realizar as adaptações referidas no caput.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78913D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0C9F274" w14:textId="07ADCF85" w:rsidR="00E31838" w:rsidRPr="0010524E" w:rsidRDefault="00E31838" w:rsidP="000053D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w:t>
            </w:r>
          </w:p>
        </w:tc>
      </w:tr>
      <w:tr w:rsidR="00E31838" w:rsidRPr="0010524E" w14:paraId="0D19AECB" w14:textId="40A76D0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476D363" w14:textId="74452FB6" w:rsidR="00E31838" w:rsidRPr="0094794C" w:rsidRDefault="00E31838" w:rsidP="000053DA">
            <w:pPr>
              <w:spacing w:after="0"/>
              <w:jc w:val="both"/>
              <w:rPr>
                <w:rFonts w:ascii="Calibri" w:hAnsi="Calibri" w:cs="Calibri"/>
                <w:b/>
                <w:bCs/>
                <w:sz w:val="24"/>
                <w:szCs w:val="24"/>
              </w:rPr>
            </w:pPr>
            <w:r w:rsidRPr="0094794C">
              <w:rPr>
                <w:rFonts w:ascii="Calibri" w:hAnsi="Calibri" w:cs="Calibri"/>
                <w:b/>
                <w:bCs/>
                <w:sz w:val="24"/>
                <w:szCs w:val="24"/>
              </w:rPr>
              <w:t>RESOLUÇÃO PREVIC Nº 10, DE 3 DE MAIO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98388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BDA2C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A81A41D" w14:textId="4A8BA0A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D534BB5" w14:textId="42DB380C" w:rsidR="00E31838" w:rsidRPr="00285ADC" w:rsidRDefault="00E31838" w:rsidP="00285ADC">
            <w:pPr>
              <w:spacing w:after="0"/>
              <w:jc w:val="both"/>
              <w:rPr>
                <w:rFonts w:ascii="Calibri" w:hAnsi="Calibri" w:cs="Calibri"/>
                <w:i/>
                <w:iCs/>
                <w:sz w:val="24"/>
                <w:szCs w:val="24"/>
              </w:rPr>
            </w:pPr>
            <w:r w:rsidRPr="00285ADC">
              <w:rPr>
                <w:rStyle w:val="nfase"/>
                <w:rFonts w:ascii="Helvetica" w:hAnsi="Helvetica" w:cs="Helvetica"/>
                <w:i w:val="0"/>
                <w:iCs w:val="0"/>
                <w:color w:val="333333"/>
                <w:sz w:val="21"/>
                <w:szCs w:val="21"/>
                <w:shd w:val="clear" w:color="auto" w:fill="FFFFFF"/>
              </w:rPr>
              <w:t xml:space="preserve">Dispõe sobre os procedimentos </w:t>
            </w:r>
            <w:r>
              <w:rPr>
                <w:rStyle w:val="nfase"/>
                <w:rFonts w:ascii="Helvetica" w:hAnsi="Helvetica" w:cs="Helvetica"/>
                <w:i w:val="0"/>
                <w:iCs w:val="0"/>
                <w:color w:val="333333"/>
                <w:sz w:val="21"/>
                <w:szCs w:val="21"/>
                <w:shd w:val="clear" w:color="auto" w:fill="FFFFFF"/>
              </w:rPr>
              <w:t>para requerimento de licenciamento e a operacionalização de transferência de gerenciamento de planos de benefícios de caráter previdenciário.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8C2DCD" w14:textId="0F2F6829" w:rsidR="00E31838" w:rsidRPr="0010524E" w:rsidRDefault="00E31838" w:rsidP="000053DA">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C6038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78D2B6A0" w14:textId="510384F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510A5E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Art. 1º As entidades fechadas de previdência complementar (EFPC) devem observar o disposto nesta Resolução para o requerimento de licenciamento e a operacionalização de transferência de gerenciamento de planos de benefícios de caráter previdenciário.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B9BCC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28AFB2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w:t>
            </w:r>
          </w:p>
        </w:tc>
      </w:tr>
      <w:tr w:rsidR="00E31838" w:rsidRPr="0010524E" w14:paraId="534F1657" w14:textId="08EA56F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6B50AB1"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2º Para os fins desta Resolução, considera-se:</w:t>
            </w:r>
          </w:p>
          <w:p w14:paraId="2A67F7CD"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data da notificação: aquela em que a entidade de origem receber do patrocinador a notificação da decisão de transferir o gerenciamento do plano de benefícios;</w:t>
            </w:r>
          </w:p>
          <w:p w14:paraId="719A4298"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data de protocolo: aquela em que a entidade de origem protocolar o requerimento de licenciamento de transferência de gerenciamento na Superintendência Nacional de Previdência Complementar (Previc);</w:t>
            </w:r>
          </w:p>
          <w:p w14:paraId="45F9BA3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III – data de autorização: aquela em que for publicado, no Diário Oficial da União, o ato da Previc que autorizar a transferência de gerenciamento;</w:t>
            </w:r>
          </w:p>
          <w:p w14:paraId="186A2A66"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IV – data-efetiva: aquela acordada formalmente entre as entidades de origem e de destino e o patrocinador para a conclusão </w:t>
            </w:r>
            <w:r w:rsidRPr="0010524E">
              <w:rPr>
                <w:rFonts w:ascii="Calibri" w:hAnsi="Calibri" w:cs="Calibri"/>
                <w:sz w:val="24"/>
                <w:szCs w:val="24"/>
              </w:rPr>
              <w:lastRenderedPageBreak/>
              <w:t>da transferência de gerenciamento, com o cumprimento do Termo de Transferência; e</w:t>
            </w:r>
          </w:p>
          <w:p w14:paraId="3BE9510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 – plano de transferência de gerenciamento: documento pactuado entre o patrocinador e as entidades de origem e de destino, contemplando, pelo menos, a definição de cronograma, as diretrizes relacionadas à elaboração do Termo de Transferência e a forma de disponibilização de documentos e informações para viabilizar 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D6B92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88938A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DEFINIÇÕES INCORPORADAS NA SEÇÃO I, COM ADAPTAÇÕES.</w:t>
            </w:r>
          </w:p>
        </w:tc>
      </w:tr>
      <w:tr w:rsidR="00E31838" w:rsidRPr="0010524E" w14:paraId="12E1BB58"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12E626B" w14:textId="77777777"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DCC81A" w14:textId="77777777" w:rsidR="00E31838" w:rsidRDefault="00E31838" w:rsidP="00285ADC">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w:t>
            </w:r>
          </w:p>
          <w:p w14:paraId="7B8288B2" w14:textId="48F582EF" w:rsidR="00E31838" w:rsidRDefault="00E31838" w:rsidP="00285ADC">
            <w:pPr>
              <w:tabs>
                <w:tab w:val="left" w:pos="993"/>
              </w:tabs>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Transferência de gerenciamento de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C30F1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F1A0D98" w14:textId="77B8887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C18EB56"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3° 0 representante Legal da EFPC deve, no prazo de dez dias úteis, contados da data da notificação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3091305" w14:textId="7D655B6A" w:rsidR="00E31838" w:rsidRPr="004C5F6B" w:rsidRDefault="00E31838" w:rsidP="004C5F6B">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83.  </w:t>
            </w:r>
            <w:r w:rsidRPr="004C5F6B">
              <w:rPr>
                <w:rFonts w:ascii="Calibri" w:eastAsia="Times New Roman" w:hAnsi="Calibri" w:cs="Calibri"/>
                <w:kern w:val="0"/>
                <w:sz w:val="24"/>
                <w:szCs w:val="24"/>
                <w:lang w:eastAsia="pt-BR"/>
                <w14:ligatures w14:val="none"/>
              </w:rPr>
              <w:t xml:space="preserve">O representante Legal da EFPC deve, no prazo de dez dias úteis, contados da data da notificação dos patrocinadores ou instituidores do plano de benefícios objeto de transferência de gerenciamento: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2B52F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TEXTUAL</w:t>
            </w:r>
          </w:p>
        </w:tc>
      </w:tr>
      <w:tr w:rsidR="00E31838" w:rsidRPr="0010524E" w14:paraId="792631DA" w14:textId="6CC4398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5885E7B"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dar ciência aos órgãos estatutários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9D5B7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dar ciência aos órgãos estatutários da EFPC;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CBBD3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993DFE1" w14:textId="09D1EB1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95380B7"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comunicar os participantes e assistidos vinculados ao plano de benefícios;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7DC48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comunicar os participantes e assistidos vinculados ao plano de benefícios;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E90C9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AE6028C" w14:textId="091E7C1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900A656"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III – adotar os procedimentos necessários ao início da transferência de gerenciamento.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FA04C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adotar os procedimentos necessários ao início da transferência de gerenciamento.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96812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059207A" w14:textId="17004F5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4FC89F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Parágrafo único. A exposição de motivos contida na notificação do patrocinador deve apresentar manifestação sobre: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4622D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 exposição de motivos contida na notificação do patrocinador deve apresentar manifestação sobre: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B3AF4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5DC206B6" w14:textId="247B438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63F9354"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I – a economicidade da operação, mediante comparativo, entre as entidades de origem e de destino, do custeio administrativo dos planos de benefício e das despesas totais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03E16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a economicidade da operação, mediante comparativo, entre as entidades de origem e de destino, do custeio administrativo dos planos de benefício e das despesas totais de investimentos;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EACCD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CC59E3D" w14:textId="665FDD3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7886644"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a estrutura de governança das entidades de origem e de destino, mediante comparativo que explicite a representação dos patrocinadores e participantes e assistidos vinculados aos planos objeto da transferência de gerenciamento;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6C847A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a estrutura de governança das entidades de origem e de destino, mediante comparativo que explicite a representação dos patrocinadores e participantes e assistidos vinculados aos planos objeto da transferência de gerenciamento;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726CD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7817EFA" w14:textId="7D9E7B2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4545DD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III – a vantajosidade da operação, tendo por base as informações dos incisos I e II;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A1704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a vantajosidade da operação, tendo por base as informações dos incisos I e II;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5D25D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4B2FDB7" w14:textId="5064BCF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DF0F67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IV – outras informações que fundamentem a decisão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2B1AA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outras informações que fundamentem a decisão do patrocinador.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AB3F9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E4A862F" w14:textId="1422795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1BC1B5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4º A elaboração do plano de transferência a que se refere o inciso V do art. 2º deve observar o prazo de sessenta dias, contados da data de comunicação.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872D8E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F79CE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w:t>
            </w:r>
          </w:p>
        </w:tc>
      </w:tr>
      <w:tr w:rsidR="00E31838" w:rsidRPr="0010524E" w14:paraId="2D065516" w14:textId="2B371BE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C0A8B1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5º O requerimento de transferência de gerenciamento deve ser protocolado na Previc, pela entidade de origem, observado o prazo de cento e oitenta dias, contados da data da notificação.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87FA2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93A3F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REALOCADO COMO PARÁGRAFO ÚNICO DO ART. 213.</w:t>
            </w:r>
          </w:p>
        </w:tc>
      </w:tr>
      <w:tr w:rsidR="00E31838" w:rsidRPr="0010524E" w14:paraId="386AFB59"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6103371" w14:textId="38383EAB" w:rsidR="00E31838" w:rsidRPr="0010524E" w:rsidRDefault="00E31838" w:rsidP="000053DA">
            <w:pPr>
              <w:spacing w:after="0"/>
              <w:jc w:val="both"/>
              <w:rPr>
                <w:rFonts w:ascii="Calibri" w:hAnsi="Calibri" w:cs="Calibri"/>
                <w:sz w:val="24"/>
                <w:szCs w:val="24"/>
              </w:rPr>
            </w:pPr>
            <w:r>
              <w:rPr>
                <w:rFonts w:ascii="Calibri" w:hAnsi="Calibri" w:cs="Calibri"/>
                <w:sz w:val="24"/>
                <w:szCs w:val="24"/>
              </w:rPr>
              <w:t xml:space="preserve">Art. 6º  A entidade de origem deve divulgar a minuta do aos participantes e assistidos do </w:t>
            </w:r>
            <w:r>
              <w:rPr>
                <w:rFonts w:ascii="Calibri" w:hAnsi="Calibri" w:cs="Calibri"/>
                <w:sz w:val="24"/>
                <w:szCs w:val="24"/>
              </w:rPr>
              <w:lastRenderedPageBreak/>
              <w:t>plano de benefícios objeto da transferência de gerenciamento , observado o prazo mínimo de trinta dias antes da data de protocolo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926D90" w14:textId="77777777" w:rsidR="00E31838" w:rsidRDefault="00E31838" w:rsidP="00285ADC">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81FC4A" w14:textId="752541F0" w:rsidR="00E31838" w:rsidRPr="0010524E" w:rsidRDefault="00E31838" w:rsidP="000053DA">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art. 85 da consolidação</w:t>
            </w:r>
          </w:p>
        </w:tc>
      </w:tr>
      <w:tr w:rsidR="00E31838" w:rsidRPr="0010524E" w14:paraId="2AC6309A" w14:textId="55126A3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6FAE75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7º O Termo de Transferência deve dispor, no mínimo, sobre: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8AA15E" w14:textId="2CE3231C" w:rsidR="00E31838" w:rsidRPr="00285ADC" w:rsidRDefault="00E31838" w:rsidP="00285ADC">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84.  </w:t>
            </w:r>
            <w:r w:rsidRPr="00285ADC">
              <w:rPr>
                <w:rFonts w:ascii="Calibri" w:eastAsia="Times New Roman" w:hAnsi="Calibri" w:cs="Calibri"/>
                <w:kern w:val="0"/>
                <w:sz w:val="24"/>
                <w:szCs w:val="24"/>
                <w:lang w:eastAsia="pt-BR"/>
                <w14:ligatures w14:val="none"/>
              </w:rPr>
              <w:t xml:space="preserve">O Termo de Transferência deve dispor, no mínimo, sobre: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5D710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56BC441" w14:textId="1EBA525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0433E9E"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os direitos e as obrigações das partes, inclusive quanto às despesas com o requerimento de licenciamento da transferência de gerenciamento;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C5EF7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os direitos e as obrigações das partes, inclusive quanta as despesas com o requerimento de licenciamento da transferência de gerenciamento;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81822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C0FBD68" w14:textId="508EED7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254A52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o tratamento a ser dado aos ativos, aos passivos e às ações judiciais e aos respectivos efeitos no patrimônio;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5114E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o tratamento a ser dado aos ativos, aos passivos e as ações judiciais e aos respectivos efeitos no patrimônio;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9B90D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CA52CF5" w14:textId="2F00CA2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2E1EE96"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III – o prazo para que as entidades de origem e de destino requeiram a substituição processual em relação ao passivo contingente relacionado com o plano de benefícios objeto da transferência de gerenciamento, se existente;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08AC5F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o prazo para que as entidades de origem e de destino requeiram a substituição processual em relação ao passivo contingente relacionado com o plano de benefícios objeto da transferência de gerenciamento, se existente;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DA380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887A1CA" w14:textId="6580D66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7BA6B93"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IV – o prazo para finalização da transferência de gerenciamento, a ser estabelecido a partir da data de autorização;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BDC59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o prazo para finalização da transferência de gerenciamento, a ser estabelecido a partir da data de autorização;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50F30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72847944" w14:textId="0B573E2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656AB36"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 – os termos da rescisão do convênio de adesão do patrocinador com a entidade de origem.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F2EE8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os termos da rescisão do convenio de adesão do patrocinador com a entidade de origem.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B504C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9461798" w14:textId="245EE27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F2D0A08"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Parágrafo único. Em caso de impossibilidade jurídica para a substituição processual de que </w:t>
            </w:r>
            <w:r w:rsidRPr="0010524E">
              <w:rPr>
                <w:rFonts w:ascii="Calibri" w:hAnsi="Calibri" w:cs="Calibri"/>
                <w:sz w:val="24"/>
                <w:szCs w:val="24"/>
              </w:rPr>
              <w:lastRenderedPageBreak/>
              <w:t>trata o inciso III, o Termo de Transferência pode prever a permanência dos valores provisionados no exigível contingencial, na entidade de origem, até o encerramento da ação judicial.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E6B72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Paragrafo único.  Em caso de impossibilidade jurídica para a substituição processual de que trata o inciso III, </w:t>
            </w:r>
            <w:r w:rsidRPr="0010524E">
              <w:rPr>
                <w:rFonts w:ascii="Calibri" w:eastAsia="Times New Roman" w:hAnsi="Calibri" w:cs="Calibri"/>
                <w:kern w:val="0"/>
                <w:sz w:val="24"/>
                <w:szCs w:val="24"/>
                <w:lang w:eastAsia="pt-BR"/>
                <w14:ligatures w14:val="none"/>
              </w:rPr>
              <w:lastRenderedPageBreak/>
              <w:t xml:space="preserve">o Termo de Transferência pode prever a permanência dos valores provisionados no exigível contingencial, na entidade de origem, até o encerramento da ação judicial.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0C989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EF0AA67" w14:textId="3FB8E47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103F41D" w14:textId="2842BBFE"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B8EAD5" w14:textId="28CABD73" w:rsidR="00E31838" w:rsidRPr="00FB2F63" w:rsidRDefault="00E31838" w:rsidP="00FB2F63">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85.  </w:t>
            </w:r>
            <w:r w:rsidRPr="00FB2F63">
              <w:rPr>
                <w:rFonts w:ascii="Calibri" w:eastAsia="Times New Roman" w:hAnsi="Calibri" w:cs="Calibri"/>
                <w:kern w:val="0"/>
                <w:sz w:val="24"/>
                <w:szCs w:val="24"/>
                <w:lang w:eastAsia="pt-BR"/>
                <w14:ligatures w14:val="none"/>
              </w:rPr>
              <w:t xml:space="preserve">A entidade de origem deve divulgar a minuta do Termo de Transferência aos participantes e assistidos do plano de benefício objeto da transferência de gerenciamento, observado o prazo mínimo de trinta dias antes da data de protocolo.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15AF3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40EE1DE" w14:textId="4170328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1C5F2D5"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8º O disposto nesta Resolução aplica-se somente aos processos de transferência de gerenciamento protocolados na Previc após o início de sua vigência.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019EC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36455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w:t>
            </w:r>
          </w:p>
        </w:tc>
      </w:tr>
      <w:tr w:rsidR="00E31838" w:rsidRPr="0010524E" w14:paraId="10531A43" w14:textId="71E78C1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9FBAB29"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9º Esta Resolução entra em vigor em 1º de junho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E20F7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795F8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w:t>
            </w:r>
          </w:p>
        </w:tc>
      </w:tr>
      <w:tr w:rsidR="00E31838" w:rsidRPr="0010524E" w14:paraId="59561242" w14:textId="3C3B101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F2329BF" w14:textId="67C7BD5F" w:rsidR="00E31838" w:rsidRPr="0071363D" w:rsidRDefault="00E31838" w:rsidP="000053DA">
            <w:pPr>
              <w:spacing w:after="0"/>
              <w:jc w:val="both"/>
              <w:rPr>
                <w:rFonts w:ascii="Calibri" w:hAnsi="Calibri" w:cs="Calibri"/>
                <w:b/>
                <w:bCs/>
                <w:sz w:val="24"/>
                <w:szCs w:val="24"/>
              </w:rPr>
            </w:pPr>
            <w:r w:rsidRPr="0071363D">
              <w:rPr>
                <w:rFonts w:ascii="Calibri" w:hAnsi="Calibri" w:cs="Calibri"/>
                <w:b/>
                <w:bCs/>
                <w:sz w:val="24"/>
                <w:szCs w:val="24"/>
              </w:rPr>
              <w:t>RESOLUÇÃO PREVIC Nº 15, DE 20 DE SETEMBRO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05611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69E3D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51EE1C8" w14:textId="5AE0735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6074A70" w14:textId="6D6E14CD" w:rsidR="00E31838" w:rsidRPr="0071363D" w:rsidRDefault="00E31838" w:rsidP="000053DA">
            <w:pPr>
              <w:spacing w:after="0"/>
              <w:jc w:val="both"/>
              <w:rPr>
                <w:rFonts w:ascii="Calibri" w:hAnsi="Calibri" w:cs="Calibri"/>
              </w:rPr>
            </w:pPr>
            <w:r w:rsidRPr="0071363D">
              <w:rPr>
                <w:rFonts w:ascii="Arial" w:hAnsi="Arial" w:cs="Arial"/>
                <w:color w:val="202124"/>
                <w:shd w:val="clear" w:color="auto" w:fill="FFFFFF"/>
              </w:rPr>
              <w:t>Dispõe sobre o requerimento de licenciamento e a operacionalização da retirada de patrocínio e da rescisão unilateral de convênio de adesão, no âmbito do regime de previdência complementar operado pelas entidades fechadas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0BF8A12" w14:textId="288D012D" w:rsidR="00E31838" w:rsidRPr="0010524E" w:rsidRDefault="00E31838" w:rsidP="000053DA">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20B72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70C3296" w14:textId="3AEBC8C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F348928"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Art. 1º As entidades fechadas de previdência complementar (EFPC) devem observar o </w:t>
            </w:r>
            <w:r w:rsidRPr="0010524E">
              <w:rPr>
                <w:rFonts w:ascii="Calibri" w:hAnsi="Calibri" w:cs="Calibri"/>
                <w:sz w:val="24"/>
                <w:szCs w:val="24"/>
              </w:rPr>
              <w:lastRenderedPageBreak/>
              <w:t>disposto nesta Resolução para o requerimento de licenciamento e a operacionalização da retirada de patrocínio e da rescisão unilateral de convênio de adesão, no âmbito do regime de previdência complementar fechado.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D7EB54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FD0DE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w:t>
            </w:r>
          </w:p>
        </w:tc>
      </w:tr>
      <w:tr w:rsidR="00E31838" w:rsidRPr="0010524E" w14:paraId="0CC8A32A" w14:textId="7101864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9FD7723"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2º Para os fins desta Resolução, além das definições estabelecidas pela Resolução CNPC nº 53, de 10 de março de 2022, considera-se:</w:t>
            </w:r>
          </w:p>
          <w:p w14:paraId="3BD060F7"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data da notificação: aquela na qual a EFPC receber do patrocinador a notificação sobre a decisão da retirada de patrocínio ou o patrocinador receber a notificação da entidade sobre a decisão da rescisão unilateral de convênio de adesão, relativamente a determinado plano de benefícios;</w:t>
            </w:r>
          </w:p>
          <w:p w14:paraId="4424C91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data de protocolo: aquela na qual a EFPC deve protocolar o requerimento de licenciamento de retirada de patrocínio ou de rescisão unilateral de convênio de adesão junto à Superintendência Nacional de Previdência Complementar (Previc), no prazo de até duzentos e quarenta dias, contados da data da notificação;</w:t>
            </w:r>
          </w:p>
          <w:p w14:paraId="524407CB"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III - data de aporte: aquela na qual devem ocorrer os aportes de responsabilidade do patrocinador, previstos no termo de retirada </w:t>
            </w:r>
            <w:r w:rsidRPr="0010524E">
              <w:rPr>
                <w:rFonts w:ascii="Calibri" w:hAnsi="Calibri" w:cs="Calibri"/>
                <w:sz w:val="24"/>
                <w:szCs w:val="24"/>
              </w:rPr>
              <w:lastRenderedPageBreak/>
              <w:t>de patrocínio ou de rescisão unilateral, no prazo de trinta dias, contados da data do cálculo;</w:t>
            </w:r>
          </w:p>
          <w:p w14:paraId="16EBE1A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IV - data efetiva: aquela na qual a EFPC deve finalizar a liquidação dos compromissos previstos no termo de retirada de patrocínio ou de rescisão unilateral, no prazo máximo de duzentos e dez dias, contados da data do cálculo, observado o disposto no art. 9º; e</w:t>
            </w:r>
          </w:p>
          <w:p w14:paraId="723D3EAD"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 - período de opção: prazo mínimo de trinta dias, concedido aos participantes e assistidos para o exercício das opções oferecidas em face da retirada de patrocínio ou da rescisão unilateral de convênio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9A5FB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56ECD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DEFINIÇÕES INCORPORADAS NA SEÇÃO I, COM ADAPTAÇÕES.</w:t>
            </w:r>
          </w:p>
        </w:tc>
      </w:tr>
      <w:tr w:rsidR="00E31838" w:rsidRPr="0010524E" w14:paraId="4B774A43"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AA0D693" w14:textId="77777777"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32EA05" w14:textId="77777777" w:rsidR="00E31838" w:rsidRDefault="00E31838" w:rsidP="004A1279">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VII</w:t>
            </w:r>
          </w:p>
          <w:p w14:paraId="6754A60F" w14:textId="34489536" w:rsidR="00E31838" w:rsidRDefault="00E31838" w:rsidP="004A1279">
            <w:pPr>
              <w:tabs>
                <w:tab w:val="left" w:pos="993"/>
              </w:tabs>
              <w:spacing w:after="12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Retirada de patrocínio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73736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79A06F92" w14:textId="3AAAF2A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828386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3º A EFPC deve, no prazo de dez dias úteis, contados da data da notificação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09BA51" w14:textId="46441D9B" w:rsidR="00E31838" w:rsidRPr="0071363D" w:rsidRDefault="00E31838" w:rsidP="0071363D">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86.  </w:t>
            </w:r>
            <w:r w:rsidRPr="0071363D">
              <w:rPr>
                <w:rFonts w:ascii="Calibri" w:eastAsia="Times New Roman" w:hAnsi="Calibri" w:cs="Calibri"/>
                <w:kern w:val="0"/>
                <w:sz w:val="24"/>
                <w:szCs w:val="24"/>
                <w:lang w:eastAsia="pt-BR"/>
                <w14:ligatures w14:val="none"/>
              </w:rPr>
              <w:t xml:space="preserve">A EFPC deve, no prazo de dez dias úteis, contados da data da notificação do patrocinador: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3D6D8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44C54F3" w14:textId="412E2542" w:rsidTr="00E86B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AE51A78"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dar ciência da decisão aos seus órgãos estatutários;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352CC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dar ciência da decisão aos seus órgãos estatutários;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02ED0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74E0FB19" w14:textId="2A344EAE" w:rsidTr="00E86B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F63D095"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comunicar a decisão aos participantes e assistidos vinculados ao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45C9F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comunicar a decisão aos participantes e assistidos vinculados ao plano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61901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861C824" w14:textId="2F255CA2" w:rsidTr="00E86B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60DD1F5"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III - dar ciência aos patrocinadores remanescentes do plano de benefícios, se houver;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3CA92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dar ciência aos patrocinadores remanescentes do plano de benefícios, se houver;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320E7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972EE86" w14:textId="35522EB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A47EFE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IV - iniciar os procedimentos necessários à realização da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CB878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iniciar os procedimentos necessários à realização da operação.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1AFD4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9F1B275" w14:textId="7823691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93555D5"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1º A notificação de que trata o caput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2AAD5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A notificação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4897B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CD61264" w14:textId="22C1173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857FDF5"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2º A EFPC deve dar início à atualização cadastral dos participantes e assistidos vinculados ao plano de benefícios objeto da retirada de patrocínio, incluindo os participantes optantes pelos institutos do autopatrocínio e do benefício proporcional diferido e os ex-participantes com recursos financeiros no plano de benefícios, em, no máximo, trinta dias, contados da data da notificação.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B6767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A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ex-participantes com recursos financeiros no plano de benefícios, em, no máximo, trinta dias, contados da data da notificação.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EBCAF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D36A764" w14:textId="31048F5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B8C43B3"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 3º Sem prejuízo do disposto no § 2º, incumbe ao participante ou assistido manter atualizados junto à EFPC os seus endereços residencial e eletrônico e os dados relativos à conta referida no inciso I do art. 9º, bem como incumbe à EFPC adotar as medidas </w:t>
            </w:r>
            <w:r w:rsidRPr="0010524E">
              <w:rPr>
                <w:rFonts w:ascii="Calibri" w:hAnsi="Calibri" w:cs="Calibri"/>
                <w:sz w:val="24"/>
                <w:szCs w:val="24"/>
              </w:rPr>
              <w:lastRenderedPageBreak/>
              <w:t>necessárias para o controle dessas atualizações.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0DD47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§3º  Sem prejuízo do disposto no §2º, incumbe ao participante ou assistido manter atualizados junto à EFPC os seus endereços residencial e eletrônico e os dados relativos à conta referida no inciso I do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_Ref138844380 \* Lower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art. 138</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 bem como incumbe à EFPC adotar as medidas necessárias para o controle dessas atualizações.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9B9F2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B5CA73B" w14:textId="5D29B6D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4C06E96"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4º A avaliação atuarial da retirada de patrocínio, posicionada na data-base e na data do cálculo, deve considerar a precificação dos ativos do plano de benefícios a valores de mercado.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5F405D" w14:textId="2ACC1FF8" w:rsidR="00E31838" w:rsidRPr="004A1279" w:rsidRDefault="00E31838" w:rsidP="004A1279">
            <w:pPr>
              <w:tabs>
                <w:tab w:val="left" w:pos="993"/>
              </w:tabs>
              <w:spacing w:after="120"/>
              <w:jc w:val="both"/>
              <w:rPr>
                <w:rFonts w:ascii="Calibri" w:eastAsia="Times New Roman" w:hAnsi="Calibri" w:cs="Calibri"/>
                <w:kern w:val="0"/>
                <w:sz w:val="24"/>
                <w:szCs w:val="24"/>
                <w:lang w:eastAsia="pt-BR"/>
                <w14:ligatures w14:val="none"/>
              </w:rPr>
            </w:pPr>
            <w:bookmarkStart w:id="12" w:name="_Ref138844986"/>
            <w:r>
              <w:rPr>
                <w:rFonts w:ascii="Calibri" w:eastAsia="Times New Roman" w:hAnsi="Calibri" w:cs="Calibri"/>
                <w:kern w:val="0"/>
                <w:sz w:val="24"/>
                <w:szCs w:val="24"/>
                <w:lang w:eastAsia="pt-BR"/>
                <w14:ligatures w14:val="none"/>
              </w:rPr>
              <w:t xml:space="preserve">Art. 87.  </w:t>
            </w:r>
            <w:r w:rsidRPr="004A1279">
              <w:rPr>
                <w:rFonts w:ascii="Calibri" w:eastAsia="Times New Roman" w:hAnsi="Calibri" w:cs="Calibri"/>
                <w:kern w:val="0"/>
                <w:sz w:val="24"/>
                <w:szCs w:val="24"/>
                <w:lang w:eastAsia="pt-BR"/>
                <w14:ligatures w14:val="none"/>
              </w:rPr>
              <w:t>A avaliação atuarial da retirada de patrocínio, posicionada na data-base e na data do cálculo, deve considerar a precificação dos ativos do plano de benefícios a valores de mercado.</w:t>
            </w:r>
            <w:bookmarkEnd w:id="12"/>
            <w:r w:rsidRPr="004A1279">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3521C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7D885D5E" w14:textId="6BF1067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C884C2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5º O termo de retirada de patrocínio deve tratar,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DEB6E8" w14:textId="3D3030D9" w:rsidR="00E31838" w:rsidRPr="004A1279" w:rsidRDefault="00E31838" w:rsidP="004A1279">
            <w:pPr>
              <w:tabs>
                <w:tab w:val="left" w:pos="993"/>
              </w:tabs>
              <w:spacing w:after="120"/>
              <w:jc w:val="both"/>
              <w:rPr>
                <w:rFonts w:ascii="Calibri" w:eastAsia="Times New Roman" w:hAnsi="Calibri" w:cs="Calibri"/>
                <w:kern w:val="0"/>
                <w:sz w:val="24"/>
                <w:szCs w:val="24"/>
                <w:lang w:eastAsia="pt-BR"/>
                <w14:ligatures w14:val="none"/>
              </w:rPr>
            </w:pPr>
            <w:bookmarkStart w:id="13" w:name="_Ref139034579"/>
            <w:r>
              <w:rPr>
                <w:rFonts w:ascii="Calibri" w:eastAsia="Times New Roman" w:hAnsi="Calibri" w:cs="Calibri"/>
                <w:kern w:val="0"/>
                <w:sz w:val="24"/>
                <w:szCs w:val="24"/>
                <w:lang w:eastAsia="pt-BR"/>
                <w14:ligatures w14:val="none"/>
              </w:rPr>
              <w:t xml:space="preserve">Art. 88.  </w:t>
            </w:r>
            <w:r w:rsidRPr="004A1279">
              <w:rPr>
                <w:rFonts w:ascii="Calibri" w:eastAsia="Times New Roman" w:hAnsi="Calibri" w:cs="Calibri"/>
                <w:kern w:val="0"/>
                <w:sz w:val="24"/>
                <w:szCs w:val="24"/>
                <w:lang w:eastAsia="pt-BR"/>
                <w14:ligatures w14:val="none"/>
              </w:rPr>
              <w:t>O termo de retirada de patrocínio deve tratar, no mínimo:</w:t>
            </w:r>
            <w:bookmarkEnd w:id="13"/>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1BBF5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12964E0" w14:textId="632552F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372ED83"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dos critérios e dos procedimentos relativos à segregação patrimonial do plano de benefícios, no caso de retirada parcial;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0EB00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dos critérios e dos procedimentos relativos à segregação patrimonial do plano de benefícios, no caso de retirada parcial;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82E21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43962BD" w14:textId="52D19D3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C0FC641"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dos critérios de rateio dos fundos, da reserva especial ou do déficit técnico, apurado na avaliação atuarial de retirada de patrocínio, entre patrocinador retirante, de um lado, e respectivos participantes e assistidos, de outro, nos termos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35A67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dos critérios de rateio dos fundos, da reserva especial ou do déficit técnico, apurado na avaliação atuarial de retirada de patrocínio, entre patrocinador retirante, de um lado, e respectivos participantes e assistidos, de outro, nos termos da legislação aplicável;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412BC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D7E54C5" w14:textId="1B41F5F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88DA049"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III - do critério de individualização dos fundos, da reserva de contingência e da reserva especial ou do déficit técnico, apurado na avaliação atuarial de retirada de patrocínio, entre participantes e assistidos, nos termos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4AF02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do critério de individualização dos fundos, da reserva de contingência e da reserva especial ou do déficit técnico, apurado na avaliação atuarial de retirada de patrocínio, entre participantes e assistidos, nos termos da legislação aplicável;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EAF32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B394E7E" w14:textId="444894C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286AEE2"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IV - das demais obrigações do plano de benefícios, da EFPC e do patrocinador, em face da retirada de patrocínio, nos termos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EFD91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das demais obrigações do plano de benefícios, da EFPC e do patrocinador, em face da retirada de patrocínio, nos termos da legislação aplicável;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68EC2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14449B6" w14:textId="6952A87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08510E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 - da responsabilidade do patrocinador e da EFPC sobre demandas judiciais ou extrajudiciais relacionadas ao plano de benefícios ocorridas após a data do cálculo;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E7A6D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da responsabilidade do patrocinador e da EFPC sobre demandas judiciais ou extrajudiciais relacionadas ao plano de benefícios ocorridas após a data do cálculo;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F9913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DA900A0" w14:textId="7F4B837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3CCB271"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VI - dos prazos, contados a partir da data do cálculo, para: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E6856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 – dos prazos, contados a partir da data do cálculo, para: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9866B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FF36C7A" w14:textId="7B50E91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789CFE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 a disponibilização dos termos de opção aos participantes e assistidos;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FA436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 a disponibilização dos termos de opção aos participantes e assistidos;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F7FEB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5D94FD3" w14:textId="22185EF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8954E6E"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b) o período de opção;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EE77B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b) o período de opção;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73E30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F821411" w14:textId="32B05A6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CD801D4"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c) o aporte de responsabilidade do patrocinador, se for o caso;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CB1A5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c) o aporte de responsabilidade do patrocinador, se for o caso, de no máximo trinta dias;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BEBDB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4D8954F" w14:textId="348A541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C48952E"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d) a fixação da data efetiva;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90111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d) a fixação da data efetiva;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EC006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B57931D" w14:textId="7BD61A4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3E4D762"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VII - das opções oferecidas aos participantes e assistidos vinculados ao patrocinador retirante;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27A2B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VII – das opções oferecidas aos participantes e assistidos vinculados ao patrocinador retirante;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9A37B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625A3BA" w14:textId="2916747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9B38526"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w:t>
            </w:r>
            <w:r w:rsidRPr="0010524E">
              <w:rPr>
                <w:rFonts w:ascii="Calibri" w:hAnsi="Calibri" w:cs="Calibri"/>
                <w:sz w:val="24"/>
                <w:szCs w:val="24"/>
              </w:rPr>
              <w:lastRenderedPageBreak/>
              <w:t>receber o valor a que fazem jus em razão de retirada de patrocínio;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07AC7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702AC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7778010B" w14:textId="062F523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D070072"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A8E22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F858E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9759D5E" w14:textId="1C58AA0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1CCE7D9"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 car vinculados.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E75C8E" w14:textId="578B37E2"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D67C9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7E138522" w14:textId="7B6E6CF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022FF0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2º [...]</w:t>
            </w:r>
          </w:p>
          <w:p w14:paraId="199FA91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1º Excetua-se do prazo previsto no inciso III do caput, as responsabilidades do patrocinador referentes: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2755AA" w14:textId="12EBACF3"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0E20F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REALOCADO</w:t>
            </w:r>
          </w:p>
        </w:tc>
      </w:tr>
      <w:tr w:rsidR="00E31838" w:rsidRPr="0010524E" w14:paraId="647F22EC" w14:textId="46F812B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DE76EA6"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2º [...]</w:t>
            </w:r>
          </w:p>
          <w:p w14:paraId="428CB58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xml:space="preserve">I - à diferença a menor entre o valor dos ativos precificados a mercado, na data de cálculo, e </w:t>
            </w:r>
            <w:r w:rsidRPr="0010524E">
              <w:rPr>
                <w:rFonts w:ascii="Calibri" w:hAnsi="Calibri" w:cs="Calibri"/>
                <w:sz w:val="24"/>
                <w:szCs w:val="24"/>
              </w:rPr>
              <w:lastRenderedPageBreak/>
              <w:t>sua posterior realização, cuja quitação deve ocorrer no prazo de, no mínimo, trinta dias antes da data efetiva;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1D43CE" w14:textId="7656A391"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BEF30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REALOCADO</w:t>
            </w:r>
          </w:p>
        </w:tc>
      </w:tr>
      <w:tr w:rsidR="00E31838" w:rsidRPr="0010524E" w14:paraId="6BAF38EB" w14:textId="536D624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C6B9278"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2º [...]</w:t>
            </w:r>
          </w:p>
          <w:p w14:paraId="45DF0486"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ao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BD5722" w14:textId="74CDE1D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C46DA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REALOCADO</w:t>
            </w:r>
          </w:p>
        </w:tc>
      </w:tr>
      <w:tr w:rsidR="00E31838" w:rsidRPr="0010524E" w14:paraId="74249FC1" w14:textId="5CBA3AC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C277161"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6º A EFPC deve comunicar aos participantes, aos assistidos e ao patrocinador a autorização da retirada de patrocínio pela Previc e os prazos para os procedimentos subsequentes, no prazo de dez dias úteis, contados da data de autorização.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356031" w14:textId="19923F8F" w:rsidR="00E31838" w:rsidRPr="00916F5D" w:rsidRDefault="00E31838" w:rsidP="00916F5D">
            <w:pPr>
              <w:tabs>
                <w:tab w:val="left" w:pos="993"/>
              </w:tabs>
              <w:spacing w:after="120"/>
              <w:jc w:val="both"/>
              <w:rPr>
                <w:rFonts w:ascii="Calibri" w:eastAsia="Times New Roman" w:hAnsi="Calibri" w:cs="Calibri"/>
                <w:kern w:val="0"/>
                <w:sz w:val="24"/>
                <w:szCs w:val="24"/>
                <w:lang w:eastAsia="pt-BR"/>
                <w14:ligatures w14:val="none"/>
              </w:rPr>
            </w:pPr>
            <w:bookmarkStart w:id="14" w:name="_Ref138845073"/>
            <w:r>
              <w:rPr>
                <w:rFonts w:ascii="Calibri" w:eastAsia="Times New Roman" w:hAnsi="Calibri" w:cs="Calibri"/>
                <w:kern w:val="0"/>
                <w:sz w:val="24"/>
                <w:szCs w:val="24"/>
                <w:lang w:eastAsia="pt-BR"/>
                <w14:ligatures w14:val="none"/>
              </w:rPr>
              <w:t xml:space="preserve">Art. 89.  </w:t>
            </w:r>
            <w:r w:rsidRPr="00916F5D">
              <w:rPr>
                <w:rFonts w:ascii="Calibri" w:eastAsia="Times New Roman" w:hAnsi="Calibri" w:cs="Calibri"/>
                <w:kern w:val="0"/>
                <w:sz w:val="24"/>
                <w:szCs w:val="24"/>
                <w:lang w:eastAsia="pt-BR"/>
                <w14:ligatures w14:val="none"/>
              </w:rPr>
              <w:t>A EFPC deve comunicar aos participantes, aos assistidos e ao patrocinador a autorização da retirada de patrocínio pela Previc e os prazos para os procedimentos subsequentes, no prazo de dez dias úteis, contados da data de autorização.</w:t>
            </w:r>
            <w:bookmarkEnd w:id="14"/>
            <w:r w:rsidRPr="00916F5D">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B81C5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9501975" w14:textId="7218413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C11A101"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7º A EFPC deve encaminhar o termo de opção aos participantes e assistidos, contendo,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5A80CD" w14:textId="62FBC346" w:rsidR="00E31838" w:rsidRPr="00F66347" w:rsidRDefault="00E31838" w:rsidP="00F66347">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90.  </w:t>
            </w:r>
            <w:r w:rsidRPr="00F66347">
              <w:rPr>
                <w:rFonts w:ascii="Calibri" w:eastAsia="Times New Roman" w:hAnsi="Calibri" w:cs="Calibri"/>
                <w:kern w:val="0"/>
                <w:sz w:val="24"/>
                <w:szCs w:val="24"/>
                <w:lang w:eastAsia="pt-BR"/>
                <w14:ligatures w14:val="none"/>
              </w:rPr>
              <w:t xml:space="preserve">A EFPC deve encaminhar termo de opção aos participantes e assistidos, contendo, no mínimo: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0BFF5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5D4B953D" w14:textId="278E566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0ED575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os dados cadastrais e financeiros do participante ou assistido, desde o início de suas contribuições, com todos os parâmetros considerados para o cálculo da reserva matemática individual final;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3CD3D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os dados cadastrais e financeiros do participante ou assistido, desde o início de suas contribuições, com todos os parâmetros considerados para o cálculo da reserva matemática individual final;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9899A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8679FBC" w14:textId="230093F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7A92721"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II - o valor da reserva matemática individual final, com esclarecimentos pertinentes quanto à forma de apuração, discriminando os valores relativos à reserva matemática individual e os valores de excedente e de insuficiência patrimonial;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4EF69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o valor da reserva matemática individual final, com esclarecimentos pertinentes quanto à forma de apuração, discriminando os valores relativos à reserva matemática individual e os valores de excedente e de insuficiência patrimonial;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57551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749BF9DA" w14:textId="048D768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A679D02"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III - as opções decorrentes da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FF018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as opções decorrentes da retirada de patrocínio;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EBAEC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181725B" w14:textId="5694F48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ECD14F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IV - o período de opção;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A8EEA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o período de opção;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D8C16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508E76D9" w14:textId="6B5D10D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E0CB4E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 - as informações sobre o procedimento a ser adotado no caso de não exercício da opção no prazo previsto;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858D7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as informações sobre o procedimento a ser adotado no caso de não exercício da opção no prazo previsto;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91C06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56B4DCC4" w14:textId="2B1204A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472376E"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VI - os esclarecimentos necessários sobre a possibilidade de recebimento, no futuro, de valor decorrente de patrimônio retido para cobertura de exigível contingencial do plano de benefícios;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C52D3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 – os esclarecimentos necessários sobre a possibilidade de recebimento, no futuro, de valor decorrente de patrimônio retido para cobertura de exigível contingencial do plano de benefícios;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64379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53BEF2F9" w14:textId="22E7F5E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386274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9E24C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F62A3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5456B75F" w14:textId="116D6F2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F7C169E"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 1º O termo de que trata o caput deve ser enviado no prazo de até sessenta dias, contados da data do cálculo.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7C954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O termo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 ser enviado no prazo de até sessenta dias, contados da data do cálculo.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776B2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1DF7BF4" w14:textId="7F8DCD2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DC58930"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2º [...]</w:t>
            </w:r>
          </w:p>
          <w:p w14:paraId="3E2CA977"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2º A contagem do prazo de que trata o inciso V do caput deve ser iniciada depois da data do cálculo e finalizada, no máximo, trinta dias antes da data efetiva, conforme definido no termo de retirada.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6E087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§2º  O período de opção deve ser iniciado após a data do cálculo e finalizado, no máximo, trinta dias antes da data efetiva, conforme definido no termo de retirada.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473C41"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REALOCADO</w:t>
            </w:r>
          </w:p>
        </w:tc>
      </w:tr>
      <w:tr w:rsidR="00E31838" w:rsidRPr="0010524E" w14:paraId="0DAE8DAD" w14:textId="73B2D61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5A32086"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7º [...]</w:t>
            </w:r>
          </w:p>
          <w:p w14:paraId="6E238932"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2º A EFPC deve disponibilizar o regulamento do plano instituído por opção, quando oferecido, acompanhado de materiais explicativos que descrevam as características gerais do plano de benefícios e o perfil de investimento.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533F2B" w14:textId="0C01C695"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AB462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REALOCADO</w:t>
            </w:r>
          </w:p>
        </w:tc>
      </w:tr>
      <w:tr w:rsidR="00E31838" w:rsidRPr="0010524E" w14:paraId="626336AF" w14:textId="53093D3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C7DDAF8"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8º A EFPC, após o período de opção, deve adotar os procedimentos necessários à conclusão da retirada de patrocínio, providenciando: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4653FC" w14:textId="4350F602" w:rsidR="00E31838" w:rsidRPr="00F66347" w:rsidRDefault="00E31838" w:rsidP="00F66347">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91.  </w:t>
            </w:r>
            <w:r w:rsidRPr="00F66347">
              <w:rPr>
                <w:rFonts w:ascii="Calibri" w:eastAsia="Times New Roman" w:hAnsi="Calibri" w:cs="Calibri"/>
                <w:kern w:val="0"/>
                <w:sz w:val="24"/>
                <w:szCs w:val="24"/>
                <w:lang w:eastAsia="pt-BR"/>
                <w14:ligatures w14:val="none"/>
              </w:rPr>
              <w:t xml:space="preserve">A EFPC, após o período de opção, deve adotar os procedimentos necessários à conclusão da retirada de patrocínio, providenciando: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108FA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2B0A8C6" w14:textId="150069B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335B995"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a cobrança, à vista, das obrigações e débitos dos participantes, dos assistidos ou do patrocinador, nas condições estabelecidas no termo de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1D5316" w14:textId="726F6B89"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a cobrança, à vista, das obrigações e débitos dos participantes, dos assistidos e as responsabilidades do patrocinador de que trata o §2º do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_Ref139034579 \* Lower \r </w:instrText>
            </w:r>
            <w:r>
              <w:rPr>
                <w:rFonts w:ascii="Calibri" w:eastAsia="Times New Roman" w:hAnsi="Calibri" w:cs="Calibri"/>
                <w:kern w:val="0"/>
                <w:sz w:val="24"/>
                <w:szCs w:val="24"/>
                <w:lang w:eastAsia="pt-BR"/>
                <w14:ligatures w14:val="none"/>
              </w:rPr>
              <w:instrText xml:space="preserve">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art. 134</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 xml:space="preserve">, nas condições estabelecidas no termo de retirada de patrocínio;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09312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71061ED" w14:textId="1A681BB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E477F89"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II - a liquidação do direito dos participantes e assistidos, pela efetivação das suas opções, bem como o pagamento de eventual excedente remanescente ao patrocinador retirante;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F468C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a liquidação do direito dos participantes e assistidos, pela efetivação das suas opções, bem como o pagamento de eventual excedente remanescente ao patrocinador retirante;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65B65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546C422D" w14:textId="51A5568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A89776C"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III - a adesão dos participantes e assistidos que optarem pelo plano instituído por opção ou outro plano administrado pela EFPC, quando oferecido.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B73829"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a adesão dos participantes e assistidos que optarem pelo plano instituído por opção ou outro plano administrado pela EFPC, quando oferecido.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F2532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19C65F3" w14:textId="4C1C498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83397E1"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1º O pagamento das obrigações referidas no inciso I do caput pode ser realizado por meio de encontro de contas, na forma acordada entre as partes, mediante a dedução de débitos do montante previsto no inciso II, a ser recebido em decorrência da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56834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O pagamento das obrigações referidas no inciso I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pode ser realizado por meio de encontro de contas, na forma acordada entre as partes, mediante a dedução de débitos do montante previsto no inciso II, a ser recebido em decorrência da retirada de patrocínio.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F7344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10EF5194" w14:textId="107DE4D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7FFE7EE"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2º Para a efetivação das opções de que trata o inciso II do caput, os valores apurados na avaliação atuarial da retirada de patrocínio, na data do cálculo, devem ser atualizados até a data da efetiva liquidação do compromisso, observando: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71685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Para a efetivação das opções de que trata o inciso II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os valores apurados na avaliação atuarial da retirada de patrocínio, na data do cálculo, devem ser atualizados até a data da efetiva liquidação do compromisso, observando: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BC5AA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AB9CFF9" w14:textId="27D2AE2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8194D31"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a rentabilidade líquida do patrimônio do plano de benefícios, no caso de retirada total;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B33402"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a rentabilidade líquida do patrimônio do plano de benefícios, no caso de retirada total;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DEF71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54D4592" w14:textId="62D4EB4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56C5A27"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II - a rentabilidade líquida da parcela patrimonial vinculada ao grupo que se retira do plano de benefícios, no caso de retirada parcial.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CB43B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a rentabilidade líquida da parcela patrimonial vinculada ao grupo que se retira do plano de benefícios, no caso de retirada parcial.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F18A24"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BCFA9EC" w14:textId="130E94A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072B840" w14:textId="77777777" w:rsidR="00E31838" w:rsidRPr="0010524E" w:rsidRDefault="00E31838" w:rsidP="000053DA">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132A4B" w14:textId="18D95364" w:rsidR="00E31838" w:rsidRPr="0010524E" w:rsidRDefault="00E31838" w:rsidP="000053DA">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highlight w:val="yellow"/>
                <w:lang w:eastAsia="pt-BR"/>
                <w14:ligatures w14:val="none"/>
              </w:rPr>
              <w:t xml:space="preserve">Art. 92  </w:t>
            </w:r>
            <w:r w:rsidRPr="0010524E">
              <w:rPr>
                <w:rFonts w:ascii="Calibri" w:eastAsia="Times New Roman" w:hAnsi="Calibri" w:cs="Calibri"/>
                <w:kern w:val="0"/>
                <w:sz w:val="24"/>
                <w:szCs w:val="24"/>
                <w:highlight w:val="yellow"/>
                <w:lang w:eastAsia="pt-BR"/>
                <w14:ligatures w14:val="none"/>
              </w:rPr>
              <w:t>A EFPC deve finalizar a liquidação dos compromissos previstos no termo de retirada de patrocínio ou de rescisão unilateral, no prazo máximo de duzentos e dez dias, contados da data do cálculo.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4A5E2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p w14:paraId="3D5381F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Prever prazo para liquidação dos compromissos decorrentes da operação com os participantes e assistidos. </w:t>
            </w:r>
          </w:p>
          <w:p w14:paraId="7F5BF67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p w14:paraId="3E0BF556" w14:textId="72260E1E"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76CD0C78" w14:textId="5AFC05C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8B6C018"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Art. 9º A EFPC, quando o participante ou assistido não for localizado, permanecer inerte ou recusar-se a receber o valor a que faz jus em razão da retirada de patrocínio, deve adotar, no prazo de sessenta dias, contados da data efetiva, quaisquer das medidas a seguir: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F407D9" w14:textId="3BD36917" w:rsidR="00E31838" w:rsidRPr="0010524E" w:rsidRDefault="00E31838" w:rsidP="00F66347">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bookmarkStart w:id="15" w:name="_Ref138844380"/>
            <w:r>
              <w:rPr>
                <w:rFonts w:ascii="Calibri" w:eastAsia="Times New Roman" w:hAnsi="Calibri" w:cs="Calibri"/>
                <w:kern w:val="0"/>
                <w:sz w:val="24"/>
                <w:szCs w:val="24"/>
                <w:lang w:eastAsia="pt-BR"/>
                <w14:ligatures w14:val="none"/>
              </w:rPr>
              <w:t xml:space="preserve">Art. 92.  </w:t>
            </w:r>
            <w:r w:rsidRPr="0010524E">
              <w:rPr>
                <w:rFonts w:ascii="Calibri" w:eastAsia="Times New Roman" w:hAnsi="Calibri" w:cs="Calibri"/>
                <w:kern w:val="0"/>
                <w:sz w:val="24"/>
                <w:szCs w:val="24"/>
                <w:lang w:eastAsia="pt-BR"/>
                <w14:ligatures w14:val="none"/>
              </w:rPr>
              <w:t>A EFPC, quando o participante ou assistido não for localizado, permanecer inerte ou recusar-se a receber o valor a que faz jus em razão da retirada de patrocínio, deve adotar, no prazo de sessenta dias, contados da data efetiva, quaisquer das medidas a seguir:</w:t>
            </w:r>
            <w:bookmarkEnd w:id="15"/>
            <w:r w:rsidRPr="0010524E">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DDF35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776A0A43" w14:textId="1901E25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3645CE4"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depósito em conta corrente, de pagamento ou de poupança em instituição financeira ou outra instituição autorizada a funcionar pelo Banco Central do Brasil, de que o participante ou assistido seja titular;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4C7610"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depósito em conta corrente, de pagamento ou de poupança em instituição financeira ou outra instituição autorizada a funcionar pelo Banco Central do Brasil, de que o participante ou assistido seja titular;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5A187C"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05820412" w14:textId="137A323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A18958A"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proposição de ação de consignação judicial ou extrajudicial em pagamento, nos termos do código de processo civil.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2DA9DF"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proposição de ação de consignação judicial ou extrajudicial em pagamento, nos termos do código de processo civil.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DAA893"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3FE8DA6A" w14:textId="0CBD876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7E2D2E5"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lastRenderedPageBreak/>
              <w:t>§ 1º Na impossibilidade de adoção das medidas previstas nos incisos do caput, a EFPC pode: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C1896A"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Na impossibilidade de adoção das medidas previstas nos incisos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a EFPC pode: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C16267"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2C022031" w14:textId="6883448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30FFBE8"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 - registrar o valor em rubrica apropriada no exigível operacional do plano de benefícios objeto de retirada parcial, ou do Plano de Gestão Administrativa, no caso de retirada total, desde que a EFPC permaneça em funcionamento;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3FE698"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registrar o valor em rubrica apropriada no exigível operacional do plano de benefícios objeto de retirada parcial, ou do Plano de Gestão Administrativa, no caso de retirada total, desde que a EFPC permaneça em funcionamento;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7E43F6"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71A32386" w14:textId="42DD358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899B9E3"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II - adotar outra medida administrativa que possibilite a liquidação dos compromissos oriundos da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7D1B3E"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adotar outra medida administrativa que possibilite a liquidação dos compromissos oriundos da retirada de patrocínio.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8B1B4D"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6663AF04" w14:textId="131B108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A96C19F" w14:textId="77777777" w:rsidR="00E31838" w:rsidRPr="0010524E" w:rsidRDefault="00E31838" w:rsidP="000053DA">
            <w:pPr>
              <w:spacing w:after="0"/>
              <w:jc w:val="both"/>
              <w:rPr>
                <w:rFonts w:ascii="Calibri" w:hAnsi="Calibri" w:cs="Calibri"/>
                <w:sz w:val="24"/>
                <w:szCs w:val="24"/>
              </w:rPr>
            </w:pPr>
            <w:r w:rsidRPr="0010524E">
              <w:rPr>
                <w:rFonts w:ascii="Calibri" w:hAnsi="Calibri" w:cs="Calibri"/>
                <w:sz w:val="24"/>
                <w:szCs w:val="24"/>
              </w:rPr>
              <w:t>§ 2º A EFPC pode descontar dos valores contabilizados nos termos do § 1º as despesas decorrentes da sua administração, limitado ao valor a que fizer jus o participante ou assistido.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8EA0A5"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§2º  A EFPC pode descontar dos valores contabilizados nos termos do §1º as despesas decorrentes da sua administração, limitado ao valor a que fizer jus o participante ou assistido.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B5900B" w14:textId="77777777" w:rsidR="00E31838" w:rsidRPr="0010524E" w:rsidRDefault="00E31838" w:rsidP="000053DA">
            <w:pPr>
              <w:spacing w:after="0"/>
              <w:jc w:val="both"/>
              <w:rPr>
                <w:rFonts w:ascii="Calibri" w:eastAsia="Times New Roman" w:hAnsi="Calibri" w:cs="Calibri"/>
                <w:kern w:val="0"/>
                <w:sz w:val="24"/>
                <w:szCs w:val="24"/>
                <w:lang w:eastAsia="pt-BR"/>
                <w14:ligatures w14:val="none"/>
              </w:rPr>
            </w:pPr>
          </w:p>
        </w:tc>
      </w:tr>
      <w:tr w:rsidR="00E31838" w:rsidRPr="0010524E" w14:paraId="408CDCAF"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A8D8ECD" w14:textId="15027E25" w:rsidR="00E31838" w:rsidRPr="0010524E" w:rsidRDefault="00E31838" w:rsidP="00A24E18">
            <w:pPr>
              <w:spacing w:after="0"/>
              <w:jc w:val="both"/>
              <w:rPr>
                <w:rFonts w:ascii="Calibri" w:hAnsi="Calibri" w:cs="Calibri"/>
                <w:sz w:val="24"/>
                <w:szCs w:val="24"/>
              </w:rPr>
            </w:pPr>
            <w:r w:rsidRPr="0010524E">
              <w:rPr>
                <w:rFonts w:ascii="Calibri" w:hAnsi="Calibri" w:cs="Calibri"/>
                <w:sz w:val="24"/>
                <w:szCs w:val="24"/>
              </w:rPr>
              <w:t>Art. 10. A rescisão unilateral de convênio de adesão somente pode ser adotada mediante aprovação pelo órgão estatutário competente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AC3100" w14:textId="1BAE1541" w:rsidR="00E31838" w:rsidRDefault="00E31838" w:rsidP="00A24E18">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96.  </w:t>
            </w:r>
            <w:r w:rsidRPr="00F66347">
              <w:rPr>
                <w:rFonts w:ascii="Calibri" w:eastAsia="Times New Roman" w:hAnsi="Calibri" w:cs="Calibri"/>
                <w:kern w:val="0"/>
                <w:sz w:val="24"/>
                <w:szCs w:val="24"/>
                <w:lang w:eastAsia="pt-BR"/>
                <w14:ligatures w14:val="none"/>
              </w:rPr>
              <w:t xml:space="preserve">A rescisão unilateral de convênio de adesão somente pode ser adotada mediante aprovação pelo órgão estatutário competente da EFPC.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E0C7BB" w14:textId="6ACB79B0" w:rsidR="00E31838" w:rsidRPr="0010524E" w:rsidRDefault="00E31838" w:rsidP="00A24E18">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o art. 96 da consolidação</w:t>
            </w:r>
          </w:p>
        </w:tc>
      </w:tr>
      <w:tr w:rsidR="00E31838" w:rsidRPr="0010524E" w14:paraId="79C89310"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6FAFED0" w14:textId="6471B519" w:rsidR="00E31838" w:rsidRPr="0010524E" w:rsidRDefault="00E31838" w:rsidP="00A24E18">
            <w:pPr>
              <w:spacing w:after="0"/>
              <w:jc w:val="both"/>
              <w:rPr>
                <w:rFonts w:ascii="Calibri" w:hAnsi="Calibri" w:cs="Calibri"/>
                <w:sz w:val="24"/>
                <w:szCs w:val="24"/>
              </w:rPr>
            </w:pPr>
            <w:r w:rsidRPr="0010524E">
              <w:rPr>
                <w:rFonts w:ascii="Calibri" w:hAnsi="Calibri" w:cs="Calibri"/>
                <w:sz w:val="24"/>
                <w:szCs w:val="24"/>
              </w:rPr>
              <w:t>Art. 11. A EFPC deve, no prazo de dez dias úteis, contados da data da aprovação de que trata o art. 10:</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0E5838" w14:textId="7D6CF7B1" w:rsidR="00E31838" w:rsidRDefault="00E31838" w:rsidP="00A24E18">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5B0A20" w14:textId="62C6E715" w:rsidR="00E31838" w:rsidRPr="0010524E" w:rsidRDefault="00E31838" w:rsidP="00A24E18">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o art. 97 da consolidação</w:t>
            </w:r>
          </w:p>
        </w:tc>
      </w:tr>
      <w:tr w:rsidR="00E31838" w:rsidRPr="0010524E" w14:paraId="79FA3A85"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3D5DC6F" w14:textId="07E22DFF" w:rsidR="00E31838" w:rsidRPr="0010524E" w:rsidRDefault="00E31838" w:rsidP="00A24E18">
            <w:pPr>
              <w:spacing w:after="0"/>
              <w:jc w:val="both"/>
              <w:rPr>
                <w:rFonts w:ascii="Calibri" w:hAnsi="Calibri" w:cs="Calibri"/>
                <w:sz w:val="24"/>
                <w:szCs w:val="24"/>
              </w:rPr>
            </w:pPr>
            <w:r w:rsidRPr="0010524E">
              <w:rPr>
                <w:rFonts w:ascii="Calibri" w:hAnsi="Calibri" w:cs="Calibri"/>
                <w:sz w:val="24"/>
                <w:szCs w:val="24"/>
              </w:rPr>
              <w:t>I - dar ciência ao patrocinador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E767055" w14:textId="58674566" w:rsidR="00E31838" w:rsidRDefault="00E31838" w:rsidP="00A24E18">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C036D6" w14:textId="13B85F9A" w:rsidR="00E31838" w:rsidRPr="0010524E" w:rsidRDefault="00E31838" w:rsidP="00A24E18">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o art. 97 da consolidação</w:t>
            </w:r>
          </w:p>
        </w:tc>
      </w:tr>
      <w:tr w:rsidR="00E31838" w:rsidRPr="0010524E" w14:paraId="09E36801"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32FFB7B" w14:textId="4A70BD54" w:rsidR="00E31838" w:rsidRPr="0010524E" w:rsidRDefault="00E31838" w:rsidP="00A24E18">
            <w:pPr>
              <w:spacing w:after="0"/>
              <w:jc w:val="both"/>
              <w:rPr>
                <w:rFonts w:ascii="Calibri" w:hAnsi="Calibri" w:cs="Calibri"/>
                <w:sz w:val="24"/>
                <w:szCs w:val="24"/>
              </w:rPr>
            </w:pPr>
            <w:r w:rsidRPr="0010524E">
              <w:rPr>
                <w:rFonts w:ascii="Calibri" w:hAnsi="Calibri" w:cs="Calibri"/>
                <w:sz w:val="24"/>
                <w:szCs w:val="24"/>
              </w:rPr>
              <w:lastRenderedPageBreak/>
              <w:t>II - comunicar a decisão aos participantes e assistidos vinculados ao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CF568E" w14:textId="0CDE3CE3" w:rsidR="00E31838" w:rsidRDefault="00E31838" w:rsidP="00A24E18">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385A41" w14:textId="2338481A" w:rsidR="00E31838" w:rsidRPr="0010524E" w:rsidRDefault="00E31838" w:rsidP="00A24E18">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o art. 97 da consolidação</w:t>
            </w:r>
          </w:p>
        </w:tc>
      </w:tr>
      <w:tr w:rsidR="00E31838" w:rsidRPr="0010524E" w14:paraId="2F8D7CE5"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E128E29" w14:textId="69AC993F" w:rsidR="00E31838" w:rsidRPr="0010524E" w:rsidRDefault="00E31838" w:rsidP="00A24E18">
            <w:pPr>
              <w:spacing w:after="0"/>
              <w:jc w:val="both"/>
              <w:rPr>
                <w:rFonts w:ascii="Calibri" w:hAnsi="Calibri" w:cs="Calibri"/>
                <w:sz w:val="24"/>
                <w:szCs w:val="24"/>
              </w:rPr>
            </w:pPr>
            <w:r w:rsidRPr="0010524E">
              <w:rPr>
                <w:rFonts w:ascii="Calibri" w:hAnsi="Calibri" w:cs="Calibri"/>
                <w:sz w:val="24"/>
                <w:szCs w:val="24"/>
              </w:rPr>
              <w:t>III - dar ciência aos patrocinadores remanescentes do plano de benefícios, se houver;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E4B5DB" w14:textId="44D29A58" w:rsidR="00E31838" w:rsidRDefault="00E31838" w:rsidP="00A24E18">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2148CE" w14:textId="4132C6EA" w:rsidR="00E31838" w:rsidRPr="0010524E" w:rsidRDefault="00E31838" w:rsidP="00A24E18">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o art. 97 da consolidação</w:t>
            </w:r>
          </w:p>
        </w:tc>
      </w:tr>
      <w:tr w:rsidR="00E31838" w:rsidRPr="0010524E" w14:paraId="6D0BB14C"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1FD3947" w14:textId="52C43A0B" w:rsidR="00E31838" w:rsidRPr="0010524E" w:rsidRDefault="00E31838" w:rsidP="00A24E18">
            <w:pPr>
              <w:spacing w:after="0"/>
              <w:jc w:val="both"/>
              <w:rPr>
                <w:rFonts w:ascii="Calibri" w:hAnsi="Calibri" w:cs="Calibri"/>
                <w:sz w:val="24"/>
                <w:szCs w:val="24"/>
              </w:rPr>
            </w:pPr>
            <w:r w:rsidRPr="0010524E">
              <w:rPr>
                <w:rFonts w:ascii="Calibri" w:hAnsi="Calibri" w:cs="Calibri"/>
                <w:sz w:val="24"/>
                <w:szCs w:val="24"/>
              </w:rPr>
              <w:t xml:space="preserve">IV - iniciar os procedimentos necessários à realização da operação.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A8B3BB3" w14:textId="5E77FF8D" w:rsidR="00E31838" w:rsidRDefault="00E31838" w:rsidP="00A24E18">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7E12E0" w14:textId="5405E50F" w:rsidR="00E31838" w:rsidRPr="0010524E" w:rsidRDefault="00E31838" w:rsidP="00A24E18">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o art. 97 da consolidação</w:t>
            </w:r>
          </w:p>
        </w:tc>
      </w:tr>
      <w:tr w:rsidR="00E31838" w:rsidRPr="0010524E" w14:paraId="752E903F"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1309EF4" w14:textId="0EBF024D"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Art. 12. O termo de rescisão unilateral deve tratar,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4ED009" w14:textId="6E5703FF" w:rsidR="00E31838" w:rsidRDefault="00E31838" w:rsidP="003700FF">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78F9122" w14:textId="36206374"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082D33">
              <w:rPr>
                <w:rFonts w:ascii="Calibri" w:eastAsia="Times New Roman" w:hAnsi="Calibri" w:cs="Calibri"/>
                <w:kern w:val="0"/>
                <w:sz w:val="24"/>
                <w:szCs w:val="24"/>
                <w:lang w:eastAsia="pt-BR"/>
                <w14:ligatures w14:val="none"/>
              </w:rPr>
              <w:t>Realocado para o art. 98 da consolidação</w:t>
            </w:r>
          </w:p>
        </w:tc>
      </w:tr>
      <w:tr w:rsidR="00E31838" w:rsidRPr="0010524E" w14:paraId="59CFE415"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660C01E" w14:textId="207B7ED3"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I - dos critérios e dos procedimentos relativos à segregação patrimonial do plano de benefícios, no caso de rescisão unilateral parcial;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B702DC" w14:textId="1B414753" w:rsidR="00E31838" w:rsidRDefault="00E31838" w:rsidP="003700FF">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FF58218" w14:textId="37F3132A"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082D33">
              <w:rPr>
                <w:rFonts w:ascii="Calibri" w:eastAsia="Times New Roman" w:hAnsi="Calibri" w:cs="Calibri"/>
                <w:kern w:val="0"/>
                <w:sz w:val="24"/>
                <w:szCs w:val="24"/>
                <w:lang w:eastAsia="pt-BR"/>
                <w14:ligatures w14:val="none"/>
              </w:rPr>
              <w:t>Realocado para o art. 98 da consolidação</w:t>
            </w:r>
          </w:p>
        </w:tc>
      </w:tr>
      <w:tr w:rsidR="00E31838" w:rsidRPr="0010524E" w14:paraId="28D28E45"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76DE441" w14:textId="409DB5C5"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II - dos critérios de rateio dos fundos, da reserva especial ou do déficit técnico, apurado na avaliação atuarial de rescisão unilateral, entre o patrocinador objeto da rescisão unilateral de convênio de adesão, de um lado, e os respectivos participantes e assistidos, de outro, nos termos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DA574B" w14:textId="3259EE08" w:rsidR="00E31838" w:rsidRDefault="00E31838" w:rsidP="003700FF">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C53D599" w14:textId="59E51B6C"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082D33">
              <w:rPr>
                <w:rFonts w:ascii="Calibri" w:eastAsia="Times New Roman" w:hAnsi="Calibri" w:cs="Calibri"/>
                <w:kern w:val="0"/>
                <w:sz w:val="24"/>
                <w:szCs w:val="24"/>
                <w:lang w:eastAsia="pt-BR"/>
                <w14:ligatures w14:val="none"/>
              </w:rPr>
              <w:t>Realocado para o art. 98 da consolidação</w:t>
            </w:r>
          </w:p>
        </w:tc>
      </w:tr>
      <w:tr w:rsidR="00E31838" w:rsidRPr="0010524E" w14:paraId="6043C3D2"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0A8AFE7" w14:textId="764347A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III - do critério de individualização dos fundos, da reserva de contingência e da reserva especial ou do déficit técnico, apurado na avaliação atuarial de rescisão unilateral, entre participantes e assistidos, nos termos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710BA8" w14:textId="3F0D6932" w:rsidR="00E31838" w:rsidRDefault="00E31838" w:rsidP="003700FF">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5D90498" w14:textId="262D1244"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082D33">
              <w:rPr>
                <w:rFonts w:ascii="Calibri" w:eastAsia="Times New Roman" w:hAnsi="Calibri" w:cs="Calibri"/>
                <w:kern w:val="0"/>
                <w:sz w:val="24"/>
                <w:szCs w:val="24"/>
                <w:lang w:eastAsia="pt-BR"/>
                <w14:ligatures w14:val="none"/>
              </w:rPr>
              <w:t>Realocado para o art. 98 da consolidação</w:t>
            </w:r>
          </w:p>
        </w:tc>
      </w:tr>
      <w:tr w:rsidR="00E31838" w:rsidRPr="0010524E" w14:paraId="304B66BC"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9019657" w14:textId="1A9EFB1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lastRenderedPageBreak/>
              <w:t>IV - das demais obrigações do plano de benefícios, em face da rescisão unilateral de convênio de adesão, nos termos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F174A0" w14:textId="0089772A" w:rsidR="00E31838" w:rsidRDefault="00E31838" w:rsidP="003700FF">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1402FB" w14:textId="0676860D"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082D33">
              <w:rPr>
                <w:rFonts w:ascii="Calibri" w:eastAsia="Times New Roman" w:hAnsi="Calibri" w:cs="Calibri"/>
                <w:kern w:val="0"/>
                <w:sz w:val="24"/>
                <w:szCs w:val="24"/>
                <w:lang w:eastAsia="pt-BR"/>
                <w14:ligatures w14:val="none"/>
              </w:rPr>
              <w:t>Realocado para o art. 98 da consolidação</w:t>
            </w:r>
          </w:p>
        </w:tc>
      </w:tr>
      <w:tr w:rsidR="00E31838" w:rsidRPr="0010524E" w14:paraId="1799095E"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7B1193B" w14:textId="63E8FBAC"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V - da responsabilidade sobre demandas judiciais ou extrajudiciais relacionadas ao plano de benefícios, ocorridas após a data do cálculo;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21CB98" w14:textId="34AD2B20" w:rsidR="00E31838" w:rsidRDefault="00E31838" w:rsidP="003700FF">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B8C53EB" w14:textId="2872AC70"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082D33">
              <w:rPr>
                <w:rFonts w:ascii="Calibri" w:eastAsia="Times New Roman" w:hAnsi="Calibri" w:cs="Calibri"/>
                <w:kern w:val="0"/>
                <w:sz w:val="24"/>
                <w:szCs w:val="24"/>
                <w:lang w:eastAsia="pt-BR"/>
                <w14:ligatures w14:val="none"/>
              </w:rPr>
              <w:t>Realocado para o art. 98 da consolidação</w:t>
            </w:r>
          </w:p>
        </w:tc>
      </w:tr>
      <w:tr w:rsidR="00E31838" w:rsidRPr="0010524E" w14:paraId="42FF5610"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CC368A3" w14:textId="7189D65B"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VI - dos prazos, contados a partir da data do cálculo, para: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923830" w14:textId="725C2C30" w:rsidR="00E31838" w:rsidRDefault="00E31838" w:rsidP="003700FF">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78276C2" w14:textId="14FC8C02"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082D33">
              <w:rPr>
                <w:rFonts w:ascii="Calibri" w:eastAsia="Times New Roman" w:hAnsi="Calibri" w:cs="Calibri"/>
                <w:kern w:val="0"/>
                <w:sz w:val="24"/>
                <w:szCs w:val="24"/>
                <w:lang w:eastAsia="pt-BR"/>
                <w14:ligatures w14:val="none"/>
              </w:rPr>
              <w:t>Realocado para o art. 98 da consolidação</w:t>
            </w:r>
          </w:p>
        </w:tc>
      </w:tr>
      <w:tr w:rsidR="00E31838" w:rsidRPr="0010524E" w14:paraId="7DC87B42"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8958298" w14:textId="7AC8521A"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a) a disponibilização dos termos de opção aos participantes e assistidos;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BFF8CD" w14:textId="5518104E" w:rsidR="00E31838" w:rsidRDefault="00E31838" w:rsidP="003700FF">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1B8CCC8" w14:textId="41C38269"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082D33">
              <w:rPr>
                <w:rFonts w:ascii="Calibri" w:eastAsia="Times New Roman" w:hAnsi="Calibri" w:cs="Calibri"/>
                <w:kern w:val="0"/>
                <w:sz w:val="24"/>
                <w:szCs w:val="24"/>
                <w:lang w:eastAsia="pt-BR"/>
                <w14:ligatures w14:val="none"/>
              </w:rPr>
              <w:t>Realocado para o art. 98 da consolidação</w:t>
            </w:r>
          </w:p>
        </w:tc>
      </w:tr>
      <w:tr w:rsidR="00E31838" w:rsidRPr="0010524E" w14:paraId="0D91A55B"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FB2EBE7" w14:textId="6878CEBF"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b) o período de opção;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10D3D5" w14:textId="173660EC" w:rsidR="00E31838" w:rsidRDefault="00E31838" w:rsidP="003700FF">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69B8731" w14:textId="2BE5946F"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082D33">
              <w:rPr>
                <w:rFonts w:ascii="Calibri" w:eastAsia="Times New Roman" w:hAnsi="Calibri" w:cs="Calibri"/>
                <w:kern w:val="0"/>
                <w:sz w:val="24"/>
                <w:szCs w:val="24"/>
                <w:lang w:eastAsia="pt-BR"/>
                <w14:ligatures w14:val="none"/>
              </w:rPr>
              <w:t>Realocado para o art. 98 da consolidação</w:t>
            </w:r>
          </w:p>
        </w:tc>
      </w:tr>
      <w:tr w:rsidR="00E31838" w:rsidRPr="0010524E" w14:paraId="6576F135"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7814BBB" w14:textId="0E000839"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c) a fixação da data efetiva;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431D33" w14:textId="1C30F662" w:rsidR="00E31838" w:rsidRDefault="00E31838" w:rsidP="003700FF">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7C40650" w14:textId="34241A8C"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082D33">
              <w:rPr>
                <w:rFonts w:ascii="Calibri" w:eastAsia="Times New Roman" w:hAnsi="Calibri" w:cs="Calibri"/>
                <w:kern w:val="0"/>
                <w:sz w:val="24"/>
                <w:szCs w:val="24"/>
                <w:lang w:eastAsia="pt-BR"/>
                <w14:ligatures w14:val="none"/>
              </w:rPr>
              <w:t>Realocado para o art. 98 da consolidação</w:t>
            </w:r>
          </w:p>
        </w:tc>
      </w:tr>
      <w:tr w:rsidR="00E31838" w:rsidRPr="0010524E" w14:paraId="4D6F5531"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F106D9A" w14:textId="15F61EDA"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VII - das opções oferecidas aos participantes e assistidos vinculados ao patrocinador do plano de benefícios objeto da rescisão unilateral de convênio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495D46" w14:textId="1D68CD5E" w:rsidR="00E31838" w:rsidRDefault="00E31838" w:rsidP="003700FF">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D8C2657" w14:textId="77158DFC"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082D33">
              <w:rPr>
                <w:rFonts w:ascii="Calibri" w:eastAsia="Times New Roman" w:hAnsi="Calibri" w:cs="Calibri"/>
                <w:kern w:val="0"/>
                <w:sz w:val="24"/>
                <w:szCs w:val="24"/>
                <w:lang w:eastAsia="pt-BR"/>
                <w14:ligatures w14:val="none"/>
              </w:rPr>
              <w:t>Realocado para o art. 98 da consolidação</w:t>
            </w:r>
          </w:p>
        </w:tc>
      </w:tr>
      <w:tr w:rsidR="00E31838" w:rsidRPr="0010524E" w14:paraId="73D9D4FC"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324255F" w14:textId="0B94852D"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w:t>
            </w:r>
            <w:r w:rsidRPr="0010524E">
              <w:rPr>
                <w:rFonts w:ascii="Calibri" w:hAnsi="Calibri" w:cs="Calibri"/>
                <w:sz w:val="24"/>
                <w:szCs w:val="24"/>
              </w:rPr>
              <w:lastRenderedPageBreak/>
              <w:t>receber o valor a que faz jus em razão da rescisão unilateral de convênio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BA8EEB" w14:textId="589B58BA" w:rsidR="00E31838" w:rsidRDefault="00E31838" w:rsidP="003700FF">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C09AC4D" w14:textId="1F945A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082D33">
              <w:rPr>
                <w:rFonts w:ascii="Calibri" w:eastAsia="Times New Roman" w:hAnsi="Calibri" w:cs="Calibri"/>
                <w:kern w:val="0"/>
                <w:sz w:val="24"/>
                <w:szCs w:val="24"/>
                <w:lang w:eastAsia="pt-BR"/>
                <w14:ligatures w14:val="none"/>
              </w:rPr>
              <w:t>Realocado para o art. 98 da consolidação</w:t>
            </w:r>
          </w:p>
        </w:tc>
      </w:tr>
      <w:tr w:rsidR="00E31838" w:rsidRPr="0010524E" w14:paraId="49E96391"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6CCBD30" w14:textId="4DE3DDE9"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8294CE" w14:textId="5AA7BFA5" w:rsidR="00E31838" w:rsidRDefault="00E31838" w:rsidP="003700FF">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7938FC8" w14:textId="77758B3D"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082D33">
              <w:rPr>
                <w:rFonts w:ascii="Calibri" w:eastAsia="Times New Roman" w:hAnsi="Calibri" w:cs="Calibri"/>
                <w:kern w:val="0"/>
                <w:sz w:val="24"/>
                <w:szCs w:val="24"/>
                <w:lang w:eastAsia="pt-BR"/>
                <w14:ligatures w14:val="none"/>
              </w:rPr>
              <w:t>Realocado para o art. 98 da consolidação</w:t>
            </w:r>
          </w:p>
        </w:tc>
      </w:tr>
      <w:tr w:rsidR="00E31838" w:rsidRPr="0010524E" w14:paraId="22C98A4D"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99D8A78" w14:textId="55C5F530"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X - das medidas judiciais ou extrajudiciais que a EFPC adotará contra o patrocinador, quando couber.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D5DA6F" w14:textId="1B0372C7" w:rsidR="00E31838" w:rsidRDefault="00E31838" w:rsidP="003700FF">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629C10B" w14:textId="02D45F0F"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082D33">
              <w:rPr>
                <w:rFonts w:ascii="Calibri" w:eastAsia="Times New Roman" w:hAnsi="Calibri" w:cs="Calibri"/>
                <w:kern w:val="0"/>
                <w:sz w:val="24"/>
                <w:szCs w:val="24"/>
                <w:lang w:eastAsia="pt-BR"/>
                <w14:ligatures w14:val="none"/>
              </w:rPr>
              <w:t>Realocado para o art. 98 da consolidação</w:t>
            </w:r>
          </w:p>
        </w:tc>
      </w:tr>
      <w:tr w:rsidR="00E31838" w:rsidRPr="0010524E" w14:paraId="51297CD7"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8CB6598" w14:textId="06AB36ED"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Art. 13. O disposto nos arts. 4º e 6º ao 9º aplica-se à rescisão unilateral de convênio de adesão, no que couber.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0545D9" w14:textId="048FF261" w:rsidR="00E31838" w:rsidRDefault="00E31838" w:rsidP="003700FF">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555033" w14:textId="184AB1B4" w:rsidR="00E31838" w:rsidRPr="0010524E" w:rsidRDefault="00E31838" w:rsidP="003700FF">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o art. 99 da consolidação</w:t>
            </w:r>
          </w:p>
        </w:tc>
      </w:tr>
      <w:tr w:rsidR="00E31838" w:rsidRPr="0010524E" w14:paraId="7EFF9AEF" w14:textId="214FDB0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93E0F10" w14:textId="7777777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 xml:space="preserve">Art. 14. 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w:t>
            </w:r>
            <w:r w:rsidRPr="0010524E">
              <w:rPr>
                <w:rFonts w:ascii="Calibri" w:hAnsi="Calibri" w:cs="Calibri"/>
                <w:sz w:val="24"/>
                <w:szCs w:val="24"/>
              </w:rPr>
              <w:lastRenderedPageBreak/>
              <w:t>data do cálculo, a partir das contribuições normais vertidas nesse período.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D48DC9" w14:textId="227B89EE" w:rsidR="00E31838" w:rsidRPr="00F66347" w:rsidRDefault="00E31838" w:rsidP="003700FF">
            <w:pPr>
              <w:tabs>
                <w:tab w:val="left" w:pos="993"/>
              </w:tabs>
              <w:spacing w:after="120"/>
              <w:jc w:val="both"/>
              <w:rPr>
                <w:rFonts w:ascii="Calibri" w:eastAsia="Times New Roman" w:hAnsi="Calibri" w:cs="Calibri"/>
                <w:kern w:val="0"/>
                <w:sz w:val="24"/>
                <w:szCs w:val="24"/>
                <w:lang w:eastAsia="pt-BR"/>
                <w14:ligatures w14:val="none"/>
              </w:rPr>
            </w:pPr>
            <w:bookmarkStart w:id="16" w:name="_Ref138925640"/>
            <w:r>
              <w:rPr>
                <w:rFonts w:ascii="Calibri" w:eastAsia="Times New Roman" w:hAnsi="Calibri" w:cs="Calibri"/>
                <w:kern w:val="0"/>
                <w:sz w:val="24"/>
                <w:szCs w:val="24"/>
                <w:lang w:eastAsia="pt-BR"/>
                <w14:ligatures w14:val="none"/>
              </w:rPr>
              <w:lastRenderedPageBreak/>
              <w:t xml:space="preserve">Art. 93.  </w:t>
            </w:r>
            <w:r w:rsidRPr="00F66347">
              <w:rPr>
                <w:rFonts w:ascii="Calibri" w:eastAsia="Times New Roman" w:hAnsi="Calibri" w:cs="Calibri"/>
                <w:kern w:val="0"/>
                <w:sz w:val="24"/>
                <w:szCs w:val="24"/>
                <w:lang w:eastAsia="pt-BR"/>
                <w14:ligatures w14:val="none"/>
              </w:rPr>
              <w:t>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w:t>
            </w:r>
            <w:bookmarkEnd w:id="16"/>
            <w:r w:rsidRPr="00F66347">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5041F9"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6A3F4076" w14:textId="0EABA12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EE7CCD8" w14:textId="7777777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 1º Alternativamente ao previsto no caput, e de forma a não haver retenção patrimonial para lastrear exigível contingencial, o patrocinador pode assumir integralmente a responsabilidade sobre os valores decorrentes de condenação em processo judicial ou administrativo após a data do cálculo.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AA4FD1"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Alternativamente ao previsto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e de forma a não haver retenção patrimonial para lastrear exigível contingencial, o patrocinador pode assumir integralmente a responsabilidade sobre os valores decorrentes de condenação em processo judicial ou administrativo após a data do cálculo.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C4B421"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4E236AB1" w14:textId="74F2732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798CCFB" w14:textId="7777777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 2º A responsabilidade assumida na forma do § 1º deve ser registrada no termo de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FC720E"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A responsabilidade assumida na forma do § 1º deve ser registrada no termo de retirada de patrocínio.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B057C0"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00B25014" w14:textId="627C3E3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FC0F193" w14:textId="7777777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 3º Na hipótese prevista no § 1º, os valores registrados no exigível contingencial, na data do cálculo, devem ser integralmente revertidos ao patrimônio de cobertura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00761B"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§3º  Na hipótese prevista no §1º, os valores registrados no exigível contingencial, na data do cálculo, devem ser integralmente revertidos ao patrimônio de cobertura do plano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BFE49D"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5F796923" w14:textId="7ABF1C8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3B6B840" w14:textId="7777777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 4º Na hipótese de não ter havido contribuição normal no período de que trata o caput, deve ser considerada a proporção contributiva adotada pelo menos nos trinta e seis meses que antecederam a redução ou a suspensão das contribuições.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C756CE"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§4º  Na hipótese de não ter havido contribuição normal no período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 ser considerada a proporção contributiva adotada pelo menos nos trinta e seis meses que antecederam a redução ou a suspensão das contribuições.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59DCD3"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23923472" w14:textId="3377E56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FC33F6D" w14:textId="7777777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 xml:space="preserve">§ 5º Os valores revertidos do exigível contingencial podem ser destinados de forma </w:t>
            </w:r>
            <w:r w:rsidRPr="0010524E">
              <w:rPr>
                <w:rFonts w:ascii="Calibri" w:hAnsi="Calibri" w:cs="Calibri"/>
                <w:sz w:val="24"/>
                <w:szCs w:val="24"/>
              </w:rPr>
              <w:lastRenderedPageBreak/>
              <w:t>diversa das previstas neste artigo, desde que mais favorável aos participantes e assistidos.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651F07"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§5º  Os valores revertidos do exigível contingencial podem ser destinados de forma diversa das previstas </w:t>
            </w:r>
            <w:r w:rsidRPr="0010524E">
              <w:rPr>
                <w:rFonts w:ascii="Calibri" w:eastAsia="Times New Roman" w:hAnsi="Calibri" w:cs="Calibri"/>
                <w:kern w:val="0"/>
                <w:sz w:val="24"/>
                <w:szCs w:val="24"/>
                <w:lang w:eastAsia="pt-BR"/>
                <w14:ligatures w14:val="none"/>
              </w:rPr>
              <w:lastRenderedPageBreak/>
              <w:t xml:space="preserve">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desde que mais favorável aos participantes e assistidos.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640EA3"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7E7AEF21" w14:textId="7734CDC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AF2B9DA" w14:textId="7777777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 6º A individualização dos valores de que trata o caput, entre participantes e assistidos, relativamente ao montante que lhes couber, deve observar a proporção das respectivas reservas matemáticas individuais finais, posicionadas na data do cálculo.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D0C221"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§6º  A individualização dos valores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entre participantes e assistidos, relativamente ao montante que lhes couber, deve observar a proporção das respectivas reservas matemáticas individuais finais, posicionadas na data do cálculo.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B42EF9"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42CA93F5" w14:textId="468EEBD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D34BBAD" w14:textId="7777777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 7º Caso o valor da retenção patrimonial referida no caput seja inferior ao da decisão judicial ou administrativa ocorrida após a data do cálculo, caberá ao patrocinador aportar o montante necessário para a sua execução.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10AAE5"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§7º  Caso o valor da retenção patrimonial referida no</w:t>
            </w:r>
            <w:r w:rsidRPr="0010524E">
              <w:rPr>
                <w:rFonts w:ascii="Calibri" w:eastAsia="Times New Roman" w:hAnsi="Calibri" w:cs="Calibri"/>
                <w:b/>
                <w:bCs/>
                <w:kern w:val="0"/>
                <w:sz w:val="24"/>
                <w:szCs w:val="24"/>
                <w:lang w:eastAsia="pt-BR"/>
                <w14:ligatures w14:val="none"/>
              </w:rPr>
              <w:t xml:space="preserve"> caput</w:t>
            </w:r>
            <w:r w:rsidRPr="0010524E">
              <w:rPr>
                <w:rFonts w:ascii="Calibri" w:eastAsia="Times New Roman" w:hAnsi="Calibri" w:cs="Calibri"/>
                <w:kern w:val="0"/>
                <w:sz w:val="24"/>
                <w:szCs w:val="24"/>
                <w:lang w:eastAsia="pt-BR"/>
                <w14:ligatures w14:val="none"/>
              </w:rPr>
              <w:t xml:space="preserve"> seja inferior ao da decisão judicial ou administrativa ocorrida após a data do cálculo, caberá ao patrocinador aportar o montante necessário para a sua execução.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79053B"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3A1C3ECE" w14:textId="4099401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09AEA94" w14:textId="7777777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Art. 15.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 1º e 5º do art. 14.</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262209" w14:textId="05C2A035" w:rsidR="00E31838" w:rsidRPr="00F66347" w:rsidRDefault="00E31838" w:rsidP="003700FF">
            <w:pPr>
              <w:tabs>
                <w:tab w:val="left" w:pos="993"/>
              </w:tabs>
              <w:spacing w:after="120"/>
              <w:jc w:val="both"/>
              <w:rPr>
                <w:rFonts w:ascii="Calibri" w:eastAsia="Times New Roman" w:hAnsi="Calibri" w:cs="Calibri"/>
                <w:kern w:val="0"/>
                <w:sz w:val="24"/>
                <w:szCs w:val="24"/>
                <w:lang w:eastAsia="pt-BR"/>
                <w14:ligatures w14:val="none"/>
              </w:rPr>
            </w:pPr>
            <w:r w:rsidRPr="00F66347">
              <w:rPr>
                <w:rFonts w:ascii="Calibri" w:eastAsia="Times New Roman" w:hAnsi="Calibri" w:cs="Calibri"/>
                <w:kern w:val="0"/>
                <w:sz w:val="24"/>
                <w:szCs w:val="24"/>
                <w:lang w:eastAsia="pt-BR"/>
                <w14:ligatures w14:val="none"/>
              </w:rPr>
              <w:t>Art. 9</w:t>
            </w:r>
            <w:r>
              <w:rPr>
                <w:rFonts w:ascii="Calibri" w:eastAsia="Times New Roman" w:hAnsi="Calibri" w:cs="Calibri"/>
                <w:kern w:val="0"/>
                <w:sz w:val="24"/>
                <w:szCs w:val="24"/>
                <w:lang w:eastAsia="pt-BR"/>
                <w14:ligatures w14:val="none"/>
              </w:rPr>
              <w:t>4</w:t>
            </w:r>
            <w:r w:rsidRPr="00F66347">
              <w:rPr>
                <w:rFonts w:ascii="Calibri" w:eastAsia="Times New Roman" w:hAnsi="Calibri" w:cs="Calibri"/>
                <w:kern w:val="0"/>
                <w:sz w:val="24"/>
                <w:szCs w:val="24"/>
                <w:lang w:eastAsia="pt-BR"/>
                <w14:ligatures w14:val="none"/>
              </w:rPr>
              <w:t xml:space="preserve">.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 1º e 5º do </w:t>
            </w:r>
            <w:r w:rsidRPr="00F66347">
              <w:rPr>
                <w:rFonts w:ascii="Calibri" w:eastAsia="Times New Roman" w:hAnsi="Calibri" w:cs="Calibri"/>
                <w:kern w:val="0"/>
                <w:sz w:val="24"/>
                <w:szCs w:val="24"/>
                <w:lang w:eastAsia="pt-BR"/>
                <w14:ligatures w14:val="none"/>
              </w:rPr>
              <w:fldChar w:fldCharType="begin"/>
            </w:r>
            <w:r w:rsidRPr="00F66347">
              <w:rPr>
                <w:rFonts w:ascii="Calibri" w:eastAsia="Times New Roman" w:hAnsi="Calibri" w:cs="Calibri"/>
                <w:kern w:val="0"/>
                <w:sz w:val="24"/>
                <w:szCs w:val="24"/>
                <w:lang w:eastAsia="pt-BR"/>
                <w14:ligatures w14:val="none"/>
              </w:rPr>
              <w:instrText xml:space="preserve"> REF  _Ref138925640 \* Lower \h \r  \* MERGEFORMAT </w:instrText>
            </w:r>
            <w:r w:rsidRPr="00F66347">
              <w:rPr>
                <w:rFonts w:ascii="Calibri" w:eastAsia="Times New Roman" w:hAnsi="Calibri" w:cs="Calibri"/>
                <w:kern w:val="0"/>
                <w:sz w:val="24"/>
                <w:szCs w:val="24"/>
                <w:lang w:eastAsia="pt-BR"/>
                <w14:ligatures w14:val="none"/>
              </w:rPr>
            </w:r>
            <w:r w:rsidRPr="00F66347">
              <w:rPr>
                <w:rFonts w:ascii="Calibri" w:eastAsia="Times New Roman" w:hAnsi="Calibri" w:cs="Calibri"/>
                <w:kern w:val="0"/>
                <w:sz w:val="24"/>
                <w:szCs w:val="24"/>
                <w:lang w:eastAsia="pt-BR"/>
                <w14:ligatures w14:val="none"/>
              </w:rPr>
              <w:fldChar w:fldCharType="separate"/>
            </w:r>
            <w:r w:rsidRPr="00F66347">
              <w:rPr>
                <w:rFonts w:ascii="Calibri" w:eastAsia="Times New Roman" w:hAnsi="Calibri" w:cs="Calibri"/>
                <w:kern w:val="0"/>
                <w:sz w:val="24"/>
                <w:szCs w:val="24"/>
                <w:lang w:eastAsia="pt-BR"/>
                <w14:ligatures w14:val="none"/>
              </w:rPr>
              <w:t xml:space="preserve">art.93.  </w:t>
            </w:r>
            <w:r w:rsidRPr="00F66347">
              <w:rPr>
                <w:rFonts w:ascii="Calibri" w:eastAsia="Times New Roman" w:hAnsi="Calibri" w:cs="Calibri"/>
                <w:kern w:val="0"/>
                <w:sz w:val="24"/>
                <w:szCs w:val="24"/>
                <w:lang w:eastAsia="pt-BR"/>
                <w14:ligatures w14:val="none"/>
              </w:rPr>
              <w:fldChar w:fldCharType="end"/>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F466E6"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4A721A28" w14:textId="6D0DE83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8A2269D" w14:textId="7777777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Art. 16. O disposto nesta Resolução aplica-se à retirada de instituidor, observadas a legislação aplicável e as peculiaridades dos respectivos planos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B03206" w14:textId="102968D2" w:rsidR="00E31838" w:rsidRPr="00F66347" w:rsidRDefault="00E31838" w:rsidP="003700F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95.  </w:t>
            </w:r>
            <w:r w:rsidRPr="00F66347">
              <w:rPr>
                <w:rFonts w:ascii="Calibri" w:eastAsia="Times New Roman" w:hAnsi="Calibri" w:cs="Calibri"/>
                <w:kern w:val="0"/>
                <w:sz w:val="24"/>
                <w:szCs w:val="24"/>
                <w:lang w:eastAsia="pt-BR"/>
                <w14:ligatures w14:val="none"/>
              </w:rPr>
              <w:t xml:space="preserve">O disposto nesta subseção aplica-se, no que couber, à retirada de instituidor, observadas as peculiaridades dos respectivos planos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7BD39E"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05E5229D" w14:textId="3F53A59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6624E7F" w14:textId="7777777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lastRenderedPageBreak/>
              <w:t>Art. 17. Esta Resolução entra em vigor em 1º de outubro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6A0912"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EAD474"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w:t>
            </w:r>
          </w:p>
        </w:tc>
      </w:tr>
      <w:tr w:rsidR="00E31838" w:rsidRPr="0010524E" w14:paraId="3C313E36" w14:textId="58E422D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35B2D71" w14:textId="77777777"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EAF262" w14:textId="77777777" w:rsidR="00E31838" w:rsidRPr="0010524E" w:rsidRDefault="00E31838" w:rsidP="003700FF">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VIII</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618B7E"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2B62B596" w14:textId="51B0D7E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82C6480" w14:textId="77777777"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1855E5" w14:textId="109AF6DE" w:rsidR="00E31838" w:rsidRPr="0010524E" w:rsidRDefault="00E31838" w:rsidP="003700FF">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Rescisão unilateral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A41266"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47752F75" w14:textId="1E647F2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4DD0FDE" w14:textId="039C0CB7"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B658FE" w14:textId="42297F4E" w:rsidR="00E31838" w:rsidRPr="00F66347" w:rsidRDefault="00E31838" w:rsidP="003700FF">
            <w:pPr>
              <w:tabs>
                <w:tab w:val="left" w:pos="993"/>
              </w:tabs>
              <w:spacing w:after="120"/>
              <w:jc w:val="both"/>
              <w:rPr>
                <w:rFonts w:ascii="Calibri" w:eastAsia="Times New Roman" w:hAnsi="Calibri" w:cs="Calibri"/>
                <w:kern w:val="0"/>
                <w:sz w:val="24"/>
                <w:szCs w:val="24"/>
                <w:lang w:eastAsia="pt-BR"/>
                <w14:ligatures w14:val="none"/>
              </w:rPr>
            </w:pPr>
            <w:bookmarkStart w:id="17" w:name="_Ref138844674"/>
            <w:r>
              <w:rPr>
                <w:rFonts w:ascii="Calibri" w:eastAsia="Times New Roman" w:hAnsi="Calibri" w:cs="Calibri"/>
                <w:kern w:val="0"/>
                <w:sz w:val="24"/>
                <w:szCs w:val="24"/>
                <w:lang w:eastAsia="pt-BR"/>
                <w14:ligatures w14:val="none"/>
              </w:rPr>
              <w:t xml:space="preserve">Art. 96.  </w:t>
            </w:r>
            <w:r w:rsidRPr="00F66347">
              <w:rPr>
                <w:rFonts w:ascii="Calibri" w:eastAsia="Times New Roman" w:hAnsi="Calibri" w:cs="Calibri"/>
                <w:kern w:val="0"/>
                <w:sz w:val="24"/>
                <w:szCs w:val="24"/>
                <w:lang w:eastAsia="pt-BR"/>
                <w14:ligatures w14:val="none"/>
              </w:rPr>
              <w:t>A rescisão unilateral de convênio de adesão somente pode ser adotada mediante aprovação pelo órgão estatutário competente da EFPC.</w:t>
            </w:r>
            <w:bookmarkEnd w:id="17"/>
            <w:r w:rsidRPr="00F66347">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80DB99" w14:textId="7E3E0F1D" w:rsidR="00E31838" w:rsidRPr="0010524E" w:rsidRDefault="00E31838" w:rsidP="003700FF">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10 da Resolução Previc nº 15/2022</w:t>
            </w:r>
          </w:p>
        </w:tc>
      </w:tr>
      <w:tr w:rsidR="00E31838" w:rsidRPr="0010524E" w14:paraId="41CAE201" w14:textId="1675EC8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5AA8227" w14:textId="211C0DC3"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5017FE" w14:textId="70ED373D" w:rsidR="00E31838" w:rsidRPr="00A24E18" w:rsidRDefault="00E31838" w:rsidP="003700F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97.  </w:t>
            </w:r>
            <w:r w:rsidRPr="00A24E18">
              <w:rPr>
                <w:rFonts w:ascii="Calibri" w:eastAsia="Times New Roman" w:hAnsi="Calibri" w:cs="Calibri"/>
                <w:kern w:val="0"/>
                <w:sz w:val="24"/>
                <w:szCs w:val="24"/>
                <w:lang w:eastAsia="pt-BR"/>
                <w14:ligatures w14:val="none"/>
              </w:rPr>
              <w:t xml:space="preserve">A EFPC deve, no prazo de dez dias úteis, contados da data da aprovação de que trata o </w:t>
            </w:r>
            <w:r w:rsidRPr="00A24E18">
              <w:rPr>
                <w:rFonts w:ascii="Calibri" w:eastAsia="Times New Roman" w:hAnsi="Calibri" w:cs="Calibri"/>
                <w:kern w:val="0"/>
                <w:sz w:val="24"/>
                <w:szCs w:val="24"/>
                <w:lang w:eastAsia="pt-BR"/>
                <w14:ligatures w14:val="none"/>
              </w:rPr>
              <w:fldChar w:fldCharType="begin"/>
            </w:r>
            <w:r w:rsidRPr="00A24E18">
              <w:rPr>
                <w:rFonts w:ascii="Calibri" w:eastAsia="Times New Roman" w:hAnsi="Calibri" w:cs="Calibri"/>
                <w:kern w:val="0"/>
                <w:sz w:val="24"/>
                <w:szCs w:val="24"/>
                <w:lang w:eastAsia="pt-BR"/>
                <w14:ligatures w14:val="none"/>
              </w:rPr>
              <w:instrText xml:space="preserve"> REF  _Ref138844674 \* Lower \r  \* MERGEFORMAT </w:instrText>
            </w:r>
            <w:r w:rsidRPr="00A24E18">
              <w:rPr>
                <w:rFonts w:ascii="Calibri" w:eastAsia="Times New Roman" w:hAnsi="Calibri" w:cs="Calibri"/>
                <w:kern w:val="0"/>
                <w:sz w:val="24"/>
                <w:szCs w:val="24"/>
                <w:lang w:eastAsia="pt-BR"/>
                <w14:ligatures w14:val="none"/>
              </w:rPr>
              <w:fldChar w:fldCharType="separate"/>
            </w:r>
            <w:r w:rsidRPr="00A24E18">
              <w:rPr>
                <w:rFonts w:ascii="Calibri" w:eastAsia="Times New Roman" w:hAnsi="Calibri" w:cs="Calibri"/>
                <w:kern w:val="0"/>
                <w:sz w:val="24"/>
                <w:szCs w:val="24"/>
                <w:lang w:eastAsia="pt-BR"/>
                <w14:ligatures w14:val="none"/>
              </w:rPr>
              <w:t>art.96</w:t>
            </w:r>
            <w:r w:rsidRPr="00A24E18">
              <w:rPr>
                <w:rFonts w:ascii="Calibri" w:eastAsia="Times New Roman" w:hAnsi="Calibri" w:cs="Calibri"/>
                <w:kern w:val="0"/>
                <w:sz w:val="24"/>
                <w:szCs w:val="24"/>
                <w:lang w:eastAsia="pt-BR"/>
                <w14:ligatures w14:val="none"/>
              </w:rPr>
              <w:fldChar w:fldCharType="end"/>
            </w:r>
            <w:r w:rsidRPr="00A24E18">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B52EA3" w14:textId="34CC5EF6" w:rsidR="00E31838" w:rsidRPr="0010524E" w:rsidRDefault="00E31838" w:rsidP="003700FF">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11 da Resolução Previc nº 15/2022</w:t>
            </w:r>
          </w:p>
        </w:tc>
      </w:tr>
      <w:tr w:rsidR="00E31838" w:rsidRPr="0010524E" w14:paraId="0AE31E32" w14:textId="38AC3D1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F4D2273" w14:textId="3C93BF68"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2F4BCC"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dar ciência ao patrocinador ou instituidor retirante do plano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7BCFE3" w14:textId="278C1456" w:rsidR="00E31838" w:rsidRPr="0010524E" w:rsidRDefault="00E31838" w:rsidP="003700FF">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11 da Resolução Previc nº 15/2022</w:t>
            </w:r>
          </w:p>
        </w:tc>
      </w:tr>
      <w:tr w:rsidR="00E31838" w:rsidRPr="0010524E" w14:paraId="747C84D8" w14:textId="6234137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60A18C4" w14:textId="13621C83"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64DE50"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comunicar a decisão aos participantes e assistidos vinculados ao plano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B16501" w14:textId="43F4DD57" w:rsidR="00E31838" w:rsidRPr="0010524E" w:rsidRDefault="00E31838" w:rsidP="003700FF">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11 da Resolução Previc nº 15/2022</w:t>
            </w:r>
          </w:p>
        </w:tc>
      </w:tr>
      <w:tr w:rsidR="00E31838" w:rsidRPr="0010524E" w14:paraId="0E87AF7D" w14:textId="3B72753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801361F" w14:textId="35EC83FD"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863395"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dar ciência aos patrocinadores ou instituidores remanescentes do plano de benefícios, se houver;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759951" w14:textId="23DC31FE" w:rsidR="00E31838" w:rsidRPr="0010524E" w:rsidRDefault="00E31838" w:rsidP="003700FF">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11 da Resolução Previc nº 15/2022</w:t>
            </w:r>
          </w:p>
        </w:tc>
      </w:tr>
      <w:tr w:rsidR="00E31838" w:rsidRPr="0010524E" w14:paraId="6C642E1F" w14:textId="15B9432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66419F1" w14:textId="4D9055CE"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43E99F"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iniciar os procedimentos necessários à realização da operação.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666602" w14:textId="51769984" w:rsidR="00E31838" w:rsidRPr="0010524E" w:rsidRDefault="00E31838" w:rsidP="003700FF">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11 da Resolução Previc nº 15/2022</w:t>
            </w:r>
          </w:p>
        </w:tc>
      </w:tr>
      <w:tr w:rsidR="00E31838" w:rsidRPr="0010524E" w14:paraId="27E1367F" w14:textId="02CFACD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A4A3B78" w14:textId="7070023E"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D84D1F" w14:textId="74CA02AD" w:rsidR="00E31838" w:rsidRPr="00577B9D" w:rsidRDefault="00E31838" w:rsidP="003700F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98.  </w:t>
            </w:r>
            <w:r w:rsidRPr="00577B9D">
              <w:rPr>
                <w:rFonts w:ascii="Calibri" w:eastAsia="Times New Roman" w:hAnsi="Calibri" w:cs="Calibri"/>
                <w:kern w:val="0"/>
                <w:sz w:val="24"/>
                <w:szCs w:val="24"/>
                <w:lang w:eastAsia="pt-BR"/>
                <w14:ligatures w14:val="none"/>
              </w:rPr>
              <w:t xml:space="preserve">O termo de rescisão unilateral deve tratar, no mínimo: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1398FF" w14:textId="41E5FA35" w:rsidR="00E31838" w:rsidRPr="0010524E" w:rsidRDefault="00E31838" w:rsidP="003700FF">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12 da Resolução Previc nº 15/2022</w:t>
            </w:r>
          </w:p>
        </w:tc>
      </w:tr>
      <w:tr w:rsidR="00E31838" w:rsidRPr="0010524E" w14:paraId="58DFA7BD" w14:textId="1D2AC53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5F46109" w14:textId="1412F48B"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3B40E8"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dos critérios e dos procedimentos relativos à segregação patrimonial do plano de benefícios, no caso de rescisão unilateral parcial;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35C551" w14:textId="785D38A8" w:rsidR="00E31838" w:rsidRPr="0010524E" w:rsidRDefault="00E31838" w:rsidP="003700FF">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12 da Resolução Previc nº 15/2022</w:t>
            </w:r>
          </w:p>
        </w:tc>
      </w:tr>
      <w:tr w:rsidR="00E31838" w:rsidRPr="0010524E" w14:paraId="3C7F29E0" w14:textId="0371499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732EC7B" w14:textId="363C4141"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A6F6F7"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dos critérios de rateio dos fundos, da reserva especial ou do déficit técnico, apurado na avaliação atuarial de rescisão unilateral, entre o patrocinador </w:t>
            </w:r>
            <w:r w:rsidRPr="0010524E">
              <w:rPr>
                <w:rFonts w:ascii="Calibri" w:eastAsia="Times New Roman" w:hAnsi="Calibri" w:cs="Calibri"/>
                <w:kern w:val="0"/>
                <w:sz w:val="24"/>
                <w:szCs w:val="24"/>
                <w:lang w:eastAsia="pt-BR"/>
                <w14:ligatures w14:val="none"/>
              </w:rPr>
              <w:lastRenderedPageBreak/>
              <w:t xml:space="preserve">objeto da rescisão unilateral de convênio de adesão, de um lado, e os respectivos participantes e assistidos, de outro, nos termos da legislação aplicável;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5D11C2" w14:textId="2B537E0B" w:rsidR="00E31838" w:rsidRPr="0010524E" w:rsidRDefault="00E31838" w:rsidP="003700FF">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Trazido do art. 12 da Resolução Previc nº 15/2022</w:t>
            </w:r>
          </w:p>
        </w:tc>
      </w:tr>
      <w:tr w:rsidR="00E31838" w:rsidRPr="0010524E" w14:paraId="4AC73D1E" w14:textId="6D47E08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5764D83" w14:textId="40A01C67"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88A44F"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do critério de individualização dos fundos, da reserva de contingência e da reserva especial ou do déficit técnico, apurado na avaliação atuarial de rescisão unilateral, entre participantes e assistidos, nos termos da legislação aplicável;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143F24" w14:textId="3D172CF6" w:rsidR="00E31838" w:rsidRPr="0010524E" w:rsidRDefault="00E31838" w:rsidP="003700FF">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12 da Resolução Previc nº 15/2022</w:t>
            </w:r>
          </w:p>
        </w:tc>
      </w:tr>
      <w:tr w:rsidR="00E31838" w:rsidRPr="0010524E" w14:paraId="6C7DEF7F" w14:textId="469615B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8807719" w14:textId="596E6153"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65D3B2"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das demais obrigações do plano de benefícios, em face da rescisão unilateral de convênio de adesão, nos termos da legislação aplicável;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7736CC" w14:textId="3D249F5A" w:rsidR="00E31838" w:rsidRPr="0010524E" w:rsidRDefault="00E31838" w:rsidP="003700FF">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12 da Resolução Previc nº 15/2022</w:t>
            </w:r>
          </w:p>
        </w:tc>
      </w:tr>
      <w:tr w:rsidR="00E31838" w:rsidRPr="0010524E" w14:paraId="3398A3B9" w14:textId="6517A97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659CE9A" w14:textId="7A98990C"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57C057"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da responsabilidade sobre demandas judiciais ou extrajudiciais relacionadas ao plano de benefícios, ocorridas após a data do cálculo;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7A8DA3" w14:textId="41020C33" w:rsidR="00E31838" w:rsidRPr="0010524E" w:rsidRDefault="00E31838" w:rsidP="003700FF">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12 da Resolução Previc nº 15/2022</w:t>
            </w:r>
          </w:p>
        </w:tc>
      </w:tr>
      <w:tr w:rsidR="00E31838" w:rsidRPr="0010524E" w14:paraId="4A7756FA" w14:textId="695B265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1CDAD47" w14:textId="4B3450C7"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7D31B1"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 – dos prazos, contados a partir da data do cálculo, para: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E83649" w14:textId="069AC577" w:rsidR="00E31838" w:rsidRPr="0010524E" w:rsidRDefault="00E31838" w:rsidP="003700FF">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12 da Resolução Previc nº 15/2022</w:t>
            </w:r>
          </w:p>
        </w:tc>
      </w:tr>
      <w:tr w:rsidR="00E31838" w:rsidRPr="0010524E" w14:paraId="4E8A5833" w14:textId="46AE9C5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F508119" w14:textId="310BC008"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75727A"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 a disponibilização dos termos de opção aos participantes e assistidos;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B5765A" w14:textId="7A961DE6" w:rsidR="00E31838" w:rsidRPr="0010524E" w:rsidRDefault="00E31838" w:rsidP="003700FF">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12 da Resolução Previc nº 15/2022</w:t>
            </w:r>
          </w:p>
        </w:tc>
      </w:tr>
      <w:tr w:rsidR="00E31838" w:rsidRPr="0010524E" w14:paraId="5AFCC530" w14:textId="14627DC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C667FE2" w14:textId="2AD2AF4D"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44D565"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b) o período de opção;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2BB6ACB" w14:textId="5A44AE2F"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67215">
              <w:rPr>
                <w:rFonts w:ascii="Calibri" w:eastAsia="Times New Roman" w:hAnsi="Calibri" w:cs="Calibri"/>
                <w:kern w:val="0"/>
                <w:sz w:val="24"/>
                <w:szCs w:val="24"/>
                <w:lang w:eastAsia="pt-BR"/>
                <w14:ligatures w14:val="none"/>
              </w:rPr>
              <w:t>Trazido do art. 12 da Resolução Previc nº 15/2022</w:t>
            </w:r>
          </w:p>
        </w:tc>
      </w:tr>
      <w:tr w:rsidR="00E31838" w:rsidRPr="0010524E" w14:paraId="16A5AE5B" w14:textId="4D60A0D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E259B4E" w14:textId="6F9BDFE2"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C3C325"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c) a fixação da data efetiva;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8224B0B" w14:textId="17DB1872"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67215">
              <w:rPr>
                <w:rFonts w:ascii="Calibri" w:eastAsia="Times New Roman" w:hAnsi="Calibri" w:cs="Calibri"/>
                <w:kern w:val="0"/>
                <w:sz w:val="24"/>
                <w:szCs w:val="24"/>
                <w:lang w:eastAsia="pt-BR"/>
                <w14:ligatures w14:val="none"/>
              </w:rPr>
              <w:t>Trazido do art. 12 da Resolução Previc nº 15/2022</w:t>
            </w:r>
          </w:p>
        </w:tc>
      </w:tr>
      <w:tr w:rsidR="00E31838" w:rsidRPr="0010524E" w14:paraId="70F70019" w14:textId="4464575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D1E85DD" w14:textId="49E8C2CF"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0260F4"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VII – das opções oferecidas aos participantes e assistidos vinculados ao patrocinador ou instituidor do plano de benefícios objeto da rescisão unilateral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4E393F" w14:textId="02FEB273"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82298D">
              <w:rPr>
                <w:rFonts w:ascii="Calibri" w:eastAsia="Times New Roman" w:hAnsi="Calibri" w:cs="Calibri"/>
                <w:kern w:val="0"/>
                <w:sz w:val="24"/>
                <w:szCs w:val="24"/>
                <w:lang w:eastAsia="pt-BR"/>
                <w14:ligatures w14:val="none"/>
              </w:rPr>
              <w:t>Trazido do art. 12 da Resolução Previc nº 15/2022</w:t>
            </w:r>
          </w:p>
        </w:tc>
      </w:tr>
      <w:tr w:rsidR="00E31838" w:rsidRPr="0010524E" w14:paraId="0E898A70" w14:textId="21C9B0F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ECBB398" w14:textId="018653A6"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B5B970"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197FB1F" w14:textId="00108D7E"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82298D">
              <w:rPr>
                <w:rFonts w:ascii="Calibri" w:eastAsia="Times New Roman" w:hAnsi="Calibri" w:cs="Calibri"/>
                <w:kern w:val="0"/>
                <w:sz w:val="24"/>
                <w:szCs w:val="24"/>
                <w:lang w:eastAsia="pt-BR"/>
                <w14:ligatures w14:val="none"/>
              </w:rPr>
              <w:t>Trazido do art. 12 da Resolução Previc nº 15/2022</w:t>
            </w:r>
          </w:p>
        </w:tc>
      </w:tr>
      <w:tr w:rsidR="00E31838" w:rsidRPr="0010524E" w14:paraId="50F77448" w14:textId="38ED9C2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D90AAAD" w14:textId="1943AF9E"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F08D55"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6AD197" w14:textId="1610D898" w:rsidR="00E31838" w:rsidRPr="0010524E" w:rsidRDefault="00E31838" w:rsidP="003700FF">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12 da Resolução Previc nº 15/2022</w:t>
            </w:r>
          </w:p>
        </w:tc>
      </w:tr>
      <w:tr w:rsidR="00E31838" w:rsidRPr="0010524E" w14:paraId="1DD5EB03" w14:textId="1411394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034D39C" w14:textId="54B50F99"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A6DF43"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 – das medidas judiciais ou extrajudiciais que a EFPC adotará contra o patrocinador ou instituidor, quando couber.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DCFF425" w14:textId="3CF9764E"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AB381F">
              <w:rPr>
                <w:rFonts w:ascii="Calibri" w:eastAsia="Times New Roman" w:hAnsi="Calibri" w:cs="Calibri"/>
                <w:kern w:val="0"/>
                <w:sz w:val="24"/>
                <w:szCs w:val="24"/>
                <w:lang w:eastAsia="pt-BR"/>
                <w14:ligatures w14:val="none"/>
              </w:rPr>
              <w:t>Trazido do art. 12 da Resolução Previc nº 15/2022</w:t>
            </w:r>
          </w:p>
        </w:tc>
      </w:tr>
      <w:tr w:rsidR="00E31838" w:rsidRPr="0010524E" w14:paraId="30F9F968" w14:textId="570854B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2A59514" w14:textId="7777777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Art. 13. O disposto nos arts. 4º e 6º ao 9º aplica-se à rescisão unilateral de convênio de adesão, no que couber.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54E295" w14:textId="43B77CC3" w:rsidR="00E31838" w:rsidRPr="003700FF" w:rsidRDefault="00E31838" w:rsidP="003700F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99.  </w:t>
            </w:r>
            <w:r w:rsidRPr="003700FF">
              <w:rPr>
                <w:rFonts w:ascii="Calibri" w:eastAsia="Times New Roman" w:hAnsi="Calibri" w:cs="Calibri"/>
                <w:kern w:val="0"/>
                <w:sz w:val="24"/>
                <w:szCs w:val="24"/>
                <w:lang w:eastAsia="pt-BR"/>
                <w14:ligatures w14:val="none"/>
              </w:rPr>
              <w:t xml:space="preserve">O disposto nos arts. </w:t>
            </w:r>
            <w:r w:rsidRPr="003700FF">
              <w:rPr>
                <w:rFonts w:ascii="Calibri" w:eastAsia="Times New Roman" w:hAnsi="Calibri" w:cs="Calibri"/>
                <w:kern w:val="0"/>
                <w:sz w:val="24"/>
                <w:szCs w:val="24"/>
                <w:lang w:eastAsia="pt-BR"/>
                <w14:ligatures w14:val="none"/>
              </w:rPr>
              <w:fldChar w:fldCharType="begin"/>
            </w:r>
            <w:r w:rsidRPr="003700FF">
              <w:rPr>
                <w:rFonts w:ascii="Calibri" w:eastAsia="Times New Roman" w:hAnsi="Calibri" w:cs="Calibri"/>
                <w:kern w:val="0"/>
                <w:sz w:val="24"/>
                <w:szCs w:val="24"/>
                <w:lang w:eastAsia="pt-BR"/>
                <w14:ligatures w14:val="none"/>
              </w:rPr>
              <w:instrText xml:space="preserve"> REF  _Ref138844986 \r \t  \* MERGEFORMAT </w:instrText>
            </w:r>
            <w:r w:rsidRPr="003700FF">
              <w:rPr>
                <w:rFonts w:ascii="Calibri" w:eastAsia="Times New Roman" w:hAnsi="Calibri" w:cs="Calibri"/>
                <w:kern w:val="0"/>
                <w:sz w:val="24"/>
                <w:szCs w:val="24"/>
                <w:lang w:eastAsia="pt-BR"/>
                <w14:ligatures w14:val="none"/>
              </w:rPr>
              <w:fldChar w:fldCharType="separate"/>
            </w:r>
            <w:r w:rsidRPr="003700FF">
              <w:rPr>
                <w:rFonts w:ascii="Calibri" w:eastAsia="Times New Roman" w:hAnsi="Calibri" w:cs="Calibri"/>
                <w:kern w:val="0"/>
                <w:sz w:val="24"/>
                <w:szCs w:val="24"/>
                <w:lang w:eastAsia="pt-BR"/>
                <w14:ligatures w14:val="none"/>
              </w:rPr>
              <w:t>87</w:t>
            </w:r>
            <w:r w:rsidRPr="003700FF">
              <w:rPr>
                <w:rFonts w:ascii="Calibri" w:eastAsia="Times New Roman" w:hAnsi="Calibri" w:cs="Calibri"/>
                <w:kern w:val="0"/>
                <w:sz w:val="24"/>
                <w:szCs w:val="24"/>
                <w:lang w:eastAsia="pt-BR"/>
                <w14:ligatures w14:val="none"/>
              </w:rPr>
              <w:fldChar w:fldCharType="end"/>
            </w:r>
            <w:r w:rsidRPr="003700FF">
              <w:rPr>
                <w:rFonts w:ascii="Calibri" w:eastAsia="Times New Roman" w:hAnsi="Calibri" w:cs="Calibri"/>
                <w:kern w:val="0"/>
                <w:sz w:val="24"/>
                <w:szCs w:val="24"/>
                <w:lang w:eastAsia="pt-BR"/>
                <w14:ligatures w14:val="none"/>
              </w:rPr>
              <w:t xml:space="preserve"> e 89 ao 92 aplica-se à rescisão unilateral de convênio de adesão, no que couber.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4851816" w14:textId="493C6D92"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AB381F">
              <w:rPr>
                <w:rFonts w:ascii="Calibri" w:eastAsia="Times New Roman" w:hAnsi="Calibri" w:cs="Calibri"/>
                <w:kern w:val="0"/>
                <w:sz w:val="24"/>
                <w:szCs w:val="24"/>
                <w:lang w:eastAsia="pt-BR"/>
                <w14:ligatures w14:val="none"/>
              </w:rPr>
              <w:t>Trazido do art. 12 da Resolução Previc nº 15/2022</w:t>
            </w:r>
          </w:p>
        </w:tc>
      </w:tr>
      <w:tr w:rsidR="00E31838" w:rsidRPr="0010524E" w14:paraId="4A3D4BCE"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E0A4546" w14:textId="70C9A63E" w:rsidR="00E31838" w:rsidRPr="00BD68E5" w:rsidRDefault="00E31838" w:rsidP="003700FF">
            <w:pPr>
              <w:spacing w:after="0"/>
              <w:jc w:val="both"/>
              <w:rPr>
                <w:rFonts w:ascii="Calibri" w:hAnsi="Calibri" w:cs="Calibri"/>
                <w:b/>
                <w:bCs/>
                <w:sz w:val="24"/>
                <w:szCs w:val="24"/>
              </w:rPr>
            </w:pPr>
            <w:r w:rsidRPr="00BD68E5">
              <w:rPr>
                <w:b/>
                <w:bCs/>
              </w:rPr>
              <w:t>INSTRUÇÃO NORMATIVA Nº 29, DE 21 DE JULHO DE 2020</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107F7F" w14:textId="77777777" w:rsidR="00E31838" w:rsidRPr="0010524E" w:rsidRDefault="00E31838" w:rsidP="003700FF">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F808A5"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4FB0B860" w14:textId="7C5B5AA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ABB502B" w14:textId="1F0D4D00" w:rsidR="00E31838" w:rsidRPr="0010524E" w:rsidRDefault="00E31838" w:rsidP="003700FF">
            <w:pPr>
              <w:spacing w:after="0"/>
              <w:jc w:val="both"/>
              <w:rPr>
                <w:rFonts w:ascii="Calibri" w:hAnsi="Calibri" w:cs="Calibri"/>
                <w:sz w:val="24"/>
                <w:szCs w:val="24"/>
              </w:rPr>
            </w:pPr>
            <w:r>
              <w:t>Estabelece procedimentos para o reconhecimento de instituição autônoma certificadora e respectivos certificados.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FF3AB7" w14:textId="23AE914C" w:rsidR="00E31838" w:rsidRPr="0010524E" w:rsidRDefault="00E31838" w:rsidP="003700FF">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7C680E"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2BC396AA"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B8515D3" w14:textId="3BC1433B" w:rsidR="00E31838" w:rsidRDefault="00E31838" w:rsidP="003700FF">
            <w:pPr>
              <w:spacing w:after="0"/>
              <w:jc w:val="both"/>
            </w:pPr>
            <w:r>
              <w:lastRenderedPageBreak/>
              <w:t>Art. 1º O procedimento administrativo de reconhecimento de capacidade técnica de instituição autônoma certificadora, doravante denominada Certificadora, bem como dos respectivos certificados, deve obedecer ao disposto nesta Instrução.</w:t>
            </w:r>
          </w:p>
          <w:p w14:paraId="3F784EA2" w14:textId="28F713B1" w:rsidR="00E31838" w:rsidRPr="0010524E" w:rsidRDefault="00E31838" w:rsidP="003700FF">
            <w:pPr>
              <w:spacing w:after="0"/>
              <w:jc w:val="both"/>
              <w:rPr>
                <w:rFonts w:ascii="Calibri" w:hAnsi="Calibri" w:cs="Calibri"/>
                <w:sz w:val="24"/>
                <w:szCs w:val="24"/>
              </w:rPr>
            </w:pPr>
            <w:r>
              <w:t xml:space="preserv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6D7160" w14:textId="77777777" w:rsidR="00E31838" w:rsidRPr="0010524E" w:rsidRDefault="00E31838" w:rsidP="003700FF">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A31F27"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1B792B9A"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3E8EC47" w14:textId="13231F99" w:rsidR="00E31838" w:rsidRDefault="00E31838" w:rsidP="003700FF">
            <w:pPr>
              <w:spacing w:after="0"/>
              <w:jc w:val="both"/>
            </w:pPr>
            <w:r>
              <w:t>Art. 2º A certificação deve atestar a comprovação de atendimento e a verificação de conformidade dos requisitos técnicos necessários para o exercício de determinado cargo ou função na Entidade Fechada de Previdência Complementar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BD045C" w14:textId="77777777" w:rsidR="00E31838" w:rsidRPr="0010524E" w:rsidRDefault="00E31838" w:rsidP="003700FF">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5D097A"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328A86A8"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3FC790D" w14:textId="29BB2580" w:rsidR="00E31838" w:rsidRDefault="00E31838" w:rsidP="003700FF">
            <w:pPr>
              <w:spacing w:after="0"/>
              <w:jc w:val="both"/>
            </w:pPr>
            <w:r>
              <w:t>Art. 3º Compete à Diretoria de Licenciamento (Dilic) analisar os pedidos de reconhecimento das Certificadoras e dos respectivos certificados.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BCC2C3" w14:textId="77777777" w:rsidR="00E31838" w:rsidRPr="0010524E" w:rsidRDefault="00E31838" w:rsidP="003700FF">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8880EB"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7595AAA3" w14:textId="413D1B8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99E2C2B" w14:textId="77777777" w:rsidR="00E31838" w:rsidRPr="0010524E" w:rsidRDefault="00E31838" w:rsidP="003700FF">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3A92F6" w14:textId="54249D3D" w:rsidR="00E31838" w:rsidRDefault="00E31838" w:rsidP="003700FF">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IX</w:t>
            </w:r>
          </w:p>
          <w:p w14:paraId="541139AC" w14:textId="7B08C355" w:rsidR="00E31838" w:rsidRPr="0010524E" w:rsidRDefault="00E31838" w:rsidP="003700FF">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Instituição certificadora e dos certificados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DE6356"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42242A3C" w14:textId="796ADDD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9C02B99" w14:textId="7777777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Art. 4º Será reconhecida a capacidade técnica da Certificadora que atender os seguintes requisitos mínimos: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555424" w14:textId="41EF243C" w:rsidR="00E31838" w:rsidRPr="003700FF" w:rsidRDefault="00E31838" w:rsidP="003700F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100.  </w:t>
            </w:r>
            <w:r w:rsidRPr="003700FF">
              <w:rPr>
                <w:rFonts w:ascii="Calibri" w:eastAsia="Times New Roman" w:hAnsi="Calibri" w:cs="Calibri"/>
                <w:kern w:val="0"/>
                <w:sz w:val="24"/>
                <w:szCs w:val="24"/>
                <w:lang w:eastAsia="pt-BR"/>
                <w14:ligatures w14:val="none"/>
              </w:rPr>
              <w:t>Para fins de reconhecimento, a Instituição Certificadora deve atender aos seguintes requisitos mínimos: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89AE76"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1CF6C65A"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56E583C9" w14:textId="3227A4F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0751AD7" w14:textId="2F3943CC"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 xml:space="preserve">I </w:t>
            </w:r>
            <w:r>
              <w:rPr>
                <w:rFonts w:ascii="Calibri" w:hAnsi="Calibri" w:cs="Calibri"/>
                <w:sz w:val="24"/>
                <w:szCs w:val="24"/>
              </w:rPr>
              <w:t>-</w:t>
            </w:r>
            <w:r w:rsidRPr="0010524E">
              <w:rPr>
                <w:rFonts w:ascii="Calibri" w:hAnsi="Calibri" w:cs="Calibri"/>
                <w:sz w:val="24"/>
                <w:szCs w:val="24"/>
              </w:rPr>
              <w:t xml:space="preserve"> demonstrar experiência de, no mínimo, três anos na emissão de certificados ou em atividades de treinamento vinculadas aos conteúdos previstos no anexo desta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9351D2" w14:textId="423F2269"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w:t>
            </w:r>
            <w:r>
              <w:rPr>
                <w:rFonts w:ascii="Calibri" w:eastAsia="Times New Roman" w:hAnsi="Calibri" w:cs="Calibri"/>
                <w:kern w:val="0"/>
                <w:sz w:val="24"/>
                <w:szCs w:val="24"/>
                <w:lang w:eastAsia="pt-BR"/>
                <w14:ligatures w14:val="none"/>
              </w:rPr>
              <w:t>-</w:t>
            </w:r>
            <w:r w:rsidRPr="0010524E">
              <w:rPr>
                <w:rFonts w:ascii="Calibri" w:eastAsia="Times New Roman" w:hAnsi="Calibri" w:cs="Calibri"/>
                <w:kern w:val="0"/>
                <w:sz w:val="24"/>
                <w:szCs w:val="24"/>
                <w:lang w:eastAsia="pt-BR"/>
                <w14:ligatures w14:val="none"/>
              </w:rPr>
              <w:t xml:space="preserve"> demonstrar experiência de, no mínimo, três anos na emissão de certificados ou em atividades de treinamento vinculadas aos conteúdos previstos no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_Ref138841597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Anexo I</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 xml:space="preserve">I;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B6A31B"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4E9C2287"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74407F20" w14:textId="38B9551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DFDA1B1" w14:textId="7777777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II – comprovar experiência na guarda, controle e renovação de certificados;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30DDD0"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comprovar experiência na guarda, controle e renovação de certificados;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BA5E96"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17CB7B28"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66244C3E" w14:textId="3D34E15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959E768" w14:textId="7777777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lastRenderedPageBreak/>
              <w:t>III – emitir certificado que exija conhecimento, formação e experiência compatíveis com os requisitos técnicos necessários para o exercício de cargo ou função em EFPC;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0F797E"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emitir certificado que exija conhecimento, formação e experiência compatíveis com os requisitos técnicos necessários para o exercício de cargo ou função em EFPC;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B4A227"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29BD81AB"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3CF49EFF" w14:textId="2EE50CE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98DDF89" w14:textId="77777777"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IV – compartilhar, semestralmente, informações acerca dos certificados emitidos.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C54BA8"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IV – compartilhar, semestralmente, informações acerca dos certificados emitidos.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F4516A"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58E3F9D7"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7F624B9F"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31D1C83" w14:textId="7857B1B3" w:rsidR="00E31838" w:rsidRPr="0010524E" w:rsidRDefault="00E31838" w:rsidP="003700FF">
            <w:pPr>
              <w:spacing w:after="0"/>
              <w:jc w:val="both"/>
              <w:rPr>
                <w:rFonts w:ascii="Calibri" w:hAnsi="Calibri" w:cs="Calibri"/>
                <w:sz w:val="24"/>
                <w:szCs w:val="24"/>
              </w:rPr>
            </w:pPr>
            <w:r>
              <w:t>Art. 5º Para fins de reconhecimento, a Certificadora deve enviar à Previc a seguinte documentação: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DBBD28"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F49320"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59365F0C"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8FC1A61" w14:textId="20CF4ECA" w:rsidR="00E31838" w:rsidRPr="0010524E" w:rsidRDefault="00E31838" w:rsidP="003700FF">
            <w:pPr>
              <w:spacing w:after="0"/>
              <w:jc w:val="both"/>
              <w:rPr>
                <w:rFonts w:ascii="Calibri" w:hAnsi="Calibri" w:cs="Calibri"/>
                <w:sz w:val="24"/>
                <w:szCs w:val="24"/>
              </w:rPr>
            </w:pPr>
            <w:r>
              <w:t>I - estatuto ou contrato social;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8CF2BF"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497ECE"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577339C2"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5E93065" w14:textId="22CF2598" w:rsidR="00E31838" w:rsidRPr="0010524E" w:rsidRDefault="00E31838" w:rsidP="003700FF">
            <w:pPr>
              <w:spacing w:after="0"/>
              <w:jc w:val="both"/>
              <w:rPr>
                <w:rFonts w:ascii="Calibri" w:hAnsi="Calibri" w:cs="Calibri"/>
                <w:sz w:val="24"/>
                <w:szCs w:val="24"/>
              </w:rPr>
            </w:pPr>
            <w:r>
              <w:t>II - comprovação do cumprimento dos requisitos mínimos previstos no artigo 4º desta Instrução normativa;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F24EC9"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C5426C"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01BE4F57"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F770AE5" w14:textId="68FD371E" w:rsidR="00E31838" w:rsidRPr="0010524E" w:rsidRDefault="00E31838" w:rsidP="003700FF">
            <w:pPr>
              <w:spacing w:after="0"/>
              <w:jc w:val="both"/>
              <w:rPr>
                <w:rFonts w:ascii="Calibri" w:hAnsi="Calibri" w:cs="Calibri"/>
                <w:sz w:val="24"/>
                <w:szCs w:val="24"/>
              </w:rPr>
            </w:pPr>
            <w:r>
              <w:t>III - declaração de independência e de inexistência de conflito de interesses em relação às EFPC para fins de certificação;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E9BC3F"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E79A8D"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1549CA12"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CF67792" w14:textId="290EFD3A" w:rsidR="00E31838" w:rsidRPr="0010524E" w:rsidRDefault="00E31838" w:rsidP="003700FF">
            <w:pPr>
              <w:spacing w:after="0"/>
              <w:jc w:val="both"/>
              <w:rPr>
                <w:rFonts w:ascii="Calibri" w:hAnsi="Calibri" w:cs="Calibri"/>
                <w:sz w:val="24"/>
                <w:szCs w:val="24"/>
              </w:rPr>
            </w:pPr>
            <w:r>
              <w:t>IV - outros documentos que facilitem a análise de reconhecimento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561A60"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3E8283"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4684FEEC"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309E49F" w14:textId="77777777" w:rsidR="00E31838" w:rsidRDefault="00E31838" w:rsidP="003700FF">
            <w:pPr>
              <w:spacing w:after="0"/>
              <w:jc w:val="both"/>
            </w:pPr>
            <w:r>
              <w:t xml:space="preserve">Art. 6º Para fins de reconhecimento dos certificados, a Certificadora deve encaminhar requerimento com a seguinte documentação: </w:t>
            </w:r>
          </w:p>
          <w:p w14:paraId="647FA49B" w14:textId="0FDAAC1F" w:rsidR="00E31838" w:rsidRDefault="00E31838" w:rsidP="003700FF">
            <w:pPr>
              <w:spacing w:after="0"/>
              <w:jc w:val="both"/>
            </w:pPr>
            <w:r>
              <w:t xml:space="preserve">I - identificação do certificado a ser reconhecido; </w:t>
            </w:r>
          </w:p>
          <w:p w14:paraId="3F9F8B74" w14:textId="66B5B8CE" w:rsidR="00E31838" w:rsidRDefault="00E31838" w:rsidP="003700FF">
            <w:pPr>
              <w:spacing w:after="0"/>
              <w:jc w:val="both"/>
            </w:pPr>
            <w:r>
              <w:t xml:space="preserve">II - edital ou regulamento do exame de certificação; </w:t>
            </w:r>
          </w:p>
          <w:p w14:paraId="0BAA6426" w14:textId="22D0CEF0" w:rsidR="00E31838" w:rsidRDefault="00E31838" w:rsidP="003700FF">
            <w:pPr>
              <w:spacing w:after="0"/>
              <w:jc w:val="both"/>
            </w:pPr>
            <w:r>
              <w:t xml:space="preserve">III - conteúdo programático exigido para a prova de conhecimentos; </w:t>
            </w:r>
          </w:p>
          <w:p w14:paraId="6131B4AD" w14:textId="4AED462F" w:rsidR="00E31838" w:rsidRDefault="00E31838" w:rsidP="003700FF">
            <w:pPr>
              <w:spacing w:after="0"/>
              <w:jc w:val="both"/>
            </w:pPr>
            <w:r>
              <w:t xml:space="preserve">IV - comprovação do prazo de validade máximo de quatro anos; </w:t>
            </w:r>
          </w:p>
          <w:p w14:paraId="5FD45881" w14:textId="0C422929" w:rsidR="00E31838" w:rsidRPr="0010524E" w:rsidRDefault="00E31838" w:rsidP="003700FF">
            <w:pPr>
              <w:spacing w:after="0"/>
              <w:jc w:val="both"/>
              <w:rPr>
                <w:rFonts w:ascii="Calibri" w:hAnsi="Calibri" w:cs="Calibri"/>
                <w:sz w:val="24"/>
                <w:szCs w:val="24"/>
              </w:rPr>
            </w:pPr>
            <w:r>
              <w:lastRenderedPageBreak/>
              <w:t>V - outros documentos que facilitem a análise de reconhecimento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54334A"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408355"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518C8003" w14:textId="604FB58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F847A13" w14:textId="785F344B"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§1º A análise do reconhecimento do certificado deverá considerar a abrangência, a profundidade e a aplicabilidade do conteúdo para fins do exercício do cargo ou função na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4BF1C8"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 análise do requerimento de reconhecimento do certificado deve considerar a abrangência, a profundidade e a aplicabilidade do conteúdo para fins do exercício do cargo ou função na EFPC.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877F6A"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1D2FE5B8" w14:textId="77777777" w:rsidR="00E31838" w:rsidRPr="0010524E" w:rsidRDefault="00E31838" w:rsidP="003700FF">
            <w:pPr>
              <w:spacing w:after="0"/>
              <w:jc w:val="both"/>
              <w:rPr>
                <w:rFonts w:ascii="Calibri" w:eastAsia="Times New Roman" w:hAnsi="Calibri" w:cs="Calibri"/>
                <w:kern w:val="0"/>
                <w:sz w:val="24"/>
                <w:szCs w:val="24"/>
                <w:lang w:eastAsia="pt-BR"/>
                <w14:ligatures w14:val="none"/>
              </w:rPr>
            </w:pPr>
          </w:p>
        </w:tc>
      </w:tr>
      <w:tr w:rsidR="00E31838" w:rsidRPr="0010524E" w14:paraId="7C254D71" w14:textId="48FAC9C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617C776" w14:textId="71F24971" w:rsidR="00E31838" w:rsidRPr="0010524E" w:rsidRDefault="00E31838" w:rsidP="003700FF">
            <w:pPr>
              <w:spacing w:after="0"/>
              <w:jc w:val="both"/>
              <w:rPr>
                <w:rFonts w:ascii="Calibri" w:hAnsi="Calibri" w:cs="Calibri"/>
                <w:sz w:val="24"/>
                <w:szCs w:val="24"/>
              </w:rPr>
            </w:pPr>
            <w:r w:rsidRPr="0010524E">
              <w:rPr>
                <w:rFonts w:ascii="Calibri" w:hAnsi="Calibri" w:cs="Calibri"/>
                <w:sz w:val="24"/>
                <w:szCs w:val="24"/>
              </w:rPr>
              <w:t>§2º Caso o certificado emitido não contenha prazo de validade ou registre prazo indeterminado, a Certificadora deve exigir a renovação da certificação dentro do prazo máximo de quatro anos, a contar da sua emissão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4BC193" w14:textId="4A239DBA" w:rsidR="00E31838" w:rsidRPr="00BD68E5" w:rsidRDefault="00E31838" w:rsidP="00BD68E5">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101.  </w:t>
            </w:r>
            <w:r w:rsidRPr="00BD68E5">
              <w:rPr>
                <w:rFonts w:ascii="Calibri" w:eastAsia="Times New Roman" w:hAnsi="Calibri" w:cs="Calibri"/>
                <w:kern w:val="0"/>
                <w:sz w:val="24"/>
                <w:szCs w:val="24"/>
                <w:lang w:eastAsia="pt-BR"/>
                <w14:ligatures w14:val="none"/>
              </w:rPr>
              <w:t xml:space="preserve">A Instituição Certificadora deve viabilizar processo de renovação da certificação dentro do prazo máximo de quatro anos, a contar da sua emissão.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4DF7B9" w14:textId="77777777" w:rsidR="00E31838" w:rsidRPr="0010524E" w:rsidRDefault="00E31838" w:rsidP="003700FF">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para tratar do oferecimento da possibilidade de renovação dos certificados.</w:t>
            </w:r>
          </w:p>
        </w:tc>
      </w:tr>
      <w:tr w:rsidR="00E31838" w:rsidRPr="0010524E" w14:paraId="2E28E9A6"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E014B8B" w14:textId="0A7DBE75" w:rsidR="00E31838" w:rsidRPr="0010524E" w:rsidRDefault="00E31838" w:rsidP="003700FF">
            <w:pPr>
              <w:spacing w:after="0"/>
              <w:jc w:val="both"/>
              <w:rPr>
                <w:rFonts w:ascii="Calibri" w:hAnsi="Calibri" w:cs="Calibri"/>
                <w:sz w:val="24"/>
                <w:szCs w:val="24"/>
              </w:rPr>
            </w:pPr>
            <w:r>
              <w:t>§3º A Previc poderá, a qualquer momento, rever os certificados reconhecidos para fins de habilitação.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BBFF9E" w14:textId="77777777" w:rsidR="00E31838" w:rsidRDefault="00E31838" w:rsidP="00BD68E5">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4A2E6F" w14:textId="6026B92F" w:rsidR="00E31838" w:rsidRPr="0010524E" w:rsidRDefault="00E31838" w:rsidP="003700F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o art. 104 da consolidação</w:t>
            </w:r>
          </w:p>
        </w:tc>
      </w:tr>
      <w:tr w:rsidR="00E31838" w:rsidRPr="0010524E" w14:paraId="129A7C34"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B9F5C6C" w14:textId="250EBFAA"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7º A Certificadora deve manter registro com informações dos profissionais certificados e respectivos certificados emitidos, especificando,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BA996DD" w14:textId="3E60A002"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0D9167" w14:textId="086FA6DA" w:rsidR="00E31838" w:rsidRPr="0010524E" w:rsidRDefault="00E31838" w:rsidP="00A95720">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o art. 102 da consolidação</w:t>
            </w:r>
          </w:p>
        </w:tc>
      </w:tr>
      <w:tr w:rsidR="00E31838" w:rsidRPr="0010524E" w14:paraId="0B658D8C"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4F80F74" w14:textId="18F86BC9"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dados pessoais do profissional certificado;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B75940B" w14:textId="2D0CD456"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BD435A" w14:textId="0EBD716C" w:rsidR="00E31838" w:rsidRPr="0010524E" w:rsidRDefault="00E31838" w:rsidP="00A95720">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o art. 102 da consolidação</w:t>
            </w:r>
          </w:p>
        </w:tc>
      </w:tr>
      <w:tr w:rsidR="00E31838" w:rsidRPr="0010524E" w14:paraId="66AB1B68"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1F3EA7B" w14:textId="2B750BDB"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denominação do certificado;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775A7C" w14:textId="603AA116"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D70CCF" w14:textId="14B4F0D6" w:rsidR="00E31838" w:rsidRPr="0010524E" w:rsidRDefault="00E31838" w:rsidP="00A95720">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o art. 102 da consolidação</w:t>
            </w:r>
          </w:p>
        </w:tc>
      </w:tr>
      <w:tr w:rsidR="00E31838" w:rsidRPr="0010524E" w14:paraId="7CD2E5A2"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D4741B1" w14:textId="7A5FB32B"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III – forma de avaliação;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1B00622" w14:textId="4442AB86"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E8103C" w14:textId="7C8808D9" w:rsidR="00E31838" w:rsidRPr="0010524E" w:rsidRDefault="00E31838" w:rsidP="00A95720">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o art. 102 da consolidação</w:t>
            </w:r>
          </w:p>
        </w:tc>
      </w:tr>
      <w:tr w:rsidR="00E31838" w:rsidRPr="0010524E" w14:paraId="07AB6016"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1C0695E" w14:textId="1E865A3B"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IV – aproveitamento;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971C2F" w14:textId="4CBB080C"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20F32A" w14:textId="09C85523" w:rsidR="00E31838" w:rsidRPr="0010524E" w:rsidRDefault="00E31838" w:rsidP="00A95720">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o art. 102 da consolidação</w:t>
            </w:r>
          </w:p>
        </w:tc>
      </w:tr>
      <w:tr w:rsidR="00E31838" w:rsidRPr="0010524E" w14:paraId="4D73D40C"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491DF8B" w14:textId="740895D2"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V – data de emissão;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39BE83" w14:textId="3E30A26E"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4E8F23" w14:textId="6576CD32" w:rsidR="00E31838" w:rsidRPr="0010524E" w:rsidRDefault="00E31838" w:rsidP="00A95720">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o art. 102 da consolidação</w:t>
            </w:r>
          </w:p>
        </w:tc>
      </w:tr>
      <w:tr w:rsidR="00E31838" w:rsidRPr="0010524E" w14:paraId="3401BDE0"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AD24245" w14:textId="2DB04126"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VI – prazo de validade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452955" w14:textId="6AD4294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4F7AAA" w14:textId="19AADAD2" w:rsidR="00E31838" w:rsidRPr="0010524E" w:rsidRDefault="00E31838" w:rsidP="00A95720">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o art. 102 da consolidação</w:t>
            </w:r>
          </w:p>
        </w:tc>
      </w:tr>
      <w:tr w:rsidR="00E31838" w:rsidRPr="0010524E" w14:paraId="5A80142A"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33AA61E" w14:textId="77DF7F9C"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Parágrafo único. A Previc pode solicitar, quando necessário, informações que permitam o controle da verificação dos requisitos e condições exigidas de que trata o caput.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C0382D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DBF9047" w14:textId="1A3042A8" w:rsidR="00E31838" w:rsidRPr="0010524E" w:rsidRDefault="00E31838" w:rsidP="00A95720">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Realocado para o art. 102 da consolidação</w:t>
            </w:r>
          </w:p>
        </w:tc>
      </w:tr>
      <w:tr w:rsidR="00E31838" w:rsidRPr="0010524E" w14:paraId="10D067C0"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1A242A1" w14:textId="0CC8D4FA" w:rsidR="00E31838" w:rsidRPr="0010524E" w:rsidRDefault="00E31838" w:rsidP="00A95720">
            <w:pPr>
              <w:spacing w:after="0"/>
              <w:jc w:val="both"/>
              <w:rPr>
                <w:rFonts w:ascii="Calibri" w:hAnsi="Calibri" w:cs="Calibri"/>
                <w:sz w:val="24"/>
                <w:szCs w:val="24"/>
              </w:rPr>
            </w:pPr>
            <w:r>
              <w:t>Art. 8º Somente será reconhecida a certificação obtida mediante aprovação em exames por provas ou por provas e títulos.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E2FCA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7031DD6" w14:textId="01665966" w:rsidR="00E31838" w:rsidRPr="0010524E" w:rsidRDefault="00E31838" w:rsidP="00A95720">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o art. 103 da consolidação</w:t>
            </w:r>
          </w:p>
        </w:tc>
      </w:tr>
      <w:tr w:rsidR="00E31838" w:rsidRPr="0010524E" w14:paraId="0C35F354" w14:textId="588D104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E18F511" w14:textId="576364C2" w:rsidR="00E31838" w:rsidRPr="0010524E" w:rsidRDefault="00E31838" w:rsidP="00A95720">
            <w:pPr>
              <w:spacing w:after="0"/>
              <w:jc w:val="both"/>
              <w:rPr>
                <w:rFonts w:ascii="Calibri" w:hAnsi="Calibri" w:cs="Calibri"/>
                <w:sz w:val="24"/>
                <w:szCs w:val="24"/>
              </w:rPr>
            </w:pPr>
            <w:r>
              <w:rPr>
                <w:rFonts w:ascii="Calibri" w:hAnsi="Calibri" w:cs="Calibri"/>
                <w:sz w:val="24"/>
                <w:szCs w:val="24"/>
              </w:rPr>
              <w:t>Parágraf</w:t>
            </w:r>
            <w:r w:rsidRPr="0010524E">
              <w:rPr>
                <w:rFonts w:ascii="Calibri" w:hAnsi="Calibri" w:cs="Calibri"/>
                <w:sz w:val="24"/>
                <w:szCs w:val="24"/>
              </w:rPr>
              <w:t>o único. O disposto no caput não se aplica ao processo de renovação da certificação, que poderá ser obtida por meio de outras Certificadoras reconhecidas pela Previc, desde que exista convênio entre as instituições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E7E615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O certificado pode ser renovado por meio de outras Instituições Certificadoras reconhecidas pela Previc, desde que exista convênio entre as instituições.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1685FF4" w14:textId="77777777" w:rsidR="00E31838" w:rsidRPr="0010524E" w:rsidRDefault="00E31838" w:rsidP="00A95720">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para tratar da possibilidade de renovação do certificado por instituições diferentes caso haja convênio entre elas.</w:t>
            </w:r>
          </w:p>
        </w:tc>
      </w:tr>
      <w:tr w:rsidR="00E31838" w:rsidRPr="0010524E" w14:paraId="44C94C0C" w14:textId="050D53B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CC48F45" w14:textId="75E3CF1C"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B914EB" w14:textId="05635C92" w:rsidR="00E31838" w:rsidRPr="00A95720" w:rsidRDefault="00E31838" w:rsidP="00A95720">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102.  </w:t>
            </w:r>
            <w:r w:rsidRPr="00A95720">
              <w:rPr>
                <w:rFonts w:ascii="Calibri" w:eastAsia="Times New Roman" w:hAnsi="Calibri" w:cs="Calibri"/>
                <w:kern w:val="0"/>
                <w:sz w:val="24"/>
                <w:szCs w:val="24"/>
                <w:lang w:eastAsia="pt-BR"/>
                <w14:ligatures w14:val="none"/>
              </w:rPr>
              <w:t xml:space="preserve">A Instituição Certificadora deve manter registro com informações dos profissionais certificados e respectivos certificados emitidos, especificando, no mínimo: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6466D2" w14:textId="1CB7C991" w:rsidR="00E31838" w:rsidRPr="0010524E" w:rsidRDefault="00E31838" w:rsidP="00A95720">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7º da Instrução Normativa Previc nº 29/2020</w:t>
            </w:r>
          </w:p>
        </w:tc>
      </w:tr>
      <w:tr w:rsidR="00E31838" w:rsidRPr="0010524E" w14:paraId="490B6E64" w14:textId="5048E7F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9774651" w14:textId="3F8D52B8"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FD1891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dados pessoais do profissional certificado;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AA79B3" w14:textId="0B2D9E7C" w:rsidR="00E31838" w:rsidRPr="0010524E" w:rsidRDefault="00E31838" w:rsidP="00A95720">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7º da Instrução Normativa Previc nº 29/2020</w:t>
            </w:r>
          </w:p>
        </w:tc>
      </w:tr>
      <w:tr w:rsidR="00E31838" w:rsidRPr="0010524E" w14:paraId="20792AAD" w14:textId="7EBAFBE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696CC2B" w14:textId="2BAB25E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235F4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denominação do certificado;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11D084" w14:textId="7025AA8C" w:rsidR="00E31838" w:rsidRPr="0010524E" w:rsidRDefault="00E31838" w:rsidP="00A95720">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7º da Instrução Normativa Previc nº 29/2020</w:t>
            </w:r>
          </w:p>
        </w:tc>
      </w:tr>
      <w:tr w:rsidR="00E31838" w:rsidRPr="0010524E" w14:paraId="73275B9C" w14:textId="3C7FB12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366F6B4" w14:textId="5FD9C63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1338A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forma de avaliação;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7EB661" w14:textId="700CC334" w:rsidR="00E31838" w:rsidRPr="0010524E" w:rsidRDefault="00E31838" w:rsidP="00A95720">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7º da Instrução Normativa Previc nº 29/2020</w:t>
            </w:r>
          </w:p>
        </w:tc>
      </w:tr>
      <w:tr w:rsidR="00E31838" w:rsidRPr="0010524E" w14:paraId="6A2F17B4" w14:textId="7B5DE34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7F26E9A" w14:textId="409607C5"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A89D86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aproveitamento;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6BEB4E" w14:textId="34A995F5" w:rsidR="00E31838" w:rsidRPr="0010524E" w:rsidRDefault="00E31838" w:rsidP="00A95720">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7º da Instrução Normativa Previc nº 29/2020</w:t>
            </w:r>
          </w:p>
        </w:tc>
      </w:tr>
      <w:tr w:rsidR="00E31838" w:rsidRPr="0010524E" w14:paraId="27AD2C91" w14:textId="5CDF26D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BAD44B6" w14:textId="56B4D799"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131B84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data de emissão;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8BC3795" w14:textId="68EA996A" w:rsidR="00E31838" w:rsidRPr="0010524E" w:rsidRDefault="00E31838" w:rsidP="00A95720">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7º da Instrução Normativa Previc nº 29/2020</w:t>
            </w:r>
          </w:p>
        </w:tc>
      </w:tr>
      <w:tr w:rsidR="00E31838" w:rsidRPr="0010524E" w14:paraId="267D8E1C" w14:textId="32CB90E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9937D8F" w14:textId="72BFE9E9"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A44AA5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 – prazo de validade.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956EAE1" w14:textId="0B0C674E" w:rsidR="00E31838" w:rsidRPr="0010524E" w:rsidRDefault="00E31838" w:rsidP="00A95720">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7º da Instrução Normativa Previc nº 29/2020</w:t>
            </w:r>
          </w:p>
        </w:tc>
      </w:tr>
      <w:tr w:rsidR="00E31838" w:rsidRPr="0010524E" w14:paraId="756D30D9" w14:textId="0588B97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9C18FE1" w14:textId="500556CB"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1B97E0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 Previc pode solicitar, quando necessário, informações que permitam o controle da verificação dos requisitos e condições exigidas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BDCEC97" w14:textId="6C3008BD" w:rsidR="00E31838" w:rsidRPr="0010524E" w:rsidRDefault="00E31838" w:rsidP="00A95720">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7º da Instrução Normativa Previc nº 29/2020</w:t>
            </w:r>
          </w:p>
        </w:tc>
      </w:tr>
      <w:tr w:rsidR="00E31838" w:rsidRPr="0010524E" w14:paraId="49C0D51B" w14:textId="38588C8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8F7E66C" w14:textId="76C486EB"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94FA529" w14:textId="3BD5940C" w:rsidR="00E31838" w:rsidRPr="00B1001F" w:rsidRDefault="00E31838" w:rsidP="00B1001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103.  </w:t>
            </w:r>
            <w:r w:rsidRPr="00B1001F">
              <w:rPr>
                <w:rFonts w:ascii="Calibri" w:eastAsia="Times New Roman" w:hAnsi="Calibri" w:cs="Calibri"/>
                <w:kern w:val="0"/>
                <w:sz w:val="24"/>
                <w:szCs w:val="24"/>
                <w:lang w:eastAsia="pt-BR"/>
                <w14:ligatures w14:val="none"/>
              </w:rPr>
              <w:t xml:space="preserve">Somente deve ser reconhecido certificado cujo processo de obtenção seja mediante avaliação com aprovação em exames por provas, por provas e títulos ou por experiência.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91B5EBB" w14:textId="77777777" w:rsidR="00E31838"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Inclusão, por sugestão do DISUP, do reconhecimento de certificado emitido por experiência, o que hoje é vedado</w:t>
            </w:r>
          </w:p>
          <w:p w14:paraId="258A9F6A" w14:textId="77777777" w:rsidR="00E31838" w:rsidRDefault="00E31838" w:rsidP="00A95720">
            <w:pPr>
              <w:spacing w:after="0"/>
              <w:jc w:val="both"/>
              <w:rPr>
                <w:rFonts w:ascii="Calibri" w:eastAsia="Times New Roman" w:hAnsi="Calibri" w:cs="Calibri"/>
                <w:kern w:val="0"/>
                <w:sz w:val="24"/>
                <w:szCs w:val="24"/>
                <w:lang w:eastAsia="pt-BR"/>
                <w14:ligatures w14:val="none"/>
              </w:rPr>
            </w:pPr>
          </w:p>
          <w:p w14:paraId="5F7FED56" w14:textId="0C2B5E12" w:rsidR="00E31838" w:rsidRPr="0010524E" w:rsidRDefault="00E31838" w:rsidP="00A95720">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art. 8º da  da Instrução Normativa Previc nº 29/2020</w:t>
            </w:r>
          </w:p>
        </w:tc>
      </w:tr>
      <w:tr w:rsidR="00E31838" w:rsidRPr="0010524E" w14:paraId="5BDA990B" w14:textId="6AC5DC8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5BC56F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9º As Certificadoras devem contemplar na prova de conhecimentos, integral ou parcialmente, o conteúdo previsto no Anexo a esta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61C3C9" w14:textId="799A08F6"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 avaliação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 contemplar, integral ou parcialmente, o conteúdo previsto no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_Ref138841597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Anexo I</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I.</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2A0BF6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40887443" w14:textId="16EC40C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C2E2CA9" w14:textId="26F9F81C"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743E4A" w14:textId="6BF4760C" w:rsidR="00E31838" w:rsidRPr="00B1001F" w:rsidRDefault="00E31838" w:rsidP="00B1001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104.  </w:t>
            </w:r>
            <w:r w:rsidRPr="00B1001F">
              <w:rPr>
                <w:rFonts w:ascii="Calibri" w:eastAsia="Times New Roman" w:hAnsi="Calibri" w:cs="Calibri"/>
                <w:kern w:val="0"/>
                <w:sz w:val="24"/>
                <w:szCs w:val="24"/>
                <w:lang w:eastAsia="pt-BR"/>
                <w14:ligatures w14:val="none"/>
              </w:rPr>
              <w:t xml:space="preserve">A Previc pode, a qualquer tempo, revogar o reconhecimento de Instituição Certificadora ou de </w:t>
            </w:r>
            <w:r w:rsidRPr="00B1001F">
              <w:rPr>
                <w:rFonts w:ascii="Calibri" w:eastAsia="Times New Roman" w:hAnsi="Calibri" w:cs="Calibri"/>
                <w:kern w:val="0"/>
                <w:sz w:val="24"/>
                <w:szCs w:val="24"/>
                <w:lang w:eastAsia="pt-BR"/>
                <w14:ligatures w14:val="none"/>
              </w:rPr>
              <w:lastRenderedPageBreak/>
              <w:t xml:space="preserve">certificado quando constatado o não atendimento aos requisitos mínimos exigidos pela legislação vigente.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3A69C6" w14:textId="77777777" w:rsidR="00E31838"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Aprimoramento redacional para prever a possibilidade expressa de revogação </w:t>
            </w:r>
            <w:r w:rsidRPr="0010524E">
              <w:rPr>
                <w:rFonts w:ascii="Calibri" w:eastAsia="Times New Roman" w:hAnsi="Calibri" w:cs="Calibri"/>
                <w:kern w:val="0"/>
                <w:sz w:val="24"/>
                <w:szCs w:val="24"/>
                <w:lang w:eastAsia="pt-BR"/>
                <w14:ligatures w14:val="none"/>
              </w:rPr>
              <w:lastRenderedPageBreak/>
              <w:t>do reconhecimento da instituição ou do certificado quando constatado o superveniente não atendimento aos requisitos exigidos.</w:t>
            </w:r>
          </w:p>
          <w:p w14:paraId="00867022" w14:textId="6DD88883" w:rsidR="00E31838" w:rsidRPr="0010524E" w:rsidRDefault="00E31838" w:rsidP="00A95720">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do § 3º do art. 6º da Instrução Normativa Previc nº 29/2020</w:t>
            </w:r>
          </w:p>
        </w:tc>
      </w:tr>
      <w:tr w:rsidR="00E31838" w:rsidRPr="0010524E" w14:paraId="48B403C7" w14:textId="0ADB821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DE0F2C0"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Art. 10. A Certificadora pode interpor recurso, no prazo de dez dias contados da ciência da decisão que indeferir o reconhecimento de sua capacidade técnica ou de seu certificado.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9CD8ED5" w14:textId="175BF0C2" w:rsidR="00E31838" w:rsidRPr="00B1001F" w:rsidRDefault="00E31838" w:rsidP="00B1001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105.  </w:t>
            </w:r>
            <w:r w:rsidRPr="00B1001F">
              <w:rPr>
                <w:rFonts w:ascii="Calibri" w:eastAsia="Times New Roman" w:hAnsi="Calibri" w:cs="Calibri"/>
                <w:kern w:val="0"/>
                <w:sz w:val="24"/>
                <w:szCs w:val="24"/>
                <w:lang w:eastAsia="pt-BR"/>
                <w14:ligatures w14:val="none"/>
              </w:rPr>
              <w:t xml:space="preserve">A Instituição Certificadora pode pedir reconsideração da decisão que indeferir ou revogar seu reconhecimento ou de seu certificado, no prazo de dez dias contados da ciência da decisão.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DED6E7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com a inclusão da possibilidade de pedido de reconsideração, que, se indeferido, será submetido como recurso à instância superior.</w:t>
            </w:r>
          </w:p>
        </w:tc>
      </w:tr>
      <w:tr w:rsidR="00E31838" w:rsidRPr="0010524E" w14:paraId="5CAC2FC7" w14:textId="75C216F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D01D1D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Parágrafo único. O recurso será dirigido à autoridade que proferiu a decisão, instruído com os documentos que justifiquem a reconsideração, o qual deverá ser avaliado no prazo de cinco dias e, caso mantido o indeferimento, submetido à instância superior.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DB27A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O pedido de reconsideração deve ser dirigido à autoridade que proferiu a decisão, instruído com os documentos que o justifiquem, o qual deve ser avaliado no prazo de cinco dias e, caso mantido a decisão, submetido como recurso à instância superior.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78DEF2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com a inclusão da possibilidade de pedido de reconsideração, que se indeferido, será submetido como recurso à instância superior.</w:t>
            </w:r>
          </w:p>
          <w:p w14:paraId="5B1C030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4BD1D2E" w14:textId="00DAF9F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4B1CD2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11. As notificações decorrentes das análises realizadas no âmbito dos requerimentos previstos nos artigos 5º e 6º desta Instrução devem ser encaminhadas para o endereço eletrônico informado pela Certificadora, que estará notificada na data do envio da mensagem eletrônica.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417D4D7" w14:textId="07978067" w:rsidR="00E31838" w:rsidRPr="00B1001F" w:rsidRDefault="00E31838" w:rsidP="00B1001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106.  </w:t>
            </w:r>
            <w:r w:rsidRPr="00B1001F">
              <w:rPr>
                <w:rFonts w:ascii="Calibri" w:eastAsia="Times New Roman" w:hAnsi="Calibri" w:cs="Calibri"/>
                <w:kern w:val="0"/>
                <w:sz w:val="24"/>
                <w:szCs w:val="24"/>
                <w:lang w:eastAsia="pt-BR"/>
                <w14:ligatures w14:val="none"/>
              </w:rPr>
              <w:t xml:space="preserve">As notificações decorrentes das análises realizadas no âmbito dos requerimentos previstos nesta subseção devem ser encaminhadas para o endereço eletrônico informado pela Certificadora, que deve ser notificada na data do envio da mensagem eletrônica.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14D121F" w14:textId="77777777" w:rsidR="00E31838" w:rsidRPr="0010524E" w:rsidRDefault="00E31838" w:rsidP="00A95720">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283E9174"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76F6773" w14:textId="79348618" w:rsidR="00E31838" w:rsidRPr="0010524E" w:rsidRDefault="00E31838" w:rsidP="00A95720">
            <w:pPr>
              <w:spacing w:after="0"/>
              <w:jc w:val="both"/>
              <w:rPr>
                <w:rFonts w:ascii="Calibri" w:hAnsi="Calibri" w:cs="Calibri"/>
                <w:sz w:val="24"/>
                <w:szCs w:val="24"/>
              </w:rPr>
            </w:pPr>
            <w:r>
              <w:lastRenderedPageBreak/>
              <w:t>Art. 12. As Certificadoras devem adaptar seus certificados ao disposto nos arts. 8º e 9º até 1º de janeiro de 2021.</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7E069FD" w14:textId="77777777" w:rsidR="00E31838" w:rsidRPr="0010524E" w:rsidRDefault="00E31838" w:rsidP="00A95720">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74EE621" w14:textId="17D2A13D" w:rsidR="00E31838" w:rsidRPr="0010524E" w:rsidRDefault="00E31838" w:rsidP="00A95720">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por perda de objeto</w:t>
            </w:r>
          </w:p>
        </w:tc>
      </w:tr>
      <w:tr w:rsidR="00E31838" w:rsidRPr="0010524E" w14:paraId="662F09D1"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ED09724" w14:textId="7635BD0C" w:rsidR="00E31838" w:rsidRPr="0010524E" w:rsidRDefault="00E31838" w:rsidP="00B1001F">
            <w:pPr>
              <w:spacing w:after="0"/>
              <w:jc w:val="both"/>
              <w:rPr>
                <w:rFonts w:ascii="Calibri" w:hAnsi="Calibri" w:cs="Calibri"/>
                <w:sz w:val="24"/>
                <w:szCs w:val="24"/>
              </w:rPr>
            </w:pPr>
            <w:r w:rsidRPr="00B1001F">
              <w:rPr>
                <w:rFonts w:ascii="Calibri" w:eastAsia="Times New Roman" w:hAnsi="Calibri" w:cs="Calibri"/>
                <w:b/>
                <w:bCs/>
                <w:kern w:val="0"/>
                <w:sz w:val="24"/>
                <w:szCs w:val="24"/>
                <w:lang w:eastAsia="pt-BR"/>
                <w14:ligatures w14:val="none"/>
              </w:rPr>
              <w:t>Instrução Normativa DC/PREVIC Nº 41 DE 03/08/2021</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3430FCE" w14:textId="77777777" w:rsidR="00E31838" w:rsidRPr="0010524E" w:rsidRDefault="00E31838" w:rsidP="00A95720">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EC20F8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B5C0469"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08BD90D" w14:textId="05031CEF" w:rsidR="00E31838" w:rsidRPr="007F63DA" w:rsidRDefault="00E31838" w:rsidP="007F63DA">
            <w:pPr>
              <w:spacing w:after="0" w:line="240" w:lineRule="auto"/>
              <w:jc w:val="both"/>
              <w:rPr>
                <w:rFonts w:ascii="Calibri" w:hAnsi="Calibri" w:cs="Calibri"/>
                <w:sz w:val="24"/>
                <w:szCs w:val="24"/>
              </w:rPr>
            </w:pPr>
            <w:r w:rsidRPr="007F63DA">
              <w:t>Estabelece procedimentos para habilitação de dirigentes das entidades fechadas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012ADD9" w14:textId="77777777" w:rsidR="00E31838" w:rsidRPr="0010524E" w:rsidRDefault="00E31838" w:rsidP="00A95720">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7A44DC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672D35F" w14:textId="297BBCC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7C68501"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5E93554" w14:textId="77777777" w:rsidR="00E31838" w:rsidRPr="0010524E" w:rsidRDefault="00E31838" w:rsidP="00A95720">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X</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EAFB9A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772FCDD" w14:textId="088714E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E23E630"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4290E3" w14:textId="03029A81" w:rsidR="00E31838" w:rsidRPr="0010524E" w:rsidRDefault="00E31838" w:rsidP="00A95720">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Habilitação de dirigente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EBD18F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B60DD15"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F527ADC" w14:textId="4971E94B" w:rsidR="00E31838" w:rsidRPr="0010524E" w:rsidRDefault="00E31838" w:rsidP="00A95720">
            <w:pPr>
              <w:spacing w:after="0"/>
              <w:jc w:val="both"/>
              <w:rPr>
                <w:rFonts w:ascii="Calibri" w:hAnsi="Calibri" w:cs="Calibri"/>
                <w:sz w:val="24"/>
                <w:szCs w:val="24"/>
              </w:rPr>
            </w:pPr>
            <w:r>
              <w:rPr>
                <w:rFonts w:ascii="Helvetica" w:hAnsi="Helvetica" w:cs="Helvetica"/>
                <w:color w:val="333333"/>
                <w:sz w:val="21"/>
                <w:szCs w:val="21"/>
                <w:shd w:val="clear" w:color="auto" w:fill="FFFFFF"/>
              </w:rPr>
              <w:t>Art. 1º Os procedimentos para habilitação de membros da diretoria-executiva, do conselho deliberativo e do conselho fiscal das entidades fechadas de previdência complementar (EFPC) deverão observar o disposto nesta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A402050" w14:textId="77777777" w:rsidR="00E31838" w:rsidRPr="007F63DA" w:rsidRDefault="00E31838" w:rsidP="007F63DA">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9248777" w14:textId="77777777" w:rsidR="00E31838" w:rsidRPr="0010524E" w:rsidRDefault="00E31838" w:rsidP="00A95720">
            <w:pPr>
              <w:spacing w:after="0" w:line="240" w:lineRule="auto"/>
              <w:jc w:val="both"/>
              <w:rPr>
                <w:rFonts w:ascii="Calibri" w:eastAsia="Times New Roman" w:hAnsi="Calibri" w:cs="Calibri"/>
                <w:kern w:val="0"/>
                <w:sz w:val="24"/>
                <w:szCs w:val="24"/>
                <w:lang w:eastAsia="pt-BR"/>
                <w14:ligatures w14:val="none"/>
              </w:rPr>
            </w:pPr>
          </w:p>
        </w:tc>
      </w:tr>
      <w:tr w:rsidR="00E31838" w:rsidRPr="0010524E" w14:paraId="0DAC9EE3" w14:textId="32C40F6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15B9B4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2º A EFPC deverá enviar à Superintendência Nacional de Previdência Complementar (Previc), para fins de habilitação, a documentação comprobatória de atendimento aos requisitos exigidos para o exercício dos seguintes cargos: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60C957" w14:textId="458B770A" w:rsidR="00E31838" w:rsidRPr="007F63DA" w:rsidRDefault="00E31838" w:rsidP="007F63DA">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107.  </w:t>
            </w:r>
            <w:r w:rsidRPr="007F63DA">
              <w:rPr>
                <w:rFonts w:ascii="Calibri" w:eastAsia="Times New Roman" w:hAnsi="Calibri" w:cs="Calibri"/>
                <w:kern w:val="0"/>
                <w:sz w:val="24"/>
                <w:szCs w:val="24"/>
                <w:lang w:eastAsia="pt-BR"/>
                <w14:ligatures w14:val="none"/>
              </w:rPr>
              <w:t xml:space="preserve">A habilitação de dirigente é exigível para o exercício dos seguintes cargos: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618BA36" w14:textId="77777777" w:rsidR="00E31838" w:rsidRPr="0010524E" w:rsidRDefault="00E31838" w:rsidP="00A95720">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 simplificação da redação</w:t>
            </w:r>
          </w:p>
        </w:tc>
      </w:tr>
      <w:tr w:rsidR="00E31838" w:rsidRPr="0010524E" w14:paraId="42A7CB98" w14:textId="6E5C398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25818D9"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Membro da diretoria-executiva de todas as EFPC;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BE010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membro da diretoria-executiva de todas as EFPC;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C39DB8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545EE9EC" w14:textId="13AE215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A3A623B"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Membro do conselho deliberativo e do conselho fiscal das EFPC enquadradas como entidades sistemicamente importantes.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D74D5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membro do conselho deliberativo e do conselho fiscal das EFPC enquadradas no Segmento I.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AC00A7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para substituir a nomenclatura “ESI”</w:t>
            </w:r>
          </w:p>
        </w:tc>
      </w:tr>
      <w:tr w:rsidR="00E31838" w:rsidRPr="0010524E" w14:paraId="20E6F526" w14:textId="173F386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840E96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§1º O regular exercício dos cargos relacionados nos incisos I e II do caput depende de prévia emissão de Atestado de Habilitação de Dirigente.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D464EF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O regular exercício dos cargos relacionados nos incisos I e II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depende de prévia emissão de Atestado de Habilitação de Dirigente.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D4FFE9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134C2451" w14:textId="6E00056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75763C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§2º Eventual substituição temporária de membro da diretoria-executiva, quando superior a trinta dias, deverá ser exercida por profissional habilitado nos termos dessa Instrução Normativa.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E9CCE1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Eventual substituição temporária de membro da diretoria-executiva, quando superior a trinta dias, deve ser exercida por profissional previamente habilitado.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09B5D0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208AE388" w14:textId="4C9903A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B1A0460"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§3º A EFPC não classificada como entidade sistemicamente importante deverá enviar a documentação relativa aos membros do conselho fiscal e do conselho deliberativo somente quando solicitada pela Previc, o que não exime o cumprimento de todos os requisitos previstos nos artigos 3º e 4º.</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026C59E" w14:textId="63D6EF09"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§3º  A EFPC não classificada como de Segmento I deve enviar a documentação relativa aos membros do conselho fiscal e do conselho deliberativo somente quando solicitada pela Previc, o que não a exime do cumprimento de todos os requisitos previstos nos arts 108 e 109.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A782A3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para substituir a nomenclatura “ESI”</w:t>
            </w:r>
          </w:p>
          <w:p w14:paraId="7EF88EC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FB06B7A" w14:textId="476435B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B478D89"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§4º Cabe ao presidente ou ao ocupante de cargo equivalente da diretoria-executiva da EFPC garantir o fiel e permanente cumprimento dos requisitos de todos os dirigentes e a guarda da documentação comprobatória.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0D6BE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§4º  Cabe ao presidente ou ao ocupante de cargo equivalente da diretoria-executiva da EFPC garantir o fiel e permanente cumprimento dos requisitos de todos os dirigentes e a guarda da documentação comprobatória.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4F254E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71524140" w14:textId="1013DD1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E17F25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xml:space="preserve">§5º Na hipótese de requerimento de habilitação do presidente ou ocupante de cargo equivalente da diretoria-executiva, as obrigações referidas no caput e no §4º deste </w:t>
            </w:r>
            <w:r w:rsidRPr="0010524E">
              <w:rPr>
                <w:rFonts w:ascii="Calibri" w:hAnsi="Calibri" w:cs="Calibri"/>
                <w:sz w:val="24"/>
                <w:szCs w:val="24"/>
              </w:rPr>
              <w:lastRenderedPageBreak/>
              <w:t>artigo deverão ser observadas pelo presidente do Conselho Deliberativo, ou nos termos do estatuto.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7B82D2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§5º  Na hipótese de requerimento de habilitação do presidente ou ocupante de cargo equivalente da diretoria-executiva, as obrigações referidas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e </w:t>
            </w:r>
            <w:r w:rsidRPr="0010524E">
              <w:rPr>
                <w:rFonts w:ascii="Calibri" w:eastAsia="Times New Roman" w:hAnsi="Calibri" w:cs="Calibri"/>
                <w:kern w:val="0"/>
                <w:sz w:val="24"/>
                <w:szCs w:val="24"/>
                <w:lang w:eastAsia="pt-BR"/>
                <w14:ligatures w14:val="none"/>
              </w:rPr>
              <w:lastRenderedPageBreak/>
              <w:t>no § 4º devem ser observadas pelo presidente do Conselho Deliberativo.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FA9D4B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Aprimoramento redacional – exclusão da expressão “nos termos do estatuto”, que estava gerando confusão no entendimento das EFPC.</w:t>
            </w:r>
          </w:p>
        </w:tc>
      </w:tr>
      <w:tr w:rsidR="00E31838" w:rsidRPr="0010524E" w14:paraId="2FED77D5" w14:textId="5C92457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B9E2D1B"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3º São considerados requisitos mínimos para habilitação: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35648F" w14:textId="4F543FC1" w:rsidR="00E31838" w:rsidRPr="007F63DA" w:rsidRDefault="00E31838" w:rsidP="007F63DA">
            <w:pPr>
              <w:tabs>
                <w:tab w:val="left" w:pos="993"/>
              </w:tabs>
              <w:spacing w:after="120"/>
              <w:jc w:val="both"/>
              <w:rPr>
                <w:rFonts w:ascii="Calibri" w:eastAsia="Times New Roman" w:hAnsi="Calibri" w:cs="Calibri"/>
                <w:kern w:val="0"/>
                <w:sz w:val="24"/>
                <w:szCs w:val="24"/>
                <w:lang w:eastAsia="pt-BR"/>
                <w14:ligatures w14:val="none"/>
              </w:rPr>
            </w:pPr>
            <w:bookmarkStart w:id="18" w:name="_Ref138842838"/>
            <w:r>
              <w:rPr>
                <w:rFonts w:ascii="Calibri" w:eastAsia="Times New Roman" w:hAnsi="Calibri" w:cs="Calibri"/>
                <w:kern w:val="0"/>
                <w:sz w:val="24"/>
                <w:szCs w:val="24"/>
                <w:lang w:eastAsia="pt-BR"/>
                <w14:ligatures w14:val="none"/>
              </w:rPr>
              <w:t xml:space="preserve">Art. 108.  </w:t>
            </w:r>
            <w:r w:rsidRPr="007F63DA">
              <w:rPr>
                <w:rFonts w:ascii="Calibri" w:eastAsia="Times New Roman" w:hAnsi="Calibri" w:cs="Calibri"/>
                <w:kern w:val="0"/>
                <w:sz w:val="24"/>
                <w:szCs w:val="24"/>
                <w:lang w:eastAsia="pt-BR"/>
                <w14:ligatures w14:val="none"/>
              </w:rPr>
              <w:t>São considerados requisitos mínimos para habilitação:</w:t>
            </w:r>
            <w:bookmarkEnd w:id="18"/>
            <w:r w:rsidRPr="007F63DA">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15FB69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2C35EEE4" w14:textId="1D6D74A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41AF53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Ter comprovada experiência de, no mínimo, três anos no exercício de atividades nas áreas financeira, administrativa, contábil, jurídica, de fiscalização, de atuária, de previdência ou de auditoria, nos termos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93DA90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ter comprovada experiência de, no mínimo, três anos no exercício de atividades nas áreas financeira, administrativa, contábil, jurídica, de fiscalização, de atuária, de previdência ou de auditoria, nos termos da legislação aplicável;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D8A42E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3F382E4E" w14:textId="2398F95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C1A592D"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Não ter sofrido penalidade administrativa por infração da legislação da seguridade social, inclusive da previdência complementar, ou como servidor público;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DBDD9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não ter sofrido penalidade administrativa por infração da legislação da seguridade social, inclusive da previdência complementar, ou como servidor público;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D1370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4C1811CE" w14:textId="6A045F6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955335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III – não ter sofrido condenação criminal transitada em julgado;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A0462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não ter sofrido condenação criminal transitada em julgado;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AF6DE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74C3D23E" w14:textId="5AB13CA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26FF25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IV – ter reputação ilibada;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B0B9A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ter reputação ilibada;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CF823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3DD78F9A" w14:textId="15D44B5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765994D"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V – Possuir certificado emitido por instituição certificadora reconhecida pela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B6CD5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possuir certificado emitido por instituição certificadora reconhecida pela Previc.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F0E03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27E6FAFA" w14:textId="34CE890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1ACE210"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xml:space="preserve">§1º Os membros da diretoria-executiva, além de atender aos requisitos previstos nos incisos do caput, deverão residir no Brasil e ter formação de nível superior, ressalvando-se, neste último caso, o disposto no §8º do art. 35 </w:t>
            </w:r>
            <w:r w:rsidRPr="0010524E">
              <w:rPr>
                <w:rFonts w:ascii="Calibri" w:hAnsi="Calibri" w:cs="Calibri"/>
                <w:sz w:val="24"/>
                <w:szCs w:val="24"/>
              </w:rPr>
              <w:lastRenderedPageBreak/>
              <w:t>da Lei Complementar nº 109, de 29 de maio de 2001.</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692E7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§1º  Os membros da diretoria-executiva, além de atender aos requisitos previstos nos incisos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devem residir no Brasil e ter formação de nível superior, ressalvando-se, neste último caso, o disposto no §8º do art. 35 da Lei Complementar nº 109, de 29 de maio de 2001.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2977D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38072096" w14:textId="3894DCB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336FF1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§2º O membro da diretoria-executiva indicado para a função de administrador estatutário tecnicamente qualificado deverá possuir certificado específico para profissionais de investimentos e experiência mínima de três anos de exercício de atividades na área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E41C7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O membro da diretoria-executiva indicado para a função de administrador estatutário tecnicamente qualificado (AETQ) deve possuir certificado específico para profissionais de investimentos e experiência mínima de três anos de exercício de atividades na área de investimentos.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260E7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23DEA200" w14:textId="04B196D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479FD7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§3º De acordo com o porte da EFPC, a maturidade e a modalidade dos planos de benefícios, bem como o montante financeiro gerido, a Previc poderá considerar para fins de experiência profissional do administrador estatutário tecnicamente qualificado atividades correlatas a de investimentos que supram os requisitos para o desempenho do cargo.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FDE2C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§3º  De acordo com o porte da EFPC, a maturidade e a modalidade dos planos de benefícios, bem como o montante financeiro gerido, a Previc pode considerar para fins de experiência profissional do AETQ atividades correlatas a de investimentos que suprem os requisitos para o desempenho do cargo.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F19B4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674FDBFF" w14:textId="5E1561A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EF99E1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§4º São considerados para fins de comprovação da experiência profissional, de que tratam os §2º e §3º, os cargos, empregos e funções regularmente ocupados nos dez anos que antecederam o pedido de habilitação.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933764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§4º  São considerados para fins de comprovação da experiência profissional, de que tratam os §2º e §3º, os cargos, empregos e funções regularmente ocupados nos dez anos que antecedem o pedido de habilitação.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4D876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15A96358" w14:textId="3F0A53F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DB7A937"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xml:space="preserve">§5º Para fins de avaliação do cumprimento do requisito mencionado no inciso II do caput, </w:t>
            </w:r>
            <w:r w:rsidRPr="0010524E">
              <w:rPr>
                <w:rFonts w:ascii="Calibri" w:hAnsi="Calibri" w:cs="Calibri"/>
                <w:sz w:val="24"/>
                <w:szCs w:val="24"/>
              </w:rPr>
              <w:lastRenderedPageBreak/>
              <w:t>não serão consideradas as penalidades administrativas aplicadas pela Previc cumpridas há mais de cinco anos, bem como a pena de multa, quando não reincidente, ou de advertência.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E38C2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§5º  Para fins de avaliação do cumprimento do requisito mencionado no inciso II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não são </w:t>
            </w:r>
            <w:r w:rsidRPr="0010524E">
              <w:rPr>
                <w:rFonts w:ascii="Calibri" w:eastAsia="Times New Roman" w:hAnsi="Calibri" w:cs="Calibri"/>
                <w:kern w:val="0"/>
                <w:sz w:val="24"/>
                <w:szCs w:val="24"/>
                <w:lang w:eastAsia="pt-BR"/>
                <w14:ligatures w14:val="none"/>
              </w:rPr>
              <w:lastRenderedPageBreak/>
              <w:t xml:space="preserve">consideradas as penalidades administrativas aplicadas pela Previc </w:t>
            </w:r>
            <w:commentRangeStart w:id="19"/>
            <w:commentRangeStart w:id="20"/>
            <w:commentRangeStart w:id="21"/>
            <w:r w:rsidRPr="0010524E">
              <w:rPr>
                <w:rFonts w:ascii="Calibri" w:eastAsia="Times New Roman" w:hAnsi="Calibri" w:cs="Calibri"/>
                <w:kern w:val="0"/>
                <w:sz w:val="24"/>
                <w:szCs w:val="24"/>
                <w:lang w:eastAsia="pt-BR"/>
                <w14:ligatures w14:val="none"/>
              </w:rPr>
              <w:t>cumpridas há mais de cinco anos</w:t>
            </w:r>
            <w:commentRangeEnd w:id="19"/>
            <w:r w:rsidRPr="0010524E">
              <w:rPr>
                <w:rFonts w:ascii="Calibri" w:eastAsia="Times New Roman" w:hAnsi="Calibri" w:cs="Calibri"/>
                <w:kern w:val="0"/>
                <w:sz w:val="24"/>
                <w:szCs w:val="24"/>
                <w:lang w:eastAsia="pt-BR"/>
                <w14:ligatures w14:val="none"/>
              </w:rPr>
              <w:commentReference w:id="19"/>
            </w:r>
            <w:commentRangeEnd w:id="20"/>
            <w:r w:rsidRPr="0010524E">
              <w:rPr>
                <w:rFonts w:ascii="Calibri" w:eastAsia="Times New Roman" w:hAnsi="Calibri" w:cs="Calibri"/>
                <w:kern w:val="0"/>
                <w:sz w:val="24"/>
                <w:szCs w:val="24"/>
                <w:lang w:eastAsia="pt-BR"/>
                <w14:ligatures w14:val="none"/>
              </w:rPr>
              <w:commentReference w:id="20"/>
            </w:r>
            <w:commentRangeEnd w:id="21"/>
            <w:r w:rsidRPr="0010524E">
              <w:rPr>
                <w:rFonts w:ascii="Calibri" w:eastAsia="Times New Roman" w:hAnsi="Calibri" w:cs="Calibri"/>
                <w:kern w:val="0"/>
                <w:sz w:val="24"/>
                <w:szCs w:val="24"/>
                <w:lang w:eastAsia="pt-BR"/>
                <w14:ligatures w14:val="none"/>
              </w:rPr>
              <w:commentReference w:id="21"/>
            </w:r>
            <w:r w:rsidRPr="0010524E">
              <w:rPr>
                <w:rFonts w:ascii="Calibri" w:eastAsia="Times New Roman" w:hAnsi="Calibri" w:cs="Calibri"/>
                <w:kern w:val="0"/>
                <w:sz w:val="24"/>
                <w:szCs w:val="24"/>
                <w:lang w:eastAsia="pt-BR"/>
                <w14:ligatures w14:val="none"/>
              </w:rPr>
              <w:t xml:space="preserve">, bem como a pena de multa ou de advertência.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9859B72" w14:textId="77777777" w:rsidR="00E31838" w:rsidRPr="0010524E" w:rsidRDefault="00E31838" w:rsidP="00A95720">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Aprimoramento redacional: Eliminação da expressão “reincidente”, que trata-se </w:t>
            </w:r>
            <w:r w:rsidRPr="0010524E">
              <w:rPr>
                <w:rFonts w:ascii="Calibri" w:eastAsia="Times New Roman" w:hAnsi="Calibri" w:cs="Calibri"/>
                <w:kern w:val="0"/>
                <w:sz w:val="24"/>
                <w:szCs w:val="24"/>
                <w:lang w:eastAsia="pt-BR"/>
                <w14:ligatures w14:val="none"/>
              </w:rPr>
              <w:lastRenderedPageBreak/>
              <w:t>de um termo técnico jurídico, que no caso é incompatível com Parecer da Procuradoria (temos Consulta à Procuradoria a esse respeito) – sua origem, nas discussões da elaboração da anterior IN estavam ligadas à ideia de “contumaz” e não ao instituto jurídico da reincidência.</w:t>
            </w:r>
          </w:p>
        </w:tc>
      </w:tr>
      <w:tr w:rsidR="00E31838" w:rsidRPr="0010524E" w14:paraId="3FC558D3" w14:textId="137DFBF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E54F56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§6º As condenações criminais não relacionadas com as responsabilidades de dirigente de EFPC ou com as funções inerentes ao cargo pretendido não serão consideradas para fins de avaliação do requisito previsto no inciso III do caput.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C57EA8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§6º  As condenações criminais não relacionadas com as responsabilidades de dirigente de EFPC ou com as funções inerentes ao cargo pretendido não são consideradas para fins de avaliação do requisito previsto no inciso III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3CD230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1C005D49" w14:textId="4D233F9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0ED609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§7º Os requisitos relacionados nos incisos II a IV do caput deverão ser comprovados por meio de declaração assinada pelo habilitando e pelo presidente ou ocupante de cargo equivalente da diretoria-executiva, sem prejuízo da requisição, pela Previc, da documentação pertinente, bem como da sua verificação por meio de consulta às bases de dados disponíveis.</w:t>
            </w:r>
          </w:p>
          <w:p w14:paraId="7D9FFEDC"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0134F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§7º  Os requisitos relacionados nos incisos II e IV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devem ser comprovados por meio de declaração assinada pelo habilitando e pelo presidente ou ocupante de cargo equivalente da diretoria executiva, sem prejuízo da requisição, pela Previc, da documentação pertinente, bem como da sua verificação por meio de consulta às bases de dados disponíveis.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F5A732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4038C079" w14:textId="4521DF6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507833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§8º O certificado previsto no inciso V do caput poderá ser dispensado para dirigentes de EFPC em fase de encerramento.</w:t>
            </w:r>
          </w:p>
          <w:p w14:paraId="1C42FDE7"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1133D9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§8º  O certificado previsto no inciso V do </w:t>
            </w:r>
            <w:r w:rsidRPr="0010524E">
              <w:rPr>
                <w:rFonts w:ascii="Calibri" w:eastAsia="Times New Roman" w:hAnsi="Calibri" w:cs="Calibri"/>
                <w:b/>
                <w:bCs/>
                <w:kern w:val="0"/>
                <w:sz w:val="24"/>
                <w:szCs w:val="24"/>
                <w:lang w:eastAsia="pt-BR"/>
                <w14:ligatures w14:val="none"/>
              </w:rPr>
              <w:t xml:space="preserve">caput </w:t>
            </w:r>
            <w:r w:rsidRPr="0010524E">
              <w:rPr>
                <w:rFonts w:ascii="Calibri" w:eastAsia="Times New Roman" w:hAnsi="Calibri" w:cs="Calibri"/>
                <w:kern w:val="0"/>
                <w:sz w:val="24"/>
                <w:szCs w:val="24"/>
                <w:lang w:eastAsia="pt-BR"/>
                <w14:ligatures w14:val="none"/>
              </w:rPr>
              <w:t>pode ser dispensado para dirigentes de EFPC em fase de encerramento.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A2FA0C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351B12C0" w14:textId="6FFEB19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C3CC04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4º Para análise do requisito de reputação ilibada deverão ser considerados atos, situações ou circunstâncias incompatíveis com a natureza do cargo ou função a ser exercida, entre estes a existência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1A9CB06" w14:textId="3BC7E83B" w:rsidR="00E31838" w:rsidRPr="0036438E" w:rsidRDefault="00E31838" w:rsidP="0036438E">
            <w:pPr>
              <w:tabs>
                <w:tab w:val="left" w:pos="993"/>
              </w:tabs>
              <w:spacing w:after="120"/>
              <w:jc w:val="both"/>
              <w:rPr>
                <w:rFonts w:ascii="Calibri" w:eastAsia="Times New Roman" w:hAnsi="Calibri" w:cs="Calibri"/>
                <w:kern w:val="0"/>
                <w:sz w:val="24"/>
                <w:szCs w:val="24"/>
                <w:lang w:eastAsia="pt-BR"/>
                <w14:ligatures w14:val="none"/>
              </w:rPr>
            </w:pPr>
            <w:bookmarkStart w:id="22" w:name="_Ref138842890"/>
            <w:r>
              <w:rPr>
                <w:rFonts w:ascii="Calibri" w:eastAsia="Times New Roman" w:hAnsi="Calibri" w:cs="Calibri"/>
                <w:kern w:val="0"/>
                <w:sz w:val="24"/>
                <w:szCs w:val="24"/>
                <w:lang w:eastAsia="pt-BR"/>
                <w14:ligatures w14:val="none"/>
              </w:rPr>
              <w:t xml:space="preserve">Art. 109.  </w:t>
            </w:r>
            <w:r w:rsidRPr="0036438E">
              <w:rPr>
                <w:rFonts w:ascii="Calibri" w:eastAsia="Times New Roman" w:hAnsi="Calibri" w:cs="Calibri"/>
                <w:kern w:val="0"/>
                <w:sz w:val="24"/>
                <w:szCs w:val="24"/>
                <w:lang w:eastAsia="pt-BR"/>
                <w14:ligatures w14:val="none"/>
              </w:rPr>
              <w:t>Para análise do requisito de reputação ilibada devem ser considerados atos, situações ou circunstâncias incompatíveis com a natureza do cargo ou função a ser exercida, entre estes a existência de:</w:t>
            </w:r>
            <w:bookmarkEnd w:id="22"/>
            <w:r w:rsidRPr="0036438E">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9DE6D7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528C1087" w14:textId="732910E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AAB2E6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Processo criminal a que esteja respondendo relacionado com as responsabilidades de dirigente de EFPC ou com as funções inerentes ao cargo pretendido;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41F4F4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condenação em processo administrativo ou judicial que tenha relação com as responsabilidades de dirigente de EFPC ou com as funções inerentes ao cargo pretendido;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030287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Vinculação do requisito “reputação ilibada” à existência de condenação (judicial e adm) transitada em julgado – resolveria a atual inexistência de parâmetros e estaria aderente a parte da jurisprudência existente acerca dos efeitos da presunção de inocência na esfera extra-penal</w:t>
            </w:r>
          </w:p>
        </w:tc>
      </w:tr>
      <w:tr w:rsidR="00E31838" w:rsidRPr="0010524E" w14:paraId="5F0AD5E0" w14:textId="274CD77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262DB97"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Processo judicial de natureza não criminal ou processo administrativo a que esteja respondendo e que tenha relação com a seguridade social, inclusive da previdência complementar, os mercados financeiros, de capitais, de seguros, de capitalização, bem como a economia popular, financiamento ao terrorismo, “lavagem” de dinheiro e ocultação de bens, direitos e valores;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58F223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condenação em processo administrativo ou judicial que tenha relação com a seguridade social, inclusive da previdência complementar, os mercados financeiros, de capitais, de seguros, de capitalização, bem como a economia popular, financiamento ao terrorismo, “lavagem” de dinheiro e ocultação de bens, direitos e valores;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F1FB90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Vinculação do requisito “reputação ilibada” à existência de condenação (judicial e adm) transitada em julgado – resolveria a atual inexistência de parâmetros e estaria aderente a parte da jurisprudência existente acerca dos efeitos da presunção de inocência na esfera extra-penal</w:t>
            </w:r>
          </w:p>
        </w:tc>
      </w:tr>
      <w:tr w:rsidR="00E31838" w:rsidRPr="0010524E" w14:paraId="07A70D37" w14:textId="162D20A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DBBEE6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xml:space="preserve">III – processo judicial de natureza não criminal ou processo administrativo a que esteja </w:t>
            </w:r>
            <w:r w:rsidRPr="0010524E">
              <w:rPr>
                <w:rFonts w:ascii="Calibri" w:hAnsi="Calibri" w:cs="Calibri"/>
                <w:sz w:val="24"/>
                <w:szCs w:val="24"/>
              </w:rPr>
              <w:lastRenderedPageBreak/>
              <w:t>respondendo por sua atuação como dirigente em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B4F0A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III – condenação em processo administrativo ou judicial por sua atuação como dirigente em EFPC;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1821D3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Aprimoramento redacional: Vinculação do requisito “reputação ilibada” à </w:t>
            </w:r>
            <w:r w:rsidRPr="0010524E">
              <w:rPr>
                <w:rFonts w:ascii="Calibri" w:eastAsia="Times New Roman" w:hAnsi="Calibri" w:cs="Calibri"/>
                <w:kern w:val="0"/>
                <w:sz w:val="24"/>
                <w:szCs w:val="24"/>
                <w:lang w:eastAsia="pt-BR"/>
                <w14:ligatures w14:val="none"/>
              </w:rPr>
              <w:lastRenderedPageBreak/>
              <w:t>existência de condenação (judicial e adm) transitada em julgado – resolveria a atual inexistência de parâmetros e estaria aderente a parte da jurisprudência existente acerca dos efeitos da presunção de inocência na esfera extra-penal</w:t>
            </w:r>
          </w:p>
        </w:tc>
      </w:tr>
      <w:tr w:rsidR="00E31838" w:rsidRPr="0010524E" w14:paraId="5D4A8C58" w14:textId="38BF55D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EB2A8B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IV – Processo a que esteja respondendo por improbidade administrativa;</w:t>
            </w:r>
          </w:p>
          <w:p w14:paraId="16FFFF27"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EC404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condenação em processo judicial por improbidade administrativa;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369C33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Vinculação do requisito “reputação ilibada” à existência de condenação (judicial e adm) transitada em julgado – resolveria a atual inexistência de parâmetros e estaria aderente a parte da jurisprudência existente acerca dos efeitos da presunção de inocência na esfera extra-penal</w:t>
            </w:r>
          </w:p>
          <w:p w14:paraId="0B7331C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7FEEBC7" w14:textId="06CC269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FF6E40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V – Inabilitação ou suspensão para o exercício de cargos em órgãos estatutários ou contratuais de instituições financeiras e demais entidades supervisionadas pelo Banco Central do Brasil, Comissão de Valores Mobiliários, Superintendência Nacional de Seguros Privados e Previc;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960AF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 – inabilitação ou suspensão para o exercício de cargos em órgãos estatutários ou contratuais de instituições financeiras e demais entidades supervisionadas pelo Banco Central do Brasil, Comissão de Valores Mobiliários, Superintendência Nacional de Seguros Privados e Previc;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02FE20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5F23B24E" w14:textId="33E6496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9A804D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VI – Outras situações, ocorrências ou circunstâncias julgadas relevantes pela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CE73E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 – outras situações, ocorrências ou circunstâncias julgadas relevantes pela Previc.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440A5C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48A78EF8" w14:textId="50EA6F5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77C485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§1º Somente serão considerados, para efeito de análise de reputação ilibada, os processos administrativos com decisão proferida em primeira instância.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EFB13A" w14:textId="0D5D9DF1"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Somente são considerados, para efeito de análise de reputação ilibada, os processos administrativos e judiciais com decisão definitiva transitada em julgado.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76F01D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Vinculação do requisito “reputação ilibada” à existência de condenação (judicial e adm) transitada em julgado – resolveria a atual inexistência de parâmetros e estaria aderente a parte da jurisprudência existente acerca dos efeitos da presunção de inocência na esfera extra-penal</w:t>
            </w:r>
          </w:p>
        </w:tc>
      </w:tr>
      <w:tr w:rsidR="00E31838" w:rsidRPr="0010524E" w14:paraId="753A26AF" w14:textId="18B6D01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F249A7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§2º A existência de penalidade administrativa de advertência ou multa quando não reincidente não impede o deferimento da habilitação.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A465698" w14:textId="172F51B0"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A existência de penalidade administrativa de advertência ou multa não impede o deferimento da habilitação.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774C1C3" w14:textId="77777777" w:rsidR="00E31838" w:rsidRPr="0010524E" w:rsidRDefault="00E31838" w:rsidP="00A95720">
            <w:pPr>
              <w:spacing w:after="0" w:line="240" w:lineRule="auto"/>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Eliminação da expressão “reincidente”, que trata-se de um termo técnico jurídico, que no caso é incompatível com Parecer da Procuradoria (temos Consulta à Procuradoria a esse respeito) – sua origem, nas discussões da elaboração da anterior IN estavam ligadas à ideia de “contumaz” e não ao instituto jurídico da reincidência.</w:t>
            </w:r>
          </w:p>
        </w:tc>
      </w:tr>
      <w:tr w:rsidR="00E31838" w:rsidRPr="0010524E" w14:paraId="1BEC1D42" w14:textId="7E9FF2A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2EB0767"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§3º Não serão considerados, para efeito de análise de reputação ilibada, os processos administrativos cujas penas foram cumpridas há mais de cinco anos.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D87CFC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§3º  Não são considerados, para efeito de análise de reputação ilibada, os processos administrativos cujas penas foram cumpridas há mais de cinco anos.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E3A416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7345A9A0" w14:textId="33A4762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C2B24C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xml:space="preserve">§4º Na hipótese prevista no inciso VI do caput, a Previc considerará as circunstâncias do caso concreto, a extensão e a gravidade dos fatos, visando sempre o interesse público, a </w:t>
            </w:r>
            <w:r w:rsidRPr="0010524E">
              <w:rPr>
                <w:rFonts w:ascii="Calibri" w:hAnsi="Calibri" w:cs="Calibri"/>
                <w:sz w:val="24"/>
                <w:szCs w:val="24"/>
              </w:rPr>
              <w:lastRenderedPageBreak/>
              <w:t>proteção do patrimônio dos planos de benefícios e a preservação do dever fiduciário em relação aos participantes e assistidos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E2F8C5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§4º  Na hipótese prevista no inciso VI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a Previc considera as circunstâncias do caso concreto, a extensão e a gravidade dos fatos, visando sempre o interesse público, a proteção do patrimônio dos planos </w:t>
            </w:r>
            <w:r w:rsidRPr="0010524E">
              <w:rPr>
                <w:rFonts w:ascii="Calibri" w:eastAsia="Times New Roman" w:hAnsi="Calibri" w:cs="Calibri"/>
                <w:kern w:val="0"/>
                <w:sz w:val="24"/>
                <w:szCs w:val="24"/>
                <w:lang w:eastAsia="pt-BR"/>
                <w14:ligatures w14:val="none"/>
              </w:rPr>
              <w:lastRenderedPageBreak/>
              <w:t>de benefícios e a preservação do dever fiduciário em relação aos participantes e assistidos.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126A99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27FDC56" w14:textId="4A76BF9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28944F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5º O membro da diretoria-executiva indicado para a função de administrador estatutário tecnicamente qualificado de EFPC enquadrada como entidade sistemicamente importante será submetido a entrevista, previamente à emissão do Atestado de Habilitação, a fim de confirmar o cumprimento dos requisitos técnicos exigidos e verificar a sua efetiva aptidão técnica.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2718C8" w14:textId="4F116761" w:rsidR="00E31838" w:rsidRPr="0036438E" w:rsidRDefault="00E31838" w:rsidP="0036438E">
            <w:pPr>
              <w:tabs>
                <w:tab w:val="left" w:pos="993"/>
              </w:tabs>
              <w:spacing w:after="120"/>
              <w:jc w:val="both"/>
              <w:rPr>
                <w:rFonts w:ascii="Calibri" w:eastAsia="Times New Roman" w:hAnsi="Calibri" w:cs="Calibri"/>
                <w:kern w:val="0"/>
                <w:sz w:val="24"/>
                <w:szCs w:val="24"/>
                <w:lang w:eastAsia="pt-BR"/>
                <w14:ligatures w14:val="none"/>
              </w:rPr>
            </w:pPr>
            <w:bookmarkStart w:id="23" w:name="_Ref138845250"/>
            <w:r>
              <w:rPr>
                <w:rFonts w:ascii="Calibri" w:eastAsia="Times New Roman" w:hAnsi="Calibri" w:cs="Calibri"/>
                <w:kern w:val="0"/>
                <w:sz w:val="24"/>
                <w:szCs w:val="24"/>
                <w:lang w:eastAsia="pt-BR"/>
                <w14:ligatures w14:val="none"/>
              </w:rPr>
              <w:t xml:space="preserve">Art. 110.  </w:t>
            </w:r>
            <w:r w:rsidRPr="0036438E">
              <w:rPr>
                <w:rFonts w:ascii="Calibri" w:eastAsia="Times New Roman" w:hAnsi="Calibri" w:cs="Calibri"/>
                <w:kern w:val="0"/>
                <w:sz w:val="24"/>
                <w:szCs w:val="24"/>
                <w:lang w:eastAsia="pt-BR"/>
                <w14:ligatures w14:val="none"/>
              </w:rPr>
              <w:t>O membro da diretoria-executiva indicado para a função de AETQ de EFPC enquadrada como de Segmento I deve ser submetido à entrevista, previamente à emissão do Atestado de Habilitação, a fim de confirmar o cumprimento dos requisitos técnicos exigidos e verificar a sua efetiva aptidão técnica.</w:t>
            </w:r>
            <w:bookmarkEnd w:id="23"/>
            <w:r w:rsidRPr="0036438E">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1EEB02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para substituir a nomenclatura “ESI”</w:t>
            </w:r>
          </w:p>
          <w:p w14:paraId="2CE9DAE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7B4FF9B" w14:textId="76A98FD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E3491DB"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Parágrafo único. A critério da Diretoria de Licenciamento, considerando o porte e a relevância da EFPC, o indicado para o cargo de administrador estatutário tecnicamente qualificado de EFPC não classificada como entidade sistemicamente importante poderá ser convocado para a entrevista de que trata o caput.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1CC446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A critério da Diretoria de Licenciamento, considerando o porte e a relevância da EFPC, o indicado para o cargo de administrador estatutário tecnicamente qualificado de EFPC não classificada como de Segmento I pode ser convocado para a entrevista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468954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para substituir a nomenclatura “ESI”</w:t>
            </w:r>
          </w:p>
          <w:p w14:paraId="6B32D22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A958EC2" w14:textId="576BA66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5BEA44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Portaria Previc nº 681, de 19/10/2021</w:t>
            </w:r>
          </w:p>
          <w:p w14:paraId="0BD32B44" w14:textId="1FA5E537" w:rsidR="00E31838" w:rsidRPr="0010524E" w:rsidRDefault="00E31838" w:rsidP="005C4CEF">
            <w:pPr>
              <w:spacing w:after="0"/>
              <w:jc w:val="both"/>
              <w:rPr>
                <w:rFonts w:ascii="Calibri" w:hAnsi="Calibri" w:cs="Calibri"/>
                <w:sz w:val="24"/>
                <w:szCs w:val="24"/>
              </w:rPr>
            </w:pPr>
            <w:r w:rsidRPr="0010524E">
              <w:rPr>
                <w:rFonts w:ascii="Calibri" w:hAnsi="Calibri" w:cs="Calibri"/>
                <w:sz w:val="24"/>
                <w:szCs w:val="24"/>
              </w:rPr>
              <w:t xml:space="preserve">§ 1º A entrevista será utilizada como subsídio técnico para confirmar o cumprimento dos requisitos técnicos exigidos e verificar a efetiva aptidão técnica do indicado para o cargo de AETQ, considerando o porte da </w:t>
            </w:r>
            <w:r w:rsidRPr="0010524E">
              <w:rPr>
                <w:rFonts w:ascii="Calibri" w:hAnsi="Calibri" w:cs="Calibri"/>
                <w:sz w:val="24"/>
                <w:szCs w:val="24"/>
              </w:rPr>
              <w:lastRenderedPageBreak/>
              <w:t>entidade fechada de previdência complementar em que pretende exercer as funções de AETQ, a maturidade e a modalidade dos planos de benefícios de caráter previdenciário por ela administrados e o montante financeiro sob sua gestão.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F2F8C3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§2º A entrevista prevista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será utilizada como subsídio técnico para confirmar o cumprimento dos requisitos técnicos exigidos e verificar a efetiva aptidão técnica do indicado para o cargo de AETQ, considerando o porte da entidade fechada de previdência complementar em que pretende exercer </w:t>
            </w:r>
            <w:r w:rsidRPr="0010524E">
              <w:rPr>
                <w:rFonts w:ascii="Calibri" w:eastAsia="Times New Roman" w:hAnsi="Calibri" w:cs="Calibri"/>
                <w:kern w:val="0"/>
                <w:sz w:val="24"/>
                <w:szCs w:val="24"/>
                <w:lang w:eastAsia="pt-BR"/>
                <w14:ligatures w14:val="none"/>
              </w:rPr>
              <w:lastRenderedPageBreak/>
              <w:t>as funções de AETQ, a maturidade e a modalidade dos planos de benefícios de caráter previdenciário por ela administrados e o montante financeiro sob sua gestão.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E241DB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Sem alteração</w:t>
            </w:r>
          </w:p>
        </w:tc>
      </w:tr>
      <w:tr w:rsidR="00E31838" w:rsidRPr="0010524E" w14:paraId="21B9DDE1" w14:textId="21DB876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692A40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Portaria Previc nº 681, de 19/10/2021</w:t>
            </w:r>
          </w:p>
          <w:p w14:paraId="42ABB4E7"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2º A entrevista prevista no caput não se aplica aos casos de renovação de atestado de habilitação, quando o habilitando tiver sido entrevistado anteriormente para o cargo de AETQ na mesma entidade.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047CE4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§3º A entrevista prevista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não se aplica aos casos de renovação de atestado de habilitação, quando o habilitando tiver sido entrevistado anteriormente para o cargo de AETQ na mesma Entidade.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DC10A6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F443366" w14:textId="7B20B09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281B1F7"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Portaria Previc nº 681, de 19/10/2021</w:t>
            </w:r>
          </w:p>
          <w:p w14:paraId="74953787"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6º II – a critério da Previc, ser realizadas: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B803E5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§4º A critério da Previc, as entrevistas previstas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podem ser realizadas: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1E452A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0863C56D" w14:textId="3F07B43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674C2A0"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Portaria Previc nº 681, de 19/10/2021</w:t>
            </w:r>
          </w:p>
          <w:p w14:paraId="485B1D2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 presencialmente, na sua sede ou em um de seus escritórios regionais;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A7B829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 presencialmente, na sede desta Autarquia ou em um de seus escritórios regionais;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F4DD7F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772B2023" w14:textId="7FBC286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699A92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Portaria Previc nº 681, de 19/10/2021</w:t>
            </w:r>
          </w:p>
          <w:p w14:paraId="7FFA629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b) por meio eletrônico, em ambiente virtual.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A4B0E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b) por meio eletrônico, em ambiente virtual.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022EEA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23AF20CB" w14:textId="176745D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C7CCEE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6º A entrevista de que trata o art. 5º tem como objetivo apurar a efetiva aptidão técnica para o exercício do cargo pleiteado pelo habilitando, considerando: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198ACB" w14:textId="11BD7C58" w:rsidR="00E31838" w:rsidRPr="005C4CEF" w:rsidRDefault="00E31838" w:rsidP="005C4CEF">
            <w:pPr>
              <w:tabs>
                <w:tab w:val="left" w:pos="993"/>
              </w:tabs>
              <w:spacing w:after="120"/>
              <w:jc w:val="both"/>
              <w:rPr>
                <w:rFonts w:ascii="Calibri" w:eastAsia="Times New Roman" w:hAnsi="Calibri" w:cs="Calibri"/>
                <w:kern w:val="0"/>
                <w:sz w:val="24"/>
                <w:szCs w:val="24"/>
                <w:lang w:eastAsia="pt-BR"/>
                <w14:ligatures w14:val="none"/>
              </w:rPr>
            </w:pPr>
            <w:bookmarkStart w:id="24" w:name="_Ref138845416"/>
            <w:r>
              <w:rPr>
                <w:rFonts w:ascii="Calibri" w:eastAsia="Times New Roman" w:hAnsi="Calibri" w:cs="Calibri"/>
                <w:kern w:val="0"/>
                <w:sz w:val="24"/>
                <w:szCs w:val="24"/>
                <w:lang w:eastAsia="pt-BR"/>
                <w14:ligatures w14:val="none"/>
              </w:rPr>
              <w:t xml:space="preserve">Art. 111.  </w:t>
            </w:r>
            <w:r w:rsidRPr="005C4CEF">
              <w:rPr>
                <w:rFonts w:ascii="Calibri" w:eastAsia="Times New Roman" w:hAnsi="Calibri" w:cs="Calibri"/>
                <w:kern w:val="0"/>
                <w:sz w:val="24"/>
                <w:szCs w:val="24"/>
                <w:lang w:eastAsia="pt-BR"/>
                <w14:ligatures w14:val="none"/>
              </w:rPr>
              <w:t>A entrevista de que trata o art.110 tem como objetivo apurar a efetiva aptidão técnica para o exercício do cargo pleiteado pelo habilitando, considerando:</w:t>
            </w:r>
            <w:bookmarkEnd w:id="24"/>
            <w:r w:rsidRPr="005C4CEF">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DEE6DA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4EF18CB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16BADA1" w14:textId="3B20D70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089D1F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o porte da EFPC, a maturidade e a modalidade dos planos de benefícios e o montante financeiro sob gestão;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485F0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o porte da EFPC, a maturidade e a modalidade dos planos de benefícios e o montante financeiro sob gestão;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D732E4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46C3D26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1D62A10" w14:textId="302717D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AF0EF1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II – o conhecimento em matéria de previdência, observado o conteúdo programático previsto no Anexo da Instrução Normativa nº 29, de 21 de julho de 2020;</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127F36" w14:textId="0E11A89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o conhecimento em matéria de previdência, observado o conteúdo programático previsto no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_Ref138841597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Anexo I</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 xml:space="preserve">I;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8A6F35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47D2175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BADAFD4" w14:textId="14F2520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018904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III – o conhecimento das diretrizes para aplicação de recursos garantidores, nos termos da Resolução CMN nº 4.661, de 25 de maio de 2018;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9633C1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o conhecimento das diretrizes para aplicação de recursos garantidores, nos termos da Resolução CMN nº 4.994, de 24 de março de 2022;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F064CB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5FBB335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4753BE8" w14:textId="15BF7CF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13F315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IV – a experiência na área de investimentos, relacionada à aplicação de recursos, ou equivalente, conforme o exigido nos §2º a § 4º do art. 3º.</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0545123" w14:textId="311F7232"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a experiência na área de investimentos, relacionada à aplicação de recursos, ou equivalente, conforme o exigido nos §2º a §4º do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_Ref138842838 \* Lower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art.108</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DB97B9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3FC71B7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03CFD27" w14:textId="0294F82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0881C6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Parágrafo único. As entrevistas, que podem ser gravadas pelo habilitando e pela Previc, serão utilizadas como subsídio técnico à habilitação pleiteada.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0B6958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§1º. As entrevistas, que podem ser gravadas pelo habilitando e pela Previc, devem ser utilizadas como subsídio técnico à habilitação pleiteada.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7941EE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78729EA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447B3BA" w14:textId="5C2E4B0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EC8998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Portaria Previc nº 681, de 19/10/2021</w:t>
            </w:r>
          </w:p>
          <w:p w14:paraId="10B5EFFD"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6º Parágrafo único. A EFPC e o indicado ao cargo de AETQ terão acesso ao conteúdo da gravação realizada pela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EC475A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§2º A EFPC e o indicado ao cargo de AETQ terão acesso ao conteúdo da gravação realizada pela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E18E9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0527D5F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E5EE64C" w14:textId="28289AF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DC6C85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Portaria Previc nº 681, de 19/10/2021</w:t>
            </w:r>
          </w:p>
          <w:p w14:paraId="3E01001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xml:space="preserve">Art. 3º A EFPC, previamente à realização da entrevista, deverá comprovar que o processo instaurado para a obtenção do Atestado de Habilitação pelo indicado para o cargo de AETQ foi instruído com toda a documentação </w:t>
            </w:r>
            <w:r w:rsidRPr="0010524E">
              <w:rPr>
                <w:rFonts w:ascii="Calibri" w:hAnsi="Calibri" w:cs="Calibri"/>
                <w:sz w:val="24"/>
                <w:szCs w:val="24"/>
              </w:rPr>
              <w:lastRenderedPageBreak/>
              <w:t>exigida pela Instrução Normativa Previc nº 41, de 03 de agosto de 2021</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76DFCBA" w14:textId="5E1E873C" w:rsidR="00E31838" w:rsidRPr="003A5225" w:rsidRDefault="00E31838" w:rsidP="003A5225">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 xml:space="preserve">Art. 112.  </w:t>
            </w:r>
            <w:r w:rsidRPr="003A5225">
              <w:rPr>
                <w:rFonts w:ascii="Calibri" w:eastAsia="Times New Roman" w:hAnsi="Calibri" w:cs="Calibri"/>
                <w:kern w:val="0"/>
                <w:sz w:val="24"/>
                <w:szCs w:val="24"/>
                <w:lang w:eastAsia="pt-BR"/>
                <w14:ligatures w14:val="none"/>
              </w:rPr>
              <w:t>A EFPC, previamente à realização da entrevista, deve comprovar que o processo instaurado para a obtenção do Atestado de Habilitação pelo indicado para o cargo de AETQ foi instruído com toda a documentação exigida por esta Resolução.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1853B2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4F3AD08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466BB8E" w14:textId="39D4A72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9B5B2D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Portaria Previc nº 681, de 19/10/2021</w:t>
            </w:r>
          </w:p>
          <w:p w14:paraId="0A9BF6D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3º Parágrafo Único. A entrevista será agendada mediante comunicação remetida à EFPC requerente, a quem caberá a apresentação da pessoa indicada ao cargo de AETQ na data e horário marcados.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C5A850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 entrevista é agendada mediante comunicação remetida à EFPC requerente, a quem caberá a apresentação da pessoa indicada ao cargo de AETQ na data e horário marcados.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7AE4A5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443763E8" w14:textId="63BDAA1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4360929"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Portaria Previc nº 681, de 19/10/2021</w:t>
            </w:r>
          </w:p>
          <w:p w14:paraId="280A23D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4º A entrevista do indicado para o cargo de AETQ será realizada por Comissão de Entrevista composta por, no mínimo, quatro dos seguintes servidores da Superintendência Nacional de Previdência Complementar – Previc:</w:t>
            </w:r>
          </w:p>
          <w:p w14:paraId="280CCC10"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FD5210" w14:textId="024352C8" w:rsidR="00E31838" w:rsidRPr="003A5225" w:rsidRDefault="00E31838" w:rsidP="003A5225">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113.  </w:t>
            </w:r>
            <w:r w:rsidRPr="003A5225">
              <w:rPr>
                <w:rFonts w:ascii="Calibri" w:eastAsia="Times New Roman" w:hAnsi="Calibri" w:cs="Calibri"/>
                <w:kern w:val="0"/>
                <w:sz w:val="24"/>
                <w:szCs w:val="24"/>
                <w:lang w:eastAsia="pt-BR"/>
                <w14:ligatures w14:val="none"/>
              </w:rPr>
              <w:t>A entrevista do indicado para o cargo de AETQ é realizada por Comissão de Entrevista composta por, no mínimo, quatro dos seguintes servidores da Superintendência Nacional de Previdência Complementar –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A41F7E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5FCFDBF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FC6005D" w14:textId="29F95B2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C00A3C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Diretor de Licenciamento ou seu substituto;</w:t>
            </w:r>
          </w:p>
          <w:p w14:paraId="5F98FE96"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6B97C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Diretor de Licenciamento ou seu substituto;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9AAC4F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67526A5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D2506C2" w14:textId="0D4B7D2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A08E68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Diretor de Fiscalização e Monitoramento ou seu substituto;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2815EE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Diretor de Fiscalização e Monitoramento ou seu substituto;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821A54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4DCF19F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F6A1750" w14:textId="32C7182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081000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III – Diretor de Orientação Técnica e Normas ou seu substituto;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EA747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Diretor de Orientação Técnica e Normas ou seu substituto;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083D3D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1C63100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1A5EB5C" w14:textId="002FDCA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40D11D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IV – Coordenador-Geral de Inteligência e Gestão de Riscos ou seu substituto;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471F3F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IV – Coordenador-Geral de Inteligência e Gestão de Riscos ou seu substituto;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2A83D0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6B3A965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D207BEF" w14:textId="17A907E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542EFFB"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V – Coordenador-Geral de Autorização de Funcionamento ou seu substituto.</w:t>
            </w:r>
          </w:p>
          <w:p w14:paraId="43FD3591"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FCDD2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V – Coordenador-Geral de Autorização de Funcionamento ou seu substituto.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6BD2D6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5284D65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8594A7E" w14:textId="0C2A6B0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23F6AF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Portaria Previc nº 681, de 19/10/2021</w:t>
            </w:r>
          </w:p>
          <w:p w14:paraId="05F7A28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5º A Comissão de Entrevista, na formulação dos questionamentos a serem apresentados, deverá considerar:</w:t>
            </w:r>
          </w:p>
          <w:p w14:paraId="0824022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o conhecimento em matéria de previdência, observado o conteúdo programático previsto no Anexo da Instrução Normativa nº 29, de 21 de julho de 2020;</w:t>
            </w:r>
          </w:p>
          <w:p w14:paraId="68740AA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o conhecimento das diretrizes para aplicação de recursos garantidores, nos termos da Resolução CMN nº 4.661, de 25 de maio de 2018; e</w:t>
            </w:r>
          </w:p>
          <w:p w14:paraId="46C8A89E"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III – a experiência na área de investimentos, relacionada à aplicação de recursos, ou equivalente, conforme exigido nos §§2º a 4º do art. 3º da Instrução Normativa Previc nº 41, de 03 de agosto de 2021</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AF97EFB" w14:textId="377D4FD2"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 Comissão de Entrevista, na formulação dos questionamentos a serem apresentados, deve considerar as matérias constantes dos incisos I a IV do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_Ref138845416 \* Lower \h \r </w:instrText>
            </w:r>
            <w:r>
              <w:rPr>
                <w:rFonts w:ascii="Calibri" w:eastAsia="Times New Roman" w:hAnsi="Calibri" w:cs="Calibri"/>
                <w:kern w:val="0"/>
                <w:sz w:val="24"/>
                <w:szCs w:val="24"/>
                <w:lang w:eastAsia="pt-BR"/>
                <w14:ligatures w14:val="none"/>
              </w:rPr>
              <w:instrText xml:space="preserve"> \* MERGEFORMAT </w:instrText>
            </w:r>
            <w:r w:rsidRPr="0010524E">
              <w:rPr>
                <w:rFonts w:ascii="Calibri" w:eastAsia="Times New Roman" w:hAnsi="Calibri" w:cs="Calibri"/>
                <w:kern w:val="0"/>
                <w:sz w:val="24"/>
                <w:szCs w:val="24"/>
                <w:lang w:eastAsia="pt-BR"/>
                <w14:ligatures w14:val="none"/>
              </w:rPr>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 xml:space="preserve">art. 111.  </w:t>
            </w:r>
            <w:r w:rsidRPr="0010524E">
              <w:rPr>
                <w:rFonts w:ascii="Calibri" w:eastAsia="Times New Roman" w:hAnsi="Calibri" w:cs="Calibri"/>
                <w:kern w:val="0"/>
                <w:sz w:val="24"/>
                <w:szCs w:val="24"/>
                <w:lang w:eastAsia="pt-BR"/>
                <w14:ligatures w14:val="none"/>
              </w:rPr>
              <w:fldChar w:fldCharType="end"/>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08924E5" w14:textId="3DF98882"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Aprimoramento redacional – simplificação da redação e previsão como critério para a avaliação da comissão de entrevista as matérias previstas no artigo 111 retro – inclusão expressa do “porte da EFPC, a maturidade e a modalidade dos planos de benefícios e o montante financeiro sob gestão”</w:t>
            </w:r>
          </w:p>
        </w:tc>
      </w:tr>
      <w:tr w:rsidR="00E31838" w:rsidRPr="0010524E" w14:paraId="335FFFE1" w14:textId="0B2F983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48BB3C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Portaria Previc nº 681, de 19/10/2021</w:t>
            </w:r>
          </w:p>
          <w:p w14:paraId="2E7D3B6E"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xml:space="preserve">Art. 7º Ao final da entrevista, em razão dos questionamentos formulados, do desempenho demonstrado e diante da documentação apresentada, os membros da Comissão de Entrevista decidirão se o entrevistado está apto ou não para o exercício do cargo de AETQ, com a motivação relativa à </w:t>
            </w:r>
            <w:r w:rsidRPr="0010524E">
              <w:rPr>
                <w:rFonts w:ascii="Calibri" w:hAnsi="Calibri" w:cs="Calibri"/>
                <w:sz w:val="24"/>
                <w:szCs w:val="24"/>
              </w:rPr>
              <w:lastRenderedPageBreak/>
              <w:t>decisão adotada, mediante o preenchimento do quadro apresentado no anexo.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5DA5EF" w14:textId="1EFB017F" w:rsidR="00E31838" w:rsidRPr="003A5225" w:rsidRDefault="00E31838" w:rsidP="003A5225">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 xml:space="preserve">Art. 114.  </w:t>
            </w:r>
            <w:r w:rsidRPr="003A5225">
              <w:rPr>
                <w:rFonts w:ascii="Calibri" w:eastAsia="Times New Roman" w:hAnsi="Calibri" w:cs="Calibri"/>
                <w:kern w:val="0"/>
                <w:sz w:val="24"/>
                <w:szCs w:val="24"/>
                <w:lang w:eastAsia="pt-BR"/>
                <w14:ligatures w14:val="none"/>
              </w:rPr>
              <w:t>Ao final da entrevista, em razão dos questionamentos formulados, do desempenho demonstrado e diante da documentação apresentada, os membros da Comissão de Entrevista devem decidir se o entrevistado está apto ou não para o exercício do cargo de AETQ, com a motivação relativa à decisão adotada.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4B3736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Exclusão da previsão de “quadro anexo”.</w:t>
            </w:r>
          </w:p>
        </w:tc>
      </w:tr>
      <w:tr w:rsidR="00E31838" w:rsidRPr="0010524E" w14:paraId="78A248E7" w14:textId="5B8FFEC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4E8281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Portaria Previc nº 681, de 19/10/2021</w:t>
            </w:r>
          </w:p>
          <w:p w14:paraId="5955D909"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8º Será indeferido o pedido de habilitação para o exercício do cargo de AETQ se, durante a entrevista, o indicado pela EFPC não confirmar o cumprimento dos requisitos técnicos exigidos e a sua efetiva aptidão técnica.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D740556" w14:textId="06BAFDD8" w:rsidR="00E31838" w:rsidRPr="003A5225" w:rsidRDefault="00E31838" w:rsidP="003A5225">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115.  </w:t>
            </w:r>
            <w:r w:rsidRPr="003A5225">
              <w:rPr>
                <w:rFonts w:ascii="Calibri" w:eastAsia="Times New Roman" w:hAnsi="Calibri" w:cs="Calibri"/>
                <w:kern w:val="0"/>
                <w:sz w:val="24"/>
                <w:szCs w:val="24"/>
                <w:lang w:eastAsia="pt-BR"/>
                <w14:ligatures w14:val="none"/>
              </w:rPr>
              <w:t>Será indeferido o pedido de habilitação para o exercício do cargo de AETQ se, durante a entrevista, o indicado pela EFPC não confirmar o cumprimento dos requisitos técnicos exigidos e a sua efetiva aptidão técnica.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6FD90A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2D913728" w14:textId="2B014F2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4D3ACA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7º A validade do Atestado de Habilitação será de quatro anos.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79310FB" w14:textId="4BA23262" w:rsidR="00E31838" w:rsidRPr="003A5225" w:rsidRDefault="00E31838" w:rsidP="003A5225">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116.  </w:t>
            </w:r>
            <w:r w:rsidRPr="003A5225">
              <w:rPr>
                <w:rFonts w:ascii="Calibri" w:eastAsia="Times New Roman" w:hAnsi="Calibri" w:cs="Calibri"/>
                <w:kern w:val="0"/>
                <w:sz w:val="24"/>
                <w:szCs w:val="24"/>
                <w:lang w:eastAsia="pt-BR"/>
                <w14:ligatures w14:val="none"/>
              </w:rPr>
              <w:t xml:space="preserve">A validade do Atestado de Habilitação deve ser de quatro anos.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FFF3B4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6D826573" w14:textId="3A34AC5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6FDCDD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1º A validade do Atestado de Habilitação expirará ao final do prazo do mandato do dirigente, se este ocorrer antes do prazo mencionado no caput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1CDFEC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A validade do Atestado de Habilitação expira ao final do prazo do mandato do dirigente, se este ocorrer antes do prazo mencionado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6B3098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33B42C7" w14:textId="47BF189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E7AD6F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2º No caso de administrador estatutário tecnicamente qualificado, a validade do Atestado de Habilitação expirará na data de vencimento da certificação em investimentos, se esta ocorrer antes dos prazos mencionados no caput e no § 1º</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9510F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No caso de AETQ, a validade do Atestado de Habilitação expira na data de vencimento da certificação em investimentos, se esta ocorrer antes dos prazos mencionados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e no §1º.</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B830F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09F05AA5" w14:textId="7B75B14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37DBE5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8º Será prorrogada automaticamente, por noventa dias, a validade do Atestado de Habilitação: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9FBAE41" w14:textId="79A63BDB" w:rsidR="00E31838" w:rsidRPr="003A5225" w:rsidRDefault="00E31838" w:rsidP="003A5225">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117.  </w:t>
            </w:r>
            <w:r w:rsidRPr="003A5225">
              <w:rPr>
                <w:rFonts w:ascii="Calibri" w:eastAsia="Times New Roman" w:hAnsi="Calibri" w:cs="Calibri"/>
                <w:kern w:val="0"/>
                <w:sz w:val="24"/>
                <w:szCs w:val="24"/>
                <w:lang w:eastAsia="pt-BR"/>
                <w14:ligatures w14:val="none"/>
              </w:rPr>
              <w:t xml:space="preserve">Deve ser prorrogada automaticamente, por noventa dias, a validade do Atestado de Habilitação: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758B24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60BB3BC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A6880B5" w14:textId="7EDB6E0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4D2254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I – Para os dirigentes que forem reconduzidos ou permanecerem no cargo, período no qual deverão solicitar a renovação da habilitação;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EC537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para os dirigentes que são reconduzidos ou permanecem no cargo, período no qual devem solicitar a renovação da habilitação;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4A7A5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6144E09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0454128" w14:textId="50FBC10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61E6BA9"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Para os dirigentes que tiverem seus mandatos prorrogados, desde que fundamentado em expressa previsão estatutária ou por ato do conselho deliberativo, devendo o fato ser comunicado à Previc no prazo de dez dias.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14E5F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para os dirigentes que têm seus mandatos prorrogados, desde que fundamentado em expressa previsão estatutária ou por ato do conselho deliberativo, devendo o fato ser comunicado à Previc no prazo de dez dias.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4C64D8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369A15D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9076377" w14:textId="683022F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BE18A2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§1º O disposto neste artigo é aplicável somente ao administrador estatutário tecnicamente qualificado, na hipótese em que o mesmo possua certificado válido para todo o período da prorrogação.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7CCB5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§1º  O disposto no</w:t>
            </w:r>
            <w:r w:rsidRPr="0010524E">
              <w:rPr>
                <w:rFonts w:ascii="Calibri" w:eastAsia="Times New Roman" w:hAnsi="Calibri" w:cs="Calibri"/>
                <w:b/>
                <w:bCs/>
                <w:kern w:val="0"/>
                <w:sz w:val="24"/>
                <w:szCs w:val="24"/>
                <w:lang w:eastAsia="pt-BR"/>
                <w14:ligatures w14:val="none"/>
              </w:rPr>
              <w:t xml:space="preserve"> caput</w:t>
            </w:r>
            <w:r w:rsidRPr="0010524E">
              <w:rPr>
                <w:rFonts w:ascii="Calibri" w:eastAsia="Times New Roman" w:hAnsi="Calibri" w:cs="Calibri"/>
                <w:kern w:val="0"/>
                <w:sz w:val="24"/>
                <w:szCs w:val="24"/>
                <w:lang w:eastAsia="pt-BR"/>
                <w14:ligatures w14:val="none"/>
              </w:rPr>
              <w:t xml:space="preserve"> é aplicável somente ao administrador estatutário tecnicamente qualificado, na hipótese em que o mesmo possua certificado válido para todo o período da prorrogação.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C926B2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7826869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25A9BF4" w14:textId="1B76653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B7FC70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§2º Caso a prorrogação do mandato seja realizada por prazo superior a noventa dias, a EFPC deverá solicitar a renovação da habilitação antes de finalizado esse período.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003996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§2º  Caso a prorrogação do mandato seja realizada por prazo superior a noventa dias, a EFPC deve solicitar a renovação da habilitação antes de finalizado esse período.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201AC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3BAFCD0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2777272" w14:textId="7FDE70E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91DC1D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9º Ficará suspensa a habilitação do dirigente: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A366E0" w14:textId="6C21DCD3" w:rsidR="00E31838" w:rsidRPr="003A5225" w:rsidRDefault="00E31838" w:rsidP="003A5225">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118.  </w:t>
            </w:r>
            <w:r w:rsidRPr="003A5225">
              <w:rPr>
                <w:rFonts w:ascii="Calibri" w:eastAsia="Times New Roman" w:hAnsi="Calibri" w:cs="Calibri"/>
                <w:kern w:val="0"/>
                <w:sz w:val="24"/>
                <w:szCs w:val="24"/>
                <w:lang w:eastAsia="pt-BR"/>
                <w14:ligatures w14:val="none"/>
              </w:rPr>
              <w:t xml:space="preserve">Fica suspensa a habilitação do dirigente: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8AE513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126E09B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F7562FB" w14:textId="4BD46CE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B6E456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Durante o cumprimento de penalidade administrativa de suspensão;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069268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durante o cumprimento de penalidade administrativa de suspensão;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CF900E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07A3BC2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82EDDE1" w14:textId="5E87375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5630FF9"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xml:space="preserve">II – por até noventa dias, enquanto não apresentado o certificado exigido para o exercício do cargo ou função, na hipótese de </w:t>
            </w:r>
            <w:r w:rsidRPr="0010524E">
              <w:rPr>
                <w:rFonts w:ascii="Calibri" w:hAnsi="Calibri" w:cs="Calibri"/>
                <w:sz w:val="24"/>
                <w:szCs w:val="24"/>
              </w:rPr>
              <w:lastRenderedPageBreak/>
              <w:t>não encaminhamento no prazo regulamentar;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68A6A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II – enquanto não apresentado o certificado exigido para o exercício do cargo ou função, na hipótese de não encaminhamento no prazo regulamentar, até o seu vencimento;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DCE8E1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Tornar indeterminada a suspensão da habilitação na hipótese de não obtenção da certificação no prazo legal, voltando a valer a habilitação quando da obtenção </w:t>
            </w:r>
            <w:r w:rsidRPr="0010524E">
              <w:rPr>
                <w:rFonts w:ascii="Calibri" w:eastAsia="Times New Roman" w:hAnsi="Calibri" w:cs="Calibri"/>
                <w:kern w:val="0"/>
                <w:sz w:val="24"/>
                <w:szCs w:val="24"/>
                <w:lang w:eastAsia="pt-BR"/>
                <w14:ligatures w14:val="none"/>
              </w:rPr>
              <w:lastRenderedPageBreak/>
              <w:t>da certificação – consequentemente foi excluída a respectiva hipótese de cancelamento de habilitação nesse caso</w:t>
            </w:r>
          </w:p>
        </w:tc>
      </w:tr>
      <w:tr w:rsidR="00E31838" w:rsidRPr="0010524E" w14:paraId="77B9D7E5" w14:textId="398D27C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902D76D"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III – durante a aplicação das medidas prudenciais preventivas previstas nos incisos VI e VII do artigo 3º da Instrução Previc nº 15, de 8 de dezembro de 2017.</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0F76DE" w14:textId="1175501F"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durante a aplicação das medidas prudenciais preventivas previstas nos incisos VI e VII do art. </w:t>
            </w:r>
            <w:r>
              <w:rPr>
                <w:rFonts w:ascii="Calibri" w:eastAsia="Times New Roman" w:hAnsi="Calibri" w:cs="Calibri"/>
                <w:kern w:val="0"/>
                <w:sz w:val="24"/>
                <w:szCs w:val="24"/>
                <w:lang w:eastAsia="pt-BR"/>
                <w14:ligatures w14:val="none"/>
              </w:rPr>
              <w:t>215.</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5500FA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7B75F80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73A2211" w14:textId="40763DC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F9C6FFE"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§1º O disposto neste artigo independe de notificação específica da Diretoria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812A3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O disposto neste artigo independe de notificação específica da Diretoria de Licenciamento.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93DF3C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18BEB53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085769D" w14:textId="1C65DFA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C39DD6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§2º É vedado ao dirigente exercer as atribuições do cargo ou função na EFPC durante a suspensão da habilitação.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EEF86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§2º  É vedado ao dirigente exercer as atribuições do cargo ou função na EFPC durante a suspensão da habilitação.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4BD692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2177EB2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E56FAE1" w14:textId="1064BF2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B241C0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10. Será cancelada a habilitação do dirigente: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54452E" w14:textId="77FA02E6" w:rsidR="00E31838" w:rsidRPr="003A5225" w:rsidRDefault="00E31838" w:rsidP="003A5225">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119.  </w:t>
            </w:r>
            <w:r w:rsidRPr="003A5225">
              <w:rPr>
                <w:rFonts w:ascii="Calibri" w:eastAsia="Times New Roman" w:hAnsi="Calibri" w:cs="Calibri"/>
                <w:kern w:val="0"/>
                <w:sz w:val="24"/>
                <w:szCs w:val="24"/>
                <w:lang w:eastAsia="pt-BR"/>
                <w14:ligatures w14:val="none"/>
              </w:rPr>
              <w:t xml:space="preserve">Deve ser cancelada a habilitação do dirigente: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2EEF3A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1406A79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8974BE8" w14:textId="1D51D5E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9E3731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Com o afastamento definitivo do cargo ou função;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C2FBA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com o afastamento definitivo do cargo ou função;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43D9F7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1B1AA77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E5C2A5A" w14:textId="7619EFB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F47EEA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Em virtude de condenação judicial transitada em julgado ou em processo administrativo disciplinar que determine a perda do mandato;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59B61A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em virtude de condenação judicial transitada em julgado ou em processo administrativo disciplinar que determina a perda do mandato;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4FED7A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7FA314A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B9E736D" w14:textId="49FEBA1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0D196E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III – em decorrência de penalidade de inabilitação confirmada em segunda instância administrativa;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96544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em decorrência de penalidade de inabilitação confirmada em segunda instância administrativa;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92C5BD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15CC59D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7C69531" w14:textId="77A6437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8BF07E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V -  Quando ficar evidenciada a perda de reputação ilibada para fins do exercício de cargo ou função em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39EBA3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IV – quando ficar evidenciada a perda de reputação ilibada para fins do exercício de cargo ou função em EFPC;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B5B1B5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71348B0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2935E6A" w14:textId="3988724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8561FD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VI – em razão da ocorrência de fatos ou situações graves que impeçam ou que sejam incompatíveis com a continuidade do exercício do cargo ou função;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1046E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 – em razão da ocorrência de fatos ou situações graves que impeçam ou que sejam incompatíveis com a continuidade do exercício do cargo ou função;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A7E11C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617C8F5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3B380DC" w14:textId="5D1E046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A99B44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VII – quando constatada falsidade de declaração ou de quaisquer outros documentos apresentados pelo requerente ou, ainda, a ocorrência de vício insanável a que deu causa no processo de habilitação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A5718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VI – quando constatada falsidade de declaração ou de quaisquer outros documentos apresentados pelo requerente ou, ainda, a ocorrência de vício insanável a que deu causa no processo de habilitação.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701ADF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767CFAE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C9EB084" w14:textId="544BA9E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863504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§1º Nas hipóteses previstas nos incisos V, VI e VII do caput, o cancelamento da habilitação dependerá de procedimento administrativo prévio e específico, assegurados o contraditório e a ampla defesa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50AFA1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Nas hipóteses previstas nos incisos IV, V e VI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o cancelamento da habilitação depende de procedimento administrativo prévio e específico, assegurados o contraditório e a ampla defesa.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129702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5DC0E85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0E75939" w14:textId="1A3B9D0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EE6A06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§2º Nas hipóteses previstas no inciso VI do caput deverão ser consideradas as circunstâncias de cada caso, a extensão e a gravidade dos fatos, podendo ser cancelada a habilitação, visando sempre o interesse público, a proteção do patrimônio dos planos de benefícios e a preservação do dever fiduciário em relação aos participantes e assistidos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0A4713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Na hipótese prevista no inciso VI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devem ser consideradas as circunstâncias de cada caso, a extensão e a gravidade dos fatos, podendo ser cancelada a habilitação, visando sempre o interesse público, a proteção do patrimônio dos planos de benefícios e a preservação do dever fiduciário em relação aos participantes e assistidos.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F978D0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2409A40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9347D7D" w14:textId="69C81C2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65692A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§3º É vedado ao dirigente exercer as atribuições do cargo ou função na EFPC após o cancelamento da habilitação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24524A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§3º  É vedado ao dirigente exercer as atribuições do cargo ou função na EFPC após o cancelamento da habilitação.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19BEA8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6581A21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00A834C" w14:textId="7308AEE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DBEE72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11. O órgão estatutário competente da EFPC deverá instaurar regular procedimento interno para apurar eventual descumprimento, ou não, pelos dirigentes, dos requisitos exigidos nesta Instrução para o exercício de cargo ou função.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FB756C2" w14:textId="3C5DDFA9" w:rsidR="00E31838" w:rsidRPr="003A5225" w:rsidRDefault="00E31838" w:rsidP="003A5225">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120.  </w:t>
            </w:r>
            <w:r w:rsidRPr="003A5225">
              <w:rPr>
                <w:rFonts w:ascii="Calibri" w:eastAsia="Times New Roman" w:hAnsi="Calibri" w:cs="Calibri"/>
                <w:kern w:val="0"/>
                <w:sz w:val="24"/>
                <w:szCs w:val="24"/>
                <w:lang w:eastAsia="pt-BR"/>
                <w14:ligatures w14:val="none"/>
              </w:rPr>
              <w:t xml:space="preserve">O órgão estatutário competente da EFPC deve instaurar regular procedimento interno para apurar eventual descumprimento, pelos dirigentes, dos requisitos exigidos nesta Resolução para o exercício de cargo ou função.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78806C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0879B46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1EAE165" w14:textId="0C7F4C1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E5BD71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§1º O disposto no caput aplica-se a todos os dirigentes da EFPC, habilitados ou não pela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56ACE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O disposto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aplica-se a todos os dirigentes da EFPC, habilitados ou não pela Previc.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34BC6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2E2D10D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A3641FC" w14:textId="7B177E9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AD58D6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§2º O procedimento referido no caput deverá ser instaurado no prazo de sessenta dias após evidenciada a situação que possa configurar o descumprimento dos requisitos exigidos nesta Instrução para o exercício de cargo ou função.</w:t>
            </w:r>
          </w:p>
          <w:p w14:paraId="6D9E5440"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12FF2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O procedimento referido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deve ser instaurado no prazo de sessenta dias após evidenciada a situação que possa configurar o descumprimento dos requisitos exigidos nesta subseção para o exercício de cargo ou função.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D273C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49B0443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B8605E1" w14:textId="3E4AB43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E8E1D0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§3º O prazo para a conclusão do procedimento referido no caput é de noventa dias, prorrogável por igual período apenas uma vez.</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FBEC5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§3º  O prazo para a conclusão do procedimento referido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é de noventa dias, prorrogável por igual período apenas uma vez.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A6567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034FE80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FAFB2E8" w14:textId="5356D52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F9C435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§4º A EFPC deverá comunicar à Previc, no prazo de dez dias após a sua conclusão, o resultado final do procedimento referido no caput.</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D0065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§4º  A EFPC deve comunicar à Previc, no prazo de dez dias após a sua conclusão, o resultado final do procedimento referido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9132F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205D205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93330DF" w14:textId="3BD7B6F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26F325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Art. 12. O interessado poderá interpor recurso, no prazo de dez dias, contados da ciência da decisão que indeferir o requerimento ou que cancelar a habilitação concedida.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EA2490" w14:textId="0E705FE5" w:rsidR="00E31838" w:rsidRPr="006C684F" w:rsidRDefault="00E31838" w:rsidP="006C684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121.  </w:t>
            </w:r>
            <w:r w:rsidRPr="006C684F">
              <w:rPr>
                <w:rFonts w:ascii="Calibri" w:eastAsia="Times New Roman" w:hAnsi="Calibri" w:cs="Calibri"/>
                <w:kern w:val="0"/>
                <w:sz w:val="24"/>
                <w:szCs w:val="24"/>
                <w:lang w:eastAsia="pt-BR"/>
                <w14:ligatures w14:val="none"/>
              </w:rPr>
              <w:t xml:space="preserve">O interessado pode interpor recurso, no prazo de dez dias, contados da ciência da decisão que indeferir o requerimento de habilitação de dirigente ou que cancelar a habilitação concedida.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89B20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787FC84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A03AF31" w14:textId="42FBCC2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BE6B63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§1º O recurso deverá ser dirigido à autoridade que proferiu a decisão, com os documentos que justifiquem a reconsideração do indeferimento ou do cancelamento da habilitação.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E89E8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§1º  O recurso deve ser dirigido à autoridade que proferiu a decisão, com os documentos que justifiquem a reconsideração do indeferimento ou do cancelamento da habilitação.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16F01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2204B79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F6F7A1E" w14:textId="042996A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A64B00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§2º Caso a autoridade que proferiu a decisão não a reconsiderar no prazo de cinco dias, o recurso deverá ser encaminhado à Diretoria Colegiada da Previc para julgamento.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3C21CD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§2º  Caso a autoridade que proferiu a decisão não a reconsiderar no prazo de cinco dias, o recurso deve ser encaminhado à Diretoria Colegiada da Previc para julgamento.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D845B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5BF70B0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3031204" w14:textId="6E5593D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2AC918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13. As intimações decorrentes das análises realizadas no âmbito dos processos referidos nesta Instrução serão encaminhadas para o endereço eletrônico cadastrado pela EFPC e para o habilitando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15911CA" w14:textId="72AE323E" w:rsidR="00E31838" w:rsidRPr="006C684F" w:rsidRDefault="00E31838" w:rsidP="006C684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122.  </w:t>
            </w:r>
            <w:r w:rsidRPr="006C684F">
              <w:rPr>
                <w:rFonts w:ascii="Calibri" w:eastAsia="Times New Roman" w:hAnsi="Calibri" w:cs="Calibri"/>
                <w:kern w:val="0"/>
                <w:sz w:val="24"/>
                <w:szCs w:val="24"/>
                <w:lang w:eastAsia="pt-BR"/>
                <w14:ligatures w14:val="none"/>
              </w:rPr>
              <w:t xml:space="preserve">As intimações decorrentes das análises realizadas no âmbito do requerimento referido nesta subseção devem ser encaminhadas para o endereço eletrônico cadastrado pela EFPC e para o habilitando.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0C290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6A8DF52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1790137" w14:textId="218F49F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7D7016B"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15. Os nomes dos dirigentes habilitados serão divulgados no sítio eletrônico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E5E10CE" w14:textId="7E0F32C2" w:rsidR="00E31838" w:rsidRPr="006C684F" w:rsidRDefault="00E31838" w:rsidP="006C684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123.  </w:t>
            </w:r>
            <w:r w:rsidRPr="006C684F">
              <w:rPr>
                <w:rFonts w:ascii="Calibri" w:eastAsia="Times New Roman" w:hAnsi="Calibri" w:cs="Calibri"/>
                <w:kern w:val="0"/>
                <w:sz w:val="24"/>
                <w:szCs w:val="24"/>
                <w:lang w:eastAsia="pt-BR"/>
                <w14:ligatures w14:val="none"/>
              </w:rPr>
              <w:t xml:space="preserve">Os nomes dos dirigentes habilitados devem ser divulgados no sítio eletrônico da Previc.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B78BB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7C28141B" w14:textId="145559A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A308B39"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16. A EFPC deverá manter permanentemente atualizado os dados cadastrais dos ocupantes de cargos na diretoria-executiva, no conselho deliberativo e no conselho fiscal.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59E771" w14:textId="50ADB9FB" w:rsidR="00E31838" w:rsidRPr="006C684F" w:rsidRDefault="00E31838" w:rsidP="006C684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124.  </w:t>
            </w:r>
            <w:r w:rsidRPr="006C684F">
              <w:rPr>
                <w:rFonts w:ascii="Calibri" w:eastAsia="Times New Roman" w:hAnsi="Calibri" w:cs="Calibri"/>
                <w:kern w:val="0"/>
                <w:sz w:val="24"/>
                <w:szCs w:val="24"/>
                <w:lang w:eastAsia="pt-BR"/>
                <w14:ligatures w14:val="none"/>
              </w:rPr>
              <w:t xml:space="preserve">A EFPC deve manter permanentemente atualizado os dados cadastrais dos ocupantes de cargos na diretoria-executiva, no conselho deliberativo e no conselho fiscal.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10BCC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tc>
      </w:tr>
      <w:tr w:rsidR="00E31838" w:rsidRPr="0010524E" w14:paraId="18A45377" w14:textId="5DFE97B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89857F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Parágrafo único. A atualização dos dados dos dirigentes deverá ser feita mediante: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73072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 atualização dos dados dos dirigentes deve ser feita mediante: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E54E8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0201C30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18A5678" w14:textId="7D6D542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322C73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Comunicação eletrônica à Previc, no prazo de cinco dias a contar do fato que motivou a alteração dos dados cadastrais dos membros habilitados;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84232D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 – comunicação eletrônica à Previc, no prazo de cinco dias a contar do fato que motivou a alteração dos dados cadastrais dos membros habilitados;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A47D0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475D4E1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DFE65EF" w14:textId="2C5A10D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32432AE"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Atualização dos dados referentes aos mandatos, no Portal de Sistemas da Previc, dos membros dos conselhos deliberativo e fiscal da EFPC não classificada como entidade sistemicamente importante, no prazo de cinco dias a contar do fato que motivou a alteração.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EB9051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atualização dos dados referentes aos mandatos, no Portal de Sistemas da Previc, dos membros dos conselhos deliberativo e fiscal da EFPC não classificada como entidade sistemicamente importante, no prazo de cinco dias a contar do fato que motivou a alteração.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043E6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7CDBF97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9597B95" w14:textId="53140D2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39946A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17. A EFPC deverá observar o disposto nesta Instrução no curso dos processos seletivos, eleitorais e de designação para os seus mandatos, cargos ou funções nos órgãos estatutários.</w:t>
            </w:r>
          </w:p>
          <w:p w14:paraId="6A397EA3"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ABC35F7" w14:textId="2E85251C" w:rsidR="00E31838" w:rsidRPr="006C684F" w:rsidRDefault="00E31838" w:rsidP="006C684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125.  </w:t>
            </w:r>
            <w:r w:rsidRPr="006C684F">
              <w:rPr>
                <w:rFonts w:ascii="Calibri" w:eastAsia="Times New Roman" w:hAnsi="Calibri" w:cs="Calibri"/>
                <w:kern w:val="0"/>
                <w:sz w:val="24"/>
                <w:szCs w:val="24"/>
                <w:lang w:eastAsia="pt-BR"/>
                <w14:ligatures w14:val="none"/>
              </w:rPr>
              <w:t xml:space="preserve">A EFPC deve observar o disposto nesta subseção no curso dos processos seletivos, eleitorais e de designação para os seus mandatos, cargos ou funções nos órgãos estatutários.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6F1D2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Sem alteração</w:t>
            </w:r>
          </w:p>
          <w:p w14:paraId="7EBDFB2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DAC25E2" w14:textId="02282A4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8949695" w14:textId="3186C365" w:rsidR="00E31838" w:rsidRPr="0010524E" w:rsidRDefault="00E31838" w:rsidP="006C684F">
            <w:pPr>
              <w:spacing w:after="0"/>
              <w:jc w:val="both"/>
              <w:rPr>
                <w:rFonts w:ascii="Calibri" w:hAnsi="Calibri" w:cs="Calibri"/>
                <w:sz w:val="24"/>
                <w:szCs w:val="24"/>
              </w:rPr>
            </w:pPr>
            <w:r w:rsidRPr="006C684F">
              <w:rPr>
                <w:rFonts w:ascii="Calibri" w:hAnsi="Calibri" w:cs="Calibri"/>
                <w:b/>
                <w:bCs/>
                <w:sz w:val="24"/>
                <w:szCs w:val="24"/>
              </w:rPr>
              <w:t>RESOLUÇÃO PREVIC Nº 9, DE 30 DE MARÇO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761BCE8" w14:textId="526C6E5C" w:rsidR="00E31838" w:rsidRPr="006C684F" w:rsidRDefault="00E31838" w:rsidP="00A95720">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98BD8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F021DDB"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832294D" w14:textId="21E75A1E" w:rsidR="00E31838" w:rsidRPr="006C684F" w:rsidRDefault="00E31838" w:rsidP="00A95720">
            <w:pPr>
              <w:spacing w:after="0"/>
              <w:jc w:val="both"/>
              <w:rPr>
                <w:rFonts w:ascii="Calibri" w:hAnsi="Calibri" w:cs="Calibri"/>
                <w:i/>
                <w:iCs/>
                <w:sz w:val="24"/>
                <w:szCs w:val="24"/>
              </w:rPr>
            </w:pPr>
            <w:r w:rsidRPr="006C684F">
              <w:rPr>
                <w:rStyle w:val="nfase"/>
                <w:rFonts w:ascii="Helvetica" w:hAnsi="Helvetica" w:cs="Helvetica"/>
                <w:i w:val="0"/>
                <w:iCs w:val="0"/>
                <w:color w:val="333333"/>
                <w:sz w:val="21"/>
                <w:szCs w:val="21"/>
                <w:shd w:val="clear" w:color="auto" w:fill="FFFFFF"/>
              </w:rPr>
              <w:t>Dispõe sobre os prazos e os procedimentos a serem observados para decisão administrativa dos requerimentos de licenciamento apresentados à Superintendência Nacional de Previdência Complementar pelas entidades fechadas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7672D8B" w14:textId="77777777" w:rsidR="00E31838" w:rsidRPr="006C684F" w:rsidRDefault="00E31838" w:rsidP="006C684F">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4AD45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3A6DFE6" w14:textId="04F7EF9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ECC09B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Art. 1º Esta Resolução dispõe sobre os prazos e os procedimentos que devem ser observados para decisão administrativa dos requerimentos de licenciamento apresentados à Superintendência Nacional de Previdência Complementar (Previc) pelas entidades fechadas de previdência complementar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9D103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83CEF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w:t>
            </w:r>
          </w:p>
        </w:tc>
      </w:tr>
      <w:tr w:rsidR="00E31838" w:rsidRPr="0010524E" w14:paraId="7B15EA80"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4F943FD"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6C70E4B" w14:textId="77777777" w:rsidR="00E31838" w:rsidRDefault="00E31838" w:rsidP="006C684F">
            <w:pPr>
              <w:spacing w:after="0"/>
              <w:jc w:val="center"/>
              <w:rPr>
                <w:rFonts w:ascii="Calibri" w:eastAsia="Times New Roman" w:hAnsi="Calibri" w:cs="Calibri"/>
                <w:b/>
                <w:bCs/>
                <w:kern w:val="0"/>
                <w:sz w:val="24"/>
                <w:szCs w:val="24"/>
                <w:lang w:eastAsia="pt-BR"/>
                <w14:ligatures w14:val="none"/>
              </w:rPr>
            </w:pPr>
            <w:r w:rsidRPr="006C684F">
              <w:rPr>
                <w:rFonts w:ascii="Calibri" w:eastAsia="Times New Roman" w:hAnsi="Calibri" w:cs="Calibri"/>
                <w:b/>
                <w:bCs/>
                <w:kern w:val="0"/>
                <w:sz w:val="24"/>
                <w:szCs w:val="24"/>
                <w:lang w:eastAsia="pt-BR"/>
                <w14:ligatures w14:val="none"/>
              </w:rPr>
              <w:t>Seção II</w:t>
            </w:r>
          </w:p>
          <w:p w14:paraId="19B23221" w14:textId="4D7C3840" w:rsidR="00E31838" w:rsidRPr="006C684F" w:rsidRDefault="00E31838" w:rsidP="006C684F">
            <w:pPr>
              <w:tabs>
                <w:tab w:val="left" w:pos="993"/>
              </w:tabs>
              <w:spacing w:after="120"/>
              <w:jc w:val="both"/>
              <w:rPr>
                <w:rFonts w:ascii="Calibri" w:eastAsia="Times New Roman" w:hAnsi="Calibri" w:cs="Calibri"/>
                <w:kern w:val="0"/>
                <w:sz w:val="24"/>
                <w:szCs w:val="24"/>
                <w:lang w:eastAsia="pt-BR"/>
                <w14:ligatures w14:val="none"/>
              </w:rPr>
            </w:pPr>
            <w:r w:rsidRPr="006C684F">
              <w:rPr>
                <w:rFonts w:ascii="Calibri" w:eastAsia="Times New Roman" w:hAnsi="Calibri" w:cs="Calibri"/>
                <w:b/>
                <w:bCs/>
                <w:kern w:val="0"/>
                <w:sz w:val="24"/>
                <w:szCs w:val="24"/>
                <w:lang w:eastAsia="pt-BR"/>
                <w14:ligatures w14:val="none"/>
              </w:rPr>
              <w:t>Requerimentos de licenciamento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39E12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BD5057B" w14:textId="664E4B5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3E8470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1º São operações sujeitas ao licenciamento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FACF63" w14:textId="79305B52" w:rsidR="00E31838" w:rsidRPr="006C684F" w:rsidRDefault="00E31838" w:rsidP="006C684F">
            <w:pPr>
              <w:tabs>
                <w:tab w:val="left" w:pos="993"/>
              </w:tabs>
              <w:spacing w:after="120"/>
              <w:jc w:val="both"/>
              <w:rPr>
                <w:rFonts w:ascii="Calibri" w:eastAsia="Times New Roman" w:hAnsi="Calibri" w:cs="Calibri"/>
                <w:kern w:val="0"/>
                <w:sz w:val="24"/>
                <w:szCs w:val="24"/>
                <w:lang w:eastAsia="pt-BR"/>
                <w14:ligatures w14:val="none"/>
              </w:rPr>
            </w:pPr>
            <w:bookmarkStart w:id="25" w:name="_Ref138846415"/>
            <w:r>
              <w:rPr>
                <w:rFonts w:ascii="Calibri" w:eastAsia="Times New Roman" w:hAnsi="Calibri" w:cs="Calibri"/>
                <w:kern w:val="0"/>
                <w:sz w:val="24"/>
                <w:szCs w:val="24"/>
                <w:lang w:eastAsia="pt-BR"/>
                <w14:ligatures w14:val="none"/>
              </w:rPr>
              <w:t xml:space="preserve">Art. 126.  </w:t>
            </w:r>
            <w:r w:rsidRPr="006C684F">
              <w:rPr>
                <w:rFonts w:ascii="Calibri" w:eastAsia="Times New Roman" w:hAnsi="Calibri" w:cs="Calibri"/>
                <w:kern w:val="0"/>
                <w:sz w:val="24"/>
                <w:szCs w:val="24"/>
                <w:lang w:eastAsia="pt-BR"/>
                <w14:ligatures w14:val="none"/>
              </w:rPr>
              <w:t>São operações sujeitas ao licenciamento da Previc:</w:t>
            </w:r>
            <w:bookmarkEnd w:id="25"/>
            <w:r w:rsidRPr="006C684F">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F2C0A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C4FBE56" w14:textId="3FDE3F6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64023F9"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constituição de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5B0F96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constituição de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5D88A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A494E55" w14:textId="373FE07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A45E360"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aplicação de regulamento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630B6B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implantação de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DE3FF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para maior clareza.</w:t>
            </w:r>
          </w:p>
        </w:tc>
      </w:tr>
      <w:tr w:rsidR="00E31838" w:rsidRPr="0010524E" w14:paraId="1FB8CDD1" w14:textId="15A0011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94EFE0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III – aprovação de convênio de adesão e suas alterações;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7422C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aprovação de convênio de adesão e suas alterações;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678DD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294550E" w14:textId="4BC4761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FBC8F9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IV – alteração de estatuto;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DC57D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IV – alteração de estatuto;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2376E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67E21E6" w14:textId="4784C90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F8FC03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V – alteração de regulamento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8CDFEC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 – alteração de regulamento de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B421B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E3F7266" w14:textId="24C22DF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FE76C2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VI – saldamento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2C8E1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VI – saldamento ou alteração de regulamento que repercuta no resultado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5439E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Para adequação ao anexo da IN 45/2022</w:t>
            </w:r>
          </w:p>
        </w:tc>
      </w:tr>
      <w:tr w:rsidR="00E31838" w:rsidRPr="0010524E" w14:paraId="74E120BC" w14:textId="46E32F0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3146E19"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VII – transferência de gerenciamento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1D0940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VII – transferência de gerenciamento de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CB3C9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F72A7BD" w14:textId="68F622A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BB1B3F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VIII – fusão, cisão e incorporação de planos de benefícios e de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53267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VIII – fusão, cisão ou incorporação de planos de benefícios ou de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F75B3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D38464A" w14:textId="0FC9209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C99F35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IX – migração de participantes e assistidos;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1A6B2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IX – migração de participantes e assistidos entre planos de benefícios de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8CFFA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09AEF1F" w14:textId="05A6C92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2ED6D8E"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X – operações estruturais relacionadas;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990D75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X – operações estruturais relacionadas;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A2476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6BECB7E" w14:textId="2564D2E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2D45FE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XI –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6F695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XI – retirada de patrocínio;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28512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B98F0A2" w14:textId="65B3F32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09177B0"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XII – rescisão unilateral de convênio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7A98FC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XII – rescisão unilateral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FC997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7389A31" w14:textId="1D1054A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5542E5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XIII – destinação de reserva especial que envolva reversão de valores;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983E33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XIII – destinação de reserva especial que envolva reversão de valores;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B022E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CCEAC8D" w14:textId="167670F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180175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XIV – encerramento de plano de benefícios e de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A0CB17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XIV – encerramento de plano de benefícios ou de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00C69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467EE78" w14:textId="0A81C04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FBE6B1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XV – certificação de modelo de regulamento de plano de benefícios e de convênio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71E872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XV – certificação de modelo de regulamento de plano de benefícios ou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34A9E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981E507" w14:textId="1C81539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23457B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XVI – habilitação de dirigente;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D161DC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XVI – habilitação de dirigente;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81901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2EEAC2F" w14:textId="77420DB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73BFE2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XVII – reconhecimento de instituição certificadora.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9127D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XVII – reconhecimento de instituição certificadora e dos respectivos certificados.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B2DDA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072B35C" w14:textId="26F6CE9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950505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2º Operações estruturais relacionadas são aquelas que envolvem, concomitantemente, mais de uma das referidas nos incisos I a IX do § 1º.</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277F4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São consideradas operações estruturais relacionadas aquelas que envolvam, concomitantemente, mais de uma das operações referidas nos incisos VI a IX do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49FCC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necessário para maior clareza.</w:t>
            </w:r>
          </w:p>
        </w:tc>
      </w:tr>
      <w:tr w:rsidR="00E31838" w:rsidRPr="0010524E" w14:paraId="0DE80E99" w14:textId="6772EE9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B57A730"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11. Nos requerimentos de licenciamento que envolverem alteração de estatuto ou alteração de regulamento de plano de benefícios, a EFPC deve: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B5C350" w14:textId="14B4FD1D" w:rsidR="00E31838" w:rsidRPr="006C684F" w:rsidRDefault="00E31838" w:rsidP="006C684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127.  </w:t>
            </w:r>
            <w:r w:rsidRPr="006C684F">
              <w:rPr>
                <w:rFonts w:ascii="Calibri" w:eastAsia="Times New Roman" w:hAnsi="Calibri" w:cs="Calibri"/>
                <w:kern w:val="0"/>
                <w:sz w:val="24"/>
                <w:szCs w:val="24"/>
                <w:lang w:eastAsia="pt-BR"/>
                <w14:ligatures w14:val="none"/>
              </w:rPr>
              <w:t xml:space="preserve">Nos requerimentos de licenciamento que envolverem alteração de estatuto ou alteração de regulamento de plano de benefícios, a EFPC deve: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12BCF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FF57055" w14:textId="6563916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A84C659"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I – comunicar a síntese das alterações aos participantes e assistidos pelos meios de comunicação usualmente utilizados, com antecedência mínima de trinta dias de sua remessa à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B9F1B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disponibilizar o inteiro teor da proposta de alteração, com todos os documentos que instruirão o requerimento, aos participantes e assistidos pelos meios de comunicação usualmente utilizados, com antecedência mínima de trinta dias de sua remessa à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7BBC5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Alteração para promover maior transparência e acesso à informação aos participantes e assistidos dos planos de benefício.</w:t>
            </w:r>
          </w:p>
        </w:tc>
      </w:tr>
      <w:tr w:rsidR="00E31838" w:rsidRPr="0010524E" w14:paraId="40EF7652" w14:textId="126D8E9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5E34A17"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solicitar a expressa anuência dos patrocinadores ou instituidores, definindo prazo para manifestação, que não pode ser inferior a trinta dias, contados da remessa da respectiva notificação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B9E2CB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comunicar aos patrocinadores e instituidores o inteiro teor da proposta de alteração, com prazo mínimo de trinta dias para manifestação expressa de eventual discordância;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25886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E292831" w14:textId="78099AB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D9AEE86"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BD502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propor as adequações necessárias às inovações constitucionais, legais e normativas que tenham entrado em vigor em data posterior à aprovação do texto vigente.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B8372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1F4C6DF6" w14:textId="41A500C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BF7A2C9"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62CE1B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 EFPC deve disponibilizar aos participantes, assistidos, patrocinadores ou instituidores, mediante solicitação, quaisquer documentos, elaborados pela EFPC ou por profissional ou empresa contratada, que fundamentam o requerimento previsto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deste artigo, tais como pareceres, atas dos órgãos estatutários e demais instâncias de governança de caráter consultivo ou deliberativo, manifestação dos patrocinadores, dentre outros.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DB39F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18CF1C3B" w14:textId="3BE3BF8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223420B"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Art. 3º [...]</w:t>
            </w:r>
          </w:p>
          <w:p w14:paraId="2DA98B5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1º O expediente explicativo deve conter descrição detalhada do requerimento, motivação da proposta e dados de contato do responsável pelo processo junto à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547A26" w14:textId="58FB5F81" w:rsidR="00E31838" w:rsidRPr="006C684F" w:rsidRDefault="00E31838" w:rsidP="006C684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Arty. 128.  </w:t>
            </w:r>
            <w:r w:rsidRPr="006C684F">
              <w:rPr>
                <w:rFonts w:ascii="Calibri" w:eastAsia="Times New Roman" w:hAnsi="Calibri" w:cs="Calibri"/>
                <w:kern w:val="0"/>
                <w:sz w:val="24"/>
                <w:szCs w:val="24"/>
                <w:lang w:eastAsia="pt-BR"/>
                <w14:ligatures w14:val="none"/>
              </w:rPr>
              <w:t xml:space="preserve">O Expediente Explicativo deve conter descrição detalhada do requerimento, motivação da proposta e dados de contato do responsável pelo processo junto ao requerente.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DEFE5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EBFE093" w14:textId="6DCFEF6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C7ABCC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3º [...]</w:t>
            </w:r>
          </w:p>
          <w:p w14:paraId="6BA8103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5º A EFPC deve justificar, no expediente explicativo, o envio de documentos adicionais àqueles estabelecidos para cada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983724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§2º  A EFPC deve justificar, no Expediente Explicativo, o envio de documentos adicionais àqueles estabelecidos para cada operação.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C4460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67409D6" w14:textId="14F6C62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217334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3º [...]</w:t>
            </w:r>
          </w:p>
          <w:p w14:paraId="1F18114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2º O Termo de Responsabilidade, conforme modelo disponibilizado no sítio eletrônico da Previc, deve ser assinado por um dos membros da diretoria executiva com poderes de representação estabelecidos no estatuto, assegurando: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95A9CE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§3º  O Termo de Responsabilidade, conforme modelo disponibilizado no sítio eletrônico da Previc, deve ser assinado por pelo menos um dos membros da diretoria executiva com mandato ativo e poderes de representação estabelecidos no estatuto, assegurando: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41AC1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807D4C1" w14:textId="0CFE53F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CAA068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 a autenticidade de toda a documentação enviada;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1C9FE5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 a autenticidade de toda a documentação enviada;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2FA63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F97068D" w14:textId="396B235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F79F55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b) a legitimidade dos signatários dos documentos;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4C5BC9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b) a legitimidade dos signatários dos documentos;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E07FE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CDDA536" w14:textId="7F9DFCE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FE315F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c) a realização de todas as obrigações legais, estatutárias e regulamentares decorrentes da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CE1D7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 a realização de todas as obrigações legais, estatutárias e regulamentares decorrentes da operação.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4D205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4A13C54" w14:textId="6000E87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E17BDAB"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xml:space="preserve">§ 3º O Termo de Responsabilidade relativo a requerimento de licenciamento de constituição de EFPC deve ser assinado pelo </w:t>
            </w:r>
            <w:r w:rsidRPr="0010524E">
              <w:rPr>
                <w:rFonts w:ascii="Calibri" w:hAnsi="Calibri" w:cs="Calibri"/>
                <w:sz w:val="24"/>
                <w:szCs w:val="24"/>
              </w:rPr>
              <w:lastRenderedPageBreak/>
              <w:t>representante legal do patrocinador ou instituidor que apresentar o requerimento à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D413A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§4º  O Termo de Responsabilidade relativo a requerimento de licenciamento de constituição de EFPC deve ser assinado pelo representante legal do </w:t>
            </w:r>
            <w:r w:rsidRPr="0010524E">
              <w:rPr>
                <w:rFonts w:ascii="Calibri" w:eastAsia="Times New Roman" w:hAnsi="Calibri" w:cs="Calibri"/>
                <w:kern w:val="0"/>
                <w:sz w:val="24"/>
                <w:szCs w:val="24"/>
                <w:lang w:eastAsia="pt-BR"/>
                <w14:ligatures w14:val="none"/>
              </w:rPr>
              <w:lastRenderedPageBreak/>
              <w:t>patrocinador ou instituidor que protocolar o requerimento à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03A36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13732C4" w14:textId="2D3D796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894310B"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4º O Termo de Responsabilidade disponibilizado pela Previc somente pode ser modificado nas condições definidas no próprio Termo ou em situação excepcional devidamente justificada no expediente explicativo.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2A344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§5º  O Termo de Responsabilidade disponibilizado pela Previc somente pode ser modificado nas condições definidas no próprio Termo ou em situação excepcional devidamente justificada no expediente explicativo.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23A9D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8B202B1" w14:textId="2D714C7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DA3294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8º A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Instrução Normativa.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73326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§6º  A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Seção.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60914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14FE35B" w14:textId="6DDD0A2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01E3F7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7º Os documentos digitalizados e juntados aos processos eletrônicos no formato Portable Document Format (PDF) devem estar com conteúdo pesquisável e em arquivos separados.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75285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§7º  Os documentos digitalizados e juntados aos processos eletrônicos no formato </w:t>
            </w:r>
            <w:r w:rsidRPr="0010524E">
              <w:rPr>
                <w:rFonts w:ascii="Calibri" w:eastAsia="Times New Roman" w:hAnsi="Calibri" w:cs="Calibri"/>
                <w:b/>
                <w:bCs/>
                <w:kern w:val="0"/>
                <w:sz w:val="24"/>
                <w:szCs w:val="24"/>
                <w:lang w:eastAsia="pt-BR"/>
                <w14:ligatures w14:val="none"/>
              </w:rPr>
              <w:t>Portable Document Format (PDF)</w:t>
            </w:r>
            <w:r w:rsidRPr="0010524E">
              <w:rPr>
                <w:rFonts w:ascii="Calibri" w:eastAsia="Times New Roman" w:hAnsi="Calibri" w:cs="Calibri"/>
                <w:kern w:val="0"/>
                <w:sz w:val="24"/>
                <w:szCs w:val="24"/>
                <w:lang w:eastAsia="pt-BR"/>
                <w14:ligatures w14:val="none"/>
              </w:rPr>
              <w:t xml:space="preserve"> devem estar com conteúdo pesquisável e em arquivos separados.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99A4B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F284E5A" w14:textId="17E3822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0D1F7C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Art. 4º Os requerimentos devem ser encaminhados por meio do:</w:t>
            </w:r>
          </w:p>
          <w:p w14:paraId="121C098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Sistema de Cadastro de Entidades e Planos (CADPREVIC), no caso dos requerimentos previstos nos Anexos II a VII; e</w:t>
            </w:r>
          </w:p>
          <w:p w14:paraId="58A55CC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Sistema Eletrônico de Informações (SEI), para os demais requerimentos. Dos requerimentos com base em modelo certificado ou modelo padronizado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E50523" w14:textId="23619415" w:rsidR="00E31838" w:rsidRPr="006C684F" w:rsidRDefault="00E31838" w:rsidP="006C684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129.  </w:t>
            </w:r>
            <w:r w:rsidRPr="006C684F">
              <w:rPr>
                <w:rFonts w:ascii="Calibri" w:eastAsia="Times New Roman" w:hAnsi="Calibri" w:cs="Calibri"/>
                <w:kern w:val="0"/>
                <w:sz w:val="24"/>
                <w:szCs w:val="24"/>
                <w:lang w:eastAsia="pt-BR"/>
                <w14:ligatures w14:val="none"/>
              </w:rPr>
              <w:t xml:space="preserve">Os requerimentos devem ser protocolados por meio de sistema informatizado disponibilizado pela Previc em seu sítio eletrônico na internet.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F02F2C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C389B1B" w14:textId="0E6C037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852A3EB"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2º Os requerimentos de licenciamento apresentados pela EFPC de forma incompleta podem ser devolvidos sem a instauração do correspondente processo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674450" w14:textId="0D00F710" w:rsidR="00E31838" w:rsidRPr="00326D73" w:rsidRDefault="00E31838" w:rsidP="00326D73">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130.  </w:t>
            </w:r>
            <w:r w:rsidRPr="00326D73">
              <w:rPr>
                <w:rFonts w:ascii="Calibri" w:eastAsia="Times New Roman" w:hAnsi="Calibri" w:cs="Calibri"/>
                <w:kern w:val="0"/>
                <w:sz w:val="24"/>
                <w:szCs w:val="24"/>
                <w:lang w:eastAsia="pt-BR"/>
                <w14:ligatures w14:val="none"/>
              </w:rPr>
              <w:t>Os requerimentos de licenciamento instruídos pela EFPC de forma incompleta podem ser arquivados mediante comunicação.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5B4980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PARA MAIOR CLAREZA</w:t>
            </w:r>
          </w:p>
        </w:tc>
      </w:tr>
      <w:tr w:rsidR="00E31838" w:rsidRPr="0010524E" w14:paraId="26AD9C3A" w14:textId="6B7DA37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2A349D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3º Na instrução dos requerimentos de licenciamento, a EFPC deve primar pela economicidade processual, observando os documentos e as informações necessárias à verificação do atendimento às condições estabelecidas e evitando a sua duplicidade.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D551161" w14:textId="424F8F0C" w:rsidR="00E31838" w:rsidRPr="00326D73" w:rsidRDefault="00E31838" w:rsidP="00326D73">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131.  </w:t>
            </w:r>
            <w:r w:rsidRPr="00326D73">
              <w:rPr>
                <w:rFonts w:ascii="Calibri" w:eastAsia="Times New Roman" w:hAnsi="Calibri" w:cs="Calibri"/>
                <w:kern w:val="0"/>
                <w:sz w:val="24"/>
                <w:szCs w:val="24"/>
                <w:lang w:eastAsia="pt-BR"/>
                <w14:ligatures w14:val="none"/>
              </w:rPr>
              <w:t>Na instrução dos requerimentos de licenciamento, a EFPC deve primar pela economicidade processual, observando os documentos e as informações necessárias à verificação do atendimento às condições estabelecidas e evitando a sua duplicidade.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388804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B714909" w14:textId="3E9F94C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D4F29A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4º Os requerimentos de licenciamento devem ser analisados em duas fases, excetuados os casos previstos no Capítulo V:</w:t>
            </w:r>
          </w:p>
          <w:p w14:paraId="10FD913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xml:space="preserve">I - fase de instrução: período no qual deve ser avaliada a completude das informações e dos documentos necessários e o atendimento a </w:t>
            </w:r>
            <w:r w:rsidRPr="0010524E">
              <w:rPr>
                <w:rFonts w:ascii="Calibri" w:hAnsi="Calibri" w:cs="Calibri"/>
                <w:sz w:val="24"/>
                <w:szCs w:val="24"/>
              </w:rPr>
              <w:lastRenderedPageBreak/>
              <w:t>todas as condições estabelecidas para o tipo de requerimento; e</w:t>
            </w:r>
          </w:p>
          <w:p w14:paraId="6AB8783E"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fase de decisão: período no qual deve ser emitida a manifestação final da Previc acerca do licenciamento requerido.</w:t>
            </w:r>
          </w:p>
          <w:p w14:paraId="41E9C22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1º A análise dos requerimentos de licenciamento deve observar os prazos estabelecidos em Anexo.</w:t>
            </w:r>
          </w:p>
          <w:p w14:paraId="3FC96380"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2º Os prazos da fase de decisão devem ser contados a partir da data da conclusão da fase de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FAF47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581B10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PORÉM COM INCORPORAÇÃO DAS INFORMAÇÕES NA SUBSEÇÃO I</w:t>
            </w:r>
          </w:p>
        </w:tc>
      </w:tr>
      <w:tr w:rsidR="00E31838" w:rsidRPr="0010524E" w14:paraId="1A881B1D" w14:textId="373C336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40BC2E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12. A EFPC deve comunicar o início do seu funcionamento ou do plano de benefícios administrado, sob pena de cancelamento do licenciamento, em até cento e oitenta dias, contados da data da autorização.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40C94D" w14:textId="5DA3BEC9" w:rsidR="00E31838" w:rsidRPr="00326D73" w:rsidRDefault="00E31838" w:rsidP="00326D73">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132.  </w:t>
            </w:r>
            <w:r w:rsidRPr="00326D73">
              <w:rPr>
                <w:rFonts w:ascii="Calibri" w:eastAsia="Times New Roman" w:hAnsi="Calibri" w:cs="Calibri"/>
                <w:kern w:val="0"/>
                <w:sz w:val="24"/>
                <w:szCs w:val="24"/>
                <w:lang w:eastAsia="pt-BR"/>
                <w14:ligatures w14:val="none"/>
              </w:rPr>
              <w:t>A EFPC deve comunicar o início do seu funcionamento ou do plano de benefícios administrado, sob pena de cancelamento do licenciamento, em até cento e oitenta dias, contados da data da autorização da constituição da EFPC ou da implantação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A77371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4E81529" w14:textId="298AF69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284D7C7"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Parágrafo único. O prazo de que trata o caput pode ser prorrogado, por igual período, mediante anuência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56DD5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O prazo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pode ser prorrogado, por igual período, mediante anuência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8767EB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01EA130" w14:textId="119710B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680A83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14. A EFPC deve encaminhar a documentação comprobatória da finalização das operações previstas nos incisos VII a XII do art. 1º em até noventa dias após a data de conclusão da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0C1925B" w14:textId="48AC41E1" w:rsidR="00E31838" w:rsidRPr="00326D73" w:rsidRDefault="00E31838" w:rsidP="00326D73">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133.  </w:t>
            </w:r>
            <w:r w:rsidRPr="00326D73">
              <w:rPr>
                <w:rFonts w:ascii="Calibri" w:eastAsia="Times New Roman" w:hAnsi="Calibri" w:cs="Calibri"/>
                <w:kern w:val="0"/>
                <w:sz w:val="24"/>
                <w:szCs w:val="24"/>
                <w:lang w:eastAsia="pt-BR"/>
                <w14:ligatures w14:val="none"/>
              </w:rPr>
              <w:t>A EFPC deve encaminhar a documentação comprobatória da finalização das operações previstas nos incisos VII a XII do art.126 em até noventa dias contados da data efetiva.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D18812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FB3A023" w14:textId="31EA514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21A6BE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Art. 22. A EFPC deve manter atualizadas as informações cadastrais relacionadas à instrução de processos de licenciamento no sistema informatizado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A96E7A" w14:textId="3C528D78" w:rsidR="00E31838" w:rsidRPr="00326D73" w:rsidRDefault="00E31838" w:rsidP="00326D73">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134.  </w:t>
            </w:r>
            <w:r w:rsidRPr="00326D73">
              <w:rPr>
                <w:rFonts w:ascii="Calibri" w:eastAsia="Times New Roman" w:hAnsi="Calibri" w:cs="Calibri"/>
                <w:kern w:val="0"/>
                <w:sz w:val="24"/>
                <w:szCs w:val="24"/>
                <w:lang w:eastAsia="pt-BR"/>
                <w14:ligatures w14:val="none"/>
              </w:rPr>
              <w:t>A EFPC deve realizar as alterações cadastrais por ocasião do requerimento de licenciamento no sistema informatizado da Previc, quando disponível para o tipo de operação.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100330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BDD2BB3" w14:textId="06DAE16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91348D0"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22 [...]</w:t>
            </w:r>
          </w:p>
          <w:p w14:paraId="53DD353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4º A Previc deve realizar a atualização cadastral decorrente do deferimento de requerimentos de licenciamento e da finalização das operações, no caso de as informações pertinentes não poderem ser enviadas por meio do sistema de que trata o caput.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4E8CA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 Previc deve realizar a atualização cadastral decorrente do deferimento de requerimentos de licenciamento e da finalização das operações, no caso de as informações pertinentes não poderem ser enviadas por meio do sistema de que trata 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876426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CF5EFDC" w14:textId="73D6B1A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EE24F2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23. A EFPC deve comunicar a existência de qualquer situação ou litígio que possa representar risco à conclusão do requerimento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B03CFA1" w14:textId="48CB56F6" w:rsidR="00E31838" w:rsidRPr="00326D73" w:rsidRDefault="00E31838" w:rsidP="00326D73">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135.  </w:t>
            </w:r>
            <w:r w:rsidRPr="00326D73">
              <w:rPr>
                <w:rFonts w:ascii="Calibri" w:eastAsia="Times New Roman" w:hAnsi="Calibri" w:cs="Calibri"/>
                <w:kern w:val="0"/>
                <w:sz w:val="24"/>
                <w:szCs w:val="24"/>
                <w:lang w:eastAsia="pt-BR"/>
                <w14:ligatures w14:val="none"/>
              </w:rPr>
              <w:t>A EFPC deve comunicar, tão logo tenha conhecimento, a existência de fato ou litígio que represente risco ou impedimento ao andamento da análise do requerimento ou da conclusão da operação, após a autorização.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C41375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BA1610E" w14:textId="1444EC5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1FF952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24. As alterações em regulamento de plano de benefícios, apresentadas nos requerimentos de licenciamento referidos nos incisos VII a X e XIII do art. 1º, somente podem tratar de matérias inerentes ao correspondente requerimento.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0AB969" w14:textId="4AB47C55" w:rsidR="00E31838" w:rsidRPr="00326D73" w:rsidRDefault="00E31838" w:rsidP="00326D73">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136.  </w:t>
            </w:r>
            <w:r w:rsidRPr="00326D73">
              <w:rPr>
                <w:rFonts w:ascii="Calibri" w:eastAsia="Times New Roman" w:hAnsi="Calibri" w:cs="Calibri"/>
                <w:kern w:val="0"/>
                <w:sz w:val="24"/>
                <w:szCs w:val="24"/>
                <w:lang w:eastAsia="pt-BR"/>
                <w14:ligatures w14:val="none"/>
              </w:rPr>
              <w:t xml:space="preserve">As alterações em regulamento de plano de benefícios, apresentadas nos requerimentos de licenciamento referidos nos incisos VIII a X e XIII do </w:t>
            </w:r>
            <w:r w:rsidRPr="00326D73">
              <w:rPr>
                <w:rFonts w:ascii="Calibri" w:eastAsia="Times New Roman" w:hAnsi="Calibri" w:cs="Calibri"/>
                <w:kern w:val="0"/>
                <w:sz w:val="24"/>
                <w:szCs w:val="24"/>
                <w:lang w:eastAsia="pt-BR"/>
                <w14:ligatures w14:val="none"/>
              </w:rPr>
              <w:fldChar w:fldCharType="begin"/>
            </w:r>
            <w:r w:rsidRPr="00326D73">
              <w:rPr>
                <w:rFonts w:ascii="Calibri" w:eastAsia="Times New Roman" w:hAnsi="Calibri" w:cs="Calibri"/>
                <w:kern w:val="0"/>
                <w:sz w:val="24"/>
                <w:szCs w:val="24"/>
                <w:lang w:eastAsia="pt-BR"/>
                <w14:ligatures w14:val="none"/>
              </w:rPr>
              <w:instrText xml:space="preserve"> REF  _Ref138846415 \* Lower \r  \* MERGEFORMAT </w:instrText>
            </w:r>
            <w:r w:rsidRPr="00326D73">
              <w:rPr>
                <w:rFonts w:ascii="Calibri" w:eastAsia="Times New Roman" w:hAnsi="Calibri" w:cs="Calibri"/>
                <w:kern w:val="0"/>
                <w:sz w:val="24"/>
                <w:szCs w:val="24"/>
                <w:lang w:eastAsia="pt-BR"/>
                <w14:ligatures w14:val="none"/>
              </w:rPr>
              <w:fldChar w:fldCharType="separate"/>
            </w:r>
            <w:r w:rsidRPr="00326D73">
              <w:rPr>
                <w:rFonts w:ascii="Calibri" w:eastAsia="Times New Roman" w:hAnsi="Calibri" w:cs="Calibri"/>
                <w:kern w:val="0"/>
                <w:sz w:val="24"/>
                <w:szCs w:val="24"/>
                <w:lang w:eastAsia="pt-BR"/>
                <w14:ligatures w14:val="none"/>
              </w:rPr>
              <w:t>art.126</w:t>
            </w:r>
            <w:r w:rsidRPr="00326D73">
              <w:rPr>
                <w:rFonts w:ascii="Calibri" w:eastAsia="Times New Roman" w:hAnsi="Calibri" w:cs="Calibri"/>
                <w:kern w:val="0"/>
                <w:sz w:val="24"/>
                <w:szCs w:val="24"/>
                <w:lang w:eastAsia="pt-BR"/>
                <w14:ligatures w14:val="none"/>
              </w:rPr>
              <w:fldChar w:fldCharType="end"/>
            </w:r>
            <w:r w:rsidRPr="00326D73">
              <w:rPr>
                <w:rFonts w:ascii="Calibri" w:eastAsia="Times New Roman" w:hAnsi="Calibri" w:cs="Calibri"/>
                <w:kern w:val="0"/>
                <w:sz w:val="24"/>
                <w:szCs w:val="24"/>
                <w:lang w:eastAsia="pt-BR"/>
                <w14:ligatures w14:val="none"/>
              </w:rPr>
              <w:t>, podem tratar de outras matérias formais, desde que não repercutam no custo, no custeio ou no resultado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777D7D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600594B" w14:textId="180FAAB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AB5F854"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8791CD" w14:textId="77777777" w:rsidR="00E31838" w:rsidRDefault="00E31838" w:rsidP="00A95720">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22048702" w14:textId="2CF14409" w:rsidR="00E31838" w:rsidRPr="0010524E" w:rsidRDefault="00E31838" w:rsidP="00A95720">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Fases do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2BC1F0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40310A6" w14:textId="5976510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DAAD21E"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4BB458" w14:textId="259ED835" w:rsidR="00E31838" w:rsidRPr="00326D73" w:rsidRDefault="00E31838" w:rsidP="00326D73">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137.  </w:t>
            </w:r>
            <w:r w:rsidRPr="00326D73">
              <w:rPr>
                <w:rFonts w:ascii="Calibri" w:eastAsia="Times New Roman" w:hAnsi="Calibri" w:cs="Calibri"/>
                <w:kern w:val="0"/>
                <w:sz w:val="24"/>
                <w:szCs w:val="24"/>
                <w:lang w:eastAsia="pt-BR"/>
                <w14:ligatures w14:val="none"/>
              </w:rPr>
              <w:t>Os requerimentos de licenciamento contemplam a fase de instrução e a fase de decisão, excetuado para a operação disposta no inciso XVII do art. 126.</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C527FF0" w14:textId="44FB8AB9" w:rsidR="00E31838" w:rsidRPr="0010524E" w:rsidRDefault="00E31838" w:rsidP="00A95720">
            <w:pPr>
              <w:spacing w:after="0"/>
              <w:jc w:val="both"/>
              <w:rPr>
                <w:rFonts w:ascii="Calibri" w:eastAsia="Times New Roman" w:hAnsi="Calibri" w:cs="Calibri"/>
                <w:kern w:val="0"/>
                <w:sz w:val="24"/>
                <w:szCs w:val="24"/>
                <w:highlight w:val="yellow"/>
                <w:lang w:eastAsia="pt-BR"/>
                <w14:ligatures w14:val="none"/>
              </w:rPr>
            </w:pPr>
          </w:p>
        </w:tc>
      </w:tr>
      <w:tr w:rsidR="00E31838" w:rsidRPr="0010524E" w14:paraId="074DB85F" w14:textId="305C205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4A290CF"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9A539A"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Fase de instrução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A86253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F265BCC" w14:textId="141E798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BA6D9D2"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FF27CD" w14:textId="0D03199E" w:rsidR="00E31838" w:rsidRPr="00326D73" w:rsidRDefault="00E31838" w:rsidP="00326D73">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138.  </w:t>
            </w:r>
            <w:r w:rsidRPr="00326D73">
              <w:rPr>
                <w:rFonts w:ascii="Calibri" w:eastAsia="Times New Roman" w:hAnsi="Calibri" w:cs="Calibri"/>
                <w:kern w:val="0"/>
                <w:sz w:val="24"/>
                <w:szCs w:val="24"/>
                <w:lang w:eastAsia="pt-BR"/>
                <w14:ligatures w14:val="none"/>
              </w:rPr>
              <w:t xml:space="preserve">A fase de instrução se inicia na data do protocolo e contempla a análise das informações, dos documentos e do atendimento às condições legais e técnicas estabelecidas para o tipo de requerimento, observados os prazos estabelecidos no </w:t>
            </w:r>
            <w:r w:rsidRPr="00326D73">
              <w:rPr>
                <w:rFonts w:ascii="Calibri" w:eastAsia="Times New Roman" w:hAnsi="Calibri" w:cs="Calibri"/>
                <w:kern w:val="0"/>
                <w:sz w:val="24"/>
                <w:szCs w:val="24"/>
                <w:lang w:eastAsia="pt-BR"/>
                <w14:ligatures w14:val="none"/>
              </w:rPr>
              <w:fldChar w:fldCharType="begin"/>
            </w:r>
            <w:r w:rsidRPr="00326D73">
              <w:rPr>
                <w:rFonts w:ascii="Calibri" w:eastAsia="Times New Roman" w:hAnsi="Calibri" w:cs="Calibri"/>
                <w:kern w:val="0"/>
                <w:sz w:val="24"/>
                <w:szCs w:val="24"/>
                <w:lang w:eastAsia="pt-BR"/>
                <w14:ligatures w14:val="none"/>
              </w:rPr>
              <w:instrText xml:space="preserve"> REF  _Ref138847497 \* FirstCap \r  \* MERGEFORMAT </w:instrText>
            </w:r>
            <w:r w:rsidRPr="00326D73">
              <w:rPr>
                <w:rFonts w:ascii="Calibri" w:eastAsia="Times New Roman" w:hAnsi="Calibri" w:cs="Calibri"/>
                <w:kern w:val="0"/>
                <w:sz w:val="24"/>
                <w:szCs w:val="24"/>
                <w:lang w:eastAsia="pt-BR"/>
                <w14:ligatures w14:val="none"/>
              </w:rPr>
              <w:fldChar w:fldCharType="separate"/>
            </w:r>
            <w:r w:rsidRPr="00326D73">
              <w:rPr>
                <w:rFonts w:ascii="Calibri" w:eastAsia="Times New Roman" w:hAnsi="Calibri" w:cs="Calibri"/>
                <w:kern w:val="0"/>
                <w:sz w:val="24"/>
                <w:szCs w:val="24"/>
                <w:lang w:eastAsia="pt-BR"/>
                <w14:ligatures w14:val="none"/>
              </w:rPr>
              <w:t>ANEXO II</w:t>
            </w:r>
            <w:r w:rsidRPr="00326D73">
              <w:rPr>
                <w:rFonts w:ascii="Calibri" w:eastAsia="Times New Roman" w:hAnsi="Calibri" w:cs="Calibri"/>
                <w:kern w:val="0"/>
                <w:sz w:val="24"/>
                <w:szCs w:val="24"/>
                <w:lang w:eastAsia="pt-BR"/>
                <w14:ligatures w14:val="none"/>
              </w:rPr>
              <w:fldChar w:fldCharType="end"/>
            </w:r>
            <w:r w:rsidRPr="00326D73">
              <w:rPr>
                <w:rFonts w:ascii="Calibri" w:eastAsia="Times New Roman" w:hAnsi="Calibri" w:cs="Calibri"/>
                <w:kern w:val="0"/>
                <w:sz w:val="24"/>
                <w:szCs w:val="24"/>
                <w:lang w:eastAsia="pt-BR"/>
                <w14:ligatures w14:val="none"/>
              </w:rPr>
              <w:t>I.</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9A6CD8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52686BDC" w14:textId="158C34B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D9C991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5º A Previc pode, na fase de instrução do requerimento de licenciamento, estabelecer exigências ou apresentar orientações em decorrência da avaliação das informações, dos documentos e das condições estabelecidas para o tipo de requerimento.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BA919F5" w14:textId="4BEDC429" w:rsidR="00E31838" w:rsidRPr="00326D73" w:rsidRDefault="00E31838" w:rsidP="00326D73">
            <w:pPr>
              <w:tabs>
                <w:tab w:val="left" w:pos="993"/>
              </w:tabs>
              <w:spacing w:after="120"/>
              <w:jc w:val="both"/>
              <w:rPr>
                <w:rFonts w:ascii="Calibri" w:eastAsia="Times New Roman" w:hAnsi="Calibri" w:cs="Calibri"/>
                <w:kern w:val="0"/>
                <w:sz w:val="24"/>
                <w:szCs w:val="24"/>
                <w:lang w:eastAsia="pt-BR"/>
                <w14:ligatures w14:val="none"/>
              </w:rPr>
            </w:pPr>
            <w:bookmarkStart w:id="26" w:name="_Ref138853921"/>
            <w:r>
              <w:rPr>
                <w:rFonts w:ascii="Calibri" w:eastAsia="Times New Roman" w:hAnsi="Calibri" w:cs="Calibri"/>
                <w:kern w:val="0"/>
                <w:sz w:val="24"/>
                <w:szCs w:val="24"/>
                <w:lang w:eastAsia="pt-BR"/>
                <w14:ligatures w14:val="none"/>
              </w:rPr>
              <w:t xml:space="preserve">Art. 139.  </w:t>
            </w:r>
            <w:r w:rsidRPr="00326D73">
              <w:rPr>
                <w:rFonts w:ascii="Calibri" w:eastAsia="Times New Roman" w:hAnsi="Calibri" w:cs="Calibri"/>
                <w:kern w:val="0"/>
                <w:sz w:val="24"/>
                <w:szCs w:val="24"/>
                <w:lang w:eastAsia="pt-BR"/>
                <w14:ligatures w14:val="none"/>
              </w:rPr>
              <w:t>A Previc pode, na fase de instrução, estabelecer exigências para correção de documento ou de procedimento ou para solicitar de esclarecimentos, além de:</w:t>
            </w:r>
            <w:bookmarkEnd w:id="26"/>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155C4B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B28E900" w14:textId="45F7B92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AFEA66D"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6º [...]</w:t>
            </w:r>
          </w:p>
          <w:p w14:paraId="664357D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determinar o envio de outros documentos e informações que julgar necessários para a instrução de processos de licenciamento;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8D044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determinar o envio de outros documentos e informações que julgar necessários para a análise da operação;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CEA14B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F0A909B" w14:textId="4093297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B7F740D"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dispensar o envio de documento de conhecimento público ou de informação presente em outros processos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93E26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dispensar o envio de documento de conhecimento público ou de informação presente em outros processos de licenciamento ou nas bases de dados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B614E6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9BCAEC1" w14:textId="62BD037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35A381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Art. 5º [...]</w:t>
            </w:r>
          </w:p>
          <w:p w14:paraId="5726A38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2º Considera-se notificada a EFPC, a respeito das exigências ou orientações relativas aos requerimentos de licenciamento instruídos, na data do envio de mensagem para o endereço eletrônico cadastrado no sistema informatizado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5C050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Considera-se notificada o requerente, a respeito das exigências relativas aos requerimentos de licenciamento instruídos, na data do envio de mensagem para e-mail institucional da EFPC cadastrado no sistema informatizado da Previc ou do patrocinador ou instituidor que requereu constituição de EFPC.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538A91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D182EDA" w14:textId="60608A5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688F59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22 [...]</w:t>
            </w:r>
          </w:p>
          <w:p w14:paraId="2F423C4E"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1º A EFPC deve manter endereço de e-mail institucional destinado à comunicação com a Previc, permanentemente atualizado no sistema de que trata o caput.</w:t>
            </w:r>
          </w:p>
          <w:p w14:paraId="1B105AC0"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2º O e-mail institucional referido no § 1º deve ser acessível às áreas da EFPC responsáveis pelo relacionamento com a Previc, sem vinculação a qualquer pessoa física específica.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76262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§2º  O e-mail institucional da EFPC referido no §1º deve estar permanentemente atualizado e ser acessível às áreas da EFPC responsáveis pelo relacionamento com a Previc, sem vinculação a qualquer pessoa física específica.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8A1AA8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CONSOLIDAÇÃO DOS PARÁGRAFOS</w:t>
            </w:r>
          </w:p>
        </w:tc>
      </w:tr>
      <w:tr w:rsidR="00E31838" w:rsidRPr="0010524E" w14:paraId="61151A48" w14:textId="3BD5D12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3CA15F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5º [...]</w:t>
            </w:r>
          </w:p>
          <w:p w14:paraId="2AB8B9F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1º A EFPC deve cumprir as exigências ou atender as orientações formuladas no prazo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C2CC2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§3º  O requerente deve cumprir as exigências formuladas no prazo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B1E364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E9EF2D0" w14:textId="6DFB87F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19E29DB"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dez dias úteis, nos requerimentos protocolados na forma do inciso II do caput do art. 23;</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B8670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dez dias úteis, nos requerimentos protocolados como licenciamento automático;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C55B21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982F831" w14:textId="30F5618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2D609DB"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trinta dias úteis, nos requerimentos de habilitação de dirigentes;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44C67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trinta dias úteis, nos requerimentos de habilitação de dirigentes;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7D932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D7B1737" w14:textId="7A376C3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0782C0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III - sessenta dias úteis, para os demais requerimentos previstos no § 1º do art. 1º.</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3E7D56" w14:textId="257CF7E5"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III – sessenta dias úteis, para os demais requerimentos previstos no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_Ref138846415 \* Lower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art. 126</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5B0FD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03D2382" w14:textId="3CFAA92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63656FD"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5º [...]</w:t>
            </w:r>
          </w:p>
          <w:p w14:paraId="3DB3DF8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3º O prazo para cumprimento das exigências ou de atendimento das orientações:</w:t>
            </w:r>
          </w:p>
          <w:p w14:paraId="38924F8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deve ser contado a partir da data referida no § 2º; e</w:t>
            </w:r>
          </w:p>
          <w:p w14:paraId="6001A497"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pode ser prorrogado uma única vez, por igual período, mediante comunicação à Previc, até o dia do seu vencimento.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A1417B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§4º  O prazo para cumprimento das exigências deve ser contado a partir da data referida no §1º e pode ser prorrogado automaticamente uma única vez, por igual período, mediante comunicação à Previc, até o dia do seu vencimento.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DD84D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CONSOLIDAÇÃO DOS INCISOS EM UM ÚNICO PARÁGRAFO</w:t>
            </w:r>
          </w:p>
        </w:tc>
      </w:tr>
      <w:tr w:rsidR="00E31838" w:rsidRPr="0010524E" w14:paraId="58775EDB" w14:textId="1F60F84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4882D69"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5º [...]</w:t>
            </w:r>
          </w:p>
          <w:p w14:paraId="1742E04D"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4º As prorrogações subsequentes à referida no inciso II do § 3º dependem de prévia e expressa anuência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A3A490" w14:textId="249C59B0"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§5º </w:t>
            </w:r>
            <w:r>
              <w:rPr>
                <w:rFonts w:ascii="Calibri" w:eastAsia="Times New Roman" w:hAnsi="Calibri" w:cs="Calibri"/>
                <w:kern w:val="0"/>
                <w:sz w:val="24"/>
                <w:szCs w:val="24"/>
                <w:lang w:eastAsia="pt-BR"/>
                <w14:ligatures w14:val="none"/>
              </w:rPr>
              <w:t xml:space="preserve"> </w:t>
            </w:r>
            <w:r w:rsidRPr="0010524E">
              <w:rPr>
                <w:rFonts w:ascii="Calibri" w:eastAsia="Times New Roman" w:hAnsi="Calibri" w:cs="Calibri"/>
                <w:kern w:val="0"/>
                <w:sz w:val="24"/>
                <w:szCs w:val="24"/>
                <w:lang w:eastAsia="pt-BR"/>
                <w14:ligatures w14:val="none"/>
              </w:rPr>
              <w:t xml:space="preserve">As prorrogações subsequentes à referida no inciso II do §4º dependem de prévia e expressa anuência da Previc.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ED2A2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1F34D34" w14:textId="172A286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67EC9F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INSTRUÇÃO PREVIC Nº 45, DE 13 DE JULHO DE 2022</w:t>
            </w:r>
          </w:p>
          <w:p w14:paraId="79177487"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6º O expediente explicativo de resposta às exigências formuladas pela Previc deve conter manifestação em relação a cada uma delas, informando quais foram cumpridas e quais foram objeto de ponderação fundamentada.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DE50DD" w14:textId="506B44A8" w:rsidR="00E31838" w:rsidRPr="00326D73" w:rsidRDefault="00E31838" w:rsidP="00326D73">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140.  </w:t>
            </w:r>
            <w:r w:rsidRPr="00326D73">
              <w:rPr>
                <w:rFonts w:ascii="Calibri" w:eastAsia="Times New Roman" w:hAnsi="Calibri" w:cs="Calibri"/>
                <w:kern w:val="0"/>
                <w:sz w:val="24"/>
                <w:szCs w:val="24"/>
                <w:lang w:eastAsia="pt-BR"/>
                <w14:ligatures w14:val="none"/>
              </w:rPr>
              <w:t>O expediente explicativo de resposta às exigências formuladas pela Previc deve mencionar o número de protocolo do requerimento de licenciamento e conter manifestação em relação a cada exigência, informando quais foram cumpridas e quais foram objeto de ponderação fundamentada.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D0DE7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27EAAA5" w14:textId="521BFCE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DE592C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xml:space="preserve">Parágrafo único. As alterações nos documentos que instruem o requerimento, além daquelas realizadas para o atendimento das exigências formuladas pela Previc, devem ser expressamente justificadas no expediente </w:t>
            </w:r>
            <w:r w:rsidRPr="0010524E">
              <w:rPr>
                <w:rFonts w:ascii="Calibri" w:hAnsi="Calibri" w:cs="Calibri"/>
                <w:sz w:val="24"/>
                <w:szCs w:val="24"/>
              </w:rPr>
              <w:lastRenderedPageBreak/>
              <w:t>explicativo, com a indicação do documento alterado e do teor da alteração realizada.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3D337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Parágrafo único.  As alterações adicionais realizadas nos documentos, além daquelas exigidas pela Previc, devem ser expressamente justificadas no expediente explicativo, com a indicação do documento alterado e do teor da alteração realizada.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ED0FA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404E7EB" w14:textId="12EA5D1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0657D7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RESOLUÇÃO PREVIC Nº 9, DE 30 DE MARÇO DE 2022</w:t>
            </w:r>
          </w:p>
          <w:p w14:paraId="508C26D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13. A EFPC pode, durante a fase de instrução, solicitar o cancelamento do requerimento de licenciamento, desde que autorizada pelo órgão estatutário competente.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BBA8D5" w14:textId="7341E5BB" w:rsidR="00E31838" w:rsidRPr="0010524E" w:rsidRDefault="00E31838" w:rsidP="00A95720">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XX. </w:t>
            </w:r>
            <w:r w:rsidRPr="0010524E">
              <w:rPr>
                <w:rFonts w:ascii="Calibri" w:eastAsia="Times New Roman" w:hAnsi="Calibri" w:cs="Calibri"/>
                <w:kern w:val="0"/>
                <w:sz w:val="24"/>
                <w:szCs w:val="24"/>
                <w:lang w:eastAsia="pt-BR"/>
                <w14:ligatures w14:val="none"/>
              </w:rPr>
              <w:t>A EFPC pode, durante a fase de instrução, solicitar o cancelamento do requerimento de licenciamento, desde que autorizada pelo órgão estatutário competente.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48AC40" w14:textId="1A236ECC"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0C41304" w14:textId="297677C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B4205F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7º O prazo para a conclusão da análise de requerimento de licenciamento, na fase de instrução, pode ser interrompido quando da apresentação de exigência ou de orientação ou quando apurada a ocorrência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EB247B" w14:textId="19D7655D" w:rsidR="00E31838" w:rsidRPr="00326D73" w:rsidRDefault="00E31838" w:rsidP="00326D73">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141.  </w:t>
            </w:r>
            <w:r w:rsidRPr="00326D73">
              <w:rPr>
                <w:rFonts w:ascii="Calibri" w:eastAsia="Times New Roman" w:hAnsi="Calibri" w:cs="Calibri"/>
                <w:kern w:val="0"/>
                <w:sz w:val="24"/>
                <w:szCs w:val="24"/>
                <w:lang w:eastAsia="pt-BR"/>
                <w14:ligatures w14:val="none"/>
              </w:rPr>
              <w:t xml:space="preserve">O prazo para a conclusão da análise do requerimento de licenciamento, na fase de instrução, pode ser interrompido quando da apresentação de exigência ou na ocorrência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E3370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8BCF83F" w14:textId="2A01F35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D1A4EE7"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fato novo, em resposta à exigência ou orientação encaminhada pela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51D49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fato novo, durante o andamento da análise;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54F16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6280E40" w14:textId="2ABAECB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48C52D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caso fortuito ou de força maior;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52E6A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caso fortuito ou de força maior;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67B21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9F078F8" w14:textId="1EF6988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9B7645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III - solicitação da EFPC, devidamente fundamentada.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908B0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solicitação do requerente, devidamente fundamentada.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32ABA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6C4EEF9" w14:textId="2C01FB1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95D7E4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8º A suspensão da análise de requerimento de licenciamento pela Previc, na fase de instrução, pode ocorrer quando: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C1A4B5" w14:textId="637DF5E7" w:rsidR="00E31838" w:rsidRPr="0003534F" w:rsidRDefault="00E31838" w:rsidP="0003534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142.  </w:t>
            </w:r>
            <w:r w:rsidRPr="0003534F">
              <w:rPr>
                <w:rFonts w:ascii="Calibri" w:eastAsia="Times New Roman" w:hAnsi="Calibri" w:cs="Calibri"/>
                <w:kern w:val="0"/>
                <w:sz w:val="24"/>
                <w:szCs w:val="24"/>
                <w:lang w:eastAsia="pt-BR"/>
                <w14:ligatures w14:val="none"/>
              </w:rPr>
              <w:t xml:space="preserve">A suspensão da análise do requerimento de licenciamento pela Previc, na fase de instrução, pode ocorrer quando: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D8A1D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3FD3B8A" w14:textId="0CEC8A4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C109FB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verificadas circunstâncias que impeçam a continuação da análise do processo;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CB565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verificadas circunstâncias que impeçam a continuação da análise do processo;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BB356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8E8379F" w14:textId="335ED04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4E1E5A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apurada a necessidade de consulta a outra área da Previc;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9347E0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apurada a necessidade de consulta a outra área da Previc;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D2BEA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E0E1D77" w14:textId="54703FC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FAAC8BE"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III - por solicitação da Diretoria de Fiscalização e Monitoramento.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5E4162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por decisão fundamentada da Diretoria Colegiada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3212F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5A29309" w14:textId="762FD18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E8D3D9D"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9º O prazo para a conclusão da análise de requerimento de licenciamento, na fase de instrução, pode ser prorrogado automaticamente uma única vez, por igual período, mediante prévia comunicação à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8192A3" w14:textId="58E5D0DC" w:rsidR="00E31838" w:rsidRPr="0003534F" w:rsidRDefault="00E31838" w:rsidP="0003534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143.  </w:t>
            </w:r>
            <w:r w:rsidRPr="0003534F">
              <w:rPr>
                <w:rFonts w:ascii="Calibri" w:eastAsia="Times New Roman" w:hAnsi="Calibri" w:cs="Calibri"/>
                <w:kern w:val="0"/>
                <w:sz w:val="24"/>
                <w:szCs w:val="24"/>
                <w:lang w:eastAsia="pt-BR"/>
                <w14:ligatures w14:val="none"/>
              </w:rPr>
              <w:t xml:space="preserve">O prazo para a conclusão da análise do requerimento de licenciamento, na fase de instrução, pode ser prorrogado automaticamente uma única vez, por igual período, mediante prévia comunicação à EFPC.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E378E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3FC288F" w14:textId="6A78650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8EF749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Parágrafo único. As prorrogações subsequentes à referida no caput dependem de prévia e expressa anuência do Diretor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57D6A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As prorrogações subsequentes à referida no </w:t>
            </w:r>
            <w:r w:rsidRPr="0010524E">
              <w:rPr>
                <w:rFonts w:ascii="Calibri" w:eastAsia="Times New Roman" w:hAnsi="Calibri" w:cs="Calibri"/>
                <w:b/>
                <w:bCs/>
                <w:kern w:val="0"/>
                <w:sz w:val="24"/>
                <w:szCs w:val="24"/>
                <w:lang w:eastAsia="pt-BR"/>
                <w14:ligatures w14:val="none"/>
              </w:rPr>
              <w:t>caput</w:t>
            </w:r>
            <w:r w:rsidRPr="0010524E">
              <w:rPr>
                <w:rFonts w:ascii="Calibri" w:eastAsia="Times New Roman" w:hAnsi="Calibri" w:cs="Calibri"/>
                <w:kern w:val="0"/>
                <w:sz w:val="24"/>
                <w:szCs w:val="24"/>
                <w:lang w:eastAsia="pt-BR"/>
                <w14:ligatures w14:val="none"/>
              </w:rPr>
              <w:t xml:space="preserve"> dependem de prévia e expressa anuência do Diretor de Licenciamento.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D1FDA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F4937B2" w14:textId="44A0BD5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0B0AE53"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1C8277"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Fase de Decisão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C5E0A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83CAD25" w14:textId="751301C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6EA8241"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93C23E" w14:textId="0D4306D1" w:rsidR="00E31838" w:rsidRPr="0003534F" w:rsidRDefault="00E31838" w:rsidP="0003534F">
            <w:pPr>
              <w:tabs>
                <w:tab w:val="left" w:pos="993"/>
              </w:tabs>
              <w:spacing w:after="120"/>
              <w:jc w:val="both"/>
              <w:rPr>
                <w:rFonts w:ascii="Calibri" w:eastAsia="Times New Roman" w:hAnsi="Calibri" w:cs="Calibri"/>
                <w:kern w:val="0"/>
                <w:sz w:val="24"/>
                <w:szCs w:val="24"/>
                <w:lang w:eastAsia="pt-BR"/>
                <w14:ligatures w14:val="none"/>
              </w:rPr>
            </w:pPr>
            <w:bookmarkStart w:id="27" w:name="_Ref138853731"/>
            <w:r>
              <w:rPr>
                <w:rFonts w:ascii="Calibri" w:eastAsia="Times New Roman" w:hAnsi="Calibri" w:cs="Calibri"/>
                <w:kern w:val="0"/>
                <w:sz w:val="24"/>
                <w:szCs w:val="24"/>
                <w:lang w:eastAsia="pt-BR"/>
                <w14:ligatures w14:val="none"/>
              </w:rPr>
              <w:t xml:space="preserve">Art. 144.  </w:t>
            </w:r>
            <w:r w:rsidRPr="0003534F">
              <w:rPr>
                <w:rFonts w:ascii="Calibri" w:eastAsia="Times New Roman" w:hAnsi="Calibri" w:cs="Calibri"/>
                <w:kern w:val="0"/>
                <w:sz w:val="24"/>
                <w:szCs w:val="24"/>
                <w:lang w:eastAsia="pt-BR"/>
                <w14:ligatures w14:val="none"/>
              </w:rPr>
              <w:t>A fase de decisão se inicia no dia útil seguinte à data da conclusão da fase de instrução e contempla os procedimentos para manifestação da decisão final da Previc sobre o requerimento.</w:t>
            </w:r>
            <w:bookmarkEnd w:id="27"/>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8F9B1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71405D37" w14:textId="0B73DF9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ACB59B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10. A Previc deve informar o início da fase de decisão quando concluída a apresentação dos documentos e informações necessários e atendidas as condições estabelecidas para o tipo de requerimento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3D327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A Previc deve informar ao requerente o início da fase de decisão.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4C6FF6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F842510" w14:textId="01400BE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D450888"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65257E" w14:textId="21D48324" w:rsidR="00E31838" w:rsidRPr="0003534F" w:rsidRDefault="00E31838" w:rsidP="0003534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145.  </w:t>
            </w:r>
            <w:r w:rsidRPr="0003534F">
              <w:rPr>
                <w:rFonts w:ascii="Calibri" w:eastAsia="Times New Roman" w:hAnsi="Calibri" w:cs="Calibri"/>
                <w:kern w:val="0"/>
                <w:sz w:val="24"/>
                <w:szCs w:val="24"/>
                <w:lang w:eastAsia="pt-BR"/>
                <w14:ligatures w14:val="none"/>
              </w:rPr>
              <w:t>Na manifestação da decisão de que trata o art.144, o requerimento de licenciamento pode ser: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F5C35A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61CC7E3C" w14:textId="015CAC6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B8E89FD"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508B1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aprovado ou autorizado, quando atendidos todos os requisitos definidos para o tipo de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AF41B6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2C15679A" w14:textId="1613FB9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D139DA2"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9347E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 – cancelado, por solicitação do requerente;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139A90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2E1EC5F6" w14:textId="2A649A2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C34496C"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F1A33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III – indeferido, quando não atendidos os requisitos definidos para o tipo de requerimento;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D0EDC1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3B96E387" w14:textId="393579A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D9D3326"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C02F44" w14:textId="1AA05303"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IV – arquivado, sem análise de mérito, quando a instrução do requerimento for inadequada ou incompatível com o tipo operação requerido ou quando o requerente não cumprir às exigências apresentadas pela Previc no prazo do §3º do art.139.</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1E2244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5CD0E857" w14:textId="556ADEF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6A3982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25. Os licenciamentos deferidos pela Previc devem ser publicados: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119990" w14:textId="06DF6655" w:rsidR="00E31838" w:rsidRPr="0003534F" w:rsidRDefault="00E31838" w:rsidP="0003534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146.  </w:t>
            </w:r>
            <w:r w:rsidRPr="0003534F">
              <w:rPr>
                <w:rFonts w:ascii="Calibri" w:eastAsia="Times New Roman" w:hAnsi="Calibri" w:cs="Calibri"/>
                <w:kern w:val="0"/>
                <w:sz w:val="24"/>
                <w:szCs w:val="24"/>
                <w:lang w:eastAsia="pt-BR"/>
                <w14:ligatures w14:val="none"/>
              </w:rPr>
              <w:t xml:space="preserve">Os licenciamentos aprovados ou autorizados pela Previc devem ser publicados: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73D116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D3103B5" w14:textId="0DC23B9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56E4897"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em seu sítio eletrônico, nos casos de habilitação de dirigentes e de requerimentos sujeitos ao licenciamento automático;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E3B3C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 – em seu sítio eletrônico, nos casos de habilitação de dirigentes e de requerimentos sujeitos ao licenciamento automático;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474BAD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9B7DD18" w14:textId="4F5340A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C67FE50"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no Diário Oficial da União, nos demais casos.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94087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II – no Diário Oficial da União, nos demais casos, salvo o reconhecimento de instituição certificadora, o qual será comunicado diretamente ao requerente.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14DEE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3F22D4B" w14:textId="230B53C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A5A2113"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EB3B510" w14:textId="77777777" w:rsidR="00E31838" w:rsidRPr="0010524E" w:rsidRDefault="00E31838" w:rsidP="00A95720">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F35F48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2A69C96" w14:textId="1B205E3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CC058B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XVI DA INSTRUÇÃO PREVIC Nº 45, DE 13 DE JULHO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A17F603" w14:textId="0C7AB225" w:rsidR="00E31838" w:rsidRPr="0010524E" w:rsidRDefault="00E31838" w:rsidP="00A95720">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Operações estruturais relacionadas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445BE6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REALOCADO COMO SUBSEÇÃO</w:t>
            </w:r>
          </w:p>
        </w:tc>
      </w:tr>
      <w:tr w:rsidR="00E31838" w:rsidRPr="0010524E" w14:paraId="29153EAF" w14:textId="66BEF69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CD1E32F"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0560DD" w14:textId="39E7A1F9" w:rsidR="00E31838" w:rsidRPr="0003534F" w:rsidRDefault="00E31838" w:rsidP="0003534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147  </w:t>
            </w:r>
            <w:r w:rsidRPr="0003534F">
              <w:rPr>
                <w:rFonts w:ascii="Calibri" w:eastAsia="Times New Roman" w:hAnsi="Calibri" w:cs="Calibri"/>
                <w:kern w:val="0"/>
                <w:sz w:val="24"/>
                <w:szCs w:val="24"/>
                <w:lang w:eastAsia="pt-BR"/>
                <w14:ligatures w14:val="none"/>
              </w:rPr>
              <w:t>O requerimento de licenciamento de operações estruturais relacionadas deve ser instruído com os documentos de cada operação envolvida no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861C02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094E8A6" w14:textId="612EBB0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F1280FD"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3EB335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§1º  Devem ser enviados os Termos de Responsabilidade relativos a cada operação envolvida no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11D6AB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536A77F" w14:textId="4D77170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BADD1D0"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570A8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§2º  Deve ser enviado somente um Termo de Operação Estrutural Relacionada e um Relatório da Operação, contemplando a combinação dos itens mínimos previstos para cada operação envolvida no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43BCD0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8CB988A" w14:textId="76F923C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CC46DF4"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6BB1A0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§3º  No caso de patrocinadores sujeitos ao disposto no art. 4º da Lei Complementar nº 108, de 2001, deve ser apresentada a manifestação favorável do órgão responsável pela supervisão, pela coordenação e pelo controle do patrocinador.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2E2906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1373DC1" w14:textId="508BD6F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5A7B209"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D65DD3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§4º  Os documentos que subsidiarem o relatório da operação devem permanecer na EFPC, à disposição da Previc, pelo prazo de sessenta meses, contados da data efetiva.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7E32CB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90D2035" w14:textId="1BA2BDB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F48BD5A"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94EDEC" w14:textId="141FC497" w:rsidR="00E31838" w:rsidRPr="0003534F" w:rsidRDefault="00E31838" w:rsidP="0003534F">
            <w:pPr>
              <w:tabs>
                <w:tab w:val="left" w:pos="993"/>
              </w:tabs>
              <w:spacing w:after="120"/>
              <w:jc w:val="both"/>
              <w:rPr>
                <w:rFonts w:ascii="Calibri" w:eastAsia="Times New Roman" w:hAnsi="Calibri" w:cs="Calibri"/>
                <w:kern w:val="0"/>
                <w:sz w:val="24"/>
                <w:szCs w:val="24"/>
                <w:lang w:eastAsia="pt-BR"/>
                <w14:ligatures w14:val="none"/>
              </w:rPr>
            </w:pPr>
            <w:r w:rsidRPr="0003534F">
              <w:rPr>
                <w:rFonts w:ascii="Calibri" w:eastAsia="Times New Roman" w:hAnsi="Calibri" w:cs="Calibri"/>
                <w:kern w:val="0"/>
                <w:sz w:val="24"/>
                <w:szCs w:val="24"/>
                <w:lang w:eastAsia="pt-BR"/>
                <w14:ligatures w14:val="none"/>
              </w:rPr>
              <w:t>Art. 148.  A comprovação da finalização da operação deve ser instruída com expediente explicativo e Termo de Responsabilidade de Finalização das operações envolvidas no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0787AD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3AA47FB" w14:textId="1ADFBDB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94D963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XXI DA INSTRUÇÃO PREVIC Nº 45, DE 13 DE JULHO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578376C" w14:textId="6FF2E92C" w:rsidR="00E31838" w:rsidRDefault="00E31838" w:rsidP="00A95720">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III</w:t>
            </w:r>
          </w:p>
          <w:p w14:paraId="10887993" w14:textId="4089E738" w:rsidR="00E31838" w:rsidRPr="0010524E" w:rsidRDefault="00E31838" w:rsidP="00A95720">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Certificação de modelos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EACBBB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REALOCADO COMO SUBSEÇÃO</w:t>
            </w:r>
          </w:p>
        </w:tc>
      </w:tr>
      <w:tr w:rsidR="00E31838" w:rsidRPr="0010524E" w14:paraId="2F6F4F86" w14:textId="1146755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6981C42"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480F309" w14:textId="2EF0234E" w:rsidR="00E31838" w:rsidRPr="0003534F" w:rsidRDefault="00E31838" w:rsidP="0003534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149.  </w:t>
            </w:r>
            <w:r w:rsidRPr="0003534F">
              <w:rPr>
                <w:rFonts w:ascii="Calibri" w:eastAsia="Times New Roman" w:hAnsi="Calibri" w:cs="Calibri"/>
                <w:kern w:val="0"/>
                <w:sz w:val="24"/>
                <w:szCs w:val="24"/>
                <w:lang w:eastAsia="pt-BR"/>
                <w14:ligatures w14:val="none"/>
              </w:rPr>
              <w:t xml:space="preserve">O requerimento de licenciamento para certificação de modelo de regulamento de plano de benefícios ou de convênio de adesão deve ser instruído </w:t>
            </w:r>
            <w:r w:rsidRPr="0003534F">
              <w:rPr>
                <w:rFonts w:ascii="Calibri" w:eastAsia="Times New Roman" w:hAnsi="Calibri" w:cs="Calibri"/>
                <w:kern w:val="0"/>
                <w:sz w:val="24"/>
                <w:szCs w:val="24"/>
                <w:lang w:eastAsia="pt-BR"/>
                <w14:ligatures w14:val="none"/>
              </w:rPr>
              <w:lastRenderedPageBreak/>
              <w:t>com expediente explicativo e texto consolidado do documento com as cláusulas variáveis em destaque.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1F858B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E1AC7BB" w14:textId="2ACE2F4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7371E58"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FFE72C" w14:textId="77777777" w:rsidR="00E31838" w:rsidRDefault="00E31838" w:rsidP="00A95720">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IV</w:t>
            </w:r>
          </w:p>
          <w:p w14:paraId="6893D847" w14:textId="60545E52" w:rsidR="00E31838" w:rsidRPr="0010524E" w:rsidRDefault="00E31838" w:rsidP="00A95720">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Reconhecimento de instituição certificadora ou de certificado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ADD127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4DEF7CF" w14:textId="05125C5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259A089"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706118" w14:textId="1ADF124C" w:rsidR="00E31838" w:rsidRPr="0003534F" w:rsidRDefault="00E31838" w:rsidP="0003534F">
            <w:pPr>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150.  </w:t>
            </w:r>
            <w:r w:rsidRPr="0003534F">
              <w:rPr>
                <w:rFonts w:ascii="Calibri" w:eastAsia="Times New Roman" w:hAnsi="Calibri" w:cs="Calibri"/>
                <w:kern w:val="0"/>
                <w:sz w:val="24"/>
                <w:szCs w:val="24"/>
                <w:lang w:eastAsia="pt-BR"/>
                <w14:ligatures w14:val="none"/>
              </w:rPr>
              <w:t xml:space="preserve">O requerimento de reconhecimento de instituição certificadora ou de certificado deve ser protocolado pela Instituição Certificadora, instruído com os documentos listados no Anexo IV.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949877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1DD873AB" w14:textId="221EFB5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A2F6B0F"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1E1AEDE" w14:textId="77777777" w:rsidR="00E31838" w:rsidRDefault="00E31838" w:rsidP="0003534F">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w:t>
            </w:r>
          </w:p>
          <w:p w14:paraId="482AE1E2" w14:textId="59FE5755" w:rsidR="00E31838" w:rsidRPr="0010524E" w:rsidRDefault="00E31838" w:rsidP="0003534F">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Entidades fechadas de previdência complementar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028873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12A62BD" w14:textId="2D2DC13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744DA30"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7730E99" w14:textId="77777777" w:rsidR="00E31838" w:rsidRPr="0010524E" w:rsidRDefault="00E31838" w:rsidP="0003534F">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Constituição de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403CF0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A4113F4" w14:textId="2A1A811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21AB7AB"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604C7C8" w14:textId="3E867B5B" w:rsidR="00E31838" w:rsidRPr="0003534F" w:rsidRDefault="00E31838" w:rsidP="0003534F">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151.  </w:t>
            </w:r>
            <w:r w:rsidRPr="0003534F">
              <w:rPr>
                <w:rFonts w:ascii="Calibri" w:eastAsia="Times New Roman" w:hAnsi="Calibri" w:cs="Calibri"/>
                <w:kern w:val="0"/>
                <w:sz w:val="24"/>
                <w:szCs w:val="24"/>
                <w:lang w:eastAsia="pt-BR"/>
                <w14:ligatures w14:val="none"/>
              </w:rPr>
              <w:t xml:space="preserve">O requerimento de constituição de EFPC deve ser protocolado pelos pretensos patrocinadores ou instituidores, instruídos com os documentos listados no Anexo V.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071010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1303DEF5" w14:textId="348EB74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DA74A2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I DA INSTRUÇÃO PREVIC Nº 45, DE 13 DE JULHO DE 2022</w:t>
            </w:r>
          </w:p>
          <w:p w14:paraId="35D3FA0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Os documentos que subsidiarem o estudo referido na alínea “d” do inciso I devem permanecer na EFPC, à disposição da Previc, pelo prazo de sessenta meses, contados da data-efetiva.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02BCC2A" w14:textId="04BD73B8"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Os documentos que subsidiarem a elaboração do estudo referido no inciso IV do Anexo V devem permanecer na EFPC, à disposição da Previc, pelo prazo de sessenta meses, contados da data-efetiva.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B44372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3BABAA8" w14:textId="488D115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696DF25"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4FB64B0"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Alteração de Estatuto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B526A0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69EAFDE" w14:textId="2C777A6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D977B46"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76107C5" w14:textId="323AEEDF" w:rsidR="00E31838" w:rsidRPr="00A157C6" w:rsidRDefault="00E31838" w:rsidP="00A157C6">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152.  </w:t>
            </w:r>
            <w:r w:rsidRPr="00A157C6">
              <w:rPr>
                <w:rFonts w:ascii="Calibri" w:eastAsia="Times New Roman" w:hAnsi="Calibri" w:cs="Calibri"/>
                <w:kern w:val="0"/>
                <w:sz w:val="24"/>
                <w:szCs w:val="24"/>
                <w:lang w:eastAsia="pt-BR"/>
                <w14:ligatures w14:val="none"/>
              </w:rPr>
              <w:t>O requerimento de alteração de estatuto deve ser protocolado pela EFPC, instruídos com os documentos listados no Anexo VI.</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073D42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76CE4CC4" w14:textId="2FD3CA0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28E7E89"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F98F8C6"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Cisão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A8CCE2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EFA5D4F" w14:textId="25FE557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363F2C9"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660554" w14:textId="3EF1D2D2" w:rsidR="00E31838" w:rsidRPr="00A157C6" w:rsidRDefault="00E31838" w:rsidP="00A157C6">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153.  </w:t>
            </w:r>
            <w:r w:rsidRPr="00A157C6">
              <w:rPr>
                <w:rFonts w:ascii="Calibri" w:eastAsia="Times New Roman" w:hAnsi="Calibri" w:cs="Calibri"/>
                <w:kern w:val="0"/>
                <w:sz w:val="24"/>
                <w:szCs w:val="24"/>
                <w:lang w:eastAsia="pt-BR"/>
                <w14:ligatures w14:val="none"/>
              </w:rPr>
              <w:t xml:space="preserve">O requerimento de cisão de EFPC e a comprovação da finalização da operação devem ser protocolados pela EFPC cindida, instruídos com os documentos listados no </w:t>
            </w:r>
            <w:r w:rsidRPr="00A157C6">
              <w:rPr>
                <w:rFonts w:ascii="Calibri" w:eastAsia="Times New Roman" w:hAnsi="Calibri" w:cs="Calibri"/>
                <w:kern w:val="0"/>
                <w:sz w:val="24"/>
                <w:szCs w:val="24"/>
                <w:lang w:eastAsia="pt-BR"/>
                <w14:ligatures w14:val="none"/>
              </w:rPr>
              <w:fldChar w:fldCharType="begin"/>
            </w:r>
            <w:r w:rsidRPr="00A157C6">
              <w:rPr>
                <w:rFonts w:ascii="Calibri" w:eastAsia="Times New Roman" w:hAnsi="Calibri" w:cs="Calibri"/>
                <w:kern w:val="0"/>
                <w:sz w:val="24"/>
                <w:szCs w:val="24"/>
                <w:lang w:eastAsia="pt-BR"/>
                <w14:ligatures w14:val="none"/>
              </w:rPr>
              <w:instrText xml:space="preserve"> REF _Ref138854437 \r  \* MERGEFORMAT </w:instrText>
            </w:r>
            <w:r w:rsidRPr="00A157C6">
              <w:rPr>
                <w:rFonts w:ascii="Calibri" w:eastAsia="Times New Roman" w:hAnsi="Calibri" w:cs="Calibri"/>
                <w:kern w:val="0"/>
                <w:sz w:val="24"/>
                <w:szCs w:val="24"/>
                <w:lang w:eastAsia="pt-BR"/>
                <w14:ligatures w14:val="none"/>
              </w:rPr>
              <w:fldChar w:fldCharType="separate"/>
            </w:r>
            <w:r w:rsidRPr="00A157C6">
              <w:rPr>
                <w:rFonts w:ascii="Calibri" w:eastAsia="Times New Roman" w:hAnsi="Calibri" w:cs="Calibri"/>
                <w:kern w:val="0"/>
                <w:sz w:val="24"/>
                <w:szCs w:val="24"/>
                <w:lang w:eastAsia="pt-BR"/>
                <w14:ligatures w14:val="none"/>
              </w:rPr>
              <w:t>ANEXO VI</w:t>
            </w:r>
            <w:r w:rsidRPr="00A157C6">
              <w:rPr>
                <w:rFonts w:ascii="Calibri" w:eastAsia="Times New Roman" w:hAnsi="Calibri" w:cs="Calibri"/>
                <w:kern w:val="0"/>
                <w:sz w:val="24"/>
                <w:szCs w:val="24"/>
                <w:lang w:eastAsia="pt-BR"/>
                <w14:ligatures w14:val="none"/>
              </w:rPr>
              <w:fldChar w:fldCharType="end"/>
            </w:r>
            <w:r w:rsidRPr="00A157C6">
              <w:rPr>
                <w:rFonts w:ascii="Calibri" w:eastAsia="Times New Roman" w:hAnsi="Calibri" w:cs="Calibri"/>
                <w:kern w:val="0"/>
                <w:sz w:val="24"/>
                <w:szCs w:val="24"/>
                <w:lang w:eastAsia="pt-BR"/>
                <w14:ligatures w14:val="none"/>
              </w:rPr>
              <w:t xml:space="preserve">I.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0E7281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59786614" w14:textId="0F93F8A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5DAA72B"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XI DA INSTRUÇÃO PREVIC Nº 45, DE 13 DE JULHO DE 2022</w:t>
            </w:r>
          </w:p>
          <w:p w14:paraId="104C060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Os documentos que subsidiarem o relatório da operação devem permanecer na(s) EFPC resultante(s) da operação e cindida, à disposição da Previc, pelo prazo de sessenta meses, contados da data-efetiva da operação;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90C3A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Os documentos que subsidiarem a elaboração do relatório da operação devem permanecer nas EFPC cindida e resultante, à disposição da Previc, pelo prazo de sessenta meses, contados da data efetiva.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FAE36C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5376C36" w14:textId="1246EB8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6D1DE5D"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C4C7F96"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Fusão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DC7634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05FCFC4" w14:textId="5048976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A3F24EA"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7801EB" w14:textId="3E52E3D8" w:rsidR="00E31838" w:rsidRPr="00A157C6" w:rsidRDefault="00E31838" w:rsidP="00A157C6">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154.  </w:t>
            </w:r>
            <w:r w:rsidRPr="00A157C6">
              <w:rPr>
                <w:rFonts w:ascii="Calibri" w:eastAsia="Times New Roman" w:hAnsi="Calibri" w:cs="Calibri"/>
                <w:kern w:val="0"/>
                <w:sz w:val="24"/>
                <w:szCs w:val="24"/>
                <w:lang w:eastAsia="pt-BR"/>
                <w14:ligatures w14:val="none"/>
              </w:rPr>
              <w:t xml:space="preserve">O requerimento de fusão de EFPC pode ser protocolado por quaisquer das EFPC envolvidas na operação e a comprovação da finalização da operação deve ser protocolada pela EFPC resultante, instruídos com os documentos listados no </w:t>
            </w:r>
            <w:r w:rsidRPr="00A157C6">
              <w:rPr>
                <w:rFonts w:ascii="Calibri" w:eastAsia="Times New Roman" w:hAnsi="Calibri" w:cs="Calibri"/>
                <w:kern w:val="0"/>
                <w:sz w:val="24"/>
                <w:szCs w:val="24"/>
                <w:lang w:eastAsia="pt-BR"/>
                <w14:ligatures w14:val="none"/>
              </w:rPr>
              <w:fldChar w:fldCharType="begin"/>
            </w:r>
            <w:r w:rsidRPr="00A157C6">
              <w:rPr>
                <w:rFonts w:ascii="Calibri" w:eastAsia="Times New Roman" w:hAnsi="Calibri" w:cs="Calibri"/>
                <w:kern w:val="0"/>
                <w:sz w:val="24"/>
                <w:szCs w:val="24"/>
                <w:lang w:eastAsia="pt-BR"/>
                <w14:ligatures w14:val="none"/>
              </w:rPr>
              <w:instrText xml:space="preserve"> REF _Ref138854555 \r  \* MERGEFORMAT </w:instrText>
            </w:r>
            <w:r w:rsidRPr="00A157C6">
              <w:rPr>
                <w:rFonts w:ascii="Calibri" w:eastAsia="Times New Roman" w:hAnsi="Calibri" w:cs="Calibri"/>
                <w:kern w:val="0"/>
                <w:sz w:val="24"/>
                <w:szCs w:val="24"/>
                <w:lang w:eastAsia="pt-BR"/>
                <w14:ligatures w14:val="none"/>
              </w:rPr>
              <w:fldChar w:fldCharType="separate"/>
            </w:r>
            <w:r w:rsidRPr="00A157C6">
              <w:rPr>
                <w:rFonts w:ascii="Calibri" w:eastAsia="Times New Roman" w:hAnsi="Calibri" w:cs="Calibri"/>
                <w:kern w:val="0"/>
                <w:sz w:val="24"/>
                <w:szCs w:val="24"/>
                <w:lang w:eastAsia="pt-BR"/>
                <w14:ligatures w14:val="none"/>
              </w:rPr>
              <w:t>ANEXO VII</w:t>
            </w:r>
            <w:r w:rsidRPr="00A157C6">
              <w:rPr>
                <w:rFonts w:ascii="Calibri" w:eastAsia="Times New Roman" w:hAnsi="Calibri" w:cs="Calibri"/>
                <w:kern w:val="0"/>
                <w:sz w:val="24"/>
                <w:szCs w:val="24"/>
                <w:lang w:eastAsia="pt-BR"/>
                <w14:ligatures w14:val="none"/>
              </w:rPr>
              <w:fldChar w:fldCharType="end"/>
            </w:r>
            <w:r w:rsidRPr="00A157C6">
              <w:rPr>
                <w:rFonts w:ascii="Calibri" w:eastAsia="Times New Roman" w:hAnsi="Calibri" w:cs="Calibri"/>
                <w:kern w:val="0"/>
                <w:sz w:val="24"/>
                <w:szCs w:val="24"/>
                <w:lang w:eastAsia="pt-BR"/>
                <w14:ligatures w14:val="none"/>
              </w:rPr>
              <w:t xml:space="preserve">I.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DEE773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2DFDBCFF" w14:textId="1780CA7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6B2964E"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IX DA INSTRUÇÃO PREVIC Nº 45, DE 13 DE JULHO DE 2022</w:t>
            </w:r>
          </w:p>
          <w:p w14:paraId="2C3CEACE"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II - Os documentos que subsidiarem o relatório da operação devem permanecer na EFPC resultante da operação, à disposição da Previc, pelo prazo de sessenta meses, contados da data-efetiva;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08AAB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 xml:space="preserve">Parágrafo único.  Os documentos que subsidiarem a elaboração do relatório da operação devem permanecer na EFPC resultante da operação, à </w:t>
            </w:r>
            <w:r w:rsidRPr="0010524E">
              <w:rPr>
                <w:rFonts w:ascii="Calibri" w:eastAsia="Times New Roman" w:hAnsi="Calibri" w:cs="Calibri"/>
                <w:kern w:val="0"/>
                <w:sz w:val="24"/>
                <w:szCs w:val="24"/>
                <w:lang w:eastAsia="pt-BR"/>
                <w14:ligatures w14:val="none"/>
              </w:rPr>
              <w:lastRenderedPageBreak/>
              <w:t>disposição da Previc, pelo prazo de sessenta meses, contados da data-efetiva.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F8A0C1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6358A4D" w14:textId="1D33DE0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844D3C3"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7C90B2"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Incorporação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CC7C09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286963B" w14:textId="034EC09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F076D3D"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AF678A6" w14:textId="22A0CC89" w:rsidR="00E31838" w:rsidRPr="00A157C6" w:rsidRDefault="00E31838" w:rsidP="00A157C6">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155.  </w:t>
            </w:r>
            <w:r w:rsidRPr="00A157C6">
              <w:rPr>
                <w:rFonts w:ascii="Calibri" w:eastAsia="Times New Roman" w:hAnsi="Calibri" w:cs="Calibri"/>
                <w:kern w:val="0"/>
                <w:sz w:val="24"/>
                <w:szCs w:val="24"/>
                <w:lang w:eastAsia="pt-BR"/>
                <w14:ligatures w14:val="none"/>
              </w:rPr>
              <w:t xml:space="preserve">O requerimento de incorporação de EFPC e a comprovação da finalização da operação deve ser protocolado pela EFPC incorporadora, instruídos com os documentos listados no Anexo IX.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C7F810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115D4175" w14:textId="26AA54E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03E2C5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X DA INSTRUÇÃO PREVIC Nº 45, DE 13 DE JULHO DE 2022</w:t>
            </w:r>
          </w:p>
          <w:p w14:paraId="0C38472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Os documentos que subsidiarem o relatório da operação devem permanecer na EFPC incorporadora, à disposição da Previc, pelo prazo de sessenta meses, contados da data-efetiva;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0E3719" w14:textId="77777777" w:rsidR="00E31838" w:rsidRPr="0010524E" w:rsidRDefault="00E31838" w:rsidP="00A157C6">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Parágrafo único.  Os documentos que subsidiarem a elaboração do relatório da operação devem permanecer na EFPC incorporadora, à disposição da Previc, pelo prazo de sessenta meses, contados da data efetiva.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A64A00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8EDCB2B" w14:textId="5F53950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495B32F"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E07FB33"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Encerramento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33CA76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6C388FF" w14:textId="499F407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597FA6D"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XX DA INSTRUÇÃO PREVIC Nº 45, DE 13 DE JULHO DE 2022</w:t>
            </w:r>
          </w:p>
          <w:p w14:paraId="126F1539"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Os requerimentos de encerramento de EFPC devem ser instruídos com:</w:t>
            </w:r>
          </w:p>
          <w:p w14:paraId="4A8DD53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 expediente explicativo; e</w:t>
            </w:r>
          </w:p>
          <w:p w14:paraId="3E3990F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b) Termo de Responsabilidade de Encerramento de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17A7851" w14:textId="3DE91B1C" w:rsidR="00E31838" w:rsidRPr="00A157C6" w:rsidRDefault="00E31838" w:rsidP="00A157C6">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156.  </w:t>
            </w:r>
            <w:r w:rsidRPr="00A157C6">
              <w:rPr>
                <w:rFonts w:ascii="Calibri" w:eastAsia="Times New Roman" w:hAnsi="Calibri" w:cs="Calibri"/>
                <w:kern w:val="0"/>
                <w:sz w:val="24"/>
                <w:szCs w:val="24"/>
                <w:lang w:eastAsia="pt-BR"/>
                <w14:ligatures w14:val="none"/>
              </w:rPr>
              <w:t xml:space="preserve">O requerimento de encerramento de EFPC deve ser protocolado pela EFPC, instruído com o expediente explicativo e Termo de Responsabilidade de Encerramento de EFPC.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266A48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6E887DD" w14:textId="1632B01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1FBFB66"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E8344C"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Habilitação de Dirigente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92B22F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E019A99" w14:textId="6DCBA74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1B0FCFB"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DE5FEE7" w14:textId="68C981E1" w:rsidR="00E31838" w:rsidRPr="0010524E" w:rsidRDefault="00E31838" w:rsidP="00A157C6">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Art. 157.  O</w:t>
            </w:r>
            <w:r w:rsidRPr="0010524E">
              <w:rPr>
                <w:rFonts w:ascii="Calibri" w:eastAsia="Times New Roman" w:hAnsi="Calibri" w:cs="Calibri"/>
                <w:kern w:val="0"/>
                <w:sz w:val="24"/>
                <w:szCs w:val="24"/>
                <w:lang w:eastAsia="pt-BR"/>
                <w14:ligatures w14:val="none"/>
              </w:rPr>
              <w:t>requerimento de habilitação de dirigente deve ser protocolado pela EFPC, instruído com os documentos listados no Anexo X.</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B70B5F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1602AEE6" w14:textId="1DF5955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4AB7055"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ACE8B5" w14:textId="77777777" w:rsidR="00E31838" w:rsidRDefault="00E31838" w:rsidP="00A95720">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w:t>
            </w:r>
          </w:p>
          <w:p w14:paraId="000133D7" w14:textId="3D68128A" w:rsidR="00E31838" w:rsidRPr="0010524E" w:rsidRDefault="00E31838" w:rsidP="00A95720">
            <w:pPr>
              <w:spacing w:after="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Planos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92E731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C7FA498" w14:textId="4B2D5DC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0753898"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C08DF0F"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Implantação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B62130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6BA151D" w14:textId="2AA2B24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7DA1A88"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38BFE7" w14:textId="655EE022" w:rsidR="00E31838" w:rsidRPr="0010524E" w:rsidRDefault="00E31838" w:rsidP="00A157C6">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Art. 158.  O</w:t>
            </w:r>
            <w:r w:rsidRPr="0010524E">
              <w:rPr>
                <w:rFonts w:ascii="Calibri" w:eastAsia="Times New Roman" w:hAnsi="Calibri" w:cs="Calibri"/>
                <w:kern w:val="0"/>
                <w:sz w:val="24"/>
                <w:szCs w:val="24"/>
                <w:lang w:eastAsia="pt-BR"/>
                <w14:ligatures w14:val="none"/>
              </w:rPr>
              <w:t xml:space="preserve"> requerimento de implantação de plano de benefícios deve ser protocolado pela EFPC, instruído com os documentos listados no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_Ref138855264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ANEXO X</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 xml:space="preserve">I.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D26DB5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6DCC1D81" w14:textId="7327612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BC8D85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V DA INSTRUÇÃO PREVIC Nº 45, DE 13 DE JULHO DE 2022</w:t>
            </w:r>
          </w:p>
          <w:p w14:paraId="031F930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Os documentos referidos nas alíneas “d” e “e” do inciso I devem permanecer na EFPC, à disposição da Previc, pelo prazo de sessenta meses, contados da data-efetiva;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57B008" w14:textId="32C43739"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Os documentos referidos nos incisos IV e V do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_Ref138855264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ANEXO X</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 xml:space="preserve">I devem permanecer na EFPC, à disposição da Previc, pelo prazo de sessenta meses, contados da data efetiva.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80909D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787101C" w14:textId="2D8AFD6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A94BCD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III - Fica dispensada a apresentação dos documentos referidos nas alíneas “d” e “e” do inciso I, no caso de plano no qual todos os benefícios estejam permanentemente ajustados ao saldo de conta mantido em favor do participante, inclusive na fase de percepção;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71E9D24" w14:textId="2C875369"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Fica dispensada a apresentação dos documentos referidos nos incisos IV e V do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_Ref138855264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ANEXO X</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 xml:space="preserve">I no caso de plano no qual todos os benefícios estejam permanentemente ajustados ao saldo de conta mantido em favor do participante, inclusive na fase de percepção.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C7F37A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B10542E" w14:textId="61C8238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1D0F40D"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82F4747"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Alteração de regulamento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8CE3D3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5107133" w14:textId="788C145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C7A4EB0"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2997F2" w14:textId="111FF47E" w:rsidR="00E31838" w:rsidRPr="00A157C6" w:rsidRDefault="00E31838" w:rsidP="00A157C6">
            <w:pPr>
              <w:tabs>
                <w:tab w:val="left" w:pos="993"/>
              </w:tabs>
              <w:spacing w:after="120"/>
              <w:ind w:left="-37"/>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159.  </w:t>
            </w:r>
            <w:r w:rsidRPr="00A157C6">
              <w:rPr>
                <w:rFonts w:ascii="Calibri" w:eastAsia="Times New Roman" w:hAnsi="Calibri" w:cs="Calibri"/>
                <w:kern w:val="0"/>
                <w:sz w:val="24"/>
                <w:szCs w:val="24"/>
                <w:lang w:eastAsia="pt-BR"/>
                <w14:ligatures w14:val="none"/>
              </w:rPr>
              <w:t xml:space="preserve">O requerimento de alteração de regulamento de plano de benefícios que não envolva o saldamento </w:t>
            </w:r>
            <w:r w:rsidRPr="00A157C6">
              <w:rPr>
                <w:rFonts w:ascii="Calibri" w:eastAsia="Times New Roman" w:hAnsi="Calibri" w:cs="Calibri"/>
                <w:kern w:val="0"/>
                <w:sz w:val="24"/>
                <w:szCs w:val="24"/>
                <w:lang w:eastAsia="pt-BR"/>
                <w14:ligatures w14:val="none"/>
              </w:rPr>
              <w:lastRenderedPageBreak/>
              <w:t xml:space="preserve">ou que não repercuta no resultado do plano deve ser protocolado pela EFPC, instruído com os documentos listados no </w:t>
            </w:r>
            <w:r w:rsidRPr="00A157C6">
              <w:rPr>
                <w:rFonts w:ascii="Calibri" w:eastAsia="Times New Roman" w:hAnsi="Calibri" w:cs="Calibri"/>
                <w:kern w:val="0"/>
                <w:sz w:val="24"/>
                <w:szCs w:val="24"/>
                <w:lang w:eastAsia="pt-BR"/>
                <w14:ligatures w14:val="none"/>
              </w:rPr>
              <w:fldChar w:fldCharType="begin"/>
            </w:r>
            <w:r w:rsidRPr="00A157C6">
              <w:rPr>
                <w:rFonts w:ascii="Calibri" w:eastAsia="Times New Roman" w:hAnsi="Calibri" w:cs="Calibri"/>
                <w:kern w:val="0"/>
                <w:sz w:val="24"/>
                <w:szCs w:val="24"/>
                <w:lang w:eastAsia="pt-BR"/>
                <w14:ligatures w14:val="none"/>
              </w:rPr>
              <w:instrText xml:space="preserve"> REF _Ref138855356 \r  \* MERGEFORMAT </w:instrText>
            </w:r>
            <w:r w:rsidRPr="00A157C6">
              <w:rPr>
                <w:rFonts w:ascii="Calibri" w:eastAsia="Times New Roman" w:hAnsi="Calibri" w:cs="Calibri"/>
                <w:kern w:val="0"/>
                <w:sz w:val="24"/>
                <w:szCs w:val="24"/>
                <w:lang w:eastAsia="pt-BR"/>
                <w14:ligatures w14:val="none"/>
              </w:rPr>
              <w:fldChar w:fldCharType="separate"/>
            </w:r>
            <w:r w:rsidRPr="00A157C6">
              <w:rPr>
                <w:rFonts w:ascii="Calibri" w:eastAsia="Times New Roman" w:hAnsi="Calibri" w:cs="Calibri"/>
                <w:kern w:val="0"/>
                <w:sz w:val="24"/>
                <w:szCs w:val="24"/>
                <w:lang w:eastAsia="pt-BR"/>
                <w14:ligatures w14:val="none"/>
              </w:rPr>
              <w:t>ANEXO XI</w:t>
            </w:r>
            <w:r w:rsidRPr="00A157C6">
              <w:rPr>
                <w:rFonts w:ascii="Calibri" w:eastAsia="Times New Roman" w:hAnsi="Calibri" w:cs="Calibri"/>
                <w:kern w:val="0"/>
                <w:sz w:val="24"/>
                <w:szCs w:val="24"/>
                <w:lang w:eastAsia="pt-BR"/>
                <w14:ligatures w14:val="none"/>
              </w:rPr>
              <w:fldChar w:fldCharType="end"/>
            </w:r>
            <w:r w:rsidRPr="00A157C6">
              <w:rPr>
                <w:rFonts w:ascii="Calibri" w:eastAsia="Times New Roman" w:hAnsi="Calibri" w:cs="Calibri"/>
                <w:kern w:val="0"/>
                <w:sz w:val="24"/>
                <w:szCs w:val="24"/>
                <w:lang w:eastAsia="pt-BR"/>
                <w14:ligatures w14:val="none"/>
              </w:rPr>
              <w:t xml:space="preserve">I.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5B6E8D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NOVO</w:t>
            </w:r>
          </w:p>
        </w:tc>
      </w:tr>
      <w:tr w:rsidR="00E31838" w:rsidRPr="0010524E" w14:paraId="342E0E34" w14:textId="0D45B30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FE40259"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93AF089"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Saldamento ou alteração de regulamento que repercuta no resultado do plano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52AC0A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E384B09" w14:textId="6DCAB32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5E3AF90"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AD31CDF" w14:textId="393211EB" w:rsidR="00E31838" w:rsidRPr="00A157C6" w:rsidRDefault="00E31838" w:rsidP="00A157C6">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160.  </w:t>
            </w:r>
            <w:r w:rsidRPr="00A157C6">
              <w:rPr>
                <w:rFonts w:ascii="Calibri" w:eastAsia="Times New Roman" w:hAnsi="Calibri" w:cs="Calibri"/>
                <w:kern w:val="0"/>
                <w:sz w:val="24"/>
                <w:szCs w:val="24"/>
                <w:lang w:eastAsia="pt-BR"/>
                <w14:ligatures w14:val="none"/>
              </w:rPr>
              <w:t xml:space="preserve">O requerimento de saldamento de plano de benefícios ou de alteração de regulamento que repercuta no resultado do plano deve ser protocolado pela EFPC, instruído com os documentos listados no </w:t>
            </w:r>
            <w:r w:rsidRPr="00A157C6">
              <w:rPr>
                <w:rFonts w:ascii="Calibri" w:eastAsia="Times New Roman" w:hAnsi="Calibri" w:cs="Calibri"/>
                <w:kern w:val="0"/>
                <w:sz w:val="24"/>
                <w:szCs w:val="24"/>
                <w:lang w:eastAsia="pt-BR"/>
                <w14:ligatures w14:val="none"/>
              </w:rPr>
              <w:fldChar w:fldCharType="begin"/>
            </w:r>
            <w:r w:rsidRPr="00A157C6">
              <w:rPr>
                <w:rFonts w:ascii="Calibri" w:eastAsia="Times New Roman" w:hAnsi="Calibri" w:cs="Calibri"/>
                <w:kern w:val="0"/>
                <w:sz w:val="24"/>
                <w:szCs w:val="24"/>
                <w:lang w:eastAsia="pt-BR"/>
                <w14:ligatures w14:val="none"/>
              </w:rPr>
              <w:instrText xml:space="preserve"> REF _Ref138855411 \r  \* MERGEFORMAT </w:instrText>
            </w:r>
            <w:r w:rsidRPr="00A157C6">
              <w:rPr>
                <w:rFonts w:ascii="Calibri" w:eastAsia="Times New Roman" w:hAnsi="Calibri" w:cs="Calibri"/>
                <w:kern w:val="0"/>
                <w:sz w:val="24"/>
                <w:szCs w:val="24"/>
                <w:lang w:eastAsia="pt-BR"/>
                <w14:ligatures w14:val="none"/>
              </w:rPr>
              <w:fldChar w:fldCharType="separate"/>
            </w:r>
            <w:r w:rsidRPr="00A157C6">
              <w:rPr>
                <w:rFonts w:ascii="Calibri" w:eastAsia="Times New Roman" w:hAnsi="Calibri" w:cs="Calibri"/>
                <w:kern w:val="0"/>
                <w:sz w:val="24"/>
                <w:szCs w:val="24"/>
                <w:lang w:eastAsia="pt-BR"/>
                <w14:ligatures w14:val="none"/>
              </w:rPr>
              <w:t>ANEXO XII</w:t>
            </w:r>
            <w:r w:rsidRPr="00A157C6">
              <w:rPr>
                <w:rFonts w:ascii="Calibri" w:eastAsia="Times New Roman" w:hAnsi="Calibri" w:cs="Calibri"/>
                <w:kern w:val="0"/>
                <w:sz w:val="24"/>
                <w:szCs w:val="24"/>
                <w:lang w:eastAsia="pt-BR"/>
                <w14:ligatures w14:val="none"/>
              </w:rPr>
              <w:fldChar w:fldCharType="end"/>
            </w:r>
            <w:r w:rsidRPr="00A157C6">
              <w:rPr>
                <w:rFonts w:ascii="Calibri" w:eastAsia="Times New Roman" w:hAnsi="Calibri" w:cs="Calibri"/>
                <w:kern w:val="0"/>
                <w:sz w:val="24"/>
                <w:szCs w:val="24"/>
                <w:lang w:eastAsia="pt-BR"/>
                <w14:ligatures w14:val="none"/>
              </w:rPr>
              <w:t>I.</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00796F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105ADC90" w14:textId="2A86A9A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0A3A46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VII DA INSTRUÇÃO PREVIC Nº 45, DE 13 DE JULHO DE 2022</w:t>
            </w:r>
          </w:p>
          <w:p w14:paraId="30E6373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Os documentos referidos nas alíneas “e” e “f” do inciso I devem permanecer na EFPC, à disposição da Previc, pelo prazo de sessenta meses, contados da data-efetiva;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AE11D3D" w14:textId="0D773F76"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Os documentos referidos nos incisos V e VI do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_Ref138855411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ANEXO XII</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 xml:space="preserve">I devem permanecer na EFPC, à disposição da Previc, pelo prazo de sessenta meses, contados da data efetiva.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92B61F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E76D43A" w14:textId="113D109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8CC35E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III - Fica dispensada a apresentação dos documentos referidos nas alíneas “e” e “f” do inciso I, no caso de plano no qual todos os benefícios estejam permanentemente ajustados ao saldo de conta mantido em favor do participante, inclusive na fase de percepção.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D3C1A70" w14:textId="385C5112"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Fica dispensada a apresentação dos documentos referidos nos incisos V e VI do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_Ref138855411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ANEXO XII</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I, no caso de plano no qual todos os benefícios estejam permanentemente ajustados ao saldo de conta mantido em favor do participante, inclusive na fase de percepção.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5CEED6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116183E" w14:textId="42680B3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019BC96"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648C07"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Cisão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A5CB19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B1D56AF" w14:textId="3D233B8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7ACDE50"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DD96A19" w14:textId="1176AD7B" w:rsidR="00E31838" w:rsidRPr="00A157C6" w:rsidRDefault="00E31838" w:rsidP="00A157C6">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161.  </w:t>
            </w:r>
            <w:r w:rsidRPr="00A157C6">
              <w:rPr>
                <w:rFonts w:ascii="Calibri" w:eastAsia="Times New Roman" w:hAnsi="Calibri" w:cs="Calibri"/>
                <w:kern w:val="0"/>
                <w:sz w:val="24"/>
                <w:szCs w:val="24"/>
                <w:lang w:eastAsia="pt-BR"/>
                <w14:ligatures w14:val="none"/>
              </w:rPr>
              <w:t>O requerimento de cisão de plano de benefícios e a comprovação da finalização da operação devem ser protocolados pela EFPC, instruídos com os documentos listados no Anexo XIV.</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8C7FC0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17C079DD" w14:textId="0244D12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F93813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XIV DA INSTRUÇÃO PREVIC Nº 45, DE 13 DE JULHO DE 2022</w:t>
            </w:r>
          </w:p>
          <w:p w14:paraId="48D10EB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Os regulamentos dos planos de benefícios envolvidos na operação não devem dispor sobre os critérios estabelecidos no Termo de Cisão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72F813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Os regulamentos dos planos de benefícios envolvidos na operação não devem dispor sobre os critérios estabelecidos no Termo de Cisão de Plano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47CEDE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CD0C807" w14:textId="528F647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E0FC1D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III - O relatório da operação deve demonstrar a aplicação dos critérios estabelecidos no Termo de Cisão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D8B410C"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O relatório da operação deve demonstrar a aplicação dos critérios estabelecidos no Termo de Cisão de Plano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24B463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89FBF62" w14:textId="290F2B8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09682B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IV - Os documentos que subsidiarem o relatório da operação devem permanecer na EFPC, à disposição da Previc, pelo prazo de sessenta meses, contados da data-efetiva;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920AB7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§3º  Os documentos que subsidiarem a elaboração do relatório da operação devem permanecer na EFPC, à disposição da Previc, pelo prazo de sessenta meses, contados da data efetiva.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55E2AE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977B47B" w14:textId="0124051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37DF94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V - Fica dispensada a apresentação do documento referido no inciso I, alínea “f”, no caso de plano no qual todos os benefícios estejam permanentemente ajustados ao saldo de conta mantido em favor do participante, inclusive na fase de percepção;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2D0069C" w14:textId="1750BA2C"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§4º  Fica dispensada a apresentação do documento referido no inciso I, alínea “f” do Anexo XIV, no caso de plano no qual todos os benefícios estejam permanentemente ajustados ao saldo de conta mantido em favor do participante, inclusive na fase de percepção.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19A59E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F0563EF" w14:textId="276E507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8124EEB"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16A7525"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Migração de participantes e assistidos entre planos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C1CFC3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8C75358" w14:textId="730DA62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CD7B573"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A58A65D" w14:textId="7F48FA2B" w:rsidR="00E31838" w:rsidRPr="00A157C6" w:rsidRDefault="00E31838" w:rsidP="00A157C6">
            <w:pPr>
              <w:tabs>
                <w:tab w:val="left" w:pos="993"/>
              </w:tabs>
              <w:spacing w:after="120"/>
              <w:ind w:left="-37"/>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162.  </w:t>
            </w:r>
            <w:r w:rsidRPr="00A157C6">
              <w:rPr>
                <w:rFonts w:ascii="Calibri" w:eastAsia="Times New Roman" w:hAnsi="Calibri" w:cs="Calibri"/>
                <w:kern w:val="0"/>
                <w:sz w:val="24"/>
                <w:szCs w:val="24"/>
                <w:lang w:eastAsia="pt-BR"/>
                <w14:ligatures w14:val="none"/>
              </w:rPr>
              <w:t>O requerimento de migração de participantes e assistidos entre planos de benefícios e a comprovação da finalização da operação devem ser protocolados pela EFPC, instruídos com os documentos listados no Anexo XV.</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5F3105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270587E4" w14:textId="07674A4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1D51A1B"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XV DA INSTRUÇÃO PREVIC Nº 45, DE 13 DE JULHO DE 2022</w:t>
            </w:r>
          </w:p>
          <w:p w14:paraId="57574E0E"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O(s) regulamento(s) do(s) plano(s) de benefícios de origem e de destino não devem dispor sobre os critérios estabelecidos no Termo de Migração;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5A5D8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Os regulamentos dos planos de benefícios de origem e de destino não devem dispor sobre os critérios estabelecidos no Termo de Migração.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4C2FA3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95021DD" w14:textId="26191DC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A3AF7FE"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III - O relatório da operação deve demonstrar a aplicação dos critérios estabelecidos no Termo de Migração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488DA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§2º  O relatório da operação deve demonstrar a aplicação dos critérios estabelecidos no Termo de Migração de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16F63A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BCA8779" w14:textId="5CAA193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2300DB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IV - Os documentos que subsidiarem o relatório da operação devem permanecer na EFPC, à disposição da Previc, pelo prazo de sessenta meses, contados da data-efetiva;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8A73E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§3º  Os documentos que subsidiarem a elaboração do relatório da operação devem permanecer na EFPC, à disposição da Previc, pelo prazo de sessenta meses, contados da data efetiva.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28C4F4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71663D9E" w14:textId="07B3E88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3BC12A3"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V - Fica dispensada a apresentação do documento referido no inciso I, alínea “f”, no caso de plano no qual todos os benefícios estejam permanentemente ajustados ao saldo de conta mantido em favor do participante, inclusive na fase de percepção;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123BD59" w14:textId="6852E659"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§4º  Fica dispensada a apresentação do documento referido no inciso I, alínea “f” do Anexo XV, no caso de plano no qual todos os benefícios estejam permanentemente ajustados ao saldo de conta mantido em favor do participante, inclusive na fase de percepção.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323D9C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A6FBD8B" w14:textId="380F713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8DE98BE"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968ADC"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Fusão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05A11F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AB926C5" w14:textId="2DA684B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BC759BC"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CA4BC6" w14:textId="55C65FA0" w:rsidR="00E31838" w:rsidRPr="00A157C6" w:rsidRDefault="00E31838" w:rsidP="00A157C6">
            <w:pPr>
              <w:tabs>
                <w:tab w:val="left" w:pos="993"/>
              </w:tabs>
              <w:spacing w:after="120"/>
              <w:ind w:left="-37"/>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163.  </w:t>
            </w:r>
            <w:r w:rsidRPr="00A157C6">
              <w:rPr>
                <w:rFonts w:ascii="Calibri" w:eastAsia="Times New Roman" w:hAnsi="Calibri" w:cs="Calibri"/>
                <w:kern w:val="0"/>
                <w:sz w:val="24"/>
                <w:szCs w:val="24"/>
                <w:lang w:eastAsia="pt-BR"/>
                <w14:ligatures w14:val="none"/>
              </w:rPr>
              <w:t xml:space="preserve">O requerimento de fusão de planos de benefícios e a comprovação da finalização da operação devem ser protocolados pela EFPC, instruídos com os documentos listados no Anexo XVI.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0C9D9E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0A9BFB0B" w14:textId="306DF13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C1121B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XII DA INSTRUÇÃO PREVIC Nº 45, DE 13 DE JULHO DE 2022</w:t>
            </w:r>
          </w:p>
          <w:p w14:paraId="584754A0"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O regulamento do plano de benefícios resultante da operação não deve dispor sobre os critérios estabelecidos no Termo de Fusão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86749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O regulamento do plano de benefícios resultante da operação não deve dispor sobre os critérios estabelecidos no Termo de Fusão de plano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8337F0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BB40A5F" w14:textId="265644F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CFA98E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III - O relatório da operação deve demonstrar a aplicação dos critérios estabelecidos no Termo de Fusão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C7DF4E"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O relatório da operação deve demonstrar a aplicação dos critérios estabelecidos no Termo de Fusão de plano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2CE9EF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E83A47D" w14:textId="563737F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4FEA64B"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IV - Os documentos que subsidiarem o relatório da operação devem permanecer na EFPC, à disposição da Previc, pelo prazo de sessenta meses, contados da data-efetiva;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83E658A"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§3º  Os documentos que subsidiarem a elaboração do relatório da operação devem permanecer na EFPC, à disposição da Previc, pelo prazo de sessenta meses, contados da data efetiva.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CCA0DE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AFA2845" w14:textId="41F4506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B4A463E"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V - Fica dispensada a apresentação dos documentos referidos no inciso I, alínea “d” e alínea “h”, item 3, no caso de plano no qual todos os benefícios estejam permanentemente ajustados ao saldo de conta mantido em favor do participante, inclusive na fase de percepção;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75BBDF" w14:textId="3F169E52"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§4º  Fica dispensada a apresentação do documento referido no inciso I, alínea “d” do Anexo XVI, no caso de plano no qual todos os benefícios estejam permanentemente ajustados ao saldo de conta mantido em favor do participante, inclusive na fase de percepção.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EB543E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F352EF8" w14:textId="2240F59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9A71C7F"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FD105C"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Incorporação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9697EE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51560AF" w14:textId="6EA6C4F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657A088"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AB66356" w14:textId="7C6E543C" w:rsidR="00E31838" w:rsidRPr="0010524E" w:rsidRDefault="00E31838" w:rsidP="00A157C6">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164.  O </w:t>
            </w:r>
            <w:r w:rsidRPr="0010524E">
              <w:rPr>
                <w:rFonts w:ascii="Calibri" w:eastAsia="Times New Roman" w:hAnsi="Calibri" w:cs="Calibri"/>
                <w:kern w:val="0"/>
                <w:sz w:val="24"/>
                <w:szCs w:val="24"/>
                <w:lang w:eastAsia="pt-BR"/>
                <w14:ligatures w14:val="none"/>
              </w:rPr>
              <w:t xml:space="preserve">requerimento de incorporação de plano de benefícios e a comprovação da finalização da operação devem ser protocolados pela EFPC, instruídos com os documentos listados no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_Ref138859232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ANEXO XVI</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 xml:space="preserve">I.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20DC39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22F79429" w14:textId="0E2A9E2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02AD179"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XIII DA INSTRUÇÃO PREVIC Nº 45, DE 13 DE JULHO DE 2022</w:t>
            </w:r>
          </w:p>
          <w:p w14:paraId="45B2D5C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O regulamento do plano de benefícios incorporador não deve dispor sobre os critérios estabelecidos no Termo de Incorporação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BF8CA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§1º  O regulamento do plano de benefícios incorporador não deve dispor sobre os critérios estabelecidos no Termo de Incorporação de plano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782E0D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6877F0A" w14:textId="3111E2D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EFBA165"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III - O relatório da operação deve demonstrar a aplicação dos critérios estabelecidos no Termo de Incorporação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6B518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§2º  O relatório da operação deve demonstrar a aplicação dos critérios estabelecidos no Termo de Incorporação de plano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E232D2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57273EB" w14:textId="30A2924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7218EF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IV - Os documentos que subsidiarem o relatório da operação devem permanecer na EFPC, à disposição da Previc, pelo prazo de sessenta meses contados da data-efetiva;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76FFA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§3º  Os documentos que subsidiarem a elaboração do relatório da operação devem permanecer na EFPC, à disposição da Previc, pelo prazo de sessenta meses contados da data efetiva.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93BC7F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71ED552" w14:textId="749B1DB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2D5D28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V - Fica dispensada a apresentação dos documentos referidos no inciso I, alínea “e” e alínea “i”, item 3, no caso de plano no qual todos os benefícios estejam permanentemente ajustados ao saldo de conta mantido em favor do participante, inclusive na fase de percepção;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FF9EB1D" w14:textId="7A9E17E3"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§4º  Fica dispensada a apresentação do documento referido no inciso I, alínea “e” do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_Ref138859232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ANEXO XVI</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 xml:space="preserve">I, no caso de plano no qual todos os benefícios estejam permanentemente ajustados ao saldo de conta mantido em favor do participante, inclusive na fase de percepção.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1BDBD9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A0D76D7" w14:textId="3CC3C2F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68D58A8"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78F0310"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Transferência de gerenciamento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4757B7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59074E1" w14:textId="53A3B94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194F962"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B30184A" w14:textId="3327442B" w:rsidR="00E31838" w:rsidRPr="0010524E" w:rsidRDefault="00E31838" w:rsidP="00A157C6">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165.  O </w:t>
            </w:r>
            <w:r w:rsidRPr="0010524E">
              <w:rPr>
                <w:rFonts w:ascii="Calibri" w:eastAsia="Times New Roman" w:hAnsi="Calibri" w:cs="Calibri"/>
                <w:kern w:val="0"/>
                <w:sz w:val="24"/>
                <w:szCs w:val="24"/>
                <w:lang w:eastAsia="pt-BR"/>
                <w14:ligatures w14:val="none"/>
              </w:rPr>
              <w:t xml:space="preserve">requerimento de transferência de gerenciamento e a comprovação da finalização da operação devem ser protocolados pela entidade de origem, instruídos com os documentos listados no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_Ref138859371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ANEXO XVII</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I.</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F20BA1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2DAA3BA2" w14:textId="317158C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1E091C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RESOLUÇÃO PREVIC Nº 10, DE 3 DE MAIO DE 2022</w:t>
            </w:r>
          </w:p>
          <w:p w14:paraId="6F44BE4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5° O requerimento de transferência de gerenciamento deve ser protocolado na Previc, pela entidade de origem, observado o prazo de cento e oitenta dias, contados da data da notificação.</w:t>
            </w:r>
          </w:p>
          <w:p w14:paraId="3B43AA57"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Parágrafo único. O prazo previsto no caput pode ser prorrogado mediante acordo firmado entre o patrocinador e as entidades de origem e de destino.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DEAA6A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O requerimento deve ser protocolado no prazo de cento e oitenta dias contados da data da notificação, podendo esse prazo ser prorrogado mediante acordo firmado entre os patrocinadores ou instituidores do plano e as entidades de origem e de destino.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E07D60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2382F99" w14:textId="05426A5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17F266B"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F1AE17"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Retirada de patrocínio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3B06C5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2B8E4B0" w14:textId="28E43B6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086E80F"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815B5E" w14:textId="2A08219E" w:rsidR="00E31838" w:rsidRPr="00A157C6" w:rsidRDefault="00E31838" w:rsidP="00A157C6">
            <w:pPr>
              <w:tabs>
                <w:tab w:val="left" w:pos="993"/>
              </w:tabs>
              <w:spacing w:after="12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166.  </w:t>
            </w:r>
            <w:r w:rsidRPr="00A157C6">
              <w:rPr>
                <w:rFonts w:ascii="Calibri" w:eastAsia="Times New Roman" w:hAnsi="Calibri" w:cs="Calibri"/>
                <w:kern w:val="0"/>
                <w:sz w:val="24"/>
                <w:szCs w:val="24"/>
                <w:lang w:eastAsia="pt-BR"/>
                <w14:ligatures w14:val="none"/>
              </w:rPr>
              <w:t xml:space="preserve">O requerimento de retirada de patrocínio e a comprovação da finalização da operação devem ser protocolados pela EFPC, instruídos com os documentos no Anexo XIX.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79B0FC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72D4601F"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3B3FE46"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7085B28" w14:textId="77777777" w:rsidR="00E31838" w:rsidRPr="0007292C" w:rsidRDefault="00E31838" w:rsidP="006F29A5">
            <w:pPr>
              <w:spacing w:after="0"/>
              <w:jc w:val="both"/>
            </w:pPr>
            <w:r w:rsidRPr="0007292C">
              <w:rPr>
                <w:rFonts w:ascii="Calibri" w:eastAsia="Calibri" w:hAnsi="Calibri" w:cs="Calibri"/>
                <w:sz w:val="24"/>
                <w:szCs w:val="24"/>
              </w:rPr>
              <w:t>Parágrafo único.  Os documentos que subsidiarem a elaboração do relatório da operação devem permanecer na EFPC, à disposição da Previc, pelo prazo de sessenta meses, contados da data efetiva.</w:t>
            </w:r>
          </w:p>
          <w:p w14:paraId="3B2EACDB" w14:textId="77777777" w:rsidR="00E31838" w:rsidRDefault="00E31838" w:rsidP="00A157C6">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8AA16D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2C7BEDE6"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AE69C0D"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FD756B" w14:textId="3CA7583F"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07292C">
              <w:rPr>
                <w:rFonts w:ascii="Calibri" w:eastAsia="Calibri" w:hAnsi="Calibri" w:cs="Calibri"/>
                <w:b/>
                <w:bCs/>
                <w:sz w:val="24"/>
                <w:szCs w:val="24"/>
              </w:rPr>
              <w:t>Rescisão unilateral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58E436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A9CD97F"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A842D0E"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C13813" w14:textId="759CA2CE"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07292C">
              <w:rPr>
                <w:rFonts w:ascii="Calibri" w:eastAsia="Calibri" w:hAnsi="Calibri" w:cs="Calibri"/>
                <w:sz w:val="24"/>
                <w:szCs w:val="24"/>
              </w:rPr>
              <w:t>Art. 167.  O requerimento de rescisão unilateral de convênio de adesão e a comprovação da finalização da operação devem ser protocolados pela EFPC, instruídos com os documentos listados no Anexo XX</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E90D70B" w14:textId="78A66BA9" w:rsidR="00E31838" w:rsidRPr="0010524E" w:rsidRDefault="00E31838" w:rsidP="00A95720">
            <w:pPr>
              <w:spacing w:after="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NOVO</w:t>
            </w:r>
          </w:p>
        </w:tc>
      </w:tr>
      <w:tr w:rsidR="00E31838" w:rsidRPr="0010524E" w14:paraId="3B307E22"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113"/>
        </w:trPr>
        <w:tc>
          <w:tcPr>
            <w:tcW w:w="4598" w:type="dxa"/>
            <w:tcBorders>
              <w:top w:val="single" w:sz="4" w:space="0" w:color="auto"/>
              <w:left w:val="single" w:sz="4" w:space="0" w:color="auto"/>
              <w:bottom w:val="single" w:sz="4" w:space="0" w:color="auto"/>
              <w:right w:val="single" w:sz="4" w:space="0" w:color="auto"/>
            </w:tcBorders>
          </w:tcPr>
          <w:p w14:paraId="79690EC1"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E67F61A" w14:textId="22C3EFB1" w:rsidR="00E31838" w:rsidRPr="0007292C" w:rsidRDefault="00E31838" w:rsidP="00233C43">
            <w:pPr>
              <w:spacing w:after="120"/>
              <w:jc w:val="both"/>
              <w:rPr>
                <w:rFonts w:ascii="Calibri" w:eastAsia="Calibri" w:hAnsi="Calibri" w:cs="Calibri"/>
                <w:sz w:val="24"/>
                <w:szCs w:val="24"/>
              </w:rPr>
            </w:pPr>
            <w:r w:rsidRPr="0007292C">
              <w:rPr>
                <w:rFonts w:ascii="Calibri" w:eastAsia="Calibri" w:hAnsi="Calibri" w:cs="Calibri"/>
                <w:sz w:val="24"/>
                <w:szCs w:val="24"/>
              </w:rPr>
              <w:t>Parágrafo único.  Os documentos que subsidiarem a elaboração do relatório da operação devem permanecer na EFPC, à disposição da Previc, pelo prazo de sessenta meses, contados da data efetiva.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59242F"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3BE4418"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14"/>
        </w:trPr>
        <w:tc>
          <w:tcPr>
            <w:tcW w:w="4598" w:type="dxa"/>
            <w:tcBorders>
              <w:top w:val="single" w:sz="4" w:space="0" w:color="auto"/>
              <w:left w:val="single" w:sz="4" w:space="0" w:color="auto"/>
              <w:bottom w:val="single" w:sz="4" w:space="0" w:color="auto"/>
              <w:right w:val="single" w:sz="4" w:space="0" w:color="auto"/>
            </w:tcBorders>
          </w:tcPr>
          <w:p w14:paraId="07C7DA03"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90354BF" w14:textId="52ECCEED" w:rsidR="00E31838" w:rsidRPr="0007292C" w:rsidRDefault="00E31838" w:rsidP="00B61B89">
            <w:pPr>
              <w:spacing w:after="120"/>
              <w:rPr>
                <w:rFonts w:ascii="Calibri" w:eastAsia="Calibri" w:hAnsi="Calibri" w:cs="Calibri"/>
                <w:sz w:val="24"/>
                <w:szCs w:val="24"/>
              </w:rPr>
            </w:pPr>
            <w:r w:rsidRPr="0007292C">
              <w:rPr>
                <w:rFonts w:ascii="Calibri" w:eastAsia="Calibri" w:hAnsi="Calibri" w:cs="Calibri"/>
                <w:b/>
                <w:bCs/>
                <w:sz w:val="24"/>
                <w:szCs w:val="24"/>
              </w:rPr>
              <w:t>Destinação de reserva especial com reversão de valores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FD6EAF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341198A"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14"/>
        </w:trPr>
        <w:tc>
          <w:tcPr>
            <w:tcW w:w="4598" w:type="dxa"/>
            <w:tcBorders>
              <w:top w:val="single" w:sz="4" w:space="0" w:color="auto"/>
              <w:left w:val="single" w:sz="4" w:space="0" w:color="auto"/>
              <w:bottom w:val="single" w:sz="4" w:space="0" w:color="auto"/>
              <w:right w:val="single" w:sz="4" w:space="0" w:color="auto"/>
            </w:tcBorders>
          </w:tcPr>
          <w:p w14:paraId="6F0AD4F4"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987800" w14:textId="2F3370BC" w:rsidR="00E31838" w:rsidRPr="0007292C" w:rsidRDefault="00E31838" w:rsidP="00B61B89">
            <w:pPr>
              <w:spacing w:after="120"/>
              <w:jc w:val="both"/>
              <w:rPr>
                <w:rFonts w:ascii="Calibri" w:eastAsia="Calibri" w:hAnsi="Calibri" w:cs="Calibri"/>
                <w:b/>
                <w:bCs/>
                <w:sz w:val="24"/>
                <w:szCs w:val="24"/>
              </w:rPr>
            </w:pPr>
            <w:r w:rsidRPr="0007292C">
              <w:rPr>
                <w:rFonts w:ascii="Calibri" w:eastAsia="Calibri" w:hAnsi="Calibri" w:cs="Calibri"/>
                <w:sz w:val="24"/>
                <w:szCs w:val="24"/>
              </w:rPr>
              <w:t>Art. 168.  O requerimento de destinação de reserva especial com reversão de valores deve ser protocolado pela EFPC, instruído com os documentos listados no Anexo XXI.</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D40461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2DA7854" w14:textId="7777777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14"/>
        </w:trPr>
        <w:tc>
          <w:tcPr>
            <w:tcW w:w="4598" w:type="dxa"/>
            <w:tcBorders>
              <w:top w:val="single" w:sz="4" w:space="0" w:color="auto"/>
              <w:left w:val="single" w:sz="4" w:space="0" w:color="auto"/>
              <w:bottom w:val="single" w:sz="4" w:space="0" w:color="auto"/>
              <w:right w:val="single" w:sz="4" w:space="0" w:color="auto"/>
            </w:tcBorders>
          </w:tcPr>
          <w:p w14:paraId="7822CEEA"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A68E6C2" w14:textId="58E53E7F" w:rsidR="00E31838" w:rsidRPr="0007292C" w:rsidRDefault="00E31838" w:rsidP="00B61B89">
            <w:pPr>
              <w:spacing w:after="120"/>
              <w:jc w:val="both"/>
              <w:rPr>
                <w:rFonts w:ascii="Calibri" w:eastAsia="Calibri" w:hAnsi="Calibri" w:cs="Calibri"/>
                <w:sz w:val="24"/>
                <w:szCs w:val="24"/>
              </w:rPr>
            </w:pPr>
            <w:r w:rsidRPr="0007292C">
              <w:rPr>
                <w:rFonts w:ascii="Calibri" w:eastAsia="Calibri" w:hAnsi="Calibri" w:cs="Calibri"/>
                <w:sz w:val="24"/>
                <w:szCs w:val="24"/>
              </w:rPr>
              <w:t>Parágrafo único.  Os documentos que subsidiarem a elaboração do relatório da operação devem permanecer na EFPC, à disposição da Previc, pelo prazo de sessenta meses, contados da data efetiva.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569952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5AA619F5" w14:textId="65E0E97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A2A11E6"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lastRenderedPageBreak/>
              <w:t>RESOLUÇÃO PREVIC Nº 15, DE 20 DE SETEMBRO DE 2022</w:t>
            </w:r>
          </w:p>
          <w:p w14:paraId="4AFD75D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2º [...]</w:t>
            </w:r>
          </w:p>
          <w:p w14:paraId="789F091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data de protocolo: aquela na qual a EFPC deve protocolar o requerimento de licenciamento de retirada de patrocínio ou de rescisão unilateral de convênio de adesão junto à Superintendência Nacional de Previdência Complementar (Previc), no prazo de até duzentos e quarenta dias, contados da data da notificação;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2D33A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§1º  O requerimento deve ser protocolado no prazo de até duzentos e quarenta dias, contados da data da notificação.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922E488"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093BB5F4" w14:textId="0164335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13EC311"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XVII DA INSTRUÇÃO PREVIC Nº 45, DE 13 DE JULHO DE 2022</w:t>
            </w:r>
          </w:p>
          <w:p w14:paraId="4FCE2EB4"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Os documentos que subsidiarem o relatório da operação devem permanecer na EFPC, à disposição da Previc, pelo prazo de sessenta meses, contados da data-efetiva;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3E28CD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§2º  Os documentos que subsidiarem a elaboração do relatório da operação devem permanecer na EFPC, à disposição da Previc, pelo prazo de sessenta meses, contados da data efetiva.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54167E7"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5E165D0" w14:textId="7DCD9F6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B8FA0D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RESOLUÇÃO PREVIC Nº 15, DE 20 DE SETEMBRO DE 2022</w:t>
            </w:r>
          </w:p>
          <w:p w14:paraId="301AB3CC"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2º [...]</w:t>
            </w:r>
          </w:p>
          <w:p w14:paraId="0B70627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 xml:space="preserve">II - data de protocolo: aquela na qual a EFPC deve protocolar o requerimento de licenciamento de retirada de patrocínio ou de rescisão unilateral de convênio de adesão junto à Superintendência Nacional de Previdência Complementar (Previc), no prazo </w:t>
            </w:r>
            <w:r w:rsidRPr="0010524E">
              <w:rPr>
                <w:rFonts w:ascii="Calibri" w:hAnsi="Calibri" w:cs="Calibri"/>
                <w:sz w:val="24"/>
                <w:szCs w:val="24"/>
              </w:rPr>
              <w:lastRenderedPageBreak/>
              <w:t>de até duzentos e quarenta dias, contados da data da notificação;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17E426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§1º  O requerimento deve ser protocolado no prazo de até duzentos e quarenta dias, contados da data da notificação.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C634B9"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CCBDEA2" w14:textId="39E2E68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30BB6C7"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XVIII DA INSTRUÇÃO PREVIC Nº 45, DE 13 DE JULHO DE 2022</w:t>
            </w:r>
          </w:p>
          <w:p w14:paraId="136FBE72"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Os documentos que subsidiarem o relatório da operação devem permanecer na EFPC, à disposição da Previc, pelo prazo de sessenta meses, contados da data-efetiva;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E9E03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§2º  Os documentos que subsidiarem a elaboração do relatório da operação devem permanecer na EFPC, à disposição da Previc, pelo prazo de sessenta meses, contados da data efetiva.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4AD4A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782B1DC" w14:textId="5B6DD81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1A85F20"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5648FC"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Destinação de reserva especial com reversão de valores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3AB6C6"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66ABF1B" w14:textId="12CB945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BEDF601"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0336DD" w14:textId="179345BE" w:rsidR="00E31838" w:rsidRPr="00B61B89" w:rsidRDefault="00E31838" w:rsidP="00B61B89">
            <w:pPr>
              <w:tabs>
                <w:tab w:val="left" w:pos="993"/>
              </w:tabs>
              <w:spacing w:after="120"/>
              <w:ind w:left="-37"/>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168.  </w:t>
            </w:r>
            <w:r w:rsidRPr="00B61B89">
              <w:rPr>
                <w:rFonts w:ascii="Calibri" w:eastAsia="Times New Roman" w:hAnsi="Calibri" w:cs="Calibri"/>
                <w:kern w:val="0"/>
                <w:sz w:val="24"/>
                <w:szCs w:val="24"/>
                <w:lang w:eastAsia="pt-BR"/>
                <w14:ligatures w14:val="none"/>
              </w:rPr>
              <w:t xml:space="preserve">O requerimento de destinação de reserva especial com reversão de valores deve ser protocolado pela EFPC, instruído com os documentos listados no </w:t>
            </w:r>
            <w:r w:rsidRPr="00B61B89">
              <w:rPr>
                <w:rFonts w:ascii="Calibri" w:eastAsia="Times New Roman" w:hAnsi="Calibri" w:cs="Calibri"/>
                <w:kern w:val="0"/>
                <w:sz w:val="24"/>
                <w:szCs w:val="24"/>
                <w:lang w:eastAsia="pt-BR"/>
                <w14:ligatures w14:val="none"/>
              </w:rPr>
              <w:fldChar w:fldCharType="begin"/>
            </w:r>
            <w:r w:rsidRPr="00B61B89">
              <w:rPr>
                <w:rFonts w:ascii="Calibri" w:eastAsia="Times New Roman" w:hAnsi="Calibri" w:cs="Calibri"/>
                <w:kern w:val="0"/>
                <w:sz w:val="24"/>
                <w:szCs w:val="24"/>
                <w:lang w:eastAsia="pt-BR"/>
                <w14:ligatures w14:val="none"/>
              </w:rPr>
              <w:instrText xml:space="preserve"> REF _Ref138860781 \r  \* MERGEFORMAT </w:instrText>
            </w:r>
            <w:r w:rsidRPr="00B61B89">
              <w:rPr>
                <w:rFonts w:ascii="Calibri" w:eastAsia="Times New Roman" w:hAnsi="Calibri" w:cs="Calibri"/>
                <w:kern w:val="0"/>
                <w:sz w:val="24"/>
                <w:szCs w:val="24"/>
                <w:lang w:eastAsia="pt-BR"/>
                <w14:ligatures w14:val="none"/>
              </w:rPr>
              <w:fldChar w:fldCharType="separate"/>
            </w:r>
            <w:r w:rsidRPr="00B61B89">
              <w:rPr>
                <w:rFonts w:ascii="Calibri" w:eastAsia="Times New Roman" w:hAnsi="Calibri" w:cs="Calibri"/>
                <w:kern w:val="0"/>
                <w:sz w:val="24"/>
                <w:szCs w:val="24"/>
                <w:lang w:eastAsia="pt-BR"/>
                <w14:ligatures w14:val="none"/>
              </w:rPr>
              <w:t>ANEXO XX</w:t>
            </w:r>
            <w:r w:rsidRPr="00B61B89">
              <w:rPr>
                <w:rFonts w:ascii="Calibri" w:eastAsia="Times New Roman" w:hAnsi="Calibri" w:cs="Calibri"/>
                <w:kern w:val="0"/>
                <w:sz w:val="24"/>
                <w:szCs w:val="24"/>
                <w:lang w:eastAsia="pt-BR"/>
                <w14:ligatures w14:val="none"/>
              </w:rPr>
              <w:fldChar w:fldCharType="end"/>
            </w:r>
            <w:r w:rsidRPr="00B61B89">
              <w:rPr>
                <w:rFonts w:ascii="Calibri" w:eastAsia="Times New Roman" w:hAnsi="Calibri" w:cs="Calibri"/>
                <w:kern w:val="0"/>
                <w:sz w:val="24"/>
                <w:szCs w:val="24"/>
                <w:lang w:eastAsia="pt-BR"/>
                <w14:ligatures w14:val="none"/>
              </w:rPr>
              <w:t xml:space="preserve">I.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5CA675"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6223530A" w14:textId="21C30BA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832382B"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XIX DA INSTRUÇÃO PREVIC Nº 45, DE 13 DE JULHO DE 2022</w:t>
            </w:r>
          </w:p>
          <w:p w14:paraId="59A1766D"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 - Os documentos que subsidiarem o relatório da operação devem permanecer na EFPC, à disposição da Previc, pelo prazo de sessenta meses, contados da data-efetiva.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492544"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Parágrafo único.  Os documentos que subsidiarem a elaboração do relatório da operação devem permanecer na EFPC, à disposição da Previc, pelo prazo de sessenta meses, contados da data efetiva.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276A3B"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7C759CB" w14:textId="5A015EA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35563AE"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DDD97D"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Aprovação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ED61A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3EBE4404" w14:textId="79E2FCD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5CCA7B3"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4A4788" w14:textId="7B7EE85D" w:rsidR="00E31838" w:rsidRPr="00B61B89" w:rsidRDefault="00E31838" w:rsidP="00864A1F">
            <w:pPr>
              <w:tabs>
                <w:tab w:val="left" w:pos="993"/>
              </w:tabs>
              <w:spacing w:after="120"/>
              <w:ind w:left="-37"/>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169.  </w:t>
            </w:r>
            <w:r w:rsidRPr="00B61B89">
              <w:rPr>
                <w:rFonts w:ascii="Calibri" w:eastAsia="Times New Roman" w:hAnsi="Calibri" w:cs="Calibri"/>
                <w:kern w:val="0"/>
                <w:sz w:val="24"/>
                <w:szCs w:val="24"/>
                <w:lang w:eastAsia="pt-BR"/>
                <w14:ligatures w14:val="none"/>
              </w:rPr>
              <w:t xml:space="preserve">O requerimento de aprovação de convênio de adesão deve ser protocolado pela EFPC, instruído com os documentos listados no </w:t>
            </w:r>
            <w:r w:rsidRPr="00B61B89">
              <w:rPr>
                <w:rFonts w:ascii="Calibri" w:eastAsia="Times New Roman" w:hAnsi="Calibri" w:cs="Calibri"/>
                <w:kern w:val="0"/>
                <w:sz w:val="24"/>
                <w:szCs w:val="24"/>
                <w:lang w:eastAsia="pt-BR"/>
                <w14:ligatures w14:val="none"/>
              </w:rPr>
              <w:fldChar w:fldCharType="begin"/>
            </w:r>
            <w:r w:rsidRPr="00B61B89">
              <w:rPr>
                <w:rFonts w:ascii="Calibri" w:eastAsia="Times New Roman" w:hAnsi="Calibri" w:cs="Calibri"/>
                <w:kern w:val="0"/>
                <w:sz w:val="24"/>
                <w:szCs w:val="24"/>
                <w:lang w:eastAsia="pt-BR"/>
                <w14:ligatures w14:val="none"/>
              </w:rPr>
              <w:instrText xml:space="preserve"> REF _Ref138861001 \r  \* MERGEFORMAT </w:instrText>
            </w:r>
            <w:r w:rsidRPr="00B61B89">
              <w:rPr>
                <w:rFonts w:ascii="Calibri" w:eastAsia="Times New Roman" w:hAnsi="Calibri" w:cs="Calibri"/>
                <w:kern w:val="0"/>
                <w:sz w:val="24"/>
                <w:szCs w:val="24"/>
                <w:lang w:eastAsia="pt-BR"/>
                <w14:ligatures w14:val="none"/>
              </w:rPr>
              <w:fldChar w:fldCharType="separate"/>
            </w:r>
            <w:r w:rsidRPr="00B61B89">
              <w:rPr>
                <w:rFonts w:ascii="Calibri" w:eastAsia="Times New Roman" w:hAnsi="Calibri" w:cs="Calibri"/>
                <w:kern w:val="0"/>
                <w:sz w:val="24"/>
                <w:szCs w:val="24"/>
                <w:lang w:eastAsia="pt-BR"/>
                <w14:ligatures w14:val="none"/>
              </w:rPr>
              <w:t>ANEXO XXI</w:t>
            </w:r>
            <w:r w:rsidRPr="00B61B89">
              <w:rPr>
                <w:rFonts w:ascii="Calibri" w:eastAsia="Times New Roman" w:hAnsi="Calibri" w:cs="Calibri"/>
                <w:kern w:val="0"/>
                <w:sz w:val="24"/>
                <w:szCs w:val="24"/>
                <w:lang w:eastAsia="pt-BR"/>
                <w14:ligatures w14:val="none"/>
              </w:rPr>
              <w:fldChar w:fldCharType="end"/>
            </w:r>
            <w:r w:rsidRPr="00B61B89">
              <w:rPr>
                <w:rFonts w:ascii="Calibri" w:eastAsia="Times New Roman" w:hAnsi="Calibri" w:cs="Calibri"/>
                <w:kern w:val="0"/>
                <w:sz w:val="24"/>
                <w:szCs w:val="24"/>
                <w:lang w:eastAsia="pt-BR"/>
                <w14:ligatures w14:val="none"/>
              </w:rPr>
              <w:t>I</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A70D83"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379F438E" w14:textId="7F3BE3D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5CDA362"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01A71E"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Alteração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74EC70"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12ACCEF3" w14:textId="1364E50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3EF6145"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73873B" w14:textId="35FB2F1B" w:rsidR="00E31838" w:rsidRPr="0010524E" w:rsidRDefault="00E31838" w:rsidP="00864A1F">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Art. 170.  O</w:t>
            </w:r>
            <w:r w:rsidRPr="0010524E">
              <w:rPr>
                <w:rFonts w:ascii="Calibri" w:eastAsia="Times New Roman" w:hAnsi="Calibri" w:cs="Calibri"/>
                <w:kern w:val="0"/>
                <w:sz w:val="24"/>
                <w:szCs w:val="24"/>
                <w:lang w:eastAsia="pt-BR"/>
                <w14:ligatures w14:val="none"/>
              </w:rPr>
              <w:t xml:space="preserve"> requerimento de alteração de convênio de adesão deve ser protocolado pela EFPC, instruído com os documentos listados no </w:t>
            </w:r>
            <w:r w:rsidRPr="0010524E">
              <w:rPr>
                <w:rFonts w:ascii="Calibri" w:eastAsia="Times New Roman" w:hAnsi="Calibri" w:cs="Calibri"/>
                <w:kern w:val="0"/>
                <w:sz w:val="24"/>
                <w:szCs w:val="24"/>
                <w:lang w:eastAsia="pt-BR"/>
                <w14:ligatures w14:val="none"/>
              </w:rPr>
              <w:fldChar w:fldCharType="begin"/>
            </w:r>
            <w:r w:rsidRPr="0010524E">
              <w:rPr>
                <w:rFonts w:ascii="Calibri" w:eastAsia="Times New Roman" w:hAnsi="Calibri" w:cs="Calibri"/>
                <w:kern w:val="0"/>
                <w:sz w:val="24"/>
                <w:szCs w:val="24"/>
                <w:lang w:eastAsia="pt-BR"/>
                <w14:ligatures w14:val="none"/>
              </w:rPr>
              <w:instrText xml:space="preserve"> REF _Ref138861089 \r  \* MERGEFORMAT </w:instrText>
            </w:r>
            <w:r w:rsidRPr="0010524E">
              <w:rPr>
                <w:rFonts w:ascii="Calibri" w:eastAsia="Times New Roman" w:hAnsi="Calibri" w:cs="Calibri"/>
                <w:kern w:val="0"/>
                <w:sz w:val="24"/>
                <w:szCs w:val="24"/>
                <w:lang w:eastAsia="pt-BR"/>
                <w14:ligatures w14:val="none"/>
              </w:rPr>
              <w:fldChar w:fldCharType="separate"/>
            </w:r>
            <w:r w:rsidRPr="0010524E">
              <w:rPr>
                <w:rFonts w:ascii="Calibri" w:eastAsia="Times New Roman" w:hAnsi="Calibri" w:cs="Calibri"/>
                <w:kern w:val="0"/>
                <w:sz w:val="24"/>
                <w:szCs w:val="24"/>
                <w:lang w:eastAsia="pt-BR"/>
                <w14:ligatures w14:val="none"/>
              </w:rPr>
              <w:t>ANEXO XXII</w:t>
            </w:r>
            <w:r w:rsidRPr="0010524E">
              <w:rPr>
                <w:rFonts w:ascii="Calibri" w:eastAsia="Times New Roman" w:hAnsi="Calibri" w:cs="Calibri"/>
                <w:kern w:val="0"/>
                <w:sz w:val="24"/>
                <w:szCs w:val="24"/>
                <w:lang w:eastAsia="pt-BR"/>
                <w14:ligatures w14:val="none"/>
              </w:rPr>
              <w:fldChar w:fldCharType="end"/>
            </w:r>
            <w:r w:rsidRPr="0010524E">
              <w:rPr>
                <w:rFonts w:ascii="Calibri" w:eastAsia="Times New Roman" w:hAnsi="Calibri" w:cs="Calibri"/>
                <w:kern w:val="0"/>
                <w:sz w:val="24"/>
                <w:szCs w:val="24"/>
                <w:lang w:eastAsia="pt-BR"/>
                <w14:ligatures w14:val="none"/>
              </w:rPr>
              <w:t>I.</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17C352"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NOVO</w:t>
            </w:r>
          </w:p>
        </w:tc>
      </w:tr>
      <w:tr w:rsidR="00E31838" w:rsidRPr="0010524E" w14:paraId="45B5E78B" w14:textId="10F103A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919D99B" w14:textId="77777777" w:rsidR="00E31838" w:rsidRPr="0010524E" w:rsidRDefault="00E31838" w:rsidP="00A95720">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BDB7EC" w14:textId="77777777" w:rsidR="00E31838" w:rsidRPr="0010524E" w:rsidRDefault="00E31838" w:rsidP="00A95720">
            <w:pPr>
              <w:spacing w:after="0"/>
              <w:jc w:val="both"/>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Encerramento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459D71"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6D93A69F" w14:textId="05B964F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E80A41F"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ANEXO XX DA INSTRUÇÃO PREVIC Nº 45, DE 13 DE JULHO DE 2022</w:t>
            </w:r>
          </w:p>
          <w:p w14:paraId="5825374A"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 - Os requerimentos de encerramento de planos de benefícios devem ser instruídos com:</w:t>
            </w:r>
          </w:p>
          <w:p w14:paraId="26C6FFCE"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 expediente explicativo; e</w:t>
            </w:r>
          </w:p>
          <w:p w14:paraId="3B504738"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b) Termo de Responsabilidade de Encerramento de Plano;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C910D4" w14:textId="0FED187D" w:rsidR="00E31838" w:rsidRPr="0010524E" w:rsidRDefault="00E31838" w:rsidP="00864A1F">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171.  </w:t>
            </w:r>
            <w:r w:rsidRPr="0010524E">
              <w:rPr>
                <w:rFonts w:ascii="Calibri" w:eastAsia="Times New Roman" w:hAnsi="Calibri" w:cs="Calibri"/>
                <w:kern w:val="0"/>
                <w:sz w:val="24"/>
                <w:szCs w:val="24"/>
                <w:lang w:eastAsia="pt-BR"/>
                <w14:ligatures w14:val="none"/>
              </w:rPr>
              <w:t xml:space="preserve"> requerimento de encerramento de plano de benefícios deve ser protocolado pela EFPC, instruído com o expediente explicativo e Termo de Responsabilidade de Encerramento de Plano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97548D" w14:textId="77777777" w:rsidR="00E31838" w:rsidRPr="0010524E" w:rsidRDefault="00E31838" w:rsidP="00A95720">
            <w:pPr>
              <w:spacing w:after="0"/>
              <w:jc w:val="both"/>
              <w:rPr>
                <w:rFonts w:ascii="Calibri" w:eastAsia="Times New Roman" w:hAnsi="Calibri" w:cs="Calibri"/>
                <w:kern w:val="0"/>
                <w:sz w:val="24"/>
                <w:szCs w:val="24"/>
                <w:lang w:eastAsia="pt-BR"/>
                <w14:ligatures w14:val="none"/>
              </w:rPr>
            </w:pPr>
          </w:p>
        </w:tc>
      </w:tr>
      <w:tr w:rsidR="00E31838" w:rsidRPr="0010524E" w14:paraId="49A57165" w14:textId="502BAD1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27A1F6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RESOLUÇÃO PREVIC Nº 21, DE 21 DE MARÇO DE 2023</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134740" w14:textId="35E2E5DC" w:rsidR="00E31838" w:rsidRPr="0010524E" w:rsidRDefault="00E31838" w:rsidP="00A957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A128C2" w14:textId="42AC88E3" w:rsidR="00E31838" w:rsidRPr="0010524E" w:rsidRDefault="00E31838" w:rsidP="00A95720">
            <w:pPr>
              <w:jc w:val="both"/>
              <w:rPr>
                <w:rFonts w:ascii="Calibri" w:eastAsia="Times New Roman" w:hAnsi="Calibri" w:cs="Calibri"/>
                <w:kern w:val="0"/>
                <w:sz w:val="24"/>
                <w:szCs w:val="24"/>
                <w:lang w:eastAsia="pt-BR"/>
                <w14:ligatures w14:val="none"/>
              </w:rPr>
            </w:pPr>
            <w:r w:rsidRPr="00E87140">
              <w:rPr>
                <w:rFonts w:ascii="Calibri" w:eastAsia="Times New Roman" w:hAnsi="Calibri" w:cs="Calibri"/>
                <w:kern w:val="0"/>
                <w:sz w:val="24"/>
                <w:szCs w:val="24"/>
                <w:lang w:eastAsia="pt-BR"/>
                <w14:ligatures w14:val="none"/>
              </w:rPr>
              <w:t>Excluído considerando o processo de consolidação normativa.</w:t>
            </w:r>
          </w:p>
        </w:tc>
      </w:tr>
      <w:tr w:rsidR="00E31838" w:rsidRPr="0010524E" w14:paraId="1A59CC2E" w14:textId="795AD5D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AFBFE24"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Dispõe sobre os procedimentos contábeis, o plano contábil padrão, a função e o funcionamento das contas e a forma, o meio e a periodicidade de envio das demonstrações contábeis das entidades fechadas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518BBC" w14:textId="07C8FF8D"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6A916D" w14:textId="66B1AACE" w:rsidR="00E31838" w:rsidRPr="0010524E" w:rsidRDefault="00E31838" w:rsidP="00A957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devido a consolidação</w:t>
            </w:r>
          </w:p>
        </w:tc>
      </w:tr>
      <w:tr w:rsidR="00E31838" w:rsidRPr="0010524E" w14:paraId="730BDE0E" w14:textId="5C38689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1FAC26D"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 DIRETORIA COLEGIADA DA SUPERINTENDÊNCIA NACIONAL DE PREVIDÊNCIA COMPLEMENTAR (PREVIC), na sessão 631ª realizada em 21 de março de 2023, com fundamento no inciso III do art. 2º </w:t>
            </w:r>
            <w:r w:rsidRPr="0010524E">
              <w:rPr>
                <w:rFonts w:ascii="Calibri" w:hAnsi="Calibri" w:cs="Calibri"/>
                <w:sz w:val="24"/>
                <w:szCs w:val="24"/>
              </w:rPr>
              <w:lastRenderedPageBreak/>
              <w:t>da Lei nº 12.154, de 23 de dezembro de 2009, no inciso III do art. 2º e no inciso VIII do art. 12 do Anexo I do Decreto n.º 11.241, de 18 de outubro de 2022, e em conformidade com o inciso II do art. 2º do Decreto nº 10.139, de 28 de novembro de 2019 e a Resolução CNPC nº 43, de 06 de agosto de 2021,</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018E8A" w14:textId="77777777" w:rsidR="00E31838" w:rsidRPr="0010524E" w:rsidRDefault="00E31838" w:rsidP="00A95720">
            <w:pPr>
              <w:pStyle w:val="PargrafodaLista"/>
              <w:tabs>
                <w:tab w:val="left" w:pos="993"/>
              </w:tabs>
              <w:spacing w:after="120"/>
              <w:ind w:left="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C60DCA" w14:textId="19492B4D" w:rsidR="00E31838" w:rsidRPr="0010524E" w:rsidRDefault="00E31838" w:rsidP="00A957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devido a consolidação</w:t>
            </w:r>
          </w:p>
        </w:tc>
      </w:tr>
      <w:tr w:rsidR="00E31838" w:rsidRPr="0010524E" w14:paraId="669F70F4" w14:textId="4FFED33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952AE52"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Considerando a necessidade de uniformizar os registros contábeis dos atos e fatos administrativos, racionalizar a utilização de contas contábeis e estabelecer regras, critérios e procedimentos necessários à obtenção e à divulgação de dados, de modo que as demonstrações contábeis de cada plano de benefícios de caráter previdencial e assistencial, do plano de gestão administrativa e da entidade fechada de previdência complementar que os administrar possam expressar, com fidedignidade, clareza, consistência e transparência, a respectiva situação econômico-financeira e atuarial, fornecendo informações adequadas para a análise, a avaliação do desempenho e o controle a ser exercido pelos participantes, pelos assistidos, pelos patrocinadores e respectivos órgãos responsáveis pela </w:t>
            </w:r>
            <w:r w:rsidRPr="0010524E">
              <w:rPr>
                <w:rFonts w:ascii="Calibri" w:hAnsi="Calibri" w:cs="Calibri"/>
                <w:sz w:val="24"/>
                <w:szCs w:val="24"/>
              </w:rPr>
              <w:lastRenderedPageBreak/>
              <w:t>supervisão, pela coordenação e pelo controle, nos casos previstos na Lei Complementar nº 108, de 29 de maio de 2001, pelos instituidores e pelo órgão supervisor do regime fechado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F638F5"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F3FF8B" w14:textId="1D4FC2DF" w:rsidR="00E31838" w:rsidRPr="0010524E" w:rsidRDefault="00E31838" w:rsidP="00A957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devido a consolidação</w:t>
            </w:r>
          </w:p>
        </w:tc>
      </w:tr>
      <w:tr w:rsidR="00E31838" w:rsidRPr="0010524E" w14:paraId="3C161217" w14:textId="5A62144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C3C8B82"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88D3F7" w14:textId="77777777" w:rsidR="00E31838" w:rsidRPr="0010524E" w:rsidRDefault="00E31838" w:rsidP="00A95720">
            <w:pPr>
              <w:spacing w:before="120" w:after="120" w:line="240" w:lineRule="auto"/>
              <w:jc w:val="center"/>
              <w:rPr>
                <w:rFonts w:ascii="Calibri" w:hAnsi="Calibri" w:cstheme="minorHAnsi"/>
                <w:sz w:val="24"/>
                <w:szCs w:val="24"/>
              </w:rPr>
            </w:pPr>
            <w:r w:rsidRPr="0010524E">
              <w:rPr>
                <w:rFonts w:ascii="Calibri" w:hAnsi="Calibri" w:cstheme="minorHAnsi"/>
                <w:sz w:val="24"/>
                <w:szCs w:val="24"/>
              </w:rPr>
              <w:t>CAPÍTULO IV</w:t>
            </w:r>
          </w:p>
          <w:p w14:paraId="1707312B" w14:textId="51CF2461" w:rsidR="00E31838" w:rsidRPr="0010524E" w:rsidRDefault="00E31838" w:rsidP="00233C43">
            <w:pPr>
              <w:spacing w:before="120" w:after="120" w:line="240" w:lineRule="auto"/>
              <w:jc w:val="center"/>
              <w:rPr>
                <w:rFonts w:ascii="Calibri" w:eastAsia="Times New Roman" w:hAnsi="Calibri" w:cs="Calibri"/>
                <w:kern w:val="0"/>
                <w:sz w:val="24"/>
                <w:szCs w:val="24"/>
                <w:lang w:eastAsia="pt-BR"/>
                <w14:ligatures w14:val="none"/>
              </w:rPr>
            </w:pPr>
            <w:r w:rsidRPr="0010524E">
              <w:rPr>
                <w:rFonts w:ascii="Calibri" w:hAnsi="Calibri"/>
                <w:sz w:val="24"/>
                <w:szCs w:val="24"/>
              </w:rPr>
              <w:t>CONTABILIDADE E AUDITORIA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F5F71F"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incluído para divisão dos assuntos e adaptação à estrutura da consolidação de normas.</w:t>
            </w:r>
          </w:p>
        </w:tc>
      </w:tr>
      <w:tr w:rsidR="00E31838" w:rsidRPr="0010524E" w14:paraId="62F74709" w14:textId="28240EC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5C0CE2E"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B27BAD" w14:textId="77777777" w:rsidR="00E31838" w:rsidRPr="0010524E" w:rsidRDefault="00E31838" w:rsidP="00A95720">
            <w:pPr>
              <w:pStyle w:val="PargrafodaLista"/>
              <w:tabs>
                <w:tab w:val="left" w:pos="993"/>
              </w:tabs>
              <w:spacing w:after="120"/>
              <w:ind w:left="0"/>
              <w:jc w:val="center"/>
              <w:rPr>
                <w:rFonts w:ascii="Calibri" w:eastAsia="Times New Roman" w:hAnsi="Calibri" w:cs="Calibri"/>
                <w:b/>
                <w:bCs/>
                <w:kern w:val="0"/>
                <w:sz w:val="24"/>
                <w:szCs w:val="24"/>
                <w:lang w:eastAsia="pt-BR"/>
                <w14:ligatures w14:val="none"/>
              </w:rPr>
            </w:pPr>
            <w:r w:rsidRPr="00AA2CB0">
              <w:rPr>
                <w:rFonts w:ascii="Calibri" w:eastAsia="Times New Roman" w:hAnsi="Calibri" w:cs="Calibri"/>
                <w:b/>
                <w:bCs/>
                <w:color w:val="000000" w:themeColor="text1"/>
                <w:kern w:val="0"/>
                <w:sz w:val="24"/>
                <w:szCs w:val="24"/>
                <w:lang w:eastAsia="pt-BR"/>
                <w14:ligatures w14:val="none"/>
              </w:rPr>
              <w:t>Seção</w:t>
            </w:r>
            <w:r w:rsidRPr="0010524E">
              <w:rPr>
                <w:rFonts w:ascii="Calibri" w:eastAsia="Times New Roman" w:hAnsi="Calibri" w:cs="Calibri"/>
                <w:b/>
                <w:bCs/>
                <w:kern w:val="0"/>
                <w:sz w:val="24"/>
                <w:szCs w:val="24"/>
                <w:lang w:eastAsia="pt-BR"/>
                <w14:ligatures w14:val="none"/>
              </w:rPr>
              <w:t xml:space="preserve"> I</w:t>
            </w:r>
          </w:p>
          <w:p w14:paraId="1A3F61D5" w14:textId="129476DA" w:rsidR="00E31838" w:rsidRPr="0010524E" w:rsidRDefault="00E31838" w:rsidP="00A95720">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Procedimento contábeis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98F4E2"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B3C2438" w14:textId="77A4FED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36D024E"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1º As entidades fechadas de previdência complementar (EFPC) devem adotar os procedimentos contábeis, o plano contábil padrão, a função e o funcionamento das contas e a forma, o meio e a periodicidade de envio das demonstrações contábeis estabelecidos nesta Resolução.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FE429A" w14:textId="7828274A" w:rsidR="00E31838" w:rsidRPr="0010524E" w:rsidRDefault="00E31838" w:rsidP="00A95720">
            <w:pPr>
              <w:pStyle w:val="PargrafodaLista"/>
              <w:spacing w:after="120"/>
              <w:ind w:left="61"/>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Art. 172.  As EFPC devem adotar os procedimentos contábeis, o plano contábil padrão, a função e o funcionamento das contas e a forma, o meio e a periodicidade de envio das demonstrações contábeis estabelecidos nesta Resolução, bem como observar o contido nos </w:t>
            </w:r>
            <w:r w:rsidRPr="001A7F25">
              <w:rPr>
                <w:rFonts w:ascii="Calibri" w:eastAsia="Calibri" w:hAnsi="Calibri" w:cs="Calibri"/>
                <w:sz w:val="24"/>
                <w:szCs w:val="24"/>
                <w:highlight w:val="green"/>
              </w:rPr>
              <w:t>anexos I, II, III e IV</w:t>
            </w:r>
            <w:r w:rsidRPr="0010524E">
              <w:rPr>
                <w:rFonts w:ascii="Calibri" w:eastAsia="Calibri" w:hAnsi="Calibri" w:cs="Calibri"/>
                <w:sz w:val="24"/>
                <w:szCs w:val="24"/>
              </w:rPr>
              <w:t>, disponíveis no sítio eletrônico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999D80" w14:textId="2835B24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Segunda parte do texto trazido do Parágrafo Único </w:t>
            </w:r>
            <w:r>
              <w:rPr>
                <w:rFonts w:ascii="Calibri" w:eastAsia="Times New Roman" w:hAnsi="Calibri" w:cs="Calibri"/>
                <w:kern w:val="0"/>
                <w:sz w:val="24"/>
                <w:szCs w:val="24"/>
                <w:lang w:eastAsia="pt-BR"/>
                <w14:ligatures w14:val="none"/>
              </w:rPr>
              <w:t xml:space="preserve">do art. 1º </w:t>
            </w:r>
            <w:r w:rsidRPr="0010524E">
              <w:rPr>
                <w:rFonts w:ascii="Calibri" w:eastAsia="Times New Roman" w:hAnsi="Calibri" w:cs="Calibri"/>
                <w:kern w:val="0"/>
                <w:sz w:val="24"/>
                <w:szCs w:val="24"/>
                <w:lang w:eastAsia="pt-BR"/>
                <w14:ligatures w14:val="none"/>
              </w:rPr>
              <w:t>da Resolução Previc n.º 21/2023 de modo a simplificar a norma.</w:t>
            </w:r>
          </w:p>
        </w:tc>
      </w:tr>
      <w:tr w:rsidR="00E31838" w:rsidRPr="0010524E" w14:paraId="4EA7BDA4" w14:textId="07CFBDA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D467612"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Parágrafo único. Para fins do disposto nesta Resolução, as EFPC devem observar o contido nos anexos I, II, III e IV, que estão disponíveis no sítio eletrônico da Superintendência Nacional de Previdência Complementar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FE88015" w14:textId="77777777" w:rsidR="00E31838" w:rsidRPr="0010524E" w:rsidRDefault="00E31838" w:rsidP="00A95720">
            <w:pPr>
              <w:spacing w:after="240"/>
              <w:jc w:val="both"/>
              <w:rPr>
                <w:sz w:val="24"/>
                <w:szCs w:val="24"/>
              </w:rPr>
            </w:pPr>
            <w:r w:rsidRPr="0010524E">
              <w:rPr>
                <w:rFonts w:ascii="Calibri" w:eastAsia="Calibri" w:hAnsi="Calibri" w:cs="Calibri"/>
                <w:sz w:val="24"/>
                <w:szCs w:val="24"/>
              </w:rPr>
              <w:t xml:space="preserve">Parágrafo único.  Fica a Diretoria de Normas da Previc autorizada a alterar os anexos referidos no </w:t>
            </w:r>
            <w:r w:rsidRPr="0010524E">
              <w:rPr>
                <w:rFonts w:ascii="Calibri" w:eastAsia="Calibri" w:hAnsi="Calibri" w:cs="Calibri"/>
                <w:b/>
                <w:bCs/>
                <w:sz w:val="24"/>
                <w:szCs w:val="24"/>
              </w:rPr>
              <w:t>caput.</w:t>
            </w:r>
          </w:p>
          <w:p w14:paraId="132C88F4" w14:textId="78F5FC99"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8EA839"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O Parágrafo único do art. 1º da Resolução Previc nº 21/2023, foi juntado ao caput da proposta.</w:t>
            </w:r>
          </w:p>
          <w:p w14:paraId="31D8534C"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 proposta do parágrafo único foi trazido do art. 36 da Resolução Previc nº </w:t>
            </w:r>
            <w:r w:rsidRPr="0010524E">
              <w:rPr>
                <w:rFonts w:ascii="Calibri" w:eastAsia="Times New Roman" w:hAnsi="Calibri" w:cs="Calibri"/>
                <w:kern w:val="0"/>
                <w:sz w:val="24"/>
                <w:szCs w:val="24"/>
                <w:lang w:eastAsia="pt-BR"/>
                <w14:ligatures w14:val="none"/>
              </w:rPr>
              <w:lastRenderedPageBreak/>
              <w:t>21/2023, para retirar das Disposições Finais.</w:t>
            </w:r>
          </w:p>
          <w:p w14:paraId="5300541D"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considerando apenas a competência da Dinor.</w:t>
            </w:r>
          </w:p>
        </w:tc>
      </w:tr>
      <w:tr w:rsidR="00E31838" w:rsidRPr="0010524E" w14:paraId="1C8DA5CF" w14:textId="0A652E9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4232601"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CAPÍTULO I</w:t>
            </w:r>
          </w:p>
          <w:p w14:paraId="2375BDA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DAS DISPOSIÇÕES PRELIMINARES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F92F24" w14:textId="77777777" w:rsidR="00E31838" w:rsidRPr="0010524E" w:rsidRDefault="00E31838" w:rsidP="00A95720">
            <w:pPr>
              <w:pStyle w:val="PargrafodaLista"/>
              <w:tabs>
                <w:tab w:val="left" w:pos="993"/>
              </w:tabs>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926DDD"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EB3E72B" w14:textId="622D634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11EA69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2º Para fins desta Resolução, as EFPC devem considerar as seguintes definições: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EA48D3"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F88931" w14:textId="771D970B"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Transferido para parte </w:t>
            </w:r>
            <w:r>
              <w:rPr>
                <w:rFonts w:ascii="Calibri" w:eastAsia="Times New Roman" w:hAnsi="Calibri" w:cs="Calibri"/>
                <w:kern w:val="0"/>
                <w:sz w:val="24"/>
                <w:szCs w:val="24"/>
                <w:lang w:eastAsia="pt-BR"/>
                <w14:ligatures w14:val="none"/>
              </w:rPr>
              <w:t>de definições da consolidação.</w:t>
            </w:r>
          </w:p>
        </w:tc>
      </w:tr>
      <w:tr w:rsidR="00E31838" w:rsidRPr="0010524E" w14:paraId="301BB7F2" w14:textId="09B269D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6B82DF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 - Plano de Gestão Administrativa (PGA): plano constituído com a finalidade de registrar contabilmente as atividades referentes à gestão administrativa das EFPC, na forma do seu regulamento;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C7DD2E"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7D0AFF" w14:textId="3877B2A6"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Transferido para parte </w:t>
            </w:r>
            <w:r>
              <w:rPr>
                <w:rFonts w:ascii="Calibri" w:eastAsia="Times New Roman" w:hAnsi="Calibri" w:cs="Calibri"/>
                <w:kern w:val="0"/>
                <w:sz w:val="24"/>
                <w:szCs w:val="24"/>
                <w:lang w:eastAsia="pt-BR"/>
                <w14:ligatures w14:val="none"/>
              </w:rPr>
              <w:t>de definições da consolidação.</w:t>
            </w:r>
          </w:p>
        </w:tc>
      </w:tr>
      <w:tr w:rsidR="00E31838" w:rsidRPr="0010524E" w14:paraId="6BDD843C" w14:textId="731B234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26C9A8D"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 - Balancete do Plano de Benefícios: demonstrativo contábil para registro do patrimônio e dos resultados dos planos de benefícios de caráter previdencial e assistencial administrados pela EFPC;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71F2AF"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77E6C9" w14:textId="10F63194"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Transferido para parte </w:t>
            </w:r>
            <w:r>
              <w:rPr>
                <w:rFonts w:ascii="Calibri" w:eastAsia="Times New Roman" w:hAnsi="Calibri" w:cs="Calibri"/>
                <w:kern w:val="0"/>
                <w:sz w:val="24"/>
                <w:szCs w:val="24"/>
                <w:lang w:eastAsia="pt-BR"/>
                <w14:ligatures w14:val="none"/>
              </w:rPr>
              <w:t>de definições da consolidação.</w:t>
            </w:r>
          </w:p>
        </w:tc>
      </w:tr>
      <w:tr w:rsidR="00E31838" w:rsidRPr="0010524E" w14:paraId="413AE449" w14:textId="5595DAB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C26DC1F"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III - Balancete do PGA: demonstrativo contábil para registro do patrimônio e dos resultados do PGA; IV - Balancete Consolidado: demonstrativo contábil de consolidação do patrimônio e dos resultados dos planos de </w:t>
            </w:r>
            <w:r w:rsidRPr="0010524E">
              <w:rPr>
                <w:rFonts w:ascii="Calibri" w:hAnsi="Calibri" w:cs="Calibri"/>
                <w:sz w:val="24"/>
                <w:szCs w:val="24"/>
              </w:rPr>
              <w:lastRenderedPageBreak/>
              <w:t xml:space="preserve">benefícios de caráter previdencial e assistencial e do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D76182"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C4A6AD" w14:textId="4659756E"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Transferido para parte </w:t>
            </w:r>
            <w:r>
              <w:rPr>
                <w:rFonts w:ascii="Calibri" w:eastAsia="Times New Roman" w:hAnsi="Calibri" w:cs="Calibri"/>
                <w:kern w:val="0"/>
                <w:sz w:val="24"/>
                <w:szCs w:val="24"/>
                <w:lang w:eastAsia="pt-BR"/>
                <w14:ligatures w14:val="none"/>
              </w:rPr>
              <w:t>de definições da consolidação.</w:t>
            </w:r>
          </w:p>
        </w:tc>
      </w:tr>
      <w:tr w:rsidR="00E31838" w:rsidRPr="0010524E" w14:paraId="5B038A03" w14:textId="1D20D17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B548928"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V - Gestão Previdencial: atividade de registro e controle das contribuições, dos benefícios e dos institutos previstos no art. 14 da Lei Complementar nº 109, de 29 de maio de 2001, bem como da mutação patrimonial dos planos de benefícios de caráter previdencial e dos planos assistenciais que não possuem registro na Agência Nacional de Saúde Suplementar;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1E85B1"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FBC00D" w14:textId="602F3DBE"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Transferido para parte </w:t>
            </w:r>
            <w:r>
              <w:rPr>
                <w:rFonts w:ascii="Calibri" w:eastAsia="Times New Roman" w:hAnsi="Calibri" w:cs="Calibri"/>
                <w:kern w:val="0"/>
                <w:sz w:val="24"/>
                <w:szCs w:val="24"/>
                <w:lang w:eastAsia="pt-BR"/>
                <w14:ligatures w14:val="none"/>
              </w:rPr>
              <w:t>de definições da consolidação.</w:t>
            </w:r>
          </w:p>
        </w:tc>
      </w:tr>
      <w:tr w:rsidR="00E31838" w:rsidRPr="0010524E" w14:paraId="546B65DD" w14:textId="711C5D4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1D28662"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VI - Gestão Administrativa: atividade de registro e de controle inerentes à administração dos planos de benefícios de caráter previdencial e assistencial;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7A29A7"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D9CD386" w14:textId="171F0522" w:rsidR="00E31838" w:rsidRPr="0010524E" w:rsidRDefault="00E31838" w:rsidP="00A95720">
            <w:pPr>
              <w:jc w:val="both"/>
              <w:rPr>
                <w:rFonts w:ascii="Calibri" w:eastAsia="Times New Roman" w:hAnsi="Calibri" w:cs="Calibri"/>
                <w:kern w:val="0"/>
                <w:sz w:val="24"/>
                <w:szCs w:val="24"/>
                <w:lang w:eastAsia="pt-BR"/>
                <w14:ligatures w14:val="none"/>
              </w:rPr>
            </w:pPr>
            <w:r w:rsidRPr="00030040">
              <w:rPr>
                <w:rFonts w:ascii="Calibri" w:eastAsia="Times New Roman" w:hAnsi="Calibri" w:cs="Calibri"/>
                <w:kern w:val="0"/>
                <w:sz w:val="24"/>
                <w:szCs w:val="24"/>
                <w:lang w:eastAsia="pt-BR"/>
                <w14:ligatures w14:val="none"/>
              </w:rPr>
              <w:t>Transferido para parte de definições da consolidação.</w:t>
            </w:r>
          </w:p>
        </w:tc>
      </w:tr>
      <w:tr w:rsidR="00E31838" w:rsidRPr="0010524E" w14:paraId="48DAD499" w14:textId="184AFFF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72FB33E"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VII - Gestão Assistencial: atividade de registro e de controle das contribuições, dos benefícios e da mutação patrimonial do plano de benefícios de caráter assistencial, com registro na Agência Nacional de Saúde Suplementar;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FC10D7"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01ECE3D" w14:textId="5CF6CC84" w:rsidR="00E31838" w:rsidRPr="0010524E" w:rsidRDefault="00E31838" w:rsidP="00A95720">
            <w:pPr>
              <w:jc w:val="both"/>
              <w:rPr>
                <w:rFonts w:ascii="Calibri" w:eastAsia="Times New Roman" w:hAnsi="Calibri" w:cs="Calibri"/>
                <w:kern w:val="0"/>
                <w:sz w:val="24"/>
                <w:szCs w:val="24"/>
                <w:lang w:eastAsia="pt-BR"/>
                <w14:ligatures w14:val="none"/>
              </w:rPr>
            </w:pPr>
            <w:r w:rsidRPr="00030040">
              <w:rPr>
                <w:rFonts w:ascii="Calibri" w:eastAsia="Times New Roman" w:hAnsi="Calibri" w:cs="Calibri"/>
                <w:kern w:val="0"/>
                <w:sz w:val="24"/>
                <w:szCs w:val="24"/>
                <w:lang w:eastAsia="pt-BR"/>
                <w14:ligatures w14:val="none"/>
              </w:rPr>
              <w:t>Transferido para parte de definições da consolidação.</w:t>
            </w:r>
          </w:p>
        </w:tc>
      </w:tr>
      <w:tr w:rsidR="00E31838" w:rsidRPr="0010524E" w14:paraId="5B4E1DA6" w14:textId="34EBA55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E1AD4A4"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VIII - Investimentos: atividade de registro e de controle das aplicações dos recursos garantidores dos planos de benefícios de caráter previdencial e assistencial e do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5C5000"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E75E13A" w14:textId="352E1C55" w:rsidR="00E31838" w:rsidRPr="0010524E" w:rsidRDefault="00E31838" w:rsidP="00A95720">
            <w:pPr>
              <w:jc w:val="both"/>
              <w:rPr>
                <w:rFonts w:ascii="Calibri" w:eastAsia="Times New Roman" w:hAnsi="Calibri" w:cs="Calibri"/>
                <w:kern w:val="0"/>
                <w:sz w:val="24"/>
                <w:szCs w:val="24"/>
                <w:lang w:eastAsia="pt-BR"/>
                <w14:ligatures w14:val="none"/>
              </w:rPr>
            </w:pPr>
            <w:r w:rsidRPr="00030040">
              <w:rPr>
                <w:rFonts w:ascii="Calibri" w:eastAsia="Times New Roman" w:hAnsi="Calibri" w:cs="Calibri"/>
                <w:kern w:val="0"/>
                <w:sz w:val="24"/>
                <w:szCs w:val="24"/>
                <w:lang w:eastAsia="pt-BR"/>
                <w14:ligatures w14:val="none"/>
              </w:rPr>
              <w:t>Transferido para parte de definições da consolidação.</w:t>
            </w:r>
          </w:p>
        </w:tc>
      </w:tr>
      <w:tr w:rsidR="00E31838" w:rsidRPr="0010524E" w14:paraId="597146CE" w14:textId="118ADB4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ED45041"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 xml:space="preserve">IX - Derivativos: contratos representativos de instrumentos financeiros cujo valor varia em decorrência de mudanças em um ativo subjacente, que pode ser físico (ou financeiro, negociado no mercado à vista ou futuro, cujo investimento inicial seja inexistente ou pequeno em relação ao valor do contrato, e que sejam liquidados em data futura;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17BD7C"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3CCF8CB" w14:textId="5846C802" w:rsidR="00E31838" w:rsidRPr="0010524E" w:rsidRDefault="00E31838" w:rsidP="00A95720">
            <w:pPr>
              <w:jc w:val="both"/>
              <w:rPr>
                <w:rFonts w:ascii="Calibri" w:eastAsia="Times New Roman" w:hAnsi="Calibri" w:cs="Calibri"/>
                <w:kern w:val="0"/>
                <w:sz w:val="24"/>
                <w:szCs w:val="24"/>
                <w:lang w:eastAsia="pt-BR"/>
                <w14:ligatures w14:val="none"/>
              </w:rPr>
            </w:pPr>
            <w:r w:rsidRPr="00AF57CF">
              <w:rPr>
                <w:rFonts w:ascii="Calibri" w:eastAsia="Times New Roman" w:hAnsi="Calibri" w:cs="Calibri"/>
                <w:kern w:val="0"/>
                <w:sz w:val="24"/>
                <w:szCs w:val="24"/>
                <w:lang w:eastAsia="pt-BR"/>
                <w14:ligatures w14:val="none"/>
              </w:rPr>
              <w:t>Transferido para parte de definições da consolidação.</w:t>
            </w:r>
          </w:p>
        </w:tc>
      </w:tr>
      <w:tr w:rsidR="00E31838" w:rsidRPr="0010524E" w14:paraId="71494FFB" w14:textId="0E7486D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9B63C7A"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 - Operações compromissadas: compras de títulos, com compromisso de revenda, bem como vendas de títulos, com compromisso de recompra;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3B06E4"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68401E3" w14:textId="2B32E913" w:rsidR="00E31838" w:rsidRPr="0010524E" w:rsidRDefault="00E31838" w:rsidP="00A95720">
            <w:pPr>
              <w:jc w:val="both"/>
              <w:rPr>
                <w:rFonts w:ascii="Calibri" w:eastAsia="Times New Roman" w:hAnsi="Calibri" w:cs="Calibri"/>
                <w:kern w:val="0"/>
                <w:sz w:val="24"/>
                <w:szCs w:val="24"/>
                <w:lang w:eastAsia="pt-BR"/>
                <w14:ligatures w14:val="none"/>
              </w:rPr>
            </w:pPr>
            <w:r w:rsidRPr="00AF57CF">
              <w:rPr>
                <w:rFonts w:ascii="Calibri" w:eastAsia="Times New Roman" w:hAnsi="Calibri" w:cs="Calibri"/>
                <w:kern w:val="0"/>
                <w:sz w:val="24"/>
                <w:szCs w:val="24"/>
                <w:lang w:eastAsia="pt-BR"/>
                <w14:ligatures w14:val="none"/>
              </w:rPr>
              <w:t>Transferido para parte de definições da consolidação.</w:t>
            </w:r>
          </w:p>
        </w:tc>
      </w:tr>
      <w:tr w:rsidR="00E31838" w:rsidRPr="0010524E" w14:paraId="76AF2100" w14:textId="28B5032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48E4D51"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XI - Ativos Financeiros: aqueles definidos nos termos da regulamentação do Banco Central do Brasil e da Comissão de Valores Mobiliários;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38DD18"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A868BD4" w14:textId="19D441E4" w:rsidR="00E31838" w:rsidRPr="0010524E" w:rsidRDefault="00E31838" w:rsidP="00A95720">
            <w:pPr>
              <w:jc w:val="both"/>
              <w:rPr>
                <w:rFonts w:ascii="Calibri" w:eastAsia="Times New Roman" w:hAnsi="Calibri" w:cs="Calibri"/>
                <w:kern w:val="0"/>
                <w:sz w:val="24"/>
                <w:szCs w:val="24"/>
                <w:lang w:eastAsia="pt-BR"/>
                <w14:ligatures w14:val="none"/>
              </w:rPr>
            </w:pPr>
            <w:r w:rsidRPr="00AF57CF">
              <w:rPr>
                <w:rFonts w:ascii="Calibri" w:eastAsia="Times New Roman" w:hAnsi="Calibri" w:cs="Calibri"/>
                <w:kern w:val="0"/>
                <w:sz w:val="24"/>
                <w:szCs w:val="24"/>
                <w:lang w:eastAsia="pt-BR"/>
                <w14:ligatures w14:val="none"/>
              </w:rPr>
              <w:t>Transferido para parte de definições da consolidação.</w:t>
            </w:r>
          </w:p>
        </w:tc>
      </w:tr>
      <w:tr w:rsidR="00E31838" w:rsidRPr="0010524E" w14:paraId="245CB948" w14:textId="091F370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791FDCD"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XII - Patrimônio Social: recursos acumulados para fazer frente às obrigações dos planos de benefícios de caráter previdencial e assistencial e do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C2849A"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65EDB3" w14:textId="6D0D161B"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Transferido para parte </w:t>
            </w:r>
            <w:r>
              <w:rPr>
                <w:rFonts w:ascii="Calibri" w:eastAsia="Times New Roman" w:hAnsi="Calibri" w:cs="Calibri"/>
                <w:kern w:val="0"/>
                <w:sz w:val="24"/>
                <w:szCs w:val="24"/>
                <w:lang w:eastAsia="pt-BR"/>
                <w14:ligatures w14:val="none"/>
              </w:rPr>
              <w:t>de definições da consolidação.</w:t>
            </w:r>
          </w:p>
        </w:tc>
      </w:tr>
      <w:tr w:rsidR="00E31838" w:rsidRPr="0010524E" w14:paraId="44E0D4F3" w14:textId="144DB7B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43CBD0D"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XIII - Adições: contribuições, remunerações de contribuições em atraso e de contribuições contratadas do plano de benefícios previdencial, recursos oriundos de </w:t>
            </w:r>
            <w:r w:rsidRPr="0010524E">
              <w:rPr>
                <w:rFonts w:ascii="Calibri" w:hAnsi="Calibri" w:cs="Calibri"/>
                <w:sz w:val="24"/>
                <w:szCs w:val="24"/>
              </w:rPr>
              <w:lastRenderedPageBreak/>
              <w:t xml:space="preserve">transferências de gerenciamento, migrações e portabilidade entre planos de benefícios de caráter previdencial e outras adições;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2D508B"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77E6DF"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Transferido para parte inicial da Resolução.</w:t>
            </w:r>
          </w:p>
        </w:tc>
      </w:tr>
      <w:tr w:rsidR="00E31838" w:rsidRPr="0010524E" w14:paraId="428DC562" w14:textId="6B7B3C2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056434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XIV - Deduções: benefícios previdenciários, recursos destinados a resgate, a portabilidade, a migrações e as transferências de gerenciamento, entre planos de benefícios de caráter previdencial e outras deduções;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5EA0FB"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1526F8A" w14:textId="14C1FB8F" w:rsidR="00E31838" w:rsidRPr="0010524E" w:rsidRDefault="00E31838" w:rsidP="00A95720">
            <w:pPr>
              <w:jc w:val="both"/>
              <w:rPr>
                <w:rFonts w:ascii="Calibri" w:eastAsia="Times New Roman" w:hAnsi="Calibri" w:cs="Calibri"/>
                <w:kern w:val="0"/>
                <w:sz w:val="24"/>
                <w:szCs w:val="24"/>
                <w:lang w:eastAsia="pt-BR"/>
                <w14:ligatures w14:val="none"/>
              </w:rPr>
            </w:pPr>
            <w:r w:rsidRPr="00436184">
              <w:rPr>
                <w:rFonts w:ascii="Calibri" w:eastAsia="Times New Roman" w:hAnsi="Calibri" w:cs="Calibri"/>
                <w:kern w:val="0"/>
                <w:sz w:val="24"/>
                <w:szCs w:val="24"/>
                <w:lang w:eastAsia="pt-BR"/>
                <w14:ligatures w14:val="none"/>
              </w:rPr>
              <w:t>Transferido para parte de definições da consolidação.</w:t>
            </w:r>
          </w:p>
        </w:tc>
      </w:tr>
      <w:tr w:rsidR="00E31838" w:rsidRPr="0010524E" w14:paraId="6EA49CD6" w14:textId="0C57C46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3DA1D66"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XV - Receitas: 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A6BDA6"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4C68337" w14:textId="51229EF5" w:rsidR="00E31838" w:rsidRPr="0010524E" w:rsidRDefault="00E31838" w:rsidP="00A95720">
            <w:pPr>
              <w:jc w:val="both"/>
              <w:rPr>
                <w:rFonts w:ascii="Calibri" w:eastAsia="Times New Roman" w:hAnsi="Calibri" w:cs="Calibri"/>
                <w:kern w:val="0"/>
                <w:sz w:val="24"/>
                <w:szCs w:val="24"/>
                <w:lang w:eastAsia="pt-BR"/>
                <w14:ligatures w14:val="none"/>
              </w:rPr>
            </w:pPr>
            <w:r w:rsidRPr="00436184">
              <w:rPr>
                <w:rFonts w:ascii="Calibri" w:eastAsia="Times New Roman" w:hAnsi="Calibri" w:cs="Calibri"/>
                <w:kern w:val="0"/>
                <w:sz w:val="24"/>
                <w:szCs w:val="24"/>
                <w:lang w:eastAsia="pt-BR"/>
                <w14:ligatures w14:val="none"/>
              </w:rPr>
              <w:t>Transferido para parte de definições da consolidação.</w:t>
            </w:r>
          </w:p>
        </w:tc>
      </w:tr>
      <w:tr w:rsidR="00E31838" w:rsidRPr="0010524E" w14:paraId="50207184" w14:textId="5E99AC9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C219F0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XVI - Despesas: salários e encargos com pessoal, treinamento, viagens e estadias, serviços de terceiros, despesas gerais, depreciações, amortizações, tributos, fomento e inovação e outras registradas no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DD9425"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F8944C7" w14:textId="028DB17C" w:rsidR="00E31838" w:rsidRPr="0010524E" w:rsidRDefault="00E31838" w:rsidP="00A95720">
            <w:pPr>
              <w:jc w:val="both"/>
              <w:rPr>
                <w:rFonts w:ascii="Calibri" w:eastAsia="Times New Roman" w:hAnsi="Calibri" w:cs="Calibri"/>
                <w:kern w:val="0"/>
                <w:sz w:val="24"/>
                <w:szCs w:val="24"/>
                <w:lang w:eastAsia="pt-BR"/>
                <w14:ligatures w14:val="none"/>
              </w:rPr>
            </w:pPr>
            <w:r w:rsidRPr="00582D29">
              <w:rPr>
                <w:rFonts w:ascii="Calibri" w:eastAsia="Times New Roman" w:hAnsi="Calibri" w:cs="Calibri"/>
                <w:kern w:val="0"/>
                <w:sz w:val="24"/>
                <w:szCs w:val="24"/>
                <w:lang w:eastAsia="pt-BR"/>
                <w14:ligatures w14:val="none"/>
              </w:rPr>
              <w:t>Transferido para parte de definições da consolidação.</w:t>
            </w:r>
          </w:p>
        </w:tc>
      </w:tr>
      <w:tr w:rsidR="00E31838" w:rsidRPr="0010524E" w14:paraId="5BBFF657" w14:textId="6FAD67F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7AFAC19"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 xml:space="preserve">XVII - Rendas/Variações Positivas: resultados positivos dos investimentos dos planos de benefícios de caráter previdencial e assistencial e do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69F812"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15EC532" w14:textId="45602FC3" w:rsidR="00E31838" w:rsidRPr="0010524E" w:rsidRDefault="00E31838" w:rsidP="00A95720">
            <w:pPr>
              <w:jc w:val="both"/>
              <w:rPr>
                <w:rFonts w:ascii="Calibri" w:eastAsia="Times New Roman" w:hAnsi="Calibri" w:cs="Calibri"/>
                <w:kern w:val="0"/>
                <w:sz w:val="24"/>
                <w:szCs w:val="24"/>
                <w:lang w:eastAsia="pt-BR"/>
                <w14:ligatures w14:val="none"/>
              </w:rPr>
            </w:pPr>
            <w:r w:rsidRPr="00582D29">
              <w:rPr>
                <w:rFonts w:ascii="Calibri" w:eastAsia="Times New Roman" w:hAnsi="Calibri" w:cs="Calibri"/>
                <w:kern w:val="0"/>
                <w:sz w:val="24"/>
                <w:szCs w:val="24"/>
                <w:lang w:eastAsia="pt-BR"/>
                <w14:ligatures w14:val="none"/>
              </w:rPr>
              <w:t>Transferido para parte de definições da consolidação.</w:t>
            </w:r>
          </w:p>
        </w:tc>
      </w:tr>
      <w:tr w:rsidR="00E31838" w:rsidRPr="0010524E" w14:paraId="1682FF67" w14:textId="15E2294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E5A4616"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XVIII - Deduções/Variações Negativas: resultados negativos dos investimentos dos planos de benefícios de caráter previdencial e assistencial e do PGA, bem como das despesas diretas de investimentos;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3FBC12"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1EBE9A" w14:textId="41DAF256"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Transferido para parte </w:t>
            </w:r>
            <w:r>
              <w:rPr>
                <w:rFonts w:ascii="Calibri" w:eastAsia="Times New Roman" w:hAnsi="Calibri" w:cs="Calibri"/>
                <w:kern w:val="0"/>
                <w:sz w:val="24"/>
                <w:szCs w:val="24"/>
                <w:lang w:eastAsia="pt-BR"/>
                <w14:ligatures w14:val="none"/>
              </w:rPr>
              <w:t>de definições da consolidação.</w:t>
            </w:r>
          </w:p>
        </w:tc>
      </w:tr>
      <w:tr w:rsidR="00E31838" w:rsidRPr="0010524E" w14:paraId="6A559AFD" w14:textId="3919480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A8CC3A6"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XIX - Despesas Diretas de Investimentos: gastos necessários à efetivação, à manutenção e à recuperação dos resultados dos investimentos dos planos de benefícios de caráter previdencial e do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3A77BE"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1095F4" w14:textId="078F988D"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Transferido para parte </w:t>
            </w:r>
            <w:r>
              <w:rPr>
                <w:rFonts w:ascii="Calibri" w:eastAsia="Times New Roman" w:hAnsi="Calibri" w:cs="Calibri"/>
                <w:kern w:val="0"/>
                <w:sz w:val="24"/>
                <w:szCs w:val="24"/>
                <w:lang w:eastAsia="pt-BR"/>
                <w14:ligatures w14:val="none"/>
              </w:rPr>
              <w:t>de definições da consolidação.</w:t>
            </w:r>
          </w:p>
        </w:tc>
      </w:tr>
      <w:tr w:rsidR="00E31838" w:rsidRPr="0010524E" w14:paraId="72D630A4" w14:textId="24B541E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127C4B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XX - Patrimônio de Cobertura do Plano: recursos líquidos dos planos de benefícios de caráter previdencial, representados pelo resultado da seguinte sentença: Ativo Total - (Passivo Exigível Operacional + Passivo Exigível Contingencial + Fundo Previdencial + Fundo Administrativo + Fundo para Garantia das Operações com Participantes);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B33E8F"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73BAE9" w14:textId="2ADBFB64"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Transferido para parte </w:t>
            </w:r>
            <w:r>
              <w:rPr>
                <w:rFonts w:ascii="Calibri" w:eastAsia="Times New Roman" w:hAnsi="Calibri" w:cs="Calibri"/>
                <w:kern w:val="0"/>
                <w:sz w:val="24"/>
                <w:szCs w:val="24"/>
                <w:lang w:eastAsia="pt-BR"/>
                <w14:ligatures w14:val="none"/>
              </w:rPr>
              <w:t>de definições da consolidação.</w:t>
            </w:r>
          </w:p>
        </w:tc>
      </w:tr>
      <w:tr w:rsidR="00E31838" w:rsidRPr="0010524E" w14:paraId="7CF611A4" w14:textId="4DB225C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E150608"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XXI - Adiantamento de contribuições do patrocinador: recebimento de recursos do </w:t>
            </w:r>
            <w:r w:rsidRPr="0010524E">
              <w:rPr>
                <w:rFonts w:ascii="Calibri" w:hAnsi="Calibri" w:cs="Calibri"/>
                <w:sz w:val="24"/>
                <w:szCs w:val="24"/>
              </w:rPr>
              <w:lastRenderedPageBreak/>
              <w:t>patrocinador para o custeio administrativo, no início de funcionamento da EFPC ou de plano de benefícios de caráter previdencial;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7952910"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552195" w14:textId="5447FE93"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Transferido para parte </w:t>
            </w:r>
            <w:r>
              <w:rPr>
                <w:rFonts w:ascii="Calibri" w:eastAsia="Times New Roman" w:hAnsi="Calibri" w:cs="Calibri"/>
                <w:kern w:val="0"/>
                <w:sz w:val="24"/>
                <w:szCs w:val="24"/>
                <w:lang w:eastAsia="pt-BR"/>
                <w14:ligatures w14:val="none"/>
              </w:rPr>
              <w:t>de definições da consolidação.</w:t>
            </w:r>
          </w:p>
        </w:tc>
      </w:tr>
      <w:tr w:rsidR="00E31838" w:rsidRPr="0010524E" w14:paraId="0B3AD099" w14:textId="730AB35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70FA97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XXII - Partes relacionadas: pessoas físicas ou jurídicas que mantêm relação com a EFPC, por meio de seus planos de benefícios de caráter previdencial ou assistencial ou qualquer outro tipo de relacionamento com 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E5928B"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33EDE9" w14:textId="68FE1FAC"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Transferido para parte </w:t>
            </w:r>
            <w:r>
              <w:rPr>
                <w:rFonts w:ascii="Calibri" w:eastAsia="Times New Roman" w:hAnsi="Calibri" w:cs="Calibri"/>
                <w:kern w:val="0"/>
                <w:sz w:val="24"/>
                <w:szCs w:val="24"/>
                <w:lang w:eastAsia="pt-BR"/>
                <w14:ligatures w14:val="none"/>
              </w:rPr>
              <w:t>de definições da consolidação.</w:t>
            </w:r>
          </w:p>
        </w:tc>
      </w:tr>
      <w:tr w:rsidR="00E31838" w:rsidRPr="0010524E" w14:paraId="13EF5178" w14:textId="0FDF1F1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A6145F6"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0C5DA0A" w14:textId="77777777" w:rsidR="00E31838" w:rsidRPr="0010524E" w:rsidRDefault="00E31838" w:rsidP="00A95720">
            <w:pPr>
              <w:pStyle w:val="PargrafodaLista"/>
              <w:tabs>
                <w:tab w:val="left" w:pos="993"/>
                <w:tab w:val="left" w:pos="1486"/>
              </w:tabs>
              <w:spacing w:after="120"/>
              <w:ind w:left="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XXIII - Evento subsequente: qualquer evento entre à data de encerramento do exercício e de sua publicação que tenham ou possam vir a ter efeitos relevantes sobre a situação financeira ou econômica dos planos;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4A8C26" w14:textId="63D45B98"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Inclusão de definição</w:t>
            </w:r>
          </w:p>
        </w:tc>
      </w:tr>
      <w:tr w:rsidR="00E31838" w:rsidRPr="0010524E" w14:paraId="4304B874" w14:textId="2F45A13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F151CE4" w14:textId="77777777" w:rsidR="00E31838" w:rsidRPr="0010524E" w:rsidRDefault="00E31838" w:rsidP="00233C43">
            <w:pPr>
              <w:spacing w:after="0"/>
              <w:jc w:val="center"/>
              <w:rPr>
                <w:rFonts w:ascii="Calibri" w:hAnsi="Calibri" w:cs="Calibri"/>
                <w:sz w:val="24"/>
                <w:szCs w:val="24"/>
              </w:rPr>
            </w:pPr>
            <w:r w:rsidRPr="0010524E">
              <w:rPr>
                <w:rFonts w:ascii="Calibri" w:hAnsi="Calibri" w:cs="Calibri"/>
                <w:sz w:val="24"/>
                <w:szCs w:val="24"/>
              </w:rPr>
              <w:t>CAPÍTULO II</w:t>
            </w:r>
          </w:p>
          <w:p w14:paraId="48024ECA" w14:textId="77777777" w:rsidR="00E31838" w:rsidRPr="0010524E" w:rsidRDefault="00E31838" w:rsidP="00233C43">
            <w:pPr>
              <w:spacing w:after="0"/>
              <w:jc w:val="center"/>
              <w:rPr>
                <w:rFonts w:ascii="Calibri" w:hAnsi="Calibri" w:cs="Calibri"/>
                <w:sz w:val="24"/>
                <w:szCs w:val="24"/>
              </w:rPr>
            </w:pPr>
            <w:r w:rsidRPr="0010524E">
              <w:rPr>
                <w:rFonts w:ascii="Calibri" w:hAnsi="Calibri" w:cs="Calibri"/>
                <w:sz w:val="24"/>
                <w:szCs w:val="24"/>
              </w:rPr>
              <w:t>DOS PROCEDIMENTOS CONTÁBEIS DAS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956DCE" w14:textId="77777777" w:rsidR="00E31838" w:rsidRPr="0010524E" w:rsidRDefault="00E31838" w:rsidP="00A957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A24A2E"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excluído para adaptação à estrutura da consolidação de normas.</w:t>
            </w:r>
          </w:p>
        </w:tc>
      </w:tr>
      <w:tr w:rsidR="00E31838" w:rsidRPr="0010524E" w14:paraId="1DD5B74A" w14:textId="32644C0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701"/>
        </w:trPr>
        <w:tc>
          <w:tcPr>
            <w:tcW w:w="4598" w:type="dxa"/>
            <w:tcBorders>
              <w:top w:val="single" w:sz="4" w:space="0" w:color="auto"/>
              <w:left w:val="single" w:sz="4" w:space="0" w:color="auto"/>
              <w:right w:val="single" w:sz="4" w:space="0" w:color="auto"/>
            </w:tcBorders>
            <w:vAlign w:val="center"/>
          </w:tcPr>
          <w:p w14:paraId="272509A4" w14:textId="77777777" w:rsidR="00E31838" w:rsidRPr="00233C43" w:rsidRDefault="00E31838" w:rsidP="00233C43">
            <w:pPr>
              <w:spacing w:after="0"/>
              <w:jc w:val="center"/>
              <w:rPr>
                <w:rFonts w:ascii="Calibri" w:hAnsi="Calibri" w:cs="Calibri"/>
                <w:b/>
                <w:bCs/>
                <w:sz w:val="24"/>
                <w:szCs w:val="24"/>
              </w:rPr>
            </w:pPr>
            <w:r w:rsidRPr="00233C43">
              <w:rPr>
                <w:rFonts w:ascii="Calibri" w:hAnsi="Calibri" w:cs="Calibri"/>
                <w:b/>
                <w:bCs/>
                <w:sz w:val="24"/>
                <w:szCs w:val="24"/>
              </w:rPr>
              <w:t>Seção I</w:t>
            </w:r>
          </w:p>
          <w:p w14:paraId="52EFA7B4" w14:textId="77777777" w:rsidR="00E31838" w:rsidRPr="00233C43" w:rsidRDefault="00E31838" w:rsidP="00233C43">
            <w:pPr>
              <w:spacing w:after="0"/>
              <w:jc w:val="center"/>
              <w:rPr>
                <w:rFonts w:ascii="Calibri" w:hAnsi="Calibri" w:cs="Calibri"/>
                <w:b/>
                <w:bCs/>
                <w:sz w:val="24"/>
                <w:szCs w:val="24"/>
              </w:rPr>
            </w:pPr>
            <w:r w:rsidRPr="00233C43">
              <w:rPr>
                <w:rFonts w:ascii="Calibri" w:hAnsi="Calibri" w:cs="Calibri"/>
                <w:b/>
                <w:bCs/>
                <w:sz w:val="24"/>
                <w:szCs w:val="24"/>
              </w:rPr>
              <w:t>Dos procedimentos contábeis</w:t>
            </w:r>
          </w:p>
        </w:tc>
        <w:tc>
          <w:tcPr>
            <w:tcW w:w="5462" w:type="dxa"/>
            <w:tcBorders>
              <w:top w:val="single" w:sz="4" w:space="0" w:color="auto"/>
              <w:left w:val="single" w:sz="4" w:space="0" w:color="auto"/>
              <w:right w:val="single" w:sz="4" w:space="0" w:color="auto"/>
            </w:tcBorders>
            <w:shd w:val="clear" w:color="auto" w:fill="auto"/>
            <w:noWrap/>
          </w:tcPr>
          <w:p w14:paraId="189FE008" w14:textId="77777777" w:rsidR="00E31838" w:rsidRPr="0010524E" w:rsidRDefault="00E31838" w:rsidP="00A95720">
            <w:pPr>
              <w:pStyle w:val="PargrafodaLista"/>
              <w:tabs>
                <w:tab w:val="left" w:pos="993"/>
              </w:tabs>
              <w:spacing w:after="120"/>
              <w:ind w:left="0"/>
              <w:jc w:val="center"/>
              <w:rPr>
                <w:rFonts w:ascii="Calibri" w:eastAsia="Calibri" w:hAnsi="Calibri" w:cs="Calibri"/>
                <w:b/>
                <w:bCs/>
                <w:sz w:val="24"/>
                <w:szCs w:val="24"/>
              </w:rPr>
            </w:pPr>
          </w:p>
          <w:p w14:paraId="7CE83E22" w14:textId="77777777" w:rsidR="00E31838" w:rsidRPr="0010524E" w:rsidRDefault="00E31838" w:rsidP="00A95720">
            <w:pPr>
              <w:pStyle w:val="PargrafodaLista"/>
              <w:tabs>
                <w:tab w:val="left" w:pos="993"/>
              </w:tabs>
              <w:spacing w:after="120"/>
              <w:jc w:val="center"/>
              <w:rPr>
                <w:rFonts w:ascii="Calibri" w:eastAsia="Calibri" w:hAnsi="Calibri" w:cs="Calibri"/>
                <w:b/>
                <w:bCs/>
                <w:sz w:val="24"/>
                <w:szCs w:val="24"/>
              </w:rPr>
            </w:pPr>
          </w:p>
          <w:p w14:paraId="42DB5F54" w14:textId="0E2059FF" w:rsidR="00E31838" w:rsidRPr="0010524E" w:rsidRDefault="00E31838" w:rsidP="00A95720">
            <w:pPr>
              <w:pStyle w:val="PargrafodaLista"/>
              <w:tabs>
                <w:tab w:val="left" w:pos="912"/>
              </w:tabs>
              <w:spacing w:after="120"/>
              <w:ind w:left="-26" w:firstLine="55"/>
              <w:jc w:val="center"/>
              <w:rPr>
                <w:rFonts w:ascii="Calibri" w:eastAsia="Times New Roman" w:hAnsi="Calibri" w:cs="Calibri"/>
                <w:kern w:val="0"/>
                <w:sz w:val="24"/>
                <w:szCs w:val="24"/>
                <w:lang w:eastAsia="pt-BR"/>
                <w14:ligatures w14:val="none"/>
              </w:rPr>
            </w:pPr>
            <w:r>
              <w:rPr>
                <w:rFonts w:ascii="Calibri" w:eastAsia="Calibri" w:hAnsi="Calibri" w:cs="Calibri"/>
                <w:b/>
                <w:bCs/>
                <w:sz w:val="24"/>
                <w:szCs w:val="24"/>
              </w:rPr>
              <w:t>Seç</w:t>
            </w:r>
            <w:r w:rsidRPr="0010524E">
              <w:rPr>
                <w:rFonts w:ascii="Calibri" w:eastAsia="Calibri" w:hAnsi="Calibri" w:cs="Calibri"/>
                <w:b/>
                <w:bCs/>
                <w:sz w:val="24"/>
                <w:szCs w:val="24"/>
              </w:rPr>
              <w:t>ão II</w:t>
            </w:r>
          </w:p>
          <w:p w14:paraId="06407B86" w14:textId="74E4FD9E" w:rsidR="00E31838" w:rsidRPr="0010524E" w:rsidRDefault="00E31838" w:rsidP="00A95720">
            <w:pPr>
              <w:pStyle w:val="PargrafodaLista"/>
              <w:tabs>
                <w:tab w:val="left" w:pos="993"/>
              </w:tabs>
              <w:spacing w:after="120"/>
              <w:ind w:left="-26" w:firstLine="55"/>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Registros contábeis das EFPC</w:t>
            </w:r>
          </w:p>
        </w:tc>
        <w:tc>
          <w:tcPr>
            <w:tcW w:w="4076" w:type="dxa"/>
            <w:tcBorders>
              <w:top w:val="single" w:sz="4" w:space="0" w:color="auto"/>
              <w:left w:val="single" w:sz="4" w:space="0" w:color="auto"/>
              <w:right w:val="single" w:sz="4" w:space="0" w:color="auto"/>
            </w:tcBorders>
            <w:shd w:val="clear" w:color="auto" w:fill="auto"/>
            <w:noWrap/>
            <w:vAlign w:val="center"/>
          </w:tcPr>
          <w:p w14:paraId="72CF82B1"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Numeração e nome da seção alterados para adaptação à estrutura da consolidação de normas e não repetição do nome do capítulo.</w:t>
            </w:r>
          </w:p>
        </w:tc>
      </w:tr>
      <w:tr w:rsidR="00E31838" w:rsidRPr="0010524E" w14:paraId="35A2E4A1" w14:textId="5ED1D25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AE55672"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3º Os registros contábeis das EFPC devem ser realizados de forma que o patrimônio, as respectivas mutações e os resultados possam ser evidenciados de maneira individualizada, </w:t>
            </w:r>
            <w:r w:rsidRPr="0010524E">
              <w:rPr>
                <w:rFonts w:ascii="Calibri" w:hAnsi="Calibri" w:cs="Calibri"/>
                <w:sz w:val="24"/>
                <w:szCs w:val="24"/>
              </w:rPr>
              <w:lastRenderedPageBreak/>
              <w:t xml:space="preserve">em relação aos planos de benefícios de caráter previdencial e assistencial e do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320E9C" w14:textId="3206848F" w:rsidR="00E31838" w:rsidRPr="0010524E" w:rsidRDefault="00E31838" w:rsidP="00233C43">
            <w:pPr>
              <w:spacing w:after="12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lastRenderedPageBreak/>
              <w:t xml:space="preserve">Art. 173.  Os registros contábeis das EFPC devem ser realizados de forma que o patrimônio, as respectivas mutações e os resultados possam ser evidenciados de maneira individualizada, em relação aos planos de </w:t>
            </w:r>
            <w:r w:rsidRPr="0010524E">
              <w:rPr>
                <w:rFonts w:ascii="Calibri" w:eastAsia="Calibri" w:hAnsi="Calibri" w:cs="Calibri"/>
                <w:sz w:val="24"/>
                <w:szCs w:val="24"/>
              </w:rPr>
              <w:lastRenderedPageBreak/>
              <w:t>benefícios de caráter previdencial e assistencial e do 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673D2F" w14:textId="4B0C0C53"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w:t>
            </w:r>
          </w:p>
        </w:tc>
      </w:tr>
      <w:tr w:rsidR="00E31838" w:rsidRPr="0010524E" w14:paraId="631C447E" w14:textId="05FC805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529C2F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Art. 4º Os planos assistenciais à saúde, regulados pela Agência Nacional de Saúde Suplementar, devem efetuar e manter seus registros contábeis em separado, de forma a possibilitar a independência do patrimônio e dos resultados e a adequação à legislação aplicável ao setor de saúde suplementar, mediante a utilização do desdobramento analítico das contas relativas à gestão assistencial, de acordo com o plano contábil e as práticas contábeis estabelecidas pela Agência Nacional de Saúde Suplementar.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2851D8" w14:textId="3F184022" w:rsidR="00E31838" w:rsidRPr="0010524E" w:rsidRDefault="00E31838" w:rsidP="00233C43">
            <w:pPr>
              <w:spacing w:after="12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Art. 174.  Os planos assistenciais à saúde, regulados pela Agência Nacional de Saúde Suplementar, devem efetuar e manter seus registros contábeis em separado, de forma a possibilitar a independência do patrimônio e dos resultados e a adequação à legislação aplicável ao setor de saúde suplementar, mediante a utilização do desdobramento analítico das contas relativas à gestão assistencial, de acordo com o plano contábil e as práticas contábeis estabelecidas pela Agência Nacional de Saúde Suplementar.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D8B173" w14:textId="2841AFBC"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473C2B75" w14:textId="5642F58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E7C8D0F" w14:textId="77777777" w:rsidR="00E31838" w:rsidRPr="00233C43" w:rsidRDefault="00E31838" w:rsidP="00233C43">
            <w:pPr>
              <w:spacing w:after="0"/>
              <w:jc w:val="center"/>
              <w:rPr>
                <w:rFonts w:ascii="Calibri" w:hAnsi="Calibri" w:cs="Calibri"/>
                <w:b/>
                <w:bCs/>
                <w:sz w:val="24"/>
                <w:szCs w:val="24"/>
              </w:rPr>
            </w:pPr>
            <w:r w:rsidRPr="00233C43">
              <w:rPr>
                <w:rFonts w:ascii="Calibri" w:hAnsi="Calibri" w:cs="Calibri"/>
                <w:b/>
                <w:bCs/>
                <w:sz w:val="24"/>
                <w:szCs w:val="24"/>
              </w:rPr>
              <w:t>Seção II</w:t>
            </w:r>
          </w:p>
          <w:p w14:paraId="1B3C58E2" w14:textId="77777777" w:rsidR="00E31838" w:rsidRPr="0010524E" w:rsidRDefault="00E31838" w:rsidP="00233C43">
            <w:pPr>
              <w:spacing w:after="0"/>
              <w:jc w:val="center"/>
              <w:rPr>
                <w:rFonts w:ascii="Calibri" w:hAnsi="Calibri" w:cs="Calibri"/>
                <w:sz w:val="24"/>
                <w:szCs w:val="24"/>
              </w:rPr>
            </w:pPr>
            <w:r w:rsidRPr="00233C43">
              <w:rPr>
                <w:rFonts w:ascii="Calibri" w:hAnsi="Calibri" w:cs="Calibri"/>
                <w:b/>
                <w:bCs/>
                <w:sz w:val="24"/>
                <w:szCs w:val="24"/>
              </w:rPr>
              <w:t>Do Plano de Gestão Administrativa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85CCC1" w14:textId="77777777" w:rsidR="00E31838" w:rsidRPr="0010524E" w:rsidRDefault="00E31838" w:rsidP="00A95720">
            <w:pPr>
              <w:spacing w:after="120"/>
              <w:jc w:val="center"/>
              <w:rPr>
                <w:rFonts w:ascii="Calibri" w:eastAsia="Calibri" w:hAnsi="Calibri" w:cs="Calibri"/>
                <w:b/>
                <w:bCs/>
                <w:sz w:val="24"/>
                <w:szCs w:val="24"/>
              </w:rPr>
            </w:pPr>
            <w:r w:rsidRPr="0010524E">
              <w:rPr>
                <w:rFonts w:ascii="Calibri" w:eastAsia="Calibri" w:hAnsi="Calibri" w:cs="Calibri"/>
                <w:b/>
                <w:bCs/>
                <w:sz w:val="24"/>
                <w:szCs w:val="24"/>
              </w:rPr>
              <w:t>Subseção I</w:t>
            </w:r>
          </w:p>
          <w:p w14:paraId="005C315C" w14:textId="20613E8E" w:rsidR="00E31838" w:rsidRPr="0010524E" w:rsidRDefault="00E31838" w:rsidP="00233C43">
            <w:pPr>
              <w:spacing w:after="12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DE38F6"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E31838" w:rsidRPr="0010524E" w14:paraId="27B45D03" w14:textId="6A584B0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A5BF38E"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5º As EFPC devem registrar, ao final de cada mês, no balancete de cada plano de benefícios de caráter previdencial, nas contas "Participação no PGA", no Ativo, e "Participação no Fundo Administrativo do PGA", no Passivo, a parcela equivalente à participação do plano de benefícios no fundo administrativo registrado no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49B766F" w14:textId="4306E811" w:rsidR="00E31838" w:rsidRPr="0010524E" w:rsidRDefault="00E31838" w:rsidP="00233C43">
            <w:pPr>
              <w:spacing w:after="12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Art. 175.  As EFPC devem registrar, ao final de cada mês, no balancete de cada plano de benefícios de caráter previdencial, nas contas "Participação no Plano de Gestão Administrativa", no Ativo, e "Participação no Fundo Administrativo do Plano de Gestão Administrativa", no Passivo, a parcela equivalente à participação do plano de benefícios no fundo </w:t>
            </w:r>
            <w:r w:rsidRPr="0010524E">
              <w:rPr>
                <w:rFonts w:ascii="Calibri" w:eastAsia="Calibri" w:hAnsi="Calibri" w:cs="Calibri"/>
                <w:sz w:val="24"/>
                <w:szCs w:val="24"/>
              </w:rPr>
              <w:lastRenderedPageBreak/>
              <w:t>administrativo registrado no 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1B7716" w14:textId="7AFF8221"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w:t>
            </w:r>
          </w:p>
        </w:tc>
      </w:tr>
      <w:tr w:rsidR="00E31838" w:rsidRPr="0010524E" w14:paraId="48A227C6" w14:textId="1500536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D6103A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Parágrafo único. Excetua-se da regra do caput a parcela relativa ao fundo administrativo constituído para cobertura de gastos com prospecção, elaboração, implantação e fomento de planos de benefícios de caráter previdencial, que deve ser registrada na conta contábil denominada "Fundo Administrativo Compartilhado", no PGA.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D5BCB1" w14:textId="7B019FED" w:rsidR="00E31838" w:rsidRPr="0010524E" w:rsidRDefault="00E31838" w:rsidP="00233C43">
            <w:pPr>
              <w:spacing w:before="120" w:after="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Parágrafo único.  Excetua-se da regra do </w:t>
            </w:r>
            <w:r w:rsidRPr="0010524E">
              <w:rPr>
                <w:rFonts w:ascii="Calibri" w:eastAsia="Calibri" w:hAnsi="Calibri" w:cs="Calibri"/>
                <w:b/>
                <w:bCs/>
                <w:sz w:val="24"/>
                <w:szCs w:val="24"/>
              </w:rPr>
              <w:t xml:space="preserve">caput </w:t>
            </w:r>
            <w:r w:rsidRPr="0010524E">
              <w:rPr>
                <w:rFonts w:ascii="Calibri" w:eastAsia="Calibri" w:hAnsi="Calibri" w:cs="Calibri"/>
                <w:sz w:val="24"/>
                <w:szCs w:val="24"/>
              </w:rPr>
              <w:t>a parcela relativa ao fundo administrativo constituído para cobertura de gastos com prospecção, elaboração, implantação e fomento de planos de benefícios de caráter previdencial, que deve ser registrada na conta contábil denominada "Fundo Administrativo Compartilhado", no 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B48D6C" w14:textId="37302D1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4FC675E3" w14:textId="5F0929D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FDCB1F9" w14:textId="77777777" w:rsidR="00E31838" w:rsidRPr="0010524E" w:rsidRDefault="00E31838" w:rsidP="00233C43">
            <w:pPr>
              <w:spacing w:after="0"/>
              <w:jc w:val="center"/>
              <w:rPr>
                <w:rFonts w:ascii="Calibri" w:hAnsi="Calibri" w:cs="Calibri"/>
                <w:sz w:val="24"/>
                <w:szCs w:val="24"/>
              </w:rPr>
            </w:pPr>
            <w:r w:rsidRPr="0010524E">
              <w:rPr>
                <w:rFonts w:ascii="Calibri" w:hAnsi="Calibri" w:cs="Calibri"/>
                <w:sz w:val="24"/>
                <w:szCs w:val="24"/>
              </w:rPr>
              <w:t>Subseção I</w:t>
            </w:r>
          </w:p>
          <w:p w14:paraId="20A4452C" w14:textId="77777777" w:rsidR="00E31838" w:rsidRPr="0010524E" w:rsidRDefault="00E31838" w:rsidP="00233C43">
            <w:pPr>
              <w:spacing w:after="0"/>
              <w:jc w:val="center"/>
              <w:rPr>
                <w:rFonts w:ascii="Calibri" w:hAnsi="Calibri" w:cs="Calibri"/>
                <w:sz w:val="24"/>
                <w:szCs w:val="24"/>
              </w:rPr>
            </w:pPr>
            <w:r w:rsidRPr="0010524E">
              <w:rPr>
                <w:rFonts w:ascii="Calibri" w:hAnsi="Calibri" w:cs="Calibri"/>
                <w:sz w:val="24"/>
                <w:szCs w:val="24"/>
              </w:rPr>
              <w:t>Do fundo administrativo a descoberto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217DAF" w14:textId="77777777" w:rsidR="00E31838" w:rsidRPr="0010524E" w:rsidRDefault="00E31838" w:rsidP="00233C43">
            <w:pPr>
              <w:spacing w:after="0"/>
              <w:jc w:val="center"/>
              <w:rPr>
                <w:rFonts w:ascii="Calibri" w:eastAsia="Calibri" w:hAnsi="Calibri" w:cs="Calibri"/>
                <w:b/>
                <w:bCs/>
                <w:sz w:val="24"/>
                <w:szCs w:val="24"/>
              </w:rPr>
            </w:pPr>
            <w:r w:rsidRPr="0010524E">
              <w:rPr>
                <w:rFonts w:ascii="Calibri" w:eastAsia="Calibri" w:hAnsi="Calibri" w:cs="Calibri"/>
                <w:b/>
                <w:bCs/>
                <w:sz w:val="24"/>
                <w:szCs w:val="24"/>
              </w:rPr>
              <w:t>Subseção II</w:t>
            </w:r>
          </w:p>
          <w:p w14:paraId="32BA9AB1" w14:textId="335305FC" w:rsidR="00E31838" w:rsidRPr="0010524E" w:rsidRDefault="00E31838" w:rsidP="00233C43">
            <w:pPr>
              <w:spacing w:after="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Fundo administrativo a descoberto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CD586F"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Alterada a numeração para adaptação à estrutura da consolidação de normas.</w:t>
            </w:r>
          </w:p>
        </w:tc>
      </w:tr>
      <w:tr w:rsidR="00E31838" w:rsidRPr="0010524E" w14:paraId="3CC96479" w14:textId="4BDBE34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BA55DF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Art. 6º A EFPC pode receber adiantamento de contribuições de patrocinador para suportar gastos de operação no início de seu funcionamento ou do funcionamento de plano de benefícios de caráter previdencial administrado.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124755" w14:textId="00DB9B18" w:rsidR="00E31838" w:rsidRPr="0010524E" w:rsidRDefault="00E31838" w:rsidP="00A95720">
            <w:pPr>
              <w:pStyle w:val="PargrafodaLista"/>
              <w:tabs>
                <w:tab w:val="left" w:pos="993"/>
              </w:tabs>
              <w:spacing w:after="120"/>
              <w:ind w:left="61"/>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Art. 176.  A EFPC pode receber adiantamento de contribuições de patrocinador para suportar gastos de operação no início de seu funcionamento ou do funcionamento de plano de benefícios de caráter previdencial administrado.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478515" w14:textId="4E3EA3FF"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3B688898" w14:textId="5CAFD64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5205AE3"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Art. 7º A EFPC deve elaborar estudo de viabilidade econômica para demonstrar a forma de financiamento do plano de benefícios de caráter previdencial, quando apresentar fundo administrativo a descoberto.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4B83A5" w14:textId="4B8B9CB6" w:rsidR="00E31838" w:rsidRPr="0010524E" w:rsidRDefault="00E31838" w:rsidP="00A95720">
            <w:pPr>
              <w:pStyle w:val="PargrafodaLista"/>
              <w:tabs>
                <w:tab w:val="left" w:pos="993"/>
              </w:tabs>
              <w:spacing w:after="120"/>
              <w:ind w:left="61"/>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Art. 177.  A EFPC deve elaborar estudo de viabilidade econômica para demonstrar a forma de financiamento do plano de benefícios de caráter previdencial, quando apresentar fundo administrativo a descoberto.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0607DE" w14:textId="542642E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2B11C563" w14:textId="165A173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1721E6C"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3AD593" w14:textId="77777777" w:rsidR="00E31838" w:rsidRPr="0010524E" w:rsidRDefault="00E31838" w:rsidP="00233C43">
            <w:pPr>
              <w:spacing w:after="0"/>
              <w:jc w:val="center"/>
              <w:rPr>
                <w:rFonts w:ascii="Calibri" w:eastAsia="Calibri" w:hAnsi="Calibri" w:cs="Calibri"/>
                <w:b/>
                <w:bCs/>
                <w:sz w:val="24"/>
                <w:szCs w:val="24"/>
              </w:rPr>
            </w:pPr>
            <w:r w:rsidRPr="0010524E">
              <w:rPr>
                <w:rFonts w:ascii="Calibri" w:eastAsia="Calibri" w:hAnsi="Calibri" w:cs="Calibri"/>
                <w:b/>
                <w:bCs/>
                <w:sz w:val="24"/>
                <w:szCs w:val="24"/>
              </w:rPr>
              <w:t>Subseção III</w:t>
            </w:r>
          </w:p>
          <w:p w14:paraId="65203B6C" w14:textId="77777777" w:rsidR="00E31838" w:rsidRPr="0010524E" w:rsidRDefault="00E31838" w:rsidP="00233C43">
            <w:pPr>
              <w:spacing w:after="0"/>
              <w:jc w:val="center"/>
              <w:rPr>
                <w:sz w:val="24"/>
                <w:szCs w:val="24"/>
              </w:rPr>
            </w:pPr>
            <w:r w:rsidRPr="0010524E">
              <w:rPr>
                <w:rFonts w:ascii="Calibri" w:eastAsia="Calibri" w:hAnsi="Calibri" w:cs="Calibri"/>
                <w:b/>
                <w:bCs/>
                <w:sz w:val="24"/>
                <w:szCs w:val="24"/>
              </w:rPr>
              <w:t>Dívidas de patrocinador</w:t>
            </w:r>
          </w:p>
          <w:p w14:paraId="1581224E" w14:textId="658227B9" w:rsidR="00E31838" w:rsidRPr="0010524E" w:rsidRDefault="00E31838" w:rsidP="00A95720">
            <w:pPr>
              <w:pStyle w:val="PargrafodaLista"/>
              <w:tabs>
                <w:tab w:val="left" w:pos="993"/>
              </w:tabs>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0DD0D9" w14:textId="77777777" w:rsidR="00E31838" w:rsidRPr="0010524E" w:rsidRDefault="00E31838" w:rsidP="00A95720">
            <w:pPr>
              <w:spacing w:after="0"/>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Subseção trazida da Seção I Das dívidas de patrocinador do CAPÍTULO VI DOS OUTROS REGISTROS CONTÁBEIS da Resolução Previc nº 21/2023, para adaptação à estrutura da consolidação de normas.</w:t>
            </w:r>
          </w:p>
        </w:tc>
      </w:tr>
      <w:tr w:rsidR="00E31838" w:rsidRPr="0010524E" w14:paraId="084FD0E2" w14:textId="33B00B9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3CE356A"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8CF354" w14:textId="77777777"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178.  As EFPC devem registrar contabilmente os instrumentos de dívidas de patrocinador relativos aos financiamentos de serviço passado e de déficit técnico equacionado no grupo “Operações Contratadas” do “Realizável Previdencial”, no Ativo.</w:t>
            </w:r>
          </w:p>
          <w:p w14:paraId="78E4042A" w14:textId="6EB85B21"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80A53C"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Texto do art. 26 da Resolução Previc n.º 21/2023, transferido para adaptação à estrutura da consolidação de normas. </w:t>
            </w:r>
          </w:p>
        </w:tc>
      </w:tr>
      <w:tr w:rsidR="00E31838" w:rsidRPr="0010524E" w14:paraId="72919181" w14:textId="5699335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90D18A8"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77EBD5" w14:textId="77777777" w:rsidR="00E31838" w:rsidRPr="0010524E" w:rsidRDefault="00E31838" w:rsidP="00A95720">
            <w:pPr>
              <w:spacing w:after="120"/>
              <w:jc w:val="center"/>
              <w:rPr>
                <w:rFonts w:ascii="Calibri" w:eastAsia="Calibri" w:hAnsi="Calibri" w:cs="Calibri"/>
                <w:b/>
                <w:bCs/>
                <w:sz w:val="24"/>
                <w:szCs w:val="24"/>
              </w:rPr>
            </w:pPr>
            <w:r w:rsidRPr="0010524E">
              <w:rPr>
                <w:rFonts w:ascii="Calibri" w:eastAsia="Calibri" w:hAnsi="Calibri" w:cs="Calibri"/>
                <w:b/>
                <w:bCs/>
                <w:sz w:val="24"/>
                <w:szCs w:val="24"/>
              </w:rPr>
              <w:t>Subseção IV</w:t>
            </w:r>
          </w:p>
          <w:p w14:paraId="419EF52A" w14:textId="77777777" w:rsidR="00E31838" w:rsidRPr="0010524E" w:rsidRDefault="00E31838" w:rsidP="00A95720">
            <w:pPr>
              <w:spacing w:after="12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Provisão contingencial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301B3C" w14:textId="77777777" w:rsidR="00E31838" w:rsidRPr="0010524E" w:rsidRDefault="00E31838" w:rsidP="00A95720">
            <w:pPr>
              <w:spacing w:after="0"/>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Subseção trazida da Seção II Da provisão contingencial do CAPÍTULO VI DOS OUTROS REGISTROS CONTÁBEIS da Resolução Previc nº 21/2023, para adaptação à estrutura da consolidação de normas.</w:t>
            </w:r>
          </w:p>
        </w:tc>
      </w:tr>
      <w:tr w:rsidR="00E31838" w:rsidRPr="0010524E" w14:paraId="63FBB0B7" w14:textId="54F86DB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587F15B"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36F9A5" w14:textId="77777777" w:rsidR="00E31838" w:rsidRPr="0010524E" w:rsidRDefault="00E31838" w:rsidP="00A95720">
            <w:pPr>
              <w:spacing w:after="120"/>
              <w:jc w:val="both"/>
              <w:rPr>
                <w:sz w:val="24"/>
                <w:szCs w:val="24"/>
              </w:rPr>
            </w:pPr>
            <w:r w:rsidRPr="0010524E">
              <w:rPr>
                <w:rFonts w:ascii="Calibri" w:eastAsia="Calibri" w:hAnsi="Calibri" w:cs="Calibri"/>
                <w:sz w:val="24"/>
                <w:szCs w:val="24"/>
              </w:rPr>
              <w:t>Art. 179.  As provisões em caráter contingencial devem ser contabilizadas no exigível contingencial tendo como contrapartida a conta "Constituição/Reversão de Contingência".</w:t>
            </w:r>
          </w:p>
          <w:p w14:paraId="5B4314B0" w14:textId="330EA0AE"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7D7B9B"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do art. 27 da Resolução Previc n.º 21/2023, transferido para adaptação à estrutura da consolidação de normas.</w:t>
            </w:r>
          </w:p>
        </w:tc>
      </w:tr>
      <w:tr w:rsidR="00E31838" w:rsidRPr="0010524E" w14:paraId="084F3C47" w14:textId="46B302E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9B73A4A"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44129C" w14:textId="77777777" w:rsidR="00E31838" w:rsidRPr="0010524E" w:rsidRDefault="00E31838" w:rsidP="00A95720">
            <w:pPr>
              <w:spacing w:after="120"/>
              <w:jc w:val="center"/>
              <w:rPr>
                <w:rFonts w:ascii="Calibri" w:eastAsia="Calibri" w:hAnsi="Calibri" w:cs="Calibri"/>
                <w:b/>
                <w:bCs/>
                <w:sz w:val="24"/>
                <w:szCs w:val="24"/>
              </w:rPr>
            </w:pPr>
            <w:r w:rsidRPr="0010524E">
              <w:rPr>
                <w:rFonts w:ascii="Calibri" w:eastAsia="Calibri" w:hAnsi="Calibri" w:cs="Calibri"/>
                <w:b/>
                <w:bCs/>
                <w:sz w:val="24"/>
                <w:szCs w:val="24"/>
              </w:rPr>
              <w:t>Subseção V</w:t>
            </w:r>
          </w:p>
          <w:p w14:paraId="6F8AA976" w14:textId="77777777" w:rsidR="00E31838" w:rsidRPr="0010524E" w:rsidRDefault="00E31838" w:rsidP="00A95720">
            <w:pPr>
              <w:spacing w:after="12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Fundo previdencial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93F5F3"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Subseção trazida da Seção IV Do fundo previdencial do CAPÍTULO VI DOS OUTROS REGISTROS CONTÁBEIS da Resolução Previc nº 21/2023, para adaptação à estrutura da consolidação de normas.</w:t>
            </w:r>
          </w:p>
        </w:tc>
      </w:tr>
      <w:tr w:rsidR="00E31838" w:rsidRPr="0010524E" w14:paraId="427788A6" w14:textId="1399396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2C830D4"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062855" w14:textId="51F9A93B"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180.  A utilização de recursos de fundo previdencial, para cobrir total ou parcialmente as contribuições em conformidade com o plano de custeio anual, deve ser registrada e evidenciada em nota explicativa.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460D42"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do art. 29 da Resolução Previc n.º 21/2023, transferido para adaptação à estrutura da consolidação de normas.</w:t>
            </w:r>
          </w:p>
        </w:tc>
      </w:tr>
      <w:tr w:rsidR="00E31838" w:rsidRPr="0010524E" w14:paraId="319FEDFD" w14:textId="0BEFA1C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EC222D1"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8B6604" w14:textId="71DE13DF"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As desonerações de contribuições dos patrocinadores utilizando recursos do "Fundo Previdencial" devem ser contabilizadas em conta de resultado.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D58017"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Texto do parágrafo único do art. 29 da Resolução Previc n.º 21/2023, transferido para adaptação à estrutura da consolidação de normas. </w:t>
            </w:r>
          </w:p>
        </w:tc>
      </w:tr>
      <w:tr w:rsidR="00E31838" w:rsidRPr="0010524E" w14:paraId="3DA644D6" w14:textId="2969ECC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F79D1A8"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6D168F" w14:textId="77777777" w:rsidR="00E31838" w:rsidRPr="0010524E" w:rsidRDefault="00E31838" w:rsidP="00A95720">
            <w:pPr>
              <w:pStyle w:val="PargrafodaLista"/>
              <w:tabs>
                <w:tab w:val="left" w:pos="993"/>
              </w:tabs>
              <w:ind w:left="-26"/>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w:t>
            </w:r>
          </w:p>
          <w:p w14:paraId="770767CD" w14:textId="77777777" w:rsidR="00E31838" w:rsidRPr="0010524E" w:rsidRDefault="00E31838" w:rsidP="00A95720">
            <w:pPr>
              <w:pStyle w:val="PargrafodaLista"/>
              <w:tabs>
                <w:tab w:val="left" w:pos="993"/>
              </w:tabs>
              <w:ind w:left="-26"/>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Ajustes de consolidação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262D57"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Subseção trazida da Seção V Do fundo previdencial do CAPÍTULO VI DOS OUTROS REGISTROS CONTÁBEIS da Resolução Previc nº 21/2023, para adaptação à estrutura da consolidação de normas.</w:t>
            </w:r>
          </w:p>
        </w:tc>
      </w:tr>
      <w:tr w:rsidR="00E31838" w:rsidRPr="0010524E" w14:paraId="38480F4D" w14:textId="3D3E78E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EABA4AD"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D96003" w14:textId="0EF8C465"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181.  Os ajustes e eliminações necessários à consolidação das Demonstrações Contábeis e </w:t>
            </w:r>
            <w:r w:rsidRPr="0010524E">
              <w:rPr>
                <w:rFonts w:ascii="Calibri" w:eastAsia="Calibri" w:hAnsi="Calibri" w:cs="Calibri"/>
                <w:sz w:val="24"/>
                <w:szCs w:val="24"/>
              </w:rPr>
              <w:lastRenderedPageBreak/>
              <w:t>balancetes devem ser registrados em documentos auxiliares.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44FA6D"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Texto do art. 30 da Resolução Previc n.º 21/2023, transferido para adaptação à estrutura da consolidação de normas.</w:t>
            </w:r>
          </w:p>
        </w:tc>
      </w:tr>
      <w:tr w:rsidR="00E31838" w:rsidRPr="0010524E" w14:paraId="3BED2E66" w14:textId="34B3240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F7FBF6F"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2DFE396" w14:textId="3CBA7CA1"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As contas passíveis de ajustes e eliminações, entre outras, são: "Migrações entre Planos", "Compensações de Fluxos Previdenciais", "Participação no Plano de Gestão Administrativa", "Participação no Fundo Administrativo Plano de Gestão Administrativa" e valores a pagar e a receber entre planos.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2AB84E"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do parágrafo único do art. 30 da Resolução Previc n.º 21/2023, transferido para adaptação à estrutura da consolidação de normas.</w:t>
            </w:r>
          </w:p>
        </w:tc>
      </w:tr>
      <w:tr w:rsidR="00E31838" w:rsidRPr="0010524E" w14:paraId="7D06CA57" w14:textId="29493B4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519E364" w14:textId="53732F6D" w:rsidR="00E31838" w:rsidRPr="0010524E" w:rsidRDefault="00E31838" w:rsidP="0041594E">
            <w:pPr>
              <w:jc w:val="center"/>
              <w:rPr>
                <w:rFonts w:ascii="Calibri" w:hAnsi="Calibri" w:cs="Calibri"/>
                <w:sz w:val="24"/>
                <w:szCs w:val="24"/>
              </w:rPr>
            </w:pPr>
            <w:r w:rsidRPr="0010524E">
              <w:rPr>
                <w:rFonts w:ascii="Calibri" w:hAnsi="Calibri" w:cs="Calibri"/>
                <w:sz w:val="24"/>
                <w:szCs w:val="24"/>
              </w:rPr>
              <w:t>CAPÍTULO III</w:t>
            </w:r>
          </w:p>
          <w:p w14:paraId="1D351FC3" w14:textId="77777777" w:rsidR="00E31838" w:rsidRPr="0010524E" w:rsidRDefault="00E31838" w:rsidP="0041594E">
            <w:pPr>
              <w:jc w:val="center"/>
              <w:rPr>
                <w:rFonts w:ascii="Calibri" w:hAnsi="Calibri" w:cs="Calibri"/>
                <w:sz w:val="24"/>
                <w:szCs w:val="24"/>
              </w:rPr>
            </w:pPr>
            <w:r w:rsidRPr="0010524E">
              <w:rPr>
                <w:rFonts w:ascii="Calibri" w:hAnsi="Calibri" w:cs="Calibri"/>
                <w:sz w:val="24"/>
                <w:szCs w:val="24"/>
              </w:rPr>
              <w:t>DOS REGISTROS CONTÁBEIS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104AAB" w14:textId="7F7DD55D" w:rsidR="00E31838" w:rsidRPr="0010524E" w:rsidRDefault="00E31838" w:rsidP="0041594E">
            <w:pPr>
              <w:spacing w:after="0"/>
              <w:jc w:val="center"/>
              <w:rPr>
                <w:rFonts w:ascii="Calibri" w:eastAsia="Calibri" w:hAnsi="Calibri" w:cs="Calibri"/>
                <w:b/>
                <w:bCs/>
                <w:sz w:val="24"/>
                <w:szCs w:val="24"/>
              </w:rPr>
            </w:pPr>
            <w:r w:rsidRPr="0010524E">
              <w:rPr>
                <w:rFonts w:ascii="Calibri" w:eastAsia="Calibri" w:hAnsi="Calibri" w:cs="Calibri"/>
                <w:b/>
                <w:bCs/>
                <w:sz w:val="24"/>
                <w:szCs w:val="24"/>
              </w:rPr>
              <w:t>Seção III</w:t>
            </w:r>
          </w:p>
          <w:p w14:paraId="7E0D38E4" w14:textId="77777777" w:rsidR="00E31838" w:rsidRPr="0010524E" w:rsidRDefault="00E31838" w:rsidP="0041594E">
            <w:pPr>
              <w:spacing w:after="0"/>
              <w:jc w:val="center"/>
              <w:rPr>
                <w:rFonts w:ascii="Calibri" w:eastAsia="Calibri" w:hAnsi="Calibri" w:cs="Calibri"/>
                <w:b/>
                <w:bCs/>
                <w:sz w:val="24"/>
                <w:szCs w:val="24"/>
              </w:rPr>
            </w:pPr>
            <w:r w:rsidRPr="0010524E">
              <w:rPr>
                <w:rFonts w:ascii="Calibri" w:eastAsia="Calibri" w:hAnsi="Calibri" w:cs="Calibri"/>
                <w:b/>
                <w:bCs/>
                <w:sz w:val="24"/>
                <w:szCs w:val="24"/>
              </w:rPr>
              <w:t>Registros contábeis de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4C7A90"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Alterado para seção para adaptação à estrutura da consolidação de normas. </w:t>
            </w:r>
          </w:p>
        </w:tc>
      </w:tr>
      <w:tr w:rsidR="00E31838" w:rsidRPr="0010524E" w14:paraId="362656CB" w14:textId="02A295B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88D5841" w14:textId="77777777" w:rsidR="00E31838" w:rsidRPr="0041594E" w:rsidRDefault="00E31838" w:rsidP="0041594E">
            <w:pPr>
              <w:spacing w:after="0"/>
              <w:jc w:val="center"/>
              <w:rPr>
                <w:rFonts w:ascii="Calibri" w:hAnsi="Calibri" w:cs="Calibri"/>
                <w:b/>
                <w:bCs/>
                <w:sz w:val="24"/>
                <w:szCs w:val="24"/>
              </w:rPr>
            </w:pPr>
            <w:r w:rsidRPr="0041594E">
              <w:rPr>
                <w:rFonts w:ascii="Calibri" w:hAnsi="Calibri" w:cs="Calibri"/>
                <w:b/>
                <w:bCs/>
                <w:sz w:val="24"/>
                <w:szCs w:val="24"/>
              </w:rPr>
              <w:t>Seção I</w:t>
            </w:r>
          </w:p>
          <w:p w14:paraId="317F77C7" w14:textId="77777777" w:rsidR="00E31838" w:rsidRPr="0010524E" w:rsidRDefault="00E31838" w:rsidP="0041594E">
            <w:pPr>
              <w:spacing w:after="0"/>
              <w:jc w:val="center"/>
              <w:rPr>
                <w:rFonts w:ascii="Calibri" w:hAnsi="Calibri" w:cs="Calibri"/>
                <w:sz w:val="24"/>
                <w:szCs w:val="24"/>
              </w:rPr>
            </w:pPr>
            <w:r w:rsidRPr="0041594E">
              <w:rPr>
                <w:rFonts w:ascii="Calibri" w:hAnsi="Calibri" w:cs="Calibri"/>
                <w:b/>
                <w:bCs/>
                <w:sz w:val="24"/>
                <w:szCs w:val="24"/>
              </w:rPr>
              <w:t>Da avaliação de títulos e valores mobiliários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22CFAF" w14:textId="77777777" w:rsidR="00E31838" w:rsidRPr="0010524E" w:rsidRDefault="00E31838" w:rsidP="0041594E">
            <w:pPr>
              <w:spacing w:after="0"/>
              <w:jc w:val="center"/>
              <w:rPr>
                <w:rFonts w:ascii="Calibri" w:eastAsia="Calibri" w:hAnsi="Calibri" w:cs="Calibri"/>
                <w:b/>
                <w:bCs/>
                <w:sz w:val="24"/>
                <w:szCs w:val="24"/>
              </w:rPr>
            </w:pPr>
            <w:r w:rsidRPr="0010524E">
              <w:rPr>
                <w:rFonts w:ascii="Calibri" w:eastAsia="Calibri" w:hAnsi="Calibri" w:cs="Calibri"/>
                <w:b/>
                <w:bCs/>
                <w:sz w:val="24"/>
                <w:szCs w:val="24"/>
              </w:rPr>
              <w:t>Subseção I</w:t>
            </w:r>
          </w:p>
          <w:p w14:paraId="0C861D82" w14:textId="77777777" w:rsidR="00E31838" w:rsidRPr="0010524E" w:rsidRDefault="00E31838" w:rsidP="0041594E">
            <w:pPr>
              <w:spacing w:after="0"/>
              <w:jc w:val="center"/>
              <w:rPr>
                <w:rFonts w:ascii="Calibri" w:eastAsia="Calibri" w:hAnsi="Calibri" w:cs="Calibri"/>
                <w:b/>
                <w:bCs/>
                <w:sz w:val="24"/>
                <w:szCs w:val="24"/>
              </w:rPr>
            </w:pPr>
            <w:r w:rsidRPr="0010524E">
              <w:rPr>
                <w:rFonts w:ascii="Calibri" w:eastAsia="Calibri" w:hAnsi="Calibri" w:cs="Calibri"/>
                <w:b/>
                <w:bCs/>
                <w:sz w:val="24"/>
                <w:szCs w:val="24"/>
              </w:rPr>
              <w:t>Avaliação de títulos e valores mobiliários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26A8CC"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E31838" w:rsidRPr="0010524E" w14:paraId="34507472" w14:textId="1A78180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7DC7948"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8º  Os títulos e valores mobiliários classificados nas categorias de títulos para negociação devem ser ajustados pelo valor justo, considerando-se a valorização ou a desvalorização em contrapartida à adequada conta de resultado do período.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025A4E8" w14:textId="5EC052D5"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182.  Os títulos e valores mobiliários classificados nas categorias de títulos para negociação devem ser ajustados pelo valor justo, considerando-se a valorização ou a desvalorização em contrapartida à adequada conta de resultado do período.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344BE6" w14:textId="5AE18CE1"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4EF90798" w14:textId="3694174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D90149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9º  Para fins de ajuste, a metodologia de apuração do valor justo é de responsabilidade da EFPC e deve ser estabelecida com base em </w:t>
            </w:r>
            <w:r w:rsidRPr="0010524E">
              <w:rPr>
                <w:rFonts w:ascii="Calibri" w:hAnsi="Calibri" w:cs="Calibri"/>
                <w:sz w:val="24"/>
                <w:szCs w:val="24"/>
              </w:rPr>
              <w:lastRenderedPageBreak/>
              <w:t xml:space="preserve">critérios consistentes e passíveis de verificação, que levem em consideração a independência na coleta de dados em relação às taxas praticadas em mercado, podendo ser utilizado como parâmetro: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7333F4" w14:textId="34374E6F"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Art. 183.  Para fins de ajuste, a metodologia de apuração do valor justo é de responsabilidade da EFPC e deve ser estabelecida com base em critérios </w:t>
            </w:r>
            <w:r w:rsidRPr="0010524E">
              <w:rPr>
                <w:rFonts w:ascii="Calibri" w:eastAsia="Calibri" w:hAnsi="Calibri" w:cs="Calibri"/>
                <w:sz w:val="24"/>
                <w:szCs w:val="24"/>
              </w:rPr>
              <w:lastRenderedPageBreak/>
              <w:t>consistentes e passíveis de verificação, que levem em consideração a independência na coleta de dados em relação às taxas praticadas em mercado, podendo ser utilizado como parâmetro: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9D19F1" w14:textId="19E68256"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w:t>
            </w:r>
          </w:p>
        </w:tc>
      </w:tr>
      <w:tr w:rsidR="00E31838" w:rsidRPr="0010524E" w14:paraId="43EDD0B9" w14:textId="48E3E05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2A53247"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I - o preço médio de negociação no dia do apuramento ou, quando não disponível, o preço médio de negociação no dia útil anterior;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686A263" w14:textId="5753B38C"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 - o preço médio de negociação no dia do apuramento ou, quando não disponível, o preço médio de negociação no dia útil anterior;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108C94" w14:textId="3B22D49D"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0EAA7C42" w14:textId="7CBA301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56D2393"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 - o valor líquido provável de realização, obtido mediante adoção de técnica ou modelo de apreçamento (formação de preços);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FA7421" w14:textId="65101077"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 - o valor líquido provável de realização, obtido mediante adoção de técnica ou modelo de apreçamento (formação de preços);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45D288" w14:textId="42436DCA"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49227BDA" w14:textId="2C8F264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D6DA314"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III - o preço de instrumento financeiro semelhante, levando em consideração, no mínimo, os prazos de pagamento e vencimento, o risco de crédito e a moeda ou indexador;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160B76" w14:textId="2A59332B"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III - o preço de instrumento financeiro semelhante, levando em consideração, no mínimo, os prazos de pagamento e vencimento, o risco de crédito e a moeda ou indexador;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C27580" w14:textId="2FD7C7A9"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1011014F" w14:textId="01D4601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AF6378E"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IV - outra técnica de avaliação que utilize preços e outras informações relevantes geradas por transações de mercado envolvendo ativos, passivos ou grupo de ativos e passivos idênticos ou comparáveis.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BE28DC" w14:textId="72245661"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IV - outra técnica de avaliação que utilize preços e outras informações relevantes geradas por transações de mercado envolvendo ativos, passivos ou grupo de ativos e passivos idênticos ou comparáveis.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327DCD" w14:textId="041359BE"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3794D867" w14:textId="2B8A233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76BF363"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 xml:space="preserve">Parágrafo único. A técnica ou modelo de apreçamento referido no inciso II do caput deve constar de laudo de avaliação econômica: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36505F2" w14:textId="230D5352"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A técnica ou modelo de apreçamento referido no inciso II do </w:t>
            </w:r>
            <w:r w:rsidRPr="0010524E">
              <w:rPr>
                <w:rFonts w:ascii="Calibri" w:eastAsia="Calibri" w:hAnsi="Calibri" w:cs="Calibri"/>
                <w:b/>
                <w:bCs/>
                <w:sz w:val="24"/>
                <w:szCs w:val="24"/>
              </w:rPr>
              <w:t xml:space="preserve">caput </w:t>
            </w:r>
            <w:r w:rsidRPr="0010524E">
              <w:rPr>
                <w:rFonts w:ascii="Calibri" w:eastAsia="Calibri" w:hAnsi="Calibri" w:cs="Calibri"/>
                <w:sz w:val="24"/>
                <w:szCs w:val="24"/>
              </w:rPr>
              <w:t>deve constar de laudo de avaliação econômica: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A1B475" w14:textId="75667C1A"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51026478" w14:textId="4E8B75B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43EB079"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 - elaborado pela própria EFPC ou por pessoa física ou jurídica especializada devidamente registrada na Comissão de Valores Mobiliários;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04EF9E" w14:textId="72228E9D"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 - elaborado pela própria EFPC ou por pessoa física ou jurídica especializada devidamente registrada na Comissão de Valores Mobiliários;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695C2F" w14:textId="77B3E67B"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7602170B" w14:textId="66F18AE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3D530EC"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II - que contenha, no mínimo as premissas utilizadas no cálculo, a metodologia e a forma de precificação adotada.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C2CC11" w14:textId="72BBDD2B"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 - que contenha, no mínimo as premissas utilizadas no cálculo, a metodologia e a forma de precificação adotada.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1B6518" w14:textId="4B9DF265"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74DC0290" w14:textId="1D77FFC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93AEC38" w14:textId="77777777" w:rsidR="00E31838" w:rsidRPr="0041594E" w:rsidRDefault="00E31838" w:rsidP="0041594E">
            <w:pPr>
              <w:spacing w:after="0"/>
              <w:jc w:val="center"/>
              <w:rPr>
                <w:rFonts w:ascii="Calibri" w:hAnsi="Calibri" w:cs="Calibri"/>
                <w:b/>
                <w:bCs/>
                <w:sz w:val="24"/>
                <w:szCs w:val="24"/>
              </w:rPr>
            </w:pPr>
            <w:r w:rsidRPr="0041594E">
              <w:rPr>
                <w:rFonts w:ascii="Calibri" w:hAnsi="Calibri" w:cs="Calibri"/>
                <w:b/>
                <w:bCs/>
                <w:sz w:val="24"/>
                <w:szCs w:val="24"/>
              </w:rPr>
              <w:t>Seção II</w:t>
            </w:r>
          </w:p>
          <w:p w14:paraId="7484F77C" w14:textId="77777777" w:rsidR="00E31838" w:rsidRPr="0010524E" w:rsidRDefault="00E31838" w:rsidP="0041594E">
            <w:pPr>
              <w:spacing w:after="0"/>
              <w:jc w:val="center"/>
              <w:rPr>
                <w:rFonts w:ascii="Calibri" w:hAnsi="Calibri" w:cs="Calibri"/>
                <w:sz w:val="24"/>
                <w:szCs w:val="24"/>
              </w:rPr>
            </w:pPr>
            <w:r w:rsidRPr="0041594E">
              <w:rPr>
                <w:rFonts w:ascii="Calibri" w:hAnsi="Calibri" w:cs="Calibri"/>
                <w:b/>
                <w:bCs/>
                <w:sz w:val="24"/>
                <w:szCs w:val="24"/>
              </w:rPr>
              <w:t>Das operações compromissadas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173367" w14:textId="77777777" w:rsidR="00E31838" w:rsidRPr="0010524E" w:rsidRDefault="00E31838" w:rsidP="00A95720">
            <w:pPr>
              <w:pStyle w:val="PargrafodaLista"/>
              <w:tabs>
                <w:tab w:val="left" w:pos="993"/>
              </w:tabs>
              <w:spacing w:after="120"/>
              <w:ind w:left="-26"/>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p w14:paraId="111BCADE" w14:textId="77777777" w:rsidR="00E31838" w:rsidRPr="0010524E" w:rsidRDefault="00E31838" w:rsidP="00A95720">
            <w:pPr>
              <w:pStyle w:val="PargrafodaLista"/>
              <w:tabs>
                <w:tab w:val="left" w:pos="993"/>
              </w:tabs>
              <w:spacing w:after="120"/>
              <w:ind w:left="-26"/>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Operações compromissadas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424EF5"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E31838" w:rsidRPr="0010524E" w14:paraId="0EC6ADAB" w14:textId="3184BDA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75B4E5E"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10. No registro contábil das operações compromissadas as EFPC devem: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4DA2FF5" w14:textId="6EDC3AF6"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184.  No registro contábil das operações compromissadas as EFPC devem: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6EB29C" w14:textId="0568F452"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7BDA8E90" w14:textId="21B812B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70125ED"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 - contabilizar pelo valor efetivamente desembolsado ou recebido;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18F245" w14:textId="4B6A7E8B"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 - contabilizar pelo valor efetivamente desembolsado ou recebido;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12F1FF" w14:textId="2671A949"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39748CE7" w14:textId="1AB2D84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A9C33BC"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 - reconhecer os custos de transação, como corretagens e outras taxas incidentes, a débito de "Deduções/Variações Negativas";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796BDF" w14:textId="4EAFEEB2"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 - reconhecer os custos de transação, como corretagens e outras taxas incidentes, a débito de "Deduções/Variações Negativas";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2C02CF" w14:textId="71781189"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568FFC15" w14:textId="40827CD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74E3B41"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III - apropriar mensalmente os rendimentos ou encargos dessas operações, a crédito ou a débito de "Rendas/Variações Positivas" ou </w:t>
            </w:r>
            <w:r w:rsidRPr="0010524E">
              <w:rPr>
                <w:rFonts w:ascii="Calibri" w:hAnsi="Calibri" w:cs="Calibri"/>
                <w:sz w:val="24"/>
                <w:szCs w:val="24"/>
              </w:rPr>
              <w:lastRenderedPageBreak/>
              <w:t xml:space="preserve">"Deduções/Variações Negativas", respectivamente, em razão do prazo decorrido, admitindo-se a apropriação em períodos inferiores a um mês.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441571" w14:textId="161A714D"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III - apropriar mensalmente os rendimentos ou encargos dessas operações, a crédito ou a débito de "Rendas/Variações Positivas" ou "Deduções/Variações </w:t>
            </w:r>
            <w:r w:rsidRPr="0010524E">
              <w:rPr>
                <w:rFonts w:ascii="Calibri" w:eastAsia="Calibri" w:hAnsi="Calibri" w:cs="Calibri"/>
                <w:sz w:val="24"/>
                <w:szCs w:val="24"/>
              </w:rPr>
              <w:lastRenderedPageBreak/>
              <w:t>Negativas", respectivamente, em razão do prazo decorrido, admitindo-se a apropriação em períodos inferiores a um mês.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F747F3" w14:textId="2645A191"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w:t>
            </w:r>
          </w:p>
        </w:tc>
      </w:tr>
      <w:tr w:rsidR="00E31838" w:rsidRPr="0010524E" w14:paraId="7132E855" w14:textId="1A04632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CC6A46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Parágrafo único. As Rendas/Variações Positivas e as Deduções/Variações Negativas devem ser reconhecidas conforme o princípio da competência, em razão da fluência do prazo da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B9E8134" w14:textId="3D5A763B"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As Rendas/Variações Positivas e as Deduções/Variações Negativas devem ser reconhecidas conforme o princípio da competência, em razão da fluência do prazo da operação.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CF63C3" w14:textId="585407A0"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74A12CDF" w14:textId="4BD8AD1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908036F" w14:textId="77777777" w:rsidR="00E31838" w:rsidRPr="0041594E" w:rsidRDefault="00E31838" w:rsidP="0041594E">
            <w:pPr>
              <w:spacing w:after="0"/>
              <w:jc w:val="center"/>
              <w:rPr>
                <w:rFonts w:ascii="Calibri" w:hAnsi="Calibri" w:cs="Calibri"/>
                <w:b/>
                <w:bCs/>
                <w:sz w:val="24"/>
                <w:szCs w:val="24"/>
              </w:rPr>
            </w:pPr>
            <w:r w:rsidRPr="0041594E">
              <w:rPr>
                <w:rFonts w:ascii="Calibri" w:hAnsi="Calibri" w:cs="Calibri"/>
                <w:b/>
                <w:bCs/>
                <w:sz w:val="24"/>
                <w:szCs w:val="24"/>
              </w:rPr>
              <w:t>Seção III</w:t>
            </w:r>
          </w:p>
          <w:p w14:paraId="53788B38" w14:textId="77777777" w:rsidR="00E31838" w:rsidRPr="0010524E" w:rsidRDefault="00E31838" w:rsidP="0041594E">
            <w:pPr>
              <w:spacing w:after="0"/>
              <w:jc w:val="center"/>
              <w:rPr>
                <w:rFonts w:ascii="Calibri" w:hAnsi="Calibri" w:cs="Calibri"/>
                <w:sz w:val="24"/>
                <w:szCs w:val="24"/>
              </w:rPr>
            </w:pPr>
            <w:r w:rsidRPr="0041594E">
              <w:rPr>
                <w:rFonts w:ascii="Calibri" w:hAnsi="Calibri" w:cs="Calibri"/>
                <w:b/>
                <w:bCs/>
                <w:sz w:val="24"/>
                <w:szCs w:val="24"/>
              </w:rPr>
              <w:t>Das operações com ativos de renda fixa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79418B" w14:textId="77777777" w:rsidR="00E31838" w:rsidRPr="0010524E" w:rsidRDefault="00E31838" w:rsidP="00A95720">
            <w:pPr>
              <w:spacing w:after="0"/>
              <w:jc w:val="center"/>
              <w:rPr>
                <w:rFonts w:ascii="Calibri" w:eastAsia="Calibri" w:hAnsi="Calibri" w:cs="Calibri"/>
                <w:b/>
                <w:bCs/>
                <w:sz w:val="24"/>
                <w:szCs w:val="24"/>
              </w:rPr>
            </w:pPr>
            <w:r w:rsidRPr="0010524E">
              <w:rPr>
                <w:rFonts w:ascii="Calibri" w:eastAsia="Calibri" w:hAnsi="Calibri" w:cs="Calibri"/>
                <w:b/>
                <w:bCs/>
                <w:sz w:val="24"/>
                <w:szCs w:val="24"/>
              </w:rPr>
              <w:t>Subseção III</w:t>
            </w:r>
          </w:p>
          <w:p w14:paraId="59544270" w14:textId="0521546D" w:rsidR="00E31838" w:rsidRPr="0010524E" w:rsidRDefault="00E31838" w:rsidP="00A95720">
            <w:pPr>
              <w:spacing w:after="12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Operações com ativos de renda fixa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85B5EE"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E31838" w:rsidRPr="0010524E" w14:paraId="522D9B45" w14:textId="2210244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64356CD"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Art. 11. No registro contábil das operações com ativos de renda fixa as EFPC devem: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65F6FA" w14:textId="000A8556"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185.  No registro contábil das operações com ativos de renda fixa as EFPC devem:</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C09C01" w14:textId="2AB557B3"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3E68AFC2" w14:textId="51C9952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AAA75CA"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 - contabilizar a aquisição de ativos pelo valor efetivamente desembolsado, sendo o ágio ou o deságio evidenciado em controles auxiliares;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75AA6A" w14:textId="4622DB6A"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 - contabilizar a aquisição de ativos pelo valor efetivamente desembolsado, sendo o ágio ou o deságio evidenciado em controles auxiliares;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176ACB" w14:textId="09F227F3"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4E2112D1" w14:textId="5AD8913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12B804A"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 - reconhecer os custos de transação, como corretagens e outras taxas incidentes sobre os títulos de renda fixa avaliados a valor justo, a débito de "Deduções/Variações Negativas";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E5766B" w14:textId="6BCCD800"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 - reconhecer os custos de transação, como corretagens e outras taxas incidentes sobre os títulos de renda fixa avaliados a valor justo, a débito de "Deduções/Variações Negativas";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FCB10D" w14:textId="29F3586A"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6017660D" w14:textId="7AFA2B1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5DBC69F"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III - apropriar mensalmente os rendimentos ou encargos dessas operações, a crédito ou a débito de "Rendas/Variações Positivas" ou </w:t>
            </w:r>
            <w:r w:rsidRPr="0010524E">
              <w:rPr>
                <w:rFonts w:ascii="Calibri" w:hAnsi="Calibri" w:cs="Calibri"/>
                <w:sz w:val="24"/>
                <w:szCs w:val="24"/>
              </w:rPr>
              <w:lastRenderedPageBreak/>
              <w:t xml:space="preserve">"Deduções/Variações Negativas", respetivamente, em razão do prazo decorrido, admitindo-se a apropriação em períodos inferiores a um mês.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B5FB4C7" w14:textId="616393EF"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III - apropriar mensalmente os rendimentos ou encargos dessas operações, a crédito ou a débito de "Rendas/Variações Positivas" ou "Deduções/Variações </w:t>
            </w:r>
            <w:r w:rsidRPr="0010524E">
              <w:rPr>
                <w:rFonts w:ascii="Calibri" w:eastAsia="Calibri" w:hAnsi="Calibri" w:cs="Calibri"/>
                <w:sz w:val="24"/>
                <w:szCs w:val="24"/>
              </w:rPr>
              <w:lastRenderedPageBreak/>
              <w:t>Negativas", respetivamente, em razão do prazo decorrido, admitindo-se a apropriação em períodos inferiores a um mês.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A70929" w14:textId="7793AAC1"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w:t>
            </w:r>
          </w:p>
        </w:tc>
      </w:tr>
      <w:tr w:rsidR="00E31838" w:rsidRPr="0010524E" w14:paraId="40D76E21" w14:textId="20F3E16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CB2D9BC"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Parágrafo único. A EFPC deve reconhecer, no resultado do período, em contrapartida à "Rendas/Variações Positivas" ou "Deduções/Variações Negativas", respectivamente: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57F967" w14:textId="5DB9CD6F"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A EFPC deve reconhecer, no resultado do período, em contrapartida à "Rendas/Variações Positivas" ou "Deduções/Variações Negativas", respectivamente: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07EB36" w14:textId="770A9C8E"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36B5878B" w14:textId="52ABF5A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3A8B70A"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 - a valorização ou a desvalorização dos ativos de renda fixa mensurados a valor justo;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A82C650" w14:textId="105A0529"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 - a valorização ou a desvalorização dos ativos de renda fixa mensurados a valor justo;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FEB013" w14:textId="6D24E9E5"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7FCCFA9B" w14:textId="3B2196C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D1DB3A3"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 - o ganho ou a perda dos ativos de renda fixa classificados como mantidos até o vencimento.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78173BF" w14:textId="43685E6F"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 - o ganho ou a perda dos ativos de renda fixa classificados como mantidos até o vencimento.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421FDC" w14:textId="3C2DEF33"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33AAB0F5" w14:textId="6DFB7CC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5B71BA5" w14:textId="7C7901BF" w:rsidR="00E31838" w:rsidRPr="00C46984" w:rsidRDefault="00E31838" w:rsidP="00A95720">
            <w:pPr>
              <w:jc w:val="center"/>
              <w:rPr>
                <w:rFonts w:ascii="Calibri" w:hAnsi="Calibri" w:cs="Calibri"/>
                <w:b/>
                <w:bCs/>
                <w:sz w:val="24"/>
                <w:szCs w:val="24"/>
              </w:rPr>
            </w:pPr>
            <w:r w:rsidRPr="00C46984">
              <w:rPr>
                <w:rFonts w:ascii="Calibri" w:hAnsi="Calibri" w:cs="Calibri"/>
                <w:b/>
                <w:bCs/>
                <w:sz w:val="24"/>
                <w:szCs w:val="24"/>
              </w:rPr>
              <w:t>Seção IV</w:t>
            </w:r>
          </w:p>
          <w:p w14:paraId="0CAC7537" w14:textId="77777777" w:rsidR="00E31838" w:rsidRPr="0010524E" w:rsidRDefault="00E31838" w:rsidP="00A95720">
            <w:pPr>
              <w:jc w:val="center"/>
              <w:rPr>
                <w:rFonts w:ascii="Calibri" w:hAnsi="Calibri" w:cs="Calibri"/>
                <w:sz w:val="24"/>
                <w:szCs w:val="24"/>
              </w:rPr>
            </w:pPr>
            <w:r w:rsidRPr="00C46984">
              <w:rPr>
                <w:rFonts w:ascii="Calibri" w:hAnsi="Calibri" w:cs="Calibri"/>
                <w:b/>
                <w:bCs/>
                <w:sz w:val="24"/>
                <w:szCs w:val="24"/>
              </w:rPr>
              <w:t>Das operações com ativos de renda variável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198497" w14:textId="3B936D14" w:rsidR="00E31838" w:rsidRPr="0010524E" w:rsidRDefault="00E31838" w:rsidP="00A95720">
            <w:pPr>
              <w:pStyle w:val="PargrafodaLista"/>
              <w:tabs>
                <w:tab w:val="left" w:pos="993"/>
              </w:tabs>
              <w:spacing w:after="120"/>
              <w:ind w:left="-26"/>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IV</w:t>
            </w:r>
          </w:p>
          <w:p w14:paraId="210064E2" w14:textId="77777777" w:rsidR="00E31838" w:rsidRPr="0010524E" w:rsidRDefault="00E31838" w:rsidP="00A95720">
            <w:pPr>
              <w:pStyle w:val="PargrafodaLista"/>
              <w:tabs>
                <w:tab w:val="left" w:pos="993"/>
              </w:tabs>
              <w:spacing w:after="120"/>
              <w:ind w:left="-26"/>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Operações com ativos de renda variável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2AE548"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E31838" w:rsidRPr="0010524E" w14:paraId="1DAA2366" w14:textId="5AE681D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6536A84"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12. No registro contábil das operações com ativos de renda variável as EFPC devem: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92A16AE" w14:textId="22822892"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186.  No registro contábil das operações com ativos de renda variável as EFPC devem: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B4EB0D" w14:textId="493E5EDA"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374D1C0A" w14:textId="5AF166C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31CB31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 - contabilizar as ações pelo custo de aquisição;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0EFADB" w14:textId="2147BB48"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 - contabilizar as ações pelo custo de aquisição;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BA6F50" w14:textId="78C9BD8A"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6053D206" w14:textId="6528782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4398C84"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 xml:space="preserve">II - reconhecer os custos de transação, como corretagens e outras taxas incidentes, a débito de "Deduções/Variações Negativas";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ED07879" w14:textId="0CE6BA25"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 - reconhecer os custos de transação, como corretagens e outras taxas incidentes, a débito de "Deduções/Variações Negativas";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AA8F9A" w14:textId="6E7949FF"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4019F61B" w14:textId="3C99D7E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AAD0A2C"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III - registrar a diferença apurada entre o valor contábil e o respectivo valor de mercado, em conta analítica do respectivo ativo, tendo como contrapartida "Rendas/Variações Positivas" ou "Deduções/Variações Negativas", admitindo-se a compensação;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6BF33B" w14:textId="64EBD420"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III - registrar a diferença apurada entre o valor contábil e o respectivo valor de mercado, em conta analítica do respectivo ativo, tendo como contrapartida "Rendas/Variações Positivas" ou "Deduções/Variações Negativas", admitindo-se a compensação;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5EEF94" w14:textId="3E18A702"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678713D4" w14:textId="300E9FD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81C6D71" w14:textId="4944E536"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IV - registrar as vendas de ações no mercado a vista, pelo valor líquido, deduzindo-se o valor das taxas e corretagens.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5D8E4BE" w14:textId="4635CC3B"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IV - registrar as vendas de ações no mercado a vista, pelo valor líquido, deduzindo-se o valor das taxas e corretagens.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CBF51C" w14:textId="52CBDCCE"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7A519167" w14:textId="6CB0712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4109225" w14:textId="77777777" w:rsidR="00E31838" w:rsidRPr="00C46984" w:rsidRDefault="00E31838" w:rsidP="0041594E">
            <w:pPr>
              <w:spacing w:after="0"/>
              <w:jc w:val="center"/>
              <w:rPr>
                <w:rFonts w:ascii="Calibri" w:hAnsi="Calibri" w:cs="Calibri"/>
                <w:b/>
                <w:bCs/>
                <w:sz w:val="24"/>
                <w:szCs w:val="24"/>
              </w:rPr>
            </w:pPr>
            <w:r w:rsidRPr="00C46984">
              <w:rPr>
                <w:rFonts w:ascii="Calibri" w:hAnsi="Calibri" w:cs="Calibri"/>
                <w:b/>
                <w:bCs/>
                <w:sz w:val="24"/>
                <w:szCs w:val="24"/>
              </w:rPr>
              <w:t>Seção V</w:t>
            </w:r>
          </w:p>
          <w:p w14:paraId="4AC35F05" w14:textId="77777777" w:rsidR="00E31838" w:rsidRPr="0010524E" w:rsidRDefault="00E31838" w:rsidP="0041594E">
            <w:pPr>
              <w:spacing w:after="0"/>
              <w:jc w:val="center"/>
              <w:rPr>
                <w:rFonts w:ascii="Calibri" w:hAnsi="Calibri" w:cs="Calibri"/>
                <w:sz w:val="24"/>
                <w:szCs w:val="24"/>
              </w:rPr>
            </w:pPr>
            <w:r w:rsidRPr="00C46984">
              <w:rPr>
                <w:rFonts w:ascii="Calibri" w:hAnsi="Calibri" w:cs="Calibri"/>
                <w:b/>
                <w:bCs/>
                <w:sz w:val="24"/>
                <w:szCs w:val="24"/>
              </w:rPr>
              <w:t>Das operações com cotas de fundos de investimento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38E511" w14:textId="77777777" w:rsidR="00E31838" w:rsidRPr="0010524E" w:rsidRDefault="00E31838" w:rsidP="0041594E">
            <w:pPr>
              <w:spacing w:after="0"/>
              <w:jc w:val="center"/>
              <w:rPr>
                <w:rFonts w:ascii="Calibri" w:eastAsia="Calibri" w:hAnsi="Calibri" w:cs="Calibri"/>
                <w:b/>
                <w:bCs/>
                <w:sz w:val="24"/>
                <w:szCs w:val="24"/>
              </w:rPr>
            </w:pPr>
            <w:r w:rsidRPr="0010524E">
              <w:rPr>
                <w:rFonts w:ascii="Calibri" w:eastAsia="Calibri" w:hAnsi="Calibri" w:cs="Calibri"/>
                <w:b/>
                <w:bCs/>
                <w:sz w:val="24"/>
                <w:szCs w:val="24"/>
              </w:rPr>
              <w:t>Subseção V</w:t>
            </w:r>
          </w:p>
          <w:p w14:paraId="47775222" w14:textId="731A26F3" w:rsidR="00E31838" w:rsidRPr="0010524E" w:rsidRDefault="00E31838" w:rsidP="0041594E">
            <w:pPr>
              <w:spacing w:after="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Operações com cotas de fundos de investimento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96AC02"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E31838" w:rsidRPr="0010524E" w14:paraId="08682079" w14:textId="3BB0852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64423F7"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Art. 13. No registro contábil das operações com cotas de fundos de investimento as EFPC devem: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2484D6" w14:textId="640D8004"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187.  No registro contábil das operações com cotas de fundos de investimento as EFPC devem:</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08D1DE" w14:textId="71E2A5F2"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7FF08A10" w14:textId="1332408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DB267E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 - contabilizar a aquisição de cotas de fundos de investimentos pelo valor efetivamente desembolsado, incluindo, quando for o caso, taxas e emolumentos;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047AC67" w14:textId="7992B773"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 - contabilizar a aquisição de cotas de fundos de investimentos pelo valor efetivamente desembolsado, incluindo, quando for o caso, taxas e emolumentos;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ADD5D1" w14:textId="1F053053"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24C8A137" w14:textId="1D823E4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9ED9188"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 - registrar a diferença apurada entre o valor contábil e o valor da cota, apurado nas </w:t>
            </w:r>
            <w:r w:rsidRPr="0010524E">
              <w:rPr>
                <w:rFonts w:ascii="Calibri" w:hAnsi="Calibri" w:cs="Calibri"/>
                <w:sz w:val="24"/>
                <w:szCs w:val="24"/>
              </w:rPr>
              <w:lastRenderedPageBreak/>
              <w:t xml:space="preserve">demonstrações contábeis do fundo de investimento, em conta analítica do respectivo ativo, tendo como contrapartida "Rendas/Variações Positivas" ou "Deduções/Variações Negativas", admitindo-se a compensação.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9F4E2DA" w14:textId="40D7C5F2"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II - registrar a diferença apurada entre o valor contábil e o valor da cota, apurado nas demonstrações </w:t>
            </w:r>
            <w:r w:rsidRPr="0010524E">
              <w:rPr>
                <w:rFonts w:ascii="Calibri" w:eastAsia="Calibri" w:hAnsi="Calibri" w:cs="Calibri"/>
                <w:sz w:val="24"/>
                <w:szCs w:val="24"/>
              </w:rPr>
              <w:lastRenderedPageBreak/>
              <w:t>contábeis do fundo de investimento, em conta analítica do respectivo ativo, tendo como contrapartida "Rendas/Variações Positivas" ou "Deduções/Variações Negativas", admitindo-se a compensação.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AF93E0" w14:textId="251B99ED"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w:t>
            </w:r>
          </w:p>
        </w:tc>
      </w:tr>
      <w:tr w:rsidR="00E31838" w:rsidRPr="0010524E" w14:paraId="4EC6D7B6" w14:textId="5BDDC0D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FDD6E3C"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Parágrafo único. As EFPC devem realizar teste de redução ao valor recuperável dos ativos de fundos de investimentos, reconhecendo o valor da perda apurada, em contrapartida de “Deduções/Variações Negativas”, quando: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CDAC791" w14:textId="79493B57"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As EFPC devem realizar teste de redução ao valor recuperável dos ativos de fundos de investimentos, reconhecendo o valor da perda apurada, em contrapartida de “Deduções/Variações Negativas”, quando: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26E25C" w14:textId="2EECCE4C"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1C63C0BB" w14:textId="4006A43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D4E375C"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 - os ativos do fundo de investimentos apresentem evidências de perda;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AEA0E1" w14:textId="1F36A3D8"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 - os ativos do fundo de investimentos apresentem evidências de perda;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5EDD7C" w14:textId="4DB31219"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30BD0991" w14:textId="1551F09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20"/>
        </w:trPr>
        <w:tc>
          <w:tcPr>
            <w:tcW w:w="4598" w:type="dxa"/>
            <w:tcBorders>
              <w:top w:val="single" w:sz="4" w:space="0" w:color="auto"/>
              <w:left w:val="single" w:sz="4" w:space="0" w:color="auto"/>
              <w:bottom w:val="single" w:sz="4" w:space="0" w:color="auto"/>
              <w:right w:val="single" w:sz="4" w:space="0" w:color="auto"/>
            </w:tcBorders>
            <w:vAlign w:val="center"/>
          </w:tcPr>
          <w:p w14:paraId="39E581E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II - o administrador do fundo de investimentos não tenha realizado teste de redução ao valor recuperável dos respectivos ativos.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4B45434" w14:textId="240AB2C8"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 - o administrador do fundo de investimentos não tenha realizado teste de redução ao valor recuperável dos respectivos ativos.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0F22F7" w14:textId="69CA36C6"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2E8936AB" w14:textId="208B165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F24BD1E" w14:textId="77777777" w:rsidR="00E31838" w:rsidRPr="00C46984" w:rsidRDefault="00E31838" w:rsidP="0041594E">
            <w:pPr>
              <w:spacing w:after="0"/>
              <w:jc w:val="center"/>
              <w:rPr>
                <w:rFonts w:ascii="Calibri" w:hAnsi="Calibri" w:cs="Calibri"/>
                <w:b/>
                <w:bCs/>
                <w:sz w:val="24"/>
                <w:szCs w:val="24"/>
              </w:rPr>
            </w:pPr>
            <w:r w:rsidRPr="00C46984">
              <w:rPr>
                <w:rFonts w:ascii="Calibri" w:hAnsi="Calibri" w:cs="Calibri"/>
                <w:b/>
                <w:bCs/>
                <w:sz w:val="24"/>
                <w:szCs w:val="24"/>
              </w:rPr>
              <w:t>Seção VI</w:t>
            </w:r>
          </w:p>
          <w:p w14:paraId="1F77FFA4" w14:textId="77777777" w:rsidR="00E31838" w:rsidRPr="0010524E" w:rsidRDefault="00E31838" w:rsidP="0041594E">
            <w:pPr>
              <w:spacing w:after="0"/>
              <w:jc w:val="center"/>
              <w:rPr>
                <w:rFonts w:ascii="Calibri" w:hAnsi="Calibri" w:cs="Calibri"/>
                <w:sz w:val="24"/>
                <w:szCs w:val="24"/>
              </w:rPr>
            </w:pPr>
            <w:r w:rsidRPr="00C46984">
              <w:rPr>
                <w:rFonts w:ascii="Calibri" w:hAnsi="Calibri" w:cs="Calibri"/>
                <w:b/>
                <w:bCs/>
                <w:sz w:val="24"/>
                <w:szCs w:val="24"/>
              </w:rPr>
              <w:t>Dos derivativos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9704F4" w14:textId="77777777" w:rsidR="00E31838" w:rsidRPr="0010524E" w:rsidRDefault="00E31838" w:rsidP="0041594E">
            <w:pPr>
              <w:pStyle w:val="PargrafodaLista"/>
              <w:tabs>
                <w:tab w:val="left" w:pos="993"/>
              </w:tabs>
              <w:spacing w:after="0"/>
              <w:ind w:left="-26"/>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w:t>
            </w:r>
          </w:p>
          <w:p w14:paraId="11A5DE55" w14:textId="77777777" w:rsidR="00E31838" w:rsidRPr="0010524E" w:rsidRDefault="00E31838" w:rsidP="0041594E">
            <w:pPr>
              <w:pStyle w:val="PargrafodaLista"/>
              <w:tabs>
                <w:tab w:val="left" w:pos="993"/>
              </w:tabs>
              <w:spacing w:after="0"/>
              <w:ind w:left="-26"/>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Derivativos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4F269E"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E31838" w:rsidRPr="0010524E" w14:paraId="4D8731F3" w14:textId="1CB6744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1030B98"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14. No registro contábil das operações com derivativos as EFPC devem: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E0BF61" w14:textId="2C2B0ABE"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188.  No registro contábil das operações com derivativos as EFPC devem:</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1ABB10" w14:textId="0DA44723"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437B9A46" w14:textId="12A5DC3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69408A6"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 - contabilizar os ativos adquiridos ou alienados em operações a termo, na data da </w:t>
            </w:r>
            <w:r w:rsidRPr="0010524E">
              <w:rPr>
                <w:rFonts w:ascii="Calibri" w:hAnsi="Calibri" w:cs="Calibri"/>
                <w:sz w:val="24"/>
                <w:szCs w:val="24"/>
              </w:rPr>
              <w:lastRenderedPageBreak/>
              <w:t xml:space="preserve">operação, por seus valores de cotação no mercado a vista, sendo as parcelas a receber ou a pagar ajustadas a valor presente, tomando-se por base a taxa de cada contrato;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1CAC30" w14:textId="029595F9"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I - contabilizar os ativos adquiridos ou alienados em operações a termo, na data da operação, por seus </w:t>
            </w:r>
            <w:r w:rsidRPr="0010524E">
              <w:rPr>
                <w:rFonts w:ascii="Calibri" w:eastAsia="Calibri" w:hAnsi="Calibri" w:cs="Calibri"/>
                <w:sz w:val="24"/>
                <w:szCs w:val="24"/>
              </w:rPr>
              <w:lastRenderedPageBreak/>
              <w:t>valores de cotação no mercado a vista, sendo as parcelas a receber ou a pagar ajustadas a valor presente, tomando-se por base a taxa de cada contrato;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0665C8" w14:textId="7249D132"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w:t>
            </w:r>
          </w:p>
        </w:tc>
      </w:tr>
      <w:tr w:rsidR="00E31838" w:rsidRPr="0010524E" w14:paraId="6075626D" w14:textId="69D26AD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7DA497E"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 - contabilizar os prêmios pagos ou recebidos em operações com opções na data da operação, na respectiva conta de ativo ou passivo;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424D5B" w14:textId="0BA24698"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 - contabilizar os prêmios pagos ou recebidos em operações com opções na data da operação, na respectiva conta de ativo ou passivo;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9E42CB" w14:textId="14EB4FF2"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6489C4BD" w14:textId="2C0CA4F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24DD308"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III - registrar as variações do valor justo do derivativo em "Rendas/Variações Positivas", ou "Deduções/Variações Negativas;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EA58ECE" w14:textId="6765AD81"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III - registrar as variações do valor justo do derivativo em "Rendas/Variações Positivas", ou "Deduções/Variações Negativas;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6457D1" w14:textId="2266B63B"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0B51B9D4" w14:textId="7EF6700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44D825F"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IV - contabilizar os demais derivativos, na data da operação, em contas de ativo ou passivo, de acordo com as características do contrato;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8F25B7" w14:textId="1156BDC1"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IV - contabilizar os demais derivativos, na data da operação, em contas de ativo ou passivo, de acordo com as características do contrato;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A6C7F5" w14:textId="5969BB91"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335EC085" w14:textId="64CA194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952B9DA"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V - contabilizar os desembolsos referentes às taxas e corretagens a débito de "Deduções/Variações Negativas";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5B0D71B" w14:textId="4F4EE83C"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V - contabilizar os desembolsos referentes às taxas e corretagens a débito de "Deduções/Variações Negativas";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390AC2" w14:textId="484D841D"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02A90F43" w14:textId="1C1CA82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50C7486"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VI - observar na avaliação dos instrumentos financeiros de derivativos a legislação estabelecida pela Comissão de Valores Mobiliários;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9DF1A16" w14:textId="5062690E"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VI - observar na avaliação dos instrumentos financeiros de derivativos a legislação estabelecida pela Comissão de Valores Mobiliários;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F89CED" w14:textId="60D22F9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5F632F21" w14:textId="3758E4E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ABB24AE"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VII - registrar a diferença apurada entre o valor contábil e o respectivo valor de mercado, em </w:t>
            </w:r>
            <w:r w:rsidRPr="0010524E">
              <w:rPr>
                <w:rFonts w:ascii="Calibri" w:hAnsi="Calibri" w:cs="Calibri"/>
                <w:sz w:val="24"/>
                <w:szCs w:val="24"/>
              </w:rPr>
              <w:lastRenderedPageBreak/>
              <w:t xml:space="preserve">conta analítica do respectivo derivativo, tendo como contrapartida "Rendas/Variações Positivas" ou "Deduções/Variações Negativas", vedada a compensação de receitas com despesas em contratos distintos.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7AE88C" w14:textId="456A58B7"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VII - registrar a diferença apurada entre o valor contábil e o respectivo valor de mercado, em conta analítica do </w:t>
            </w:r>
            <w:r w:rsidRPr="0010524E">
              <w:rPr>
                <w:rFonts w:ascii="Calibri" w:eastAsia="Calibri" w:hAnsi="Calibri" w:cs="Calibri"/>
                <w:sz w:val="24"/>
                <w:szCs w:val="24"/>
              </w:rPr>
              <w:lastRenderedPageBreak/>
              <w:t>respectivo derivativo, tendo como contrapartida "Rendas/Variações Positivas" ou "Deduções/Variações Negativas", vedada a compensação de receitas com despesas em contratos distintos.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3842B0" w14:textId="7A7892A3"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w:t>
            </w:r>
          </w:p>
        </w:tc>
      </w:tr>
      <w:tr w:rsidR="00E31838" w:rsidRPr="0010524E" w14:paraId="53955C28" w14:textId="1878B07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B13F2F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 1º O registro dos títulos, valores mobiliários e outros ativos dados em garantia de operações com derivativos deve ser realizado em contas analíticas dos próprios ativos que destaquem a vinculação, mantendo-se os critérios originais de avaliação.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75D79E6" w14:textId="1EA120F2"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1º  O registro dos títulos, valores mobiliários e outros ativos dados em garantia de operações com derivativos deve ser realizado em contas analíticas dos próprios ativos que destaquem a vinculação, mantendo-se os critérios originais de avaliação.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1A49FD" w14:textId="7E9E6ECC"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1A33D805" w14:textId="4EBD399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3FD3DEE"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 2º Os sistemas de controles internos devem conter informações que permitam: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53D8D4E" w14:textId="24E7C404"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2º  Os sistemas de controles internos devem conter informações que permitam:</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62CBDD" w14:textId="1F0D846B"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250C02E4" w14:textId="30923CE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1F2FF86"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 - identificar, individualmente, as partes pactuantes, as características e os valores dos contratos negociados;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418AFF" w14:textId="3B80EA8C"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identificar, individualmente, as partes pactuantes, as características e os valores dos contratos negociados;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7E583D" w14:textId="649DBD88"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6322D82A" w14:textId="7116068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8D7996D"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 - divulgar, em notas explicativas, o tipo de transação realizada e o valor de referência. Seção VII Das operações com participantes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25D811" w14:textId="73514BD2"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 - divulgar, em notas explicativas, o tipo de transação realizada e o valor de referência.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DEEC79" w14:textId="127D013F"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52FF1A2D" w14:textId="0B9DF75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F41E15E" w14:textId="77777777" w:rsidR="00E31838" w:rsidRDefault="00E31838" w:rsidP="0041594E">
            <w:pPr>
              <w:spacing w:after="0"/>
              <w:jc w:val="center"/>
              <w:rPr>
                <w:rFonts w:ascii="Calibri" w:hAnsi="Calibri" w:cs="Calibri"/>
                <w:b/>
                <w:bCs/>
                <w:sz w:val="24"/>
                <w:szCs w:val="24"/>
              </w:rPr>
            </w:pPr>
            <w:r w:rsidRPr="00C46984">
              <w:rPr>
                <w:rFonts w:ascii="Calibri" w:hAnsi="Calibri" w:cs="Calibri"/>
                <w:b/>
                <w:bCs/>
                <w:sz w:val="24"/>
                <w:szCs w:val="24"/>
              </w:rPr>
              <w:t>Seção VII</w:t>
            </w:r>
          </w:p>
          <w:p w14:paraId="01CF28D1" w14:textId="7E8C1656" w:rsidR="00E31838" w:rsidRPr="0010524E" w:rsidRDefault="00E31838" w:rsidP="0041594E">
            <w:pPr>
              <w:spacing w:after="0"/>
              <w:jc w:val="center"/>
              <w:rPr>
                <w:rFonts w:ascii="Calibri" w:hAnsi="Calibri" w:cs="Calibri"/>
                <w:sz w:val="24"/>
                <w:szCs w:val="24"/>
              </w:rPr>
            </w:pPr>
            <w:r w:rsidRPr="00C46984">
              <w:rPr>
                <w:rFonts w:ascii="Calibri" w:hAnsi="Calibri" w:cs="Calibri"/>
                <w:b/>
                <w:bCs/>
                <w:sz w:val="24"/>
                <w:szCs w:val="24"/>
              </w:rPr>
              <w:t>Das operações com participantes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2F1FB5F" w14:textId="77777777" w:rsidR="00E31838" w:rsidRPr="0010524E" w:rsidRDefault="00E31838" w:rsidP="0041594E">
            <w:pPr>
              <w:spacing w:after="0"/>
              <w:jc w:val="center"/>
              <w:rPr>
                <w:rFonts w:ascii="Calibri" w:eastAsia="Calibri" w:hAnsi="Calibri" w:cs="Calibri"/>
                <w:b/>
                <w:bCs/>
                <w:sz w:val="24"/>
                <w:szCs w:val="24"/>
              </w:rPr>
            </w:pPr>
            <w:r w:rsidRPr="0010524E">
              <w:rPr>
                <w:rFonts w:ascii="Calibri" w:eastAsia="Calibri" w:hAnsi="Calibri" w:cs="Calibri"/>
                <w:b/>
                <w:bCs/>
                <w:sz w:val="24"/>
                <w:szCs w:val="24"/>
              </w:rPr>
              <w:t>Subseção VII</w:t>
            </w:r>
          </w:p>
          <w:p w14:paraId="368ADFA7" w14:textId="58DB9FAD" w:rsidR="00E31838" w:rsidRPr="0010524E" w:rsidRDefault="00E31838" w:rsidP="0041594E">
            <w:pPr>
              <w:spacing w:after="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Operações com participantes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B2EB72"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E31838" w:rsidRPr="0010524E" w14:paraId="1D36A751" w14:textId="2BB40D1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F9C1F2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15. No registro contábil das operações com participantes e assistidos as EFPC devem: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6480E6" w14:textId="7EA51B10"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189.  No registro contábil das operações com participantes e assistidos as EFPC devem:</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B1CDF3" w14:textId="60A58482"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3877F23F" w14:textId="3010257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4BD7F3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 xml:space="preserve">I -registrar as operações com participantes e assistidos pelo valor do principal, incluindo encargos financeiros, conforme estabelecido no contrato, até a sua liquidação ou a data do efetivo ajuizamento;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C5E841" w14:textId="3055437B"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 - registrar as operações com participantes e assistidos pelo valor do principal, incluindo encargos financeiros, conforme estabelecido no contrato, até a sua liquidação ou a data do efetivo ajuizamento;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6BAA7B" w14:textId="48D95906"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46C31C6A" w14:textId="273B08A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C95324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 - registrar as taxas de administração de empréstimos e/ou financiamentos imobiliários, como “Rendas/Variações Positivas” de investimentos, quando cobradas nas operações com participantes e assistidos;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B5B983" w14:textId="79BF6A11"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 - registrar as taxas de administração de empréstimos e/ou financiamentos imobiliários, como “Rendas/Variações Positivas” de investimentos, quando cobradas nas operações com participantes e assistidos;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9A9E9A" w14:textId="5539274D"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77E92860" w14:textId="54EA3CD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625D744"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III - contabilizar o devido aprovisionamento, em conta analítica no grupo de contas "Operações com Participantes", das parcelas referentes a empréstimos e financiamentos imobiliários, descontadas mensalmente dos participantes e assistidos pelos patrocinadores e não repassadas às EFPC nos prazos estabelecidos;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4C018F5" w14:textId="3E09C5EB"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III - contabilizar o devido   aprovisionamento, em conta analítica no grupo de contas "Operações com Participantes", das parcelas referentes a empréstimos e financiamentos imobiliários, descontadas mensalmente dos participantes e assistidos pelos patrocinadores e não repassadas às EFPC nos prazos estabelecidos;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8A2CE5" w14:textId="0CA592F0"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70B088DE" w14:textId="33E533E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6BEED4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IV - registrar os juros, multas e outros encargos devidos pelos patrocinadores, pelo atraso no repasse, seguindo o mesmo critério de contabilização do valor principal, com o devido aprovisionamento;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A08C30" w14:textId="045BECBC"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IV - registrar os juros, multas e outros encargos devidos pelos patrocinadores, pelo atraso no repasse, seguindo o mesmo critério de contabilização do valor principal, com o devido aprovisionamento;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2EE269" w14:textId="4702AC1F"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50EB38D1" w14:textId="28E542A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F7FABBA"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 xml:space="preserve">V - registrar os fundos de cobertura de operações com participantes e assistidos, quando houver.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EBDACF" w14:textId="668BB7DA"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V - registrar os fundos de cobertura de operações com participantes e assistidos, quando houver.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3601AE" w14:textId="4C91FE2C"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66D85F50" w14:textId="06F078D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AEF8423"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1AD273C" w14:textId="710EB4D3"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C6C74A" w14:textId="17D0C0D1"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5522F59A" w14:textId="130B36A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5CD7388" w14:textId="77777777" w:rsidR="00E31838" w:rsidRPr="00C46984" w:rsidRDefault="00E31838" w:rsidP="00A95720">
            <w:pPr>
              <w:spacing w:after="0"/>
              <w:jc w:val="center"/>
              <w:rPr>
                <w:rFonts w:ascii="Calibri" w:hAnsi="Calibri" w:cs="Calibri"/>
                <w:b/>
                <w:bCs/>
                <w:sz w:val="24"/>
                <w:szCs w:val="24"/>
              </w:rPr>
            </w:pPr>
            <w:r w:rsidRPr="00C46984">
              <w:rPr>
                <w:rFonts w:ascii="Calibri" w:hAnsi="Calibri" w:cs="Calibri"/>
                <w:b/>
                <w:bCs/>
                <w:sz w:val="24"/>
                <w:szCs w:val="24"/>
              </w:rPr>
              <w:t>Seção VIII</w:t>
            </w:r>
          </w:p>
          <w:p w14:paraId="05D5D85D" w14:textId="77777777" w:rsidR="00E31838" w:rsidRPr="0010524E" w:rsidRDefault="00E31838" w:rsidP="00A95720">
            <w:pPr>
              <w:spacing w:after="0"/>
              <w:jc w:val="center"/>
              <w:rPr>
                <w:rFonts w:ascii="Calibri" w:hAnsi="Calibri" w:cs="Calibri"/>
                <w:sz w:val="24"/>
                <w:szCs w:val="24"/>
              </w:rPr>
            </w:pPr>
            <w:r w:rsidRPr="00C46984">
              <w:rPr>
                <w:rFonts w:ascii="Calibri" w:hAnsi="Calibri" w:cs="Calibri"/>
                <w:b/>
                <w:bCs/>
                <w:sz w:val="24"/>
                <w:szCs w:val="24"/>
              </w:rPr>
              <w:t>Dos imóveis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DA24D9" w14:textId="77777777" w:rsidR="00E31838" w:rsidRPr="0010524E" w:rsidRDefault="00E31838" w:rsidP="00A95720">
            <w:pPr>
              <w:pStyle w:val="PargrafodaLista"/>
              <w:tabs>
                <w:tab w:val="left" w:pos="993"/>
              </w:tabs>
              <w:spacing w:after="120"/>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VIII</w:t>
            </w:r>
          </w:p>
          <w:p w14:paraId="06C49A76" w14:textId="77777777" w:rsidR="00E31838" w:rsidRPr="0010524E" w:rsidRDefault="00E31838" w:rsidP="00A95720">
            <w:pPr>
              <w:pStyle w:val="PargrafodaLista"/>
              <w:tabs>
                <w:tab w:val="left" w:pos="993"/>
              </w:tabs>
              <w:spacing w:after="120"/>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Imóveis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665DA2"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E31838" w:rsidRPr="0010524E" w14:paraId="726112DF" w14:textId="2495EDC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9350869"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Art. 16. No registro contábil das operações com investimentos em imóveis as EFPC devem: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907A76" w14:textId="0013B08B"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190.  No registro contábil das operações com investimentos em imóveis as EFPC devem:</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B6E44C" w14:textId="3E81DBCE"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2BAF387D" w14:textId="7A7442B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11DD7FF"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I - registrar os imóveis pelo custo de aquisição, incluindo honorários, taxas, emolumentos, tributos e demais encargos incidentes sobre 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F4032A" w14:textId="58E93BF7"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 - registrar os imóveis pelo custo de aquisição, incluindo honorários, taxas, emolumentos, tributos e demais encargos incidentes sobre a operação;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2A3E91" w14:textId="16DA4B6D"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0F16A402" w14:textId="1900EC4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C16D7F7"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6826A7" w14:textId="69E7CDB3"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 - mensurar os imóveis após o reconhecimento inicial pelo seu valor justo;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9F9B54"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Incluído para indicar que os registros de imóveis têm que ser efetuados pelo valor justo.</w:t>
            </w:r>
          </w:p>
        </w:tc>
      </w:tr>
      <w:tr w:rsidR="00E31838" w:rsidRPr="0010524E" w14:paraId="4671134F" w14:textId="45194FD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29EA6EE"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77003B" w14:textId="10508CBA"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III - contabilizar o resultado da mensuração dos imóveis pelo valor justo, positivo ou negativo, de uma única vez, em conta do respectivo ativo, em contrapartida da conta de "Rendas/Variações Positivas" ou "Deduções/Variações Negativas", com base em laudo técnico de avaliação, emitido, no mínimo anualmente;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50B65E"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Incluído para indicar que os registros de imóveis têm que ser efetuados pelo valor justo com base em avaliação realizada no mínimo bienalmente.</w:t>
            </w:r>
          </w:p>
        </w:tc>
      </w:tr>
      <w:tr w:rsidR="00E31838" w:rsidRPr="0010524E" w14:paraId="6BFD4072" w14:textId="79E6BD4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AFE8B66"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36AFC2" w14:textId="4FB9DBFF"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IV - As entidades que realizarem reavaliação anual estão dispensadas de efetuar depreciação.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0167F0"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Incluído para dispensar o procedimento de depreciação mensal para entidades que fizerem reavaliação anualmente.</w:t>
            </w:r>
          </w:p>
        </w:tc>
      </w:tr>
      <w:tr w:rsidR="00E31838" w:rsidRPr="0010524E" w14:paraId="4EF40E05" w14:textId="1802285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D9E429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II - contabilizar nas alienações a prazo, os encargos respectivos, nas contas de "Rendas/Variações Positivas";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6D40FE" w14:textId="45AD9CBC"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V - contabilizar nas alienações a prazo, os encargos respectivos, nas contas de "Rendas/Variações Positivas";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633BA5"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1E73D55" w14:textId="1A10E54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3CAB0EF"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III - registrar os imóveis em construção: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1F26F82" w14:textId="540B4963"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VI - registrar os imóveis em construção: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AC87ED" w14:textId="4533D7D3"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DCFE9E1" w14:textId="52895A6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F289C21"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a) conforme o inciso I deste artigo, acrescidos dos custos da obra;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FA64F3" w14:textId="5B8AB6C3"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 conforme o inciso I deste artigo, acrescidos dos custos da obra;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FF7248" w14:textId="70EB815B"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95BD52D" w14:textId="11AE15A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C4C3FA4"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b) de acordo com sua destinação, após a conclusão da obra e a expedição do respectivo "Habite-se";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326DC9" w14:textId="4C004242"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b) de acordo com sua destinação, após a conclusão da obra e a expedição do respectivo "Habite-se";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AAB7D9" w14:textId="15CE79BF"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76B2BDFA" w14:textId="440B761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30DF4EA"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IV - registrar os aluguéis dos imóveis de uso próprio, mediante o reconhecimento de </w:t>
            </w:r>
            <w:r w:rsidRPr="0010524E">
              <w:rPr>
                <w:rFonts w:ascii="Calibri" w:hAnsi="Calibri" w:cs="Calibri"/>
                <w:sz w:val="24"/>
                <w:szCs w:val="24"/>
              </w:rPr>
              <w:lastRenderedPageBreak/>
              <w:t>aluguel, pelo valor de mercado, como "Rendas/Variações Positivas", nos planos de benefícios e, em contrapartida, como despesas no PGA;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799F7C" w14:textId="706CFBF0"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VII - registrar os aluguéis dos imóveis de uso próprio, mediante o reconhecimento de aluguel, pelo valor de </w:t>
            </w:r>
            <w:r w:rsidRPr="0010524E">
              <w:rPr>
                <w:rFonts w:ascii="Calibri" w:eastAsia="Calibri" w:hAnsi="Calibri" w:cs="Calibri"/>
                <w:sz w:val="24"/>
                <w:szCs w:val="24"/>
              </w:rPr>
              <w:lastRenderedPageBreak/>
              <w:t>mercado, como "Rendas/Variações Positivas", nos planos de benefícios e, em contrapartida, como despesas no 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E80FCC" w14:textId="2D214744"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80AC183" w14:textId="5B81F5B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22F1ADA"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V - apresentar laudo técnico de avaliação prévio à alienação de imóvel, elaborado de acordo com as normas expedidas pela Associação Brasileira de Normas Técnicas (ABNT), contendo,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42600ED" w14:textId="3BD51119"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VIII - apresentar laudo técnico de avaliação prévio à alienação de imóvel e para mensuração pelo valor justo, elaborado de acordo com as normas expedidas pela Associação Brasileira de Normas Técnicas, contendo, no mínimo: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FE54DE"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de redação para adaptação da proposta de mensuração pelo valor justo.</w:t>
            </w:r>
          </w:p>
        </w:tc>
      </w:tr>
      <w:tr w:rsidR="00E31838" w:rsidRPr="0010524E" w14:paraId="06A26C63" w14:textId="156E57B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FAE718A"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a) a identificação do imóvel;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46A8C2" w14:textId="5ED8124F"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 a identificação do imóvel;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C4C410" w14:textId="7D33658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4EB503E" w14:textId="7A42900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024CBE3"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b) informações detalhadas sobre tamanho, localização e tipo (comercial ou residencial);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EAE869A" w14:textId="09C77F2F"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b) informações detalhadas sobre tamanho, localização e tipo (comercial ou residencial);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6E9231" w14:textId="37CAE175"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EA65610" w14:textId="3BC6BCB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27250AF"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c) a data-base da avaliação;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68E3492" w14:textId="19E44D7F"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c) a data-base da avaliação;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83AD91" w14:textId="7D381141"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41C810C" w14:textId="4F447A2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E407B1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d) a identificação da pessoa jurídica ou do profissional legalmente habilitado responsável pela avaliação;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ABF85BC" w14:textId="01E8214B"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d) a identificação da pessoa jurídica ou do profissional legalmente habilitado responsável pela avaliação;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7A6FB7" w14:textId="6AFADCF4"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D0CE517" w14:textId="65EE7BE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48F5A5D"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e) a segregação entre o valor do terreno e das edificações;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A8A73AF" w14:textId="0055D5A9"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e) a segregação entre o valor do terreno e das edificações;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84C882" w14:textId="34FB5DAC"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B538A80" w14:textId="182286A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2BD703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VI - contabilizar o valor dos bens duráveis agregados aos imóveis, em conta analítica, sempre que possível, observando os mesmos </w:t>
            </w:r>
            <w:r w:rsidRPr="0010524E">
              <w:rPr>
                <w:rFonts w:ascii="Calibri" w:hAnsi="Calibri" w:cs="Calibri"/>
                <w:sz w:val="24"/>
                <w:szCs w:val="24"/>
              </w:rPr>
              <w:lastRenderedPageBreak/>
              <w:t>critérios definidos para os investimentos imobiliários;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8876F36" w14:textId="283756D1"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IX - contabilizar o valor dos bens duráveis agregados aos imóveis, em conta analítica, sempre que possível, observando os mesmos critérios definidos para os investimentos imobiliários;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C2340D" w14:textId="2A457204"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4E88E4AE" w14:textId="5302D68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EF517AE"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VII - contabilizar o valor das benfeitorias realizadas ao valor de custo do imóvel em que forem realizadas.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9A5D7B" w14:textId="20269A46"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 - contabilizar o valor das benfeitorias realizadas ao valor de custo do imóvel em que forem realizadas.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01077B" w14:textId="70B7BBFD"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7CCA5056" w14:textId="7A16826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4B9CFBC"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1º A avaliação referida no inciso V, quando realizada para fins de alienação de imóveis, pode ser dispensada caso a última avaliação tenha sido realizada em prazo inferior a cento e oitenta dias, desde que tal procedimento seja devidamente atestado pelo Administrador Estatutário Tecnicamente Qualificado (AETQ), em função das condições de mercado.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763480D" w14:textId="6EF8C1BF"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 1º  A avaliação referida no inciso VIII do </w:t>
            </w:r>
            <w:r w:rsidRPr="0010524E">
              <w:rPr>
                <w:rFonts w:ascii="Calibri" w:eastAsia="Calibri" w:hAnsi="Calibri" w:cs="Calibri"/>
                <w:b/>
                <w:bCs/>
                <w:sz w:val="24"/>
                <w:szCs w:val="24"/>
              </w:rPr>
              <w:t>caput</w:t>
            </w:r>
            <w:r w:rsidRPr="0010524E">
              <w:rPr>
                <w:rFonts w:ascii="Calibri" w:eastAsia="Calibri" w:hAnsi="Calibri" w:cs="Calibri"/>
                <w:sz w:val="24"/>
                <w:szCs w:val="24"/>
              </w:rPr>
              <w:t>, quando realizada para fins de alienação de imóveis, pode ser dispensada caso a última avaliação tenha</w:t>
            </w:r>
            <w:r>
              <w:rPr>
                <w:rFonts w:ascii="Calibri" w:eastAsia="Calibri" w:hAnsi="Calibri" w:cs="Calibri"/>
                <w:sz w:val="24"/>
                <w:szCs w:val="24"/>
              </w:rPr>
              <w:t xml:space="preserve"> </w:t>
            </w:r>
            <w:r w:rsidRPr="0010524E">
              <w:rPr>
                <w:rFonts w:ascii="Calibri" w:eastAsia="Calibri" w:hAnsi="Calibri" w:cs="Calibri"/>
                <w:sz w:val="24"/>
                <w:szCs w:val="24"/>
              </w:rPr>
              <w:t>sido realizada em prazo inferior a cento e oitenta dias, desde que tal procedimento seja devidamente atestado pelo administrador estatutário tecnicamente qualificado, em função das condições de mercado.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CFCBCD" w14:textId="2E2D705B"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2563AF9" w14:textId="52073F4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878DD6A"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2º A reavaliação dos imóveis que estejam totalmente provisionados é facultativa, enquanto não for revertida a provisão, com a devida anuência do AETQ.</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D3142F" w14:textId="41430D8F"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2º  A reavaliação dos imóveis que estejam totalmente provisionados é facultativa, enquanto não for revertida a provisão, com a devida anuência do administrador estatutário tecnicamente qualificado.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BA1F78" w14:textId="56C43D26"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976BF6E" w14:textId="120CC1F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121506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3º As EFPC devem realizar a avaliação de imóveis, quando houver evidência de desvalorização, nos termos do inciso V:</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155EA0"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DBDB3D"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registro de imóveis pelo valor justo e o proposto no inciso III.</w:t>
            </w:r>
          </w:p>
        </w:tc>
      </w:tr>
      <w:tr w:rsidR="00E31838" w:rsidRPr="0010524E" w14:paraId="29B45ADA" w14:textId="1C65E7E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B9A93A2"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I - reconhecendo o valor da perda apurada, de uma única vez, no mesmo exercício social a que se referir;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1EA24A"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44D536"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registro de imóveis pelo valor justo e o proposto no inciso III.</w:t>
            </w:r>
          </w:p>
        </w:tc>
      </w:tr>
      <w:tr w:rsidR="00E31838" w:rsidRPr="0010524E" w14:paraId="2136EC8C" w14:textId="682F37A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70E15B2"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II - contabilizando o resultado negativo apurado, em conta do respectivo ativo, em contrapartida da conta de "Deduções/Variações Negativas".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62FF7E"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F05698"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registro de imóveis pelo valor justo e o proposto no inciso III.</w:t>
            </w:r>
          </w:p>
        </w:tc>
      </w:tr>
      <w:tr w:rsidR="00E31838" w:rsidRPr="0010524E" w14:paraId="29335F6C" w14:textId="749A638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31D7CEB" w14:textId="77777777" w:rsidR="00E31838" w:rsidRPr="00ED547B" w:rsidRDefault="00E31838" w:rsidP="0041594E">
            <w:pPr>
              <w:spacing w:after="0"/>
              <w:jc w:val="center"/>
              <w:rPr>
                <w:rFonts w:ascii="Calibri" w:hAnsi="Calibri" w:cs="Calibri"/>
                <w:b/>
                <w:bCs/>
                <w:sz w:val="24"/>
                <w:szCs w:val="24"/>
              </w:rPr>
            </w:pPr>
            <w:r w:rsidRPr="00ED547B">
              <w:rPr>
                <w:rFonts w:ascii="Calibri" w:hAnsi="Calibri" w:cs="Calibri"/>
                <w:b/>
                <w:bCs/>
                <w:sz w:val="24"/>
                <w:szCs w:val="24"/>
              </w:rPr>
              <w:t>Seção IX</w:t>
            </w:r>
          </w:p>
          <w:p w14:paraId="2D4E16D8" w14:textId="77777777" w:rsidR="00E31838" w:rsidRPr="0010524E" w:rsidRDefault="00E31838" w:rsidP="0041594E">
            <w:pPr>
              <w:spacing w:after="0"/>
              <w:jc w:val="center"/>
              <w:rPr>
                <w:rFonts w:ascii="Calibri" w:hAnsi="Calibri" w:cs="Calibri"/>
                <w:sz w:val="24"/>
                <w:szCs w:val="24"/>
              </w:rPr>
            </w:pPr>
            <w:r w:rsidRPr="00ED547B">
              <w:rPr>
                <w:rFonts w:ascii="Calibri" w:hAnsi="Calibri" w:cs="Calibri"/>
                <w:b/>
                <w:bCs/>
                <w:sz w:val="24"/>
                <w:szCs w:val="24"/>
              </w:rPr>
              <w:t>Das despesas diretas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C5C614" w14:textId="77777777" w:rsidR="00E31838" w:rsidRPr="0010524E" w:rsidRDefault="00E31838" w:rsidP="0041594E">
            <w:pPr>
              <w:spacing w:after="0"/>
              <w:jc w:val="center"/>
              <w:rPr>
                <w:rFonts w:ascii="Calibri" w:eastAsia="Calibri" w:hAnsi="Calibri" w:cs="Calibri"/>
                <w:b/>
                <w:bCs/>
                <w:sz w:val="24"/>
                <w:szCs w:val="24"/>
              </w:rPr>
            </w:pPr>
            <w:r w:rsidRPr="0010524E">
              <w:rPr>
                <w:rFonts w:ascii="Calibri" w:eastAsia="Calibri" w:hAnsi="Calibri" w:cs="Calibri"/>
                <w:b/>
                <w:bCs/>
                <w:sz w:val="24"/>
                <w:szCs w:val="24"/>
              </w:rPr>
              <w:t>Subseção IX</w:t>
            </w:r>
          </w:p>
          <w:p w14:paraId="4FA33191" w14:textId="34BD8B93" w:rsidR="00E31838" w:rsidRPr="0010524E" w:rsidRDefault="00E31838" w:rsidP="0041594E">
            <w:pPr>
              <w:spacing w:after="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Despesas diretas de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B15C6B"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E31838" w:rsidRPr="0010524E" w14:paraId="6FBE6691" w14:textId="44BEABB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2E070F3"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17. São despesas diretas dos investimentos, a serem contabilizadas como “Deduções/Variações Negativas” dos investimentos: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759F563" w14:textId="3E4157B5"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191.  São despesas diretas dos investimentos, a serem contabilizadas como “Deduções/Variações Negativas” dos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27D260" w14:textId="491CD07A"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68FFEBA" w14:textId="71B6F5C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671C3A2"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I - os serviços de liquidação e de custódia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56B0615" w14:textId="6E24A887"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 - os serviços de liquidação e de custódia de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D4FA37" w14:textId="7176C3B1"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76090992" w14:textId="6CA90A5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D2BEB07"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II - as taxas de administração de investimentos na gestão terceirizada de recursos;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E453FD" w14:textId="45C0B065"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as taxas de administração de investimentos na gestão terceirizada de recursos;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77190D" w14:textId="5D51CBB2"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DD6A44D" w14:textId="7445DB6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3C11DEC"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III - os tributos diretamente incidentes sobre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A5D88D" w14:textId="725E0A08"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III - os tributos diretamente incidentes sobre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716FB1" w14:textId="260052FE"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4C97807" w14:textId="6BB2372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E6A175C"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IV - os serviços de avaliações e reavaliações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70EE1CA" w14:textId="38DB522A"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IV - os serviços de avaliações e reavaliações de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F8D328" w14:textId="757CA041"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4E21218" w14:textId="7638AC4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00E7DD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V - as taxas condominiais, seguros, custos de manutenção, demais taxas e impostos incidentes sobre investimentos imobiliários de responsabilidade do locador (proprietário), relativas aos imóveis não locados, exceto os de uso próprio;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6FF282D" w14:textId="068E0044"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V - as taxas condominiais, seguros, custos de manutenção, demais taxas e impostos incidentes sobre investimentos imobiliários de responsabilidade do locador (proprietário);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B53C96" w14:textId="6F45A181"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texto “relativas aos imóveis não locados, exceto os de uso próprio” em conformidade com a Lei do Inquilinato (Lei Federal nº 8.245, de 1991) que estabelece que existem despesas que mesmo que o imóvel esteja locado, a responsabilidade é do locador.</w:t>
            </w:r>
          </w:p>
        </w:tc>
      </w:tr>
      <w:tr w:rsidR="00E31838" w:rsidRPr="0010524E" w14:paraId="39B30F22" w14:textId="14ACE16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FDD071F"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VI - os gastos diretamente relacionados com a recuperação de investimentos, tais como honorários advocatícios terceirizados e consultorias especializadas na recuperação de perdas com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671962" w14:textId="543BE490"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VI - os gastos diretamente relacionados com a recuperação de investimentos, tais como honorários advocatícios terceirizados e consultorias especializadas na recuperação de perdas com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45BEBD" w14:textId="4F8C430D"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2CCBC481" w14:textId="6446610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69"/>
        </w:trPr>
        <w:tc>
          <w:tcPr>
            <w:tcW w:w="4598" w:type="dxa"/>
            <w:tcBorders>
              <w:top w:val="single" w:sz="4" w:space="0" w:color="auto"/>
              <w:left w:val="single" w:sz="4" w:space="0" w:color="auto"/>
              <w:bottom w:val="single" w:sz="4" w:space="0" w:color="auto"/>
              <w:right w:val="single" w:sz="4" w:space="0" w:color="auto"/>
            </w:tcBorders>
            <w:vAlign w:val="center"/>
          </w:tcPr>
          <w:p w14:paraId="25586737" w14:textId="77777777" w:rsidR="00E31838" w:rsidRPr="0010524E" w:rsidRDefault="00E31838" w:rsidP="00A95720">
            <w:pPr>
              <w:jc w:val="center"/>
              <w:rPr>
                <w:rFonts w:ascii="Calibri" w:hAnsi="Calibri" w:cs="Calibri"/>
                <w:sz w:val="24"/>
                <w:szCs w:val="24"/>
              </w:rPr>
            </w:pPr>
            <w:r w:rsidRPr="0010524E">
              <w:rPr>
                <w:rFonts w:ascii="Calibri" w:hAnsi="Calibri" w:cs="Calibri"/>
                <w:sz w:val="24"/>
                <w:szCs w:val="24"/>
              </w:rPr>
              <w:t>CAPÍTULO IV</w:t>
            </w:r>
          </w:p>
          <w:p w14:paraId="00ED5866" w14:textId="0DBEAC46" w:rsidR="00E31838" w:rsidRPr="0010524E" w:rsidRDefault="00E31838" w:rsidP="00A95720">
            <w:pPr>
              <w:jc w:val="center"/>
              <w:rPr>
                <w:rFonts w:ascii="Calibri" w:hAnsi="Calibri" w:cs="Calibri"/>
                <w:sz w:val="24"/>
                <w:szCs w:val="24"/>
              </w:rPr>
            </w:pPr>
            <w:r w:rsidRPr="0010524E">
              <w:rPr>
                <w:rFonts w:ascii="Calibri" w:hAnsi="Calibri" w:cs="Calibri"/>
                <w:sz w:val="24"/>
                <w:szCs w:val="24"/>
              </w:rPr>
              <w:t>DAS PROVISÕES PARA PERDAS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64F309" w14:textId="178E0E7D" w:rsidR="00E31838" w:rsidRPr="0010524E" w:rsidRDefault="00E31838" w:rsidP="00A95720">
            <w:pPr>
              <w:pStyle w:val="PargrafodaLista"/>
              <w:tabs>
                <w:tab w:val="left" w:pos="993"/>
              </w:tabs>
              <w:spacing w:after="120"/>
              <w:ind w:left="-26"/>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IV</w:t>
            </w:r>
          </w:p>
          <w:p w14:paraId="3598B958" w14:textId="66E3A230" w:rsidR="00E31838" w:rsidRPr="0010524E" w:rsidRDefault="00E31838" w:rsidP="00A95720">
            <w:pPr>
              <w:pStyle w:val="PargrafodaLista"/>
              <w:tabs>
                <w:tab w:val="left" w:pos="993"/>
              </w:tabs>
              <w:spacing w:after="120"/>
              <w:ind w:left="-26"/>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Provisões para perdas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0B3A63"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seção para adaptação à estrutura da consolidação de normas.</w:t>
            </w:r>
          </w:p>
        </w:tc>
      </w:tr>
      <w:tr w:rsidR="00E31838" w:rsidRPr="0010524E" w14:paraId="40215AEC" w14:textId="41FD2EF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03E48DB" w14:textId="77777777" w:rsidR="00E31838" w:rsidRPr="00ED547B" w:rsidRDefault="00E31838" w:rsidP="0041594E">
            <w:pPr>
              <w:spacing w:after="0"/>
              <w:jc w:val="center"/>
              <w:rPr>
                <w:rFonts w:ascii="Calibri" w:hAnsi="Calibri" w:cs="Calibri"/>
                <w:b/>
                <w:bCs/>
                <w:sz w:val="24"/>
                <w:szCs w:val="24"/>
              </w:rPr>
            </w:pPr>
            <w:r w:rsidRPr="00ED547B">
              <w:rPr>
                <w:rFonts w:ascii="Calibri" w:hAnsi="Calibri" w:cs="Calibri"/>
                <w:b/>
                <w:bCs/>
                <w:sz w:val="24"/>
                <w:szCs w:val="24"/>
              </w:rPr>
              <w:t>Seção I</w:t>
            </w:r>
          </w:p>
          <w:p w14:paraId="107DB1AF" w14:textId="77777777" w:rsidR="00E31838" w:rsidRPr="0010524E" w:rsidRDefault="00E31838" w:rsidP="0041594E">
            <w:pPr>
              <w:spacing w:after="0"/>
              <w:jc w:val="center"/>
              <w:rPr>
                <w:rFonts w:ascii="Calibri" w:hAnsi="Calibri" w:cs="Calibri"/>
                <w:sz w:val="24"/>
                <w:szCs w:val="24"/>
              </w:rPr>
            </w:pPr>
            <w:r w:rsidRPr="00ED547B">
              <w:rPr>
                <w:rFonts w:ascii="Calibri" w:hAnsi="Calibri" w:cs="Calibri"/>
                <w:b/>
                <w:bCs/>
                <w:sz w:val="24"/>
                <w:szCs w:val="24"/>
              </w:rPr>
              <w:t>Dos parâmetros de provisões para perdas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C03CB9" w14:textId="77777777" w:rsidR="00E31838" w:rsidRPr="0010524E" w:rsidRDefault="00E31838" w:rsidP="0041594E">
            <w:pPr>
              <w:spacing w:after="0"/>
              <w:jc w:val="center"/>
              <w:rPr>
                <w:sz w:val="24"/>
                <w:szCs w:val="24"/>
              </w:rPr>
            </w:pPr>
            <w:r w:rsidRPr="0010524E">
              <w:rPr>
                <w:rFonts w:ascii="Calibri" w:eastAsia="Calibri" w:hAnsi="Calibri" w:cs="Calibri"/>
                <w:b/>
                <w:bCs/>
                <w:sz w:val="24"/>
                <w:szCs w:val="24"/>
              </w:rPr>
              <w:t>Subseção I</w:t>
            </w:r>
          </w:p>
          <w:p w14:paraId="0D05B32A" w14:textId="375FF57D" w:rsidR="00E31838" w:rsidRPr="0010524E" w:rsidRDefault="00E31838" w:rsidP="0041594E">
            <w:pPr>
              <w:spacing w:after="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Parâmetros de provisões para perdas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B71159" w14:textId="77777777" w:rsidR="00E31838" w:rsidRPr="0010524E" w:rsidRDefault="00E31838" w:rsidP="00A95720">
            <w:pPr>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E31838" w:rsidRPr="0010524E" w14:paraId="7CB4D68C" w14:textId="51E3723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AA9F689"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t>Art. 18.  A EFPC deve constituir provisão para perda sobre os valores dos créditos vencidos e vincendos, determinada em função do tempo de atraso no recebimento do valor principal, de parcela ou de encargos, conforme os seguintes parâmetros: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563C7B3" w14:textId="1C77F1CC"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192.  A EFPC deve constituir provisão para perda sobre os valores dos créditos vencidos e vincendos, determinada em função do tempo de atraso no recebimento do valor principal, de parcela ou de encargos, conforme os seguintes parâmetros: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F10761" w14:textId="77597BA6"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470C8F29" w14:textId="75A8914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097AF8C"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lastRenderedPageBreak/>
              <w:t>I - provisão mínima de 1% para atraso entre 31 e 60 dias;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365CE9" w14:textId="1BD97A2D"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 - provisão mínima de 1% para atraso entre 31 e 60 dias;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972253" w14:textId="3EE974D5"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3B7827C" w14:textId="796A8C7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7DCFCE6"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t>II - provisão mínima de 5%, para atraso entre 61 e 90 dias;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3DED7B4" w14:textId="48A9D23E"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 - provisão mínima de 5%, para atraso entre 61 e 90 dias;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05C732" w14:textId="1D33EE04"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7C8AB5F" w14:textId="1398454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215A72A"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t>III - provisão mínima de 10%, para atraso entre 91 e 120 dias;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BAC11C" w14:textId="599E033C"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III - provisão mínima de 10%, para atraso entre 91 e 120 dias;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8F3A9F" w14:textId="6C3ED2BD"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2EC8BCD" w14:textId="3533EB9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8632B8A"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t>IV - provisão mínima de 25%, para atraso entre 121 e 180 dias;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8A004F" w14:textId="74EC165D"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IV - provisão mínima de 25%, para atraso entre 121 e 180 dias;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3AB2DC" w14:textId="41277AD8"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8F74F28" w14:textId="5950172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7BBDDD6"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t>V - provisão mínima de 50%, para atraso entre 181 e 240 dias;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3A3496" w14:textId="74FA2CB5"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V - provisão mínima de 50%, para atraso entre 181 e 240 dias;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0020CF" w14:textId="22A096BF"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1467713" w14:textId="11882B0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2A4A6F2"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t>VI - provisão mínima de 75%, para atraso entre 241 e 360 dias;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1A55D98" w14:textId="4D24ADB8"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VI - provisão mínima de 75%, para atraso entre 241 e 360 dias;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04553A" w14:textId="05C3F4E8"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457A80E7" w14:textId="66D9C2D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752E80C"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t>VII - provisão de 100% para atraso superior a 360 dias.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9CED86" w14:textId="2FC24F00"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VII - provisão de 100% para atraso superior a 360 dias.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510D5D" w14:textId="499721C0"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F73F9D7" w14:textId="16B5C30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7AFE8C6"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t>Parágrafo único. A provisão para perda sobre as contribuições em atraso dos planos de benefícios, em relação ao previsto no plano de custeio anual, deve ser constituída somente sobre o valor das parcelas vencidas.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81B905" w14:textId="396FE29E"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A provisão para perda sobre as contribuições em atraso dos planos de benefícios, em relação ao previsto no plano de custeio anual, deve ser constituída somente sobre o valor das parcelas vencidas.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A39410" w14:textId="45F6A8CD"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C1973F4" w14:textId="6C86E14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F44774A"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t xml:space="preserve">Art. 19.  É vedado o reconhecimento de receitas de qualquer natureza, no resultado do período, relativas a ativos financeiros que </w:t>
            </w:r>
            <w:r w:rsidRPr="0010524E">
              <w:rPr>
                <w:rFonts w:ascii="Calibri" w:hAnsi="Calibri" w:cs="Calibri"/>
                <w:sz w:val="24"/>
                <w:szCs w:val="24"/>
              </w:rPr>
              <w:lastRenderedPageBreak/>
              <w:t>apresentem atraso igual ou superior a noventa dias, no pagamento de parcela de principal ou de encargos.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0A0FE9D" w14:textId="2B1513E4"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Art. 193.  É vedado o reconhecimento de receitas de qualquer natureza, no resultado do período, relativas a ativos financeiros que apresentem atraso igual ou </w:t>
            </w:r>
            <w:r w:rsidRPr="0010524E">
              <w:rPr>
                <w:rFonts w:ascii="Calibri" w:eastAsia="Calibri" w:hAnsi="Calibri" w:cs="Calibri"/>
                <w:sz w:val="24"/>
                <w:szCs w:val="24"/>
              </w:rPr>
              <w:lastRenderedPageBreak/>
              <w:t>superior a noventa dias, no pagamento de parcela de principal ou de encargos.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54B7BC" w14:textId="22B6A973"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367C054" w14:textId="24B01B4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7820426"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t>Parágrafo único.  As receitas, de que trata o caput, somente podem ser apropriadas ao resultado quando do seu efetivo recebimento.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1E5FB99" w14:textId="007229D4"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As receitas, de que trata o </w:t>
            </w:r>
            <w:r w:rsidRPr="0010524E">
              <w:rPr>
                <w:rFonts w:ascii="Calibri" w:eastAsia="Calibri" w:hAnsi="Calibri" w:cs="Calibri"/>
                <w:b/>
                <w:bCs/>
                <w:sz w:val="24"/>
                <w:szCs w:val="24"/>
              </w:rPr>
              <w:t>caput</w:t>
            </w:r>
            <w:r w:rsidRPr="0010524E">
              <w:rPr>
                <w:rFonts w:ascii="Calibri" w:eastAsia="Calibri" w:hAnsi="Calibri" w:cs="Calibri"/>
                <w:sz w:val="24"/>
                <w:szCs w:val="24"/>
              </w:rPr>
              <w:t>, somente podem ser apropriadas ao resultado quando do seu efetivo recebimento.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F1F599" w14:textId="548F669C"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47284A43" w14:textId="0F857B5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E4A36E0" w14:textId="77777777" w:rsidR="00E31838" w:rsidRPr="00ED547B" w:rsidRDefault="00E31838" w:rsidP="0041594E">
            <w:pPr>
              <w:spacing w:after="0"/>
              <w:jc w:val="center"/>
              <w:rPr>
                <w:rFonts w:ascii="Calibri" w:hAnsi="Calibri" w:cs="Calibri"/>
                <w:b/>
                <w:bCs/>
                <w:sz w:val="24"/>
                <w:szCs w:val="24"/>
              </w:rPr>
            </w:pPr>
            <w:r w:rsidRPr="00ED547B">
              <w:rPr>
                <w:rFonts w:ascii="Calibri" w:hAnsi="Calibri" w:cs="Calibri"/>
                <w:b/>
                <w:bCs/>
                <w:sz w:val="24"/>
                <w:szCs w:val="24"/>
              </w:rPr>
              <w:t>Seção II</w:t>
            </w:r>
          </w:p>
          <w:p w14:paraId="7027F97A" w14:textId="77777777" w:rsidR="00E31838" w:rsidRPr="0010524E" w:rsidRDefault="00E31838" w:rsidP="0041594E">
            <w:pPr>
              <w:spacing w:after="0"/>
              <w:jc w:val="center"/>
              <w:rPr>
                <w:rFonts w:ascii="Calibri" w:hAnsi="Calibri" w:cs="Calibri"/>
                <w:sz w:val="24"/>
                <w:szCs w:val="24"/>
              </w:rPr>
            </w:pPr>
            <w:r w:rsidRPr="00ED547B">
              <w:rPr>
                <w:rFonts w:ascii="Calibri" w:hAnsi="Calibri" w:cs="Calibri"/>
                <w:b/>
                <w:bCs/>
                <w:sz w:val="24"/>
                <w:szCs w:val="24"/>
              </w:rPr>
              <w:t>Do registro contábil das provisões para perdas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9AAFCF" w14:textId="77777777" w:rsidR="00E31838" w:rsidRPr="0010524E" w:rsidRDefault="00E31838" w:rsidP="0041594E">
            <w:pPr>
              <w:pStyle w:val="PargrafodaLista"/>
              <w:tabs>
                <w:tab w:val="left" w:pos="993"/>
              </w:tabs>
              <w:spacing w:after="0"/>
              <w:ind w:left="-26"/>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p w14:paraId="71578704" w14:textId="77777777" w:rsidR="00E31838" w:rsidRPr="0010524E" w:rsidRDefault="00E31838" w:rsidP="0041594E">
            <w:pPr>
              <w:pStyle w:val="PargrafodaLista"/>
              <w:tabs>
                <w:tab w:val="left" w:pos="993"/>
              </w:tabs>
              <w:spacing w:after="0"/>
              <w:ind w:left="-26"/>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Registro contábil das provisões para perdas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E39718"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E31838" w:rsidRPr="0010524E" w14:paraId="2D2E0515" w14:textId="2EB0A0B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FB5BE4F"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t>Art. 20.  Os valores relativos às provisões para perdas devem ser contabilizados, a débito, em conta de resultado, e em conta redutora do respectivo ativo, a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A52D1F7" w14:textId="058BC417"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194.  Os valores relativos às provisões para perdas devem ser contabilizados, a débito, em conta de resultado, e em conta redutora do respectivo ativo, a crédito.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4DAE8C" w14:textId="4E943745"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FF9F73D" w14:textId="383B29A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985B066"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t>Art. 21.  Os valores relativos às provisões para perdas em ativos financeiros devem ser contabilizados em conta de "Dedução/Variação Negativa", a débito, em contrapartida à conta redutora do respectivo grupo de investimentos, a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CD149D" w14:textId="1BB6F507"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195.  Os valores relativos às provisões para perdas em ativos financeiros devem ser contabilizados em conta de "Dedução/Variação Negativa", a débito, em contrapartida à conta redutora do respectivo grupo de investimentos, a crédito.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9CC9E3" w14:textId="27193845"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F6586EE" w14:textId="7B380A5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38E96B0" w14:textId="77777777" w:rsidR="00E31838" w:rsidRPr="00ED547B" w:rsidRDefault="00E31838" w:rsidP="0041594E">
            <w:pPr>
              <w:spacing w:after="0"/>
              <w:jc w:val="center"/>
              <w:rPr>
                <w:rFonts w:ascii="Calibri" w:hAnsi="Calibri" w:cs="Calibri"/>
                <w:b/>
                <w:bCs/>
                <w:sz w:val="24"/>
                <w:szCs w:val="24"/>
              </w:rPr>
            </w:pPr>
            <w:r w:rsidRPr="00ED547B">
              <w:rPr>
                <w:rFonts w:ascii="Calibri" w:hAnsi="Calibri" w:cs="Calibri"/>
                <w:b/>
                <w:bCs/>
                <w:sz w:val="24"/>
                <w:szCs w:val="24"/>
              </w:rPr>
              <w:t>Seção III</w:t>
            </w:r>
          </w:p>
          <w:p w14:paraId="103781E8" w14:textId="77777777" w:rsidR="00E31838" w:rsidRPr="0010524E" w:rsidRDefault="00E31838" w:rsidP="0041594E">
            <w:pPr>
              <w:spacing w:after="0"/>
              <w:jc w:val="center"/>
              <w:rPr>
                <w:rFonts w:ascii="Calibri" w:hAnsi="Calibri" w:cs="Calibri"/>
                <w:sz w:val="24"/>
                <w:szCs w:val="24"/>
              </w:rPr>
            </w:pPr>
            <w:r w:rsidRPr="00ED547B">
              <w:rPr>
                <w:rFonts w:ascii="Calibri" w:hAnsi="Calibri" w:cs="Calibri"/>
                <w:b/>
                <w:bCs/>
                <w:sz w:val="24"/>
                <w:szCs w:val="24"/>
              </w:rPr>
              <w:t>Da baixa e da recuperação de ativos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7F5BF3" w14:textId="77777777" w:rsidR="00E31838" w:rsidRPr="0010524E" w:rsidRDefault="00E31838" w:rsidP="0041594E">
            <w:pPr>
              <w:pStyle w:val="PargrafodaLista"/>
              <w:tabs>
                <w:tab w:val="left" w:pos="993"/>
              </w:tabs>
              <w:spacing w:after="0"/>
              <w:ind w:left="-26"/>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III</w:t>
            </w:r>
          </w:p>
          <w:p w14:paraId="7CF75BBB" w14:textId="77777777" w:rsidR="00E31838" w:rsidRPr="0010524E" w:rsidRDefault="00E31838" w:rsidP="0041594E">
            <w:pPr>
              <w:pStyle w:val="PargrafodaLista"/>
              <w:tabs>
                <w:tab w:val="left" w:pos="993"/>
              </w:tabs>
              <w:spacing w:after="0"/>
              <w:ind w:left="-26"/>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Baixa e recuperação de ativos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8708B3"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subseção para adaptação à estrutura da consolidação de normas.</w:t>
            </w:r>
          </w:p>
        </w:tc>
      </w:tr>
      <w:tr w:rsidR="00E31838" w:rsidRPr="0010524E" w14:paraId="3B0BAF4F" w14:textId="51147F7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4F6325F"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 xml:space="preserve">Art. 22. Os ativos financeiros devem ser baixados contabilmente nas seguintes condições: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F76584" w14:textId="5D4F0525"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196.  Os ativos financeiros devem ser baixados contabilmente nas seguintes condições: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FE4E38" w14:textId="0D907F9E"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237BDA5" w14:textId="7F37A46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A5131EE"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 - quando a recuperação do seu valor for improvável; ou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7F55533" w14:textId="03EA1284"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 - quando a recuperação do seu valor for improvável;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D241EC" w14:textId="7B7C8DFC"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7E0E90CB" w14:textId="2431F84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F7344A7"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 - quando decorridos trezentos e sessenta dias previsto no inciso VII do art. 18.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1D68BF" w14:textId="1A26C8A6"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 - quando decorridos trezentos e sessenta dias previsto no inciso VII do art. 192.</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485C6E" w14:textId="74600896"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393CEBC" w14:textId="23EB687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FD5BBBA" w14:textId="77777777" w:rsidR="00E31838" w:rsidRPr="0010524E" w:rsidRDefault="00E31838" w:rsidP="00A95720">
            <w:pPr>
              <w:jc w:val="both"/>
              <w:rPr>
                <w:rFonts w:ascii="Calibri" w:hAnsi="Calibri" w:cs="Calibri"/>
                <w:sz w:val="24"/>
                <w:szCs w:val="24"/>
              </w:rPr>
            </w:pPr>
            <w:bookmarkStart w:id="28" w:name="_Hlk129895213"/>
            <w:r w:rsidRPr="0010524E">
              <w:rPr>
                <w:rFonts w:ascii="Calibri" w:hAnsi="Calibri" w:cs="Calibri"/>
                <w:sz w:val="24"/>
                <w:szCs w:val="24"/>
              </w:rPr>
              <w:t>§ 1º Os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w:t>
            </w:r>
            <w:bookmarkEnd w:id="28"/>
            <w:r w:rsidRPr="0010524E">
              <w:rPr>
                <w:rFonts w:ascii="Calibri" w:hAnsi="Calibri" w:cs="Calibri"/>
                <w:sz w:val="24"/>
                <w:szCs w:val="24"/>
              </w:rPr>
              <w:t xml:space="preserv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8F8B57" w14:textId="71EB8937"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1º  Os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E147FF" w14:textId="23364F11"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EC98E93" w14:textId="4540363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86EFEFA" w14:textId="77777777" w:rsidR="00E31838" w:rsidRPr="0010524E" w:rsidRDefault="00E31838" w:rsidP="00A95720">
            <w:pPr>
              <w:jc w:val="both"/>
              <w:rPr>
                <w:rFonts w:ascii="Calibri" w:hAnsi="Calibri" w:cs="Calibri"/>
                <w:sz w:val="24"/>
                <w:szCs w:val="24"/>
              </w:rPr>
            </w:pPr>
            <w:bookmarkStart w:id="29" w:name="_Hlk129895255"/>
            <w:r w:rsidRPr="0010524E">
              <w:rPr>
                <w:rFonts w:ascii="Calibri" w:hAnsi="Calibri" w:cs="Calibri"/>
                <w:sz w:val="24"/>
                <w:szCs w:val="24"/>
              </w:rPr>
              <w:t xml:space="preserve">§ 2º A EFPC deve promover, por meio de sua estrutura interna ou por prestadores de serviço, a cobrança dos créditos vencidos buscando sempre maximizar o valor recuperado. </w:t>
            </w:r>
            <w:bookmarkEnd w:id="29"/>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38A041" w14:textId="263B3203"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2º  A EFPC deve promover, por meio de sua estrutura interna ou por prestadores de serviço, a cobrança dos créditos vencidos buscando sempre maximizar o valor recuperado.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689283" w14:textId="7583FA4B"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4F02285" w14:textId="3A872D9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56F4EDB" w14:textId="77777777" w:rsidR="00E31838" w:rsidRPr="0010524E" w:rsidRDefault="00E31838" w:rsidP="00A95720">
            <w:pPr>
              <w:jc w:val="both"/>
              <w:rPr>
                <w:rFonts w:ascii="Calibri" w:hAnsi="Calibri" w:cs="Calibri"/>
                <w:sz w:val="24"/>
                <w:szCs w:val="24"/>
              </w:rPr>
            </w:pPr>
            <w:bookmarkStart w:id="30" w:name="_Hlk129895298"/>
            <w:r w:rsidRPr="0010524E">
              <w:rPr>
                <w:rFonts w:ascii="Calibri" w:hAnsi="Calibri" w:cs="Calibri"/>
                <w:sz w:val="24"/>
                <w:szCs w:val="24"/>
              </w:rPr>
              <w:t xml:space="preserve">Art. 23. O ganho auferido por ocasião da renegociação de ativo financeiro baixado contabilmente deve ser apropriado ao </w:t>
            </w:r>
            <w:r w:rsidRPr="0010524E">
              <w:rPr>
                <w:rFonts w:ascii="Calibri" w:hAnsi="Calibri" w:cs="Calibri"/>
                <w:sz w:val="24"/>
                <w:szCs w:val="24"/>
              </w:rPr>
              <w:lastRenderedPageBreak/>
              <w:t xml:space="preserve">resultado somente quando do seu efetivo recebimento. </w:t>
            </w:r>
            <w:bookmarkEnd w:id="30"/>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A30FCE8" w14:textId="6CC8B01E"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Art. 197.  O ganho auferido por ocasião da renegociação de ativo financeiro baixado </w:t>
            </w:r>
            <w:r w:rsidRPr="0010524E">
              <w:rPr>
                <w:rFonts w:ascii="Calibri" w:eastAsia="Calibri" w:hAnsi="Calibri" w:cs="Calibri"/>
                <w:sz w:val="24"/>
                <w:szCs w:val="24"/>
              </w:rPr>
              <w:lastRenderedPageBreak/>
              <w:t>contabilmente deve ser apropriado ao resultado somente quando do seu efetivo recebimento.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62FF7D" w14:textId="6325F526"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4E2E1D0" w14:textId="2E6895E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B69266C" w14:textId="77777777" w:rsidR="00E31838" w:rsidRPr="0010524E" w:rsidRDefault="00E31838" w:rsidP="00A95720">
            <w:pPr>
              <w:jc w:val="both"/>
              <w:rPr>
                <w:rFonts w:ascii="Calibri" w:hAnsi="Calibri" w:cs="Calibri"/>
                <w:sz w:val="24"/>
                <w:szCs w:val="24"/>
              </w:rPr>
            </w:pPr>
            <w:bookmarkStart w:id="31" w:name="_Hlk129895318"/>
            <w:r w:rsidRPr="0010524E">
              <w:rPr>
                <w:rFonts w:ascii="Calibri" w:hAnsi="Calibri" w:cs="Calibri"/>
                <w:sz w:val="24"/>
                <w:szCs w:val="24"/>
              </w:rPr>
              <w:t>Art. 24.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bookmarkEnd w:id="31"/>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F402D6" w14:textId="68783BDA"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198.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1D7A20" w14:textId="423A8DD8"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173F63B" w14:textId="73CF5E0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EFDA747" w14:textId="77777777" w:rsidR="00E31838" w:rsidRPr="0010524E" w:rsidRDefault="00E31838" w:rsidP="0041594E">
            <w:pPr>
              <w:spacing w:after="0"/>
              <w:jc w:val="center"/>
              <w:rPr>
                <w:rFonts w:ascii="Calibri" w:hAnsi="Calibri" w:cs="Calibri"/>
                <w:sz w:val="24"/>
                <w:szCs w:val="24"/>
              </w:rPr>
            </w:pPr>
            <w:r w:rsidRPr="0010524E">
              <w:rPr>
                <w:rFonts w:ascii="Calibri" w:hAnsi="Calibri" w:cs="Calibri"/>
                <w:sz w:val="24"/>
                <w:szCs w:val="24"/>
              </w:rPr>
              <w:t>CAPÍTULO V</w:t>
            </w:r>
          </w:p>
          <w:p w14:paraId="540729E8" w14:textId="77777777" w:rsidR="00E31838" w:rsidRPr="0010524E" w:rsidRDefault="00E31838" w:rsidP="0041594E">
            <w:pPr>
              <w:spacing w:after="0"/>
              <w:jc w:val="center"/>
              <w:rPr>
                <w:rFonts w:ascii="Calibri" w:hAnsi="Calibri" w:cs="Calibri"/>
                <w:sz w:val="24"/>
                <w:szCs w:val="24"/>
              </w:rPr>
            </w:pPr>
            <w:r w:rsidRPr="0010524E">
              <w:rPr>
                <w:rFonts w:ascii="Calibri" w:hAnsi="Calibri" w:cs="Calibri"/>
                <w:sz w:val="24"/>
                <w:szCs w:val="24"/>
              </w:rPr>
              <w:t>DOS REGISTROS CONTÁBEIS DO IMOBILIZADO E DO INTANGÍVEL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DF7E53" w14:textId="4E41421B" w:rsidR="00E31838" w:rsidRPr="0010524E" w:rsidRDefault="00E31838" w:rsidP="0041594E">
            <w:pPr>
              <w:pStyle w:val="PargrafodaLista"/>
              <w:tabs>
                <w:tab w:val="left" w:pos="993"/>
              </w:tabs>
              <w:spacing w:after="0"/>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w:t>
            </w:r>
          </w:p>
          <w:p w14:paraId="65FE1635" w14:textId="77777777" w:rsidR="00E31838" w:rsidRPr="0010524E" w:rsidRDefault="00E31838" w:rsidP="0041594E">
            <w:pPr>
              <w:pStyle w:val="PargrafodaLista"/>
              <w:tabs>
                <w:tab w:val="left" w:pos="993"/>
              </w:tabs>
              <w:spacing w:after="0"/>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Registros contábeis do imobilizado e do intangível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A6EA36"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seção para adaptação à estrutura da consolidação de normas.</w:t>
            </w:r>
          </w:p>
        </w:tc>
      </w:tr>
      <w:tr w:rsidR="00E31838" w:rsidRPr="0010524E" w14:paraId="2D57049D" w14:textId="093D3A0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8B9FC63"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25. A depreciação do Imobilizado e a amortização do Intangível devem ser contabilizadas mensalmente, como redutoras, em conta analítica dos respectivos ativos, tendo como contrapartida despesas do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1462B2" w14:textId="1DDFA8C3"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199.  A depreciação do Imobilizado e a amortização do Intangível devem ser contabilizadas mensalmente, como redutoras, em conta analítica dos respectivos ativos, tendo como contrapartida despesas do 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1AFC8A" w14:textId="5B60658B"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2485557" w14:textId="21EFB09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E58C3A3"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 1º A contabilização da amortização do intangível deve ser efetuada independentemente da existência do resultado do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E5644CB" w14:textId="1DD37B0A"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1º  A contabilização da amortização do intangível deve ser efetuada independentemente da existência do resultado do 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99EDE6" w14:textId="1C2469AD"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0D56779" w14:textId="4DA2EF8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BFEBAB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 2º Os gastos com implantação de novos planos de benefícios de caráter previdencial </w:t>
            </w:r>
            <w:r w:rsidRPr="0010524E">
              <w:rPr>
                <w:rFonts w:ascii="Calibri" w:hAnsi="Calibri" w:cs="Calibri"/>
                <w:sz w:val="24"/>
                <w:szCs w:val="24"/>
              </w:rPr>
              <w:lastRenderedPageBreak/>
              <w:t xml:space="preserve">devem ser amortizados no prazo máximo de sessenta meses, contados a partir da data de início de funcionamento do plano de benefícios.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4D6BE7" w14:textId="60189624"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 2º  Os gastos com implantação de novos planos de benefícios de caráter previdencial devem ser </w:t>
            </w:r>
            <w:r w:rsidRPr="0010524E">
              <w:rPr>
                <w:rFonts w:ascii="Calibri" w:eastAsia="Calibri" w:hAnsi="Calibri" w:cs="Calibri"/>
                <w:sz w:val="24"/>
                <w:szCs w:val="24"/>
              </w:rPr>
              <w:lastRenderedPageBreak/>
              <w:t>amortizados no prazo máximo de sessenta meses, contados a partir da data de início de funcionamento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312E99" w14:textId="3BF6E611"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338E4E8" w14:textId="004C59D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5EF2FCD"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 3º As EFPC devem apresentar plano de viabilidade econômico-financeira demonstrando que as receitas administrativas a serem auferidas serão suficientes para arcar com a amortização referida no § 2º.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40990B6" w14:textId="2A1EB466"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3º  As EFPC devem apresentar plano de viabilidade econômico-financeira demonstrando que as receitas administrativas a serem auferidas são suficientes para arcar com a amortização referida no § 2º.</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014ECD" w14:textId="09E4FA50"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8887724" w14:textId="0D60814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8B24C94" w14:textId="77777777" w:rsidR="00E31838" w:rsidRPr="0010524E" w:rsidRDefault="00E31838" w:rsidP="0041594E">
            <w:pPr>
              <w:spacing w:after="0"/>
              <w:jc w:val="center"/>
              <w:rPr>
                <w:rFonts w:ascii="Calibri" w:hAnsi="Calibri" w:cs="Calibri"/>
                <w:sz w:val="24"/>
                <w:szCs w:val="24"/>
              </w:rPr>
            </w:pPr>
            <w:r w:rsidRPr="0010524E">
              <w:rPr>
                <w:rFonts w:ascii="Calibri" w:hAnsi="Calibri" w:cs="Calibri"/>
                <w:sz w:val="24"/>
                <w:szCs w:val="24"/>
              </w:rPr>
              <w:t>CAPÍTULO VI</w:t>
            </w:r>
          </w:p>
          <w:p w14:paraId="4B30C1BA" w14:textId="77777777" w:rsidR="00E31838" w:rsidRPr="0010524E" w:rsidRDefault="00E31838" w:rsidP="0041594E">
            <w:pPr>
              <w:spacing w:after="0"/>
              <w:jc w:val="center"/>
              <w:rPr>
                <w:rFonts w:ascii="Calibri" w:hAnsi="Calibri" w:cs="Calibri"/>
                <w:sz w:val="24"/>
                <w:szCs w:val="24"/>
              </w:rPr>
            </w:pPr>
            <w:r w:rsidRPr="0010524E">
              <w:rPr>
                <w:rFonts w:ascii="Calibri" w:hAnsi="Calibri" w:cs="Calibri"/>
                <w:sz w:val="24"/>
                <w:szCs w:val="24"/>
              </w:rPr>
              <w:t>DOS OUTROS REGISTROS CONTÁBEIS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84CEFE" w14:textId="77777777" w:rsidR="00E31838" w:rsidRPr="0010524E" w:rsidRDefault="00E31838" w:rsidP="00A957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05B8A0"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para adaptação à estrutura da consolidação de normas.</w:t>
            </w:r>
          </w:p>
        </w:tc>
      </w:tr>
      <w:tr w:rsidR="00E31838" w:rsidRPr="0010524E" w14:paraId="29732B81" w14:textId="78C5B53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64F6F94"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Seção I</w:t>
            </w:r>
          </w:p>
          <w:p w14:paraId="70784FE3"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Das dívidas de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9DB079" w14:textId="77777777" w:rsidR="00E31838" w:rsidRPr="0010524E" w:rsidRDefault="00E31838" w:rsidP="00A957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87F949"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transferido para a Subseção III da Seção II, para adaptação à estrutura da consolidação de normas.</w:t>
            </w:r>
          </w:p>
        </w:tc>
      </w:tr>
      <w:tr w:rsidR="00E31838" w:rsidRPr="0010524E" w14:paraId="32EA1C06" w14:textId="0EFE224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258C05E"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26. As EFPC devem registrar contabilmente os instrumentos de dívidas de patrocinador relativos aos financiamentos de serviço passado e de déficit técnico equacionado no grupo “Operações Contratadas” do “Realizável Previdencial”, no Ativo.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D89B15"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C252AA"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transferido para o art. 308, Subseção III da Seção II da proposta, para adaptação à estrutura da consolidação de normas.</w:t>
            </w:r>
          </w:p>
        </w:tc>
      </w:tr>
      <w:tr w:rsidR="00E31838" w:rsidRPr="0010524E" w14:paraId="74703A9C" w14:textId="116249A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A41EAF8" w14:textId="77777777" w:rsidR="00E31838" w:rsidRPr="0041594E" w:rsidRDefault="00E31838" w:rsidP="0041594E">
            <w:pPr>
              <w:spacing w:after="120"/>
              <w:jc w:val="center"/>
              <w:rPr>
                <w:rFonts w:ascii="Calibri" w:hAnsi="Calibri" w:cs="Calibri"/>
                <w:b/>
                <w:bCs/>
                <w:sz w:val="24"/>
                <w:szCs w:val="24"/>
              </w:rPr>
            </w:pPr>
            <w:r w:rsidRPr="0041594E">
              <w:rPr>
                <w:rFonts w:ascii="Calibri" w:hAnsi="Calibri" w:cs="Calibri"/>
                <w:b/>
                <w:bCs/>
                <w:sz w:val="24"/>
                <w:szCs w:val="24"/>
              </w:rPr>
              <w:lastRenderedPageBreak/>
              <w:t>Seção II</w:t>
            </w:r>
          </w:p>
          <w:p w14:paraId="2DE00F4D" w14:textId="77777777" w:rsidR="00E31838" w:rsidRPr="0010524E" w:rsidRDefault="00E31838" w:rsidP="0041594E">
            <w:pPr>
              <w:spacing w:after="120"/>
              <w:jc w:val="center"/>
              <w:rPr>
                <w:rFonts w:ascii="Calibri" w:hAnsi="Calibri" w:cs="Calibri"/>
                <w:sz w:val="24"/>
                <w:szCs w:val="24"/>
              </w:rPr>
            </w:pPr>
            <w:r w:rsidRPr="0041594E">
              <w:rPr>
                <w:rFonts w:ascii="Calibri" w:hAnsi="Calibri" w:cs="Calibri"/>
                <w:b/>
                <w:bCs/>
                <w:sz w:val="24"/>
                <w:szCs w:val="24"/>
              </w:rPr>
              <w:t>Da provisão contingencial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B7C356" w14:textId="77777777" w:rsidR="00E31838" w:rsidRPr="0010524E" w:rsidRDefault="00E31838" w:rsidP="00A957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CD5CDC"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transferido para a Subseção IV da Seção II da proposta, para adaptação à estrutura da consolidação de normas.</w:t>
            </w:r>
          </w:p>
        </w:tc>
      </w:tr>
      <w:tr w:rsidR="00E31838" w:rsidRPr="0010524E" w14:paraId="244CDA8D" w14:textId="5410A72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08578F2"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27. As provisões em caráter contingencial devem ser contabilizadas no exigível contingencial tendo como contrapartida a conta "Constituição/Reversão de Contingência".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7DA292"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D29FE4"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transferido para o art. 309 da Subseção IV da Seção II da proposta, para adaptação à estrutura da consolidação de normas.</w:t>
            </w:r>
          </w:p>
        </w:tc>
      </w:tr>
      <w:tr w:rsidR="00E31838" w:rsidRPr="0010524E" w14:paraId="40F63EBD" w14:textId="29498CA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3691C34" w14:textId="77777777" w:rsidR="00E31838" w:rsidRPr="0041594E" w:rsidRDefault="00E31838" w:rsidP="0041594E">
            <w:pPr>
              <w:spacing w:after="120"/>
              <w:jc w:val="center"/>
              <w:rPr>
                <w:rFonts w:ascii="Calibri" w:hAnsi="Calibri" w:cs="Calibri"/>
                <w:b/>
                <w:bCs/>
                <w:sz w:val="24"/>
                <w:szCs w:val="24"/>
              </w:rPr>
            </w:pPr>
            <w:r w:rsidRPr="0041594E">
              <w:rPr>
                <w:rFonts w:ascii="Calibri" w:hAnsi="Calibri" w:cs="Calibri"/>
                <w:b/>
                <w:bCs/>
                <w:sz w:val="24"/>
                <w:szCs w:val="24"/>
              </w:rPr>
              <w:t>Seção III</w:t>
            </w:r>
          </w:p>
          <w:p w14:paraId="626BCD95" w14:textId="77777777" w:rsidR="00E31838" w:rsidRPr="0010524E" w:rsidRDefault="00E31838" w:rsidP="0041594E">
            <w:pPr>
              <w:spacing w:after="120"/>
              <w:jc w:val="center"/>
              <w:rPr>
                <w:rFonts w:ascii="Calibri" w:hAnsi="Calibri" w:cs="Calibri"/>
                <w:sz w:val="24"/>
                <w:szCs w:val="24"/>
              </w:rPr>
            </w:pPr>
            <w:r w:rsidRPr="0041594E">
              <w:rPr>
                <w:rFonts w:ascii="Calibri" w:hAnsi="Calibri" w:cs="Calibri"/>
                <w:b/>
                <w:bCs/>
                <w:sz w:val="24"/>
                <w:szCs w:val="24"/>
              </w:rPr>
              <w:t>Do equilíbrio técnico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BAAD09" w14:textId="77777777" w:rsidR="00E31838" w:rsidRPr="0010524E" w:rsidRDefault="00E31838" w:rsidP="00A957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8D1F4B"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Tema tratado em norma específica.</w:t>
            </w:r>
          </w:p>
        </w:tc>
      </w:tr>
      <w:tr w:rsidR="00E31838" w:rsidRPr="0010524E" w14:paraId="1A34EC40" w14:textId="4071AD9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1D19EDF"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28. As EFPC devem apurar o equilíbrio técnico do plano de benefícios de acordo com a legislação vigente.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C89785" w14:textId="77777777" w:rsidR="00E31838" w:rsidRPr="0010524E" w:rsidRDefault="00E31838" w:rsidP="00A957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69A03C"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Tema tratado em norma específica</w:t>
            </w:r>
          </w:p>
        </w:tc>
      </w:tr>
      <w:tr w:rsidR="00E31838" w:rsidRPr="0010524E" w14:paraId="2B9C7AE4" w14:textId="552359B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B580D8A" w14:textId="77777777" w:rsidR="00E31838" w:rsidRPr="0041594E" w:rsidRDefault="00E31838" w:rsidP="0041594E">
            <w:pPr>
              <w:spacing w:after="120"/>
              <w:jc w:val="center"/>
              <w:rPr>
                <w:rFonts w:ascii="Calibri" w:hAnsi="Calibri" w:cs="Calibri"/>
                <w:b/>
                <w:bCs/>
                <w:sz w:val="24"/>
                <w:szCs w:val="24"/>
              </w:rPr>
            </w:pPr>
            <w:r w:rsidRPr="0041594E">
              <w:rPr>
                <w:rFonts w:ascii="Calibri" w:hAnsi="Calibri" w:cs="Calibri"/>
                <w:b/>
                <w:bCs/>
                <w:sz w:val="24"/>
                <w:szCs w:val="24"/>
              </w:rPr>
              <w:t>Seção IV</w:t>
            </w:r>
          </w:p>
          <w:p w14:paraId="7C0C7378" w14:textId="77777777" w:rsidR="00E31838" w:rsidRPr="0010524E" w:rsidRDefault="00E31838" w:rsidP="0041594E">
            <w:pPr>
              <w:spacing w:after="120"/>
              <w:jc w:val="center"/>
              <w:rPr>
                <w:rFonts w:ascii="Calibri" w:hAnsi="Calibri" w:cs="Calibri"/>
                <w:sz w:val="24"/>
                <w:szCs w:val="24"/>
              </w:rPr>
            </w:pPr>
            <w:r w:rsidRPr="0041594E">
              <w:rPr>
                <w:rFonts w:ascii="Calibri" w:hAnsi="Calibri" w:cs="Calibri"/>
                <w:b/>
                <w:bCs/>
                <w:sz w:val="24"/>
                <w:szCs w:val="24"/>
              </w:rPr>
              <w:t>Do fundo previdencial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B6CB0B" w14:textId="77777777" w:rsidR="00E31838" w:rsidRPr="0010524E" w:rsidRDefault="00E31838" w:rsidP="00A957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980FA1"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transferido para a Subseção V da Seção II, para adaptação à estrutura da consolidação de normas.</w:t>
            </w:r>
          </w:p>
        </w:tc>
      </w:tr>
      <w:tr w:rsidR="00E31838" w:rsidRPr="0010524E" w14:paraId="0F3EA211" w14:textId="30AD205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D2349C8"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29. A utilização de recursos de fundo previdencial, para cobrir total ou parcialmente as contribuições em conformidade com o plano de custeio anual, deve ser registrada e evidenciada em nota explicativa.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D2460A"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D5B2F1"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transferido para o art. 310 da Subseção III da Seção II, para adaptação à estrutura da consolidação de normas.</w:t>
            </w:r>
          </w:p>
        </w:tc>
      </w:tr>
      <w:tr w:rsidR="00E31838" w:rsidRPr="0010524E" w14:paraId="3F929F67" w14:textId="1EE8AE6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0DC29D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Parágrafo único. As desonerações de contribuições dos patrocinadores utilizando </w:t>
            </w:r>
            <w:r w:rsidRPr="0010524E">
              <w:rPr>
                <w:rFonts w:ascii="Calibri" w:hAnsi="Calibri" w:cs="Calibri"/>
                <w:sz w:val="24"/>
                <w:szCs w:val="24"/>
              </w:rPr>
              <w:lastRenderedPageBreak/>
              <w:t xml:space="preserve">recursos do "Fundo Previdencial" devem ser contabilizadas em conta de resultado.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3DD168"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975487"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Texto transferido para o parágrafo único do art. 310 da Subseção III da Seção II, </w:t>
            </w:r>
            <w:r w:rsidRPr="0010524E">
              <w:rPr>
                <w:rFonts w:ascii="Calibri" w:eastAsia="Times New Roman" w:hAnsi="Calibri" w:cs="Calibri"/>
                <w:kern w:val="0"/>
                <w:sz w:val="24"/>
                <w:szCs w:val="24"/>
                <w:lang w:eastAsia="pt-BR"/>
                <w14:ligatures w14:val="none"/>
              </w:rPr>
              <w:lastRenderedPageBreak/>
              <w:t>para adaptação à estrutura da consolidação de normas.</w:t>
            </w:r>
          </w:p>
        </w:tc>
      </w:tr>
      <w:tr w:rsidR="00E31838" w:rsidRPr="0010524E" w14:paraId="46B912F6" w14:textId="5BAEC41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6F9FC8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Seção V</w:t>
            </w:r>
          </w:p>
          <w:p w14:paraId="6F596CCE"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Dos ajustes de consolidação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B009A7" w14:textId="77777777" w:rsidR="00E31838" w:rsidRPr="0010524E" w:rsidRDefault="00E31838" w:rsidP="00A957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6F3E63"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transferido para a Subseção VI da Seção II, para adaptação à estrutura da consolidação de normas.</w:t>
            </w:r>
          </w:p>
        </w:tc>
      </w:tr>
      <w:tr w:rsidR="00E31838" w:rsidRPr="0010524E" w14:paraId="30DD3491" w14:textId="158DC56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5194DA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30. Os ajustes e eliminações necessários à consolidação das Demonstrações Contábeis e balancetes devem ser registrados em documentos auxiliares.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C495EB"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B8568C"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transferido para o art. 311 da Subseção III da Seção II, para adaptação à estrutura da consolidação de normas.</w:t>
            </w:r>
          </w:p>
        </w:tc>
      </w:tr>
      <w:tr w:rsidR="00E31838" w:rsidRPr="0010524E" w14:paraId="267F2AD3" w14:textId="135C18A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1367452"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Parágrafo único. As contas passíveis de ajustes e eliminações, entre outras, são: "Migrações entre Planos", "Compensações de Fluxos Previdenciais", "Participação no PGA", "Participação no Fundo Administrativo PGA" e valores a pagar e a receber entre planos.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1938DF"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A776A4"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transferido para o parágrafo único do art. 311 da Subseção III da Seção II, para adaptação à estrutura da consolidação de normas.</w:t>
            </w:r>
          </w:p>
        </w:tc>
      </w:tr>
      <w:tr w:rsidR="00E31838" w:rsidRPr="0010524E" w14:paraId="307572EA" w14:textId="1159E7C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79AB1CC" w14:textId="77777777" w:rsidR="00E31838" w:rsidRPr="00ED547B" w:rsidRDefault="00E31838" w:rsidP="0041594E">
            <w:pPr>
              <w:spacing w:after="0"/>
              <w:jc w:val="center"/>
              <w:rPr>
                <w:rFonts w:ascii="Calibri" w:hAnsi="Calibri" w:cs="Calibri"/>
                <w:b/>
                <w:bCs/>
                <w:sz w:val="24"/>
                <w:szCs w:val="24"/>
              </w:rPr>
            </w:pPr>
            <w:r w:rsidRPr="00ED547B">
              <w:rPr>
                <w:rFonts w:ascii="Calibri" w:hAnsi="Calibri" w:cs="Calibri"/>
                <w:b/>
                <w:bCs/>
                <w:sz w:val="24"/>
                <w:szCs w:val="24"/>
              </w:rPr>
              <w:t>Seção VI</w:t>
            </w:r>
          </w:p>
          <w:p w14:paraId="04A3D473" w14:textId="77777777" w:rsidR="00E31838" w:rsidRPr="0010524E" w:rsidRDefault="00E31838" w:rsidP="0041594E">
            <w:pPr>
              <w:spacing w:after="0"/>
              <w:jc w:val="center"/>
              <w:rPr>
                <w:rFonts w:ascii="Calibri" w:hAnsi="Calibri" w:cs="Calibri"/>
                <w:sz w:val="24"/>
                <w:szCs w:val="24"/>
              </w:rPr>
            </w:pPr>
            <w:r w:rsidRPr="00ED547B">
              <w:rPr>
                <w:rFonts w:ascii="Calibri" w:hAnsi="Calibri" w:cs="Calibri"/>
                <w:b/>
                <w:bCs/>
                <w:sz w:val="24"/>
                <w:szCs w:val="24"/>
              </w:rPr>
              <w:t>Do Livro Diário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1A04A4" w14:textId="00878D96" w:rsidR="00E31838" w:rsidRPr="0010524E" w:rsidRDefault="00E31838" w:rsidP="0041594E">
            <w:pPr>
              <w:pStyle w:val="PargrafodaLista"/>
              <w:tabs>
                <w:tab w:val="left" w:pos="993"/>
              </w:tabs>
              <w:spacing w:after="0"/>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VI</w:t>
            </w:r>
          </w:p>
          <w:p w14:paraId="2D30B848" w14:textId="77777777" w:rsidR="00E31838" w:rsidRPr="0010524E" w:rsidRDefault="00E31838" w:rsidP="0041594E">
            <w:pPr>
              <w:pStyle w:val="PargrafodaLista"/>
              <w:tabs>
                <w:tab w:val="left" w:pos="993"/>
              </w:tabs>
              <w:spacing w:after="0"/>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Livro Diário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1A7E8B" w14:textId="30638443"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9D6E6E6" w14:textId="1A5219C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4C63B6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31. A autenticação do livro diário deve ser realizada pelo Sistema Público de Escrituração Digital (Sped), por meio da apresentação de escrituração contábil digital, na forma estabelecida pela Secretaria da Receita Federal do Brasil.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E08679" w14:textId="6630DE3C"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200.  A autenticação do livro diário deve ser realizada pelo Sistema Público de Escrituração Digital, por meio da apresentação de escrituração contábil digital, na forma estabelecida pela Secretaria da Receita Federal do Brasil.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93BD6E" w14:textId="74D5D6D4"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F12705B" w14:textId="1209761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464D967"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Parágrafo único. A autenticação do livro diário de que trata este artigo deve ser comprovada pelo recibo de entrega emitido pelo Sistema Público de Escrituração Digital (Sped).</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F501B6" w14:textId="267E5722"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A autenticação do livro diário de que trata este artigo deve ser comprovada pelo recibo de entrega emitido pelo Sistema Público de Escrituração Digital.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4F6CEB" w14:textId="4A9F70B6"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56A7AF6" w14:textId="0079491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BAA5E63" w14:textId="77777777" w:rsidR="00E31838" w:rsidRPr="001F0BE2" w:rsidRDefault="00E31838" w:rsidP="00A95720">
            <w:pPr>
              <w:spacing w:after="0"/>
              <w:jc w:val="center"/>
              <w:rPr>
                <w:rFonts w:ascii="Calibri" w:hAnsi="Calibri" w:cs="Calibri"/>
                <w:b/>
                <w:bCs/>
                <w:sz w:val="24"/>
                <w:szCs w:val="24"/>
              </w:rPr>
            </w:pPr>
            <w:r w:rsidRPr="001F0BE2">
              <w:rPr>
                <w:rFonts w:ascii="Calibri" w:hAnsi="Calibri" w:cs="Calibri"/>
                <w:b/>
                <w:bCs/>
                <w:sz w:val="24"/>
                <w:szCs w:val="24"/>
              </w:rPr>
              <w:t>Seção VII</w:t>
            </w:r>
          </w:p>
          <w:p w14:paraId="5E7E08FE" w14:textId="5DA19A54" w:rsidR="00E31838" w:rsidRPr="0010524E" w:rsidRDefault="00E31838" w:rsidP="00A95720">
            <w:pPr>
              <w:spacing w:after="0"/>
              <w:jc w:val="center"/>
              <w:rPr>
                <w:rFonts w:ascii="Calibri" w:hAnsi="Calibri" w:cs="Calibri"/>
                <w:sz w:val="24"/>
                <w:szCs w:val="24"/>
              </w:rPr>
            </w:pPr>
            <w:r w:rsidRPr="001F0BE2">
              <w:rPr>
                <w:rFonts w:ascii="Calibri" w:hAnsi="Calibri" w:cs="Calibri"/>
                <w:b/>
                <w:bCs/>
                <w:sz w:val="24"/>
                <w:szCs w:val="24"/>
              </w:rPr>
              <w:t>Das Notas Explicativas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2BDCC1" w14:textId="6B4F6E75" w:rsidR="00E31838" w:rsidRPr="0010524E" w:rsidRDefault="00E31838" w:rsidP="00A95720">
            <w:pPr>
              <w:pStyle w:val="PargrafodaLista"/>
              <w:tabs>
                <w:tab w:val="left" w:pos="993"/>
              </w:tabs>
              <w:spacing w:after="120"/>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VII</w:t>
            </w:r>
          </w:p>
          <w:p w14:paraId="41C0A1D8" w14:textId="77777777" w:rsidR="00E31838" w:rsidRPr="0010524E" w:rsidRDefault="00E31838" w:rsidP="00A95720">
            <w:pPr>
              <w:pStyle w:val="PargrafodaLista"/>
              <w:tabs>
                <w:tab w:val="left" w:pos="993"/>
              </w:tabs>
              <w:spacing w:after="120"/>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Notas Explicativas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0DAB1F" w14:textId="71F3B595"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D915355" w14:textId="259643A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0FBF9C6"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32. As EFPC devem elaborar as Notas Explicativas às Demonstrações Contábeis, contemplando, no mínimo, as seguintes informações, segregadas, quando possível, por planos de benefícios e pelo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A9E291" w14:textId="64BF8A1C"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Art. 201.  As EFPC devem elaborar as Notas Explicativas às Demonstrações Contábeis, contemplando, no mínimo, as seguintes informações, segregadas, quando possível, por planos de benefícios e pelo 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65B303" w14:textId="2D8A091F"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C77DB0D" w14:textId="619A91C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B36A42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 - contexto operacional das EFPC, incluindo resumo das principais práticas contábeis, relação dos itens avaliados, descrição dos critérios adotados nos períodos, anterior e atual, e eventuais efeitos decorrentes de mudanças de critérios;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A44D99E" w14:textId="72462683"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 - contexto operacional das EFPC, incluindo resumo das principais práticas contábeis, relação dos itens avaliados, descrição dos critérios adotados nos períodos, anterior e atual, e eventuais efeitos decorrentes de mudanças de critérios;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5D4D9F" w14:textId="0E77382F"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756A3EAA" w14:textId="3074356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D1B5929"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 - descrição das contingências passivas relevantes, cujas chances de perda sejam prováveis ou possíveis;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D387920" w14:textId="27A3B7CF"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 - descrição das contingências passivas relevantes, cujas chances de perda sejam prováveis ou possíveis;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8B8496" w14:textId="0EB30FE2"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38D7263" w14:textId="305A447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7F2E73D"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III - critérios, natureza e percentual utilizados para a constituição de provisões;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9DBCCC" w14:textId="02BE2ED2"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III - critérios, natureza e percentual utilizados para a constituição de provisões;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6082FA" w14:textId="06751C69"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7BBEE1E" w14:textId="442979B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469F0F7"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 xml:space="preserve">IV - critérios de avaliação e de amortização das aplicações de recursos existentes no ativo intangível;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4E2BFD" w14:textId="6747EBC0"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IV - critérios de avaliação e de amortização das aplicações de recursos existentes no ativo intangível;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FA7735" w14:textId="55CF8A50"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D3BBA36" w14:textId="6AC7ABE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FAAC1C7"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V - avaliações e reavaliações dos bens imóveis do ativo “Imobilizado” e dos “Investimentos em imóveis” indicando, no mínimo, histórico, data da avaliação, identificação dos avaliadores responsáveis e respectivos valores, bem como os efeitos no exercício;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D8B0B4" w14:textId="2E22DDE3"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V - avaliações e reavaliações dos bens imóveis do ativo “Imobilizado” e dos “Investimentos em imóveis” indicando, no mínimo, histórico, data da avaliação, identificação dos avaliadores responsáveis e respectivos valores, bem como os efeitos no exercício;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FFD92F" w14:textId="15F9F250"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F346DFE" w14:textId="637F8CD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763972A"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VI - ajustes de exercícios anteriores decorrentes de mudanças de práticas contábeis ou de retificações de erros de períodos anteriores, não atribuíveis a eventos subsequentes, com descrição da natureza e dos seus respectivos efeitos;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AAEF50" w14:textId="48CCB652"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VI - ajustes de exercícios anteriores decorrentes de mudanças de práticas contábeis ou de retificações de erros de períodos anteriores, não atribuíveis a eventos subsequentes, com descrição da natureza e dos seus respectivos efeitos;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ABADB9" w14:textId="30D192F9"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56F3816" w14:textId="1264ED1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96C96A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5DCFF73" w14:textId="41F96186"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40DD1B" w14:textId="73001EDD"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6C82EB8" w14:textId="39D1543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6C797AF"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 xml:space="preserve">VIII - composição das contribuições em atraso e contratadas, por patrocinador e por plano de benefícios, comparativos com o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212D96F" w14:textId="2339CEF4"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VIII - composição das contribuições em atraso e contratadas, por patrocinador e por plano de benefícios, comparativos com o exercício anterior;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2C4E64" w14:textId="66ACFE44"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47C24580" w14:textId="4022FAB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8B4FAE6"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IX - composição da carteira de investimentos, em comparação com a do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0A09EA" w14:textId="575ED657"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IX - composição da carteira de investimentos, em comparação com a do exercício anterior;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2B5757" w14:textId="15A36BD2"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0BE1E6A" w14:textId="327B30F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2F10F61"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 - critérios utilizados para o rateio das despesas administrativas entre os planos de benefícios, se for o caso;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E7A17A" w14:textId="141B5389"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 - critérios utilizados para o rateio das despesas administrativas entre os planos de benefícios, se for o caso;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2AA9B9" w14:textId="396C0718"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86CEDC6" w14:textId="5168E1C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8A173E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XI - objetivos e critérios utilizados para constituição e reversão de fundos;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E7D231" w14:textId="490A4C86"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XI - objetivos e critérios utilizados para constituição e reversão de fundos;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77510B" w14:textId="0058F93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B801F6C" w14:textId="1E9D658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5EA8DC3"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XII - detalhamento dos saldos das contas que contenham a denominação "Outros", quando ultrapassarem, no total, um décimo do valor do respectivo grupo da referida conta;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4D3A99" w14:textId="7EB9F7B6"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XII - detalhamento dos saldos das contas que contenham a denominação "Outros", quando ultrapassarem, no total, um décimo do valor do respectivo grupo da referida conta;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CDC15E" w14:textId="705D701F"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DC7A906" w14:textId="68A9098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D4237C4"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XIII - detalhamento dos ajustes e eliminações decorrentes do processo de consolidação das Demonstrações Contábeis;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6249A0" w14:textId="07B03636"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XIII - detalhamento dos ajustes e eliminações decorrentes do processo de consolidação das Demonstrações Contábeis;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AF366C" w14:textId="4BA3377E"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DFE60E3" w14:textId="2686D06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FAC2099"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XIV - descrição de operações de empréstimo de títulos ou valores mobiliários em que o ativo recebido for diverso daquele originalmente entregue, classificado na categoria "títulos mantidos até o </w:t>
            </w:r>
            <w:r w:rsidRPr="0010524E">
              <w:rPr>
                <w:rFonts w:ascii="Calibri" w:hAnsi="Calibri" w:cs="Calibri"/>
                <w:sz w:val="24"/>
                <w:szCs w:val="24"/>
              </w:rPr>
              <w:lastRenderedPageBreak/>
              <w:t xml:space="preserve">vencimento", com informações sobre ativos emprestados e recebidos, datas da operação original e da devolução, quantidades envolvidas e efeito no resultado do período;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96B6A1E" w14:textId="74545FBD"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XIV - descrição de operações de empréstimo de títulos ou valores mobiliários em que o ativo recebido for diverso daquele originalmente entregue, classificado na categoria "títulos mantidos até o vencimento", com informações sobre ativos emprestados e recebidos, </w:t>
            </w:r>
            <w:r w:rsidRPr="0010524E">
              <w:rPr>
                <w:rFonts w:ascii="Calibri" w:eastAsia="Calibri" w:hAnsi="Calibri" w:cs="Calibri"/>
                <w:sz w:val="24"/>
                <w:szCs w:val="24"/>
              </w:rPr>
              <w:lastRenderedPageBreak/>
              <w:t>datas da operação original e da devolução, quantidades envolvidas e efeito no resultado do período;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D2E741" w14:textId="4F94CA18"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72A09617" w14:textId="21120E5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2D7A7C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XV - eventos subsequentes à data de encerramento do exercício que tenham ou possam vir a ter efeitos relevantes sobre a situação financeira ou econômica dos planos de benefícios e do PGA;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4B4EF0" w14:textId="1CAFF1C2"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XV - eventos subsequentes à data de encerramento do exercício que tenham ou possam vir a ter efeitos relevantes sobre a situação financeira ou econômica dos planos de benefícios e do Plano de Gestão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200D08" w14:textId="1A19D516"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497B5DBB" w14:textId="7464A64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5AAD45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59FC087" w14:textId="660953AF"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A9CF1C" w14:textId="6C1062B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7F1232A2" w14:textId="14D9CBC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CC7B2D1"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XVII - premissas utilizadas para avaliação de imóveis constantes do laudo de avaliação, bem como as justificativas para a escolha do preço do ativo nos casos em que mais de uma opção seja apresentada pelo avaliador;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423B446" w14:textId="325D9ECF"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XVII - premissas utilizadas para avaliação de imóveis constantes do laudo de avaliação, bem como as justificativas para a escolha do preço do ativo nos casos em que mais de uma opção seja apresentada pelo avaliador;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C7ABAF" w14:textId="4BA7E963"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4E3ED1B" w14:textId="5E1C1FC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82D7DCA"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 xml:space="preserve">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3FA1DA" w14:textId="07790B3B"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30D83A" w14:textId="03B14BD1"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C719D8C" w14:textId="7EC84BC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70BFBF3"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XIX - equacionamento de déficit técnico com indicação do plano de benefícios, do prazo, das taxas ou valores de contribuições, das contribuições extraordinárias de participantes, assistidos e patrocinadores, da eventual inadimplência e do tempo restante do equacionamento;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1CD7CA3" w14:textId="16F4C6CF"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XIX - equacionamento de déficit técnico com indicação do plano de benefícios, do prazo, das taxas ou valores de contribuições, das contribuições extraordinárias de participantes, assistidos e patrocinadores, da eventual inadimplência e do tempo restante do equacionamento;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332725" w14:textId="43B6440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0D1280B" w14:textId="129E8CE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DB5CBF1"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XX - critérios e prazos utilizados para a destinação de superávit técnico, caso aplicável;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25DAC59" w14:textId="6D852EB7"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XX - critérios e prazos utilizados para a destinação de superávit técnico, caso aplicável;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A9BD54" w14:textId="425C95BD"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5497FAC" w14:textId="500B516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2F9F074"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XXI - ativos e passivos que sejam mensurados a valor justo de forma recorrente, ou não, no balanço patrimonial, após o reconhecimento inicial;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98A96C3" w14:textId="1A545189"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XXI - ativos e passivos que sejam mensurados a valor justo de forma recorrente, ou não, no balanço patrimonial, após o reconhecimento inicial;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C6AF8C" w14:textId="74E93B4A"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AE832EA" w14:textId="6F44051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FB3E65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XXII - títulos públicos federais classificados na categoria "títulos mantidos até o </w:t>
            </w:r>
            <w:r w:rsidRPr="0010524E">
              <w:rPr>
                <w:rFonts w:ascii="Calibri" w:hAnsi="Calibri" w:cs="Calibri"/>
                <w:sz w:val="24"/>
                <w:szCs w:val="24"/>
              </w:rPr>
              <w:lastRenderedPageBreak/>
              <w:t xml:space="preserve">vencimento", negociados no período, especificando a data da negociação, quantidade negociada, valor total negociado, o efeito no resultado e a justificativa para negociação;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977C6E" w14:textId="4107DDC1"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XXII - títulos públicos federais classificados na categoria "títulos mantidos até o vencimento", negociados no </w:t>
            </w:r>
            <w:r w:rsidRPr="0010524E">
              <w:rPr>
                <w:rFonts w:ascii="Calibri" w:eastAsia="Calibri" w:hAnsi="Calibri" w:cs="Calibri"/>
                <w:sz w:val="24"/>
                <w:szCs w:val="24"/>
              </w:rPr>
              <w:lastRenderedPageBreak/>
              <w:t>período, especificando a data da negociação, quantidade negociada, valor total negociado, o efeito no resultado e a justificativa para negociação;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8D5AFC" w14:textId="32947899"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F11232D" w14:textId="5A8F4E0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8F60BC7"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XXIII - títulos públicos federais reclassificados da categoria "títulos mantidos até o vencimento" para “títulos mantidos para negociação”;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2ECA28" w14:textId="6EF9C0E7"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XXIII - títulos públicos federais reclassificados da categoria "títulos mantidos até o vencimento" para “títulos mantidos para negociação”;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0E138F" w14:textId="04E36306"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20C616B" w14:textId="3778076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F7F411A"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XXIV - utilização de recursos de fundo previdencial para cobertura parcial ou total das contribuições para o plano de benefícios;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F14E6D" w14:textId="4F0BDB37"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XXIV - utilização de recursos de fundo previdencial para cobertura parcial ou total das contribuições para 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5A661F" w14:textId="225A7DB3"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14E7ECE" w14:textId="316CDA9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0021B84"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XXV - operações com patrocinador, incluindo detalhamento dos ativos financeiros e de recebíveis, indicando o grau de dependência (percentual apurado pela soma de ativos financeiros e recebíveis junto aos patrocinadores em relação ao ativo total) por plano de benefícios;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E66209" w14:textId="4B70FE9D"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XXV - operações com patrocinador, incluindo detalhamento dos ativos financeiros e de recebíveis, indicando o grau de dependência (percentual apurado pela soma de ativos financeiros e recebíveis junto aos patrocinadores em relação ao ativo total) por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4BA6E6" w14:textId="04950F6D"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7781DB8" w14:textId="6DB1FDD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B634FA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XXVI - identificação dos perfis de investimentos de participantes em planos de benefícios de caráter previdencial e suas características;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F255BC" w14:textId="0680F573"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XXVI - identificação dos perfis de investimentos de participantes em planos de benefícios de caráter previdencial e suas características;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CFF85F" w14:textId="657D8271"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CDD9841" w14:textId="098A6DA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618E11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XXVII - operações entre partes relacionadas com, no mínimo, os montantes dos saldos existentes das transações, bem como a provisão para créditos de liquidação duvidosa relacionada com o montante dos saldos existentes.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7F8FCF" w14:textId="7F80D714" w:rsidR="00E31838" w:rsidRPr="0010524E" w:rsidRDefault="00E31838" w:rsidP="00A95720">
            <w:pPr>
              <w:spacing w:after="120"/>
              <w:jc w:val="both"/>
              <w:rPr>
                <w:rFonts w:ascii="Calibri" w:eastAsia="Calibri" w:hAnsi="Calibri" w:cs="Calibri"/>
                <w:sz w:val="24"/>
                <w:szCs w:val="24"/>
              </w:rPr>
            </w:pPr>
            <w:r w:rsidRPr="0010524E">
              <w:rPr>
                <w:rFonts w:ascii="Calibri" w:eastAsia="Calibri" w:hAnsi="Calibri" w:cs="Calibri"/>
                <w:sz w:val="24"/>
                <w:szCs w:val="24"/>
              </w:rPr>
              <w:t>XXVII - operações entre partes relacionadas com, no mínimo, os montantes dos saldos existentes das transações, bem como a provisão para créditos de liquidação duvidosa relacionada com o montante dos saldos existentes.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BCE658" w14:textId="1B020B96"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2151527" w14:textId="36F017F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C26F119" w14:textId="77777777" w:rsidR="00E31838" w:rsidRPr="0010524E" w:rsidRDefault="00E31838" w:rsidP="00A95720">
            <w:pPr>
              <w:jc w:val="center"/>
              <w:rPr>
                <w:rFonts w:ascii="Calibri" w:hAnsi="Calibri" w:cs="Calibri"/>
                <w:sz w:val="24"/>
                <w:szCs w:val="24"/>
              </w:rPr>
            </w:pPr>
            <w:r w:rsidRPr="0010524E">
              <w:rPr>
                <w:rFonts w:ascii="Calibri" w:hAnsi="Calibri" w:cs="Calibri"/>
                <w:sz w:val="24"/>
                <w:szCs w:val="24"/>
              </w:rPr>
              <w:t>CAPÍTULO VII</w:t>
            </w:r>
          </w:p>
          <w:p w14:paraId="4CFC0CBF" w14:textId="77777777" w:rsidR="00E31838" w:rsidRPr="0010524E" w:rsidRDefault="00E31838" w:rsidP="00A95720">
            <w:pPr>
              <w:jc w:val="center"/>
              <w:rPr>
                <w:rFonts w:ascii="Calibri" w:hAnsi="Calibri" w:cs="Calibri"/>
                <w:sz w:val="24"/>
                <w:szCs w:val="24"/>
              </w:rPr>
            </w:pPr>
            <w:r w:rsidRPr="0010524E">
              <w:rPr>
                <w:rFonts w:ascii="Calibri" w:hAnsi="Calibri" w:cs="Calibri"/>
                <w:sz w:val="24"/>
                <w:szCs w:val="24"/>
              </w:rPr>
              <w:t>DA FORMA, DO PRAZO E DO MEIO DE ENVIO DAS DEMONSTRAÇÕES CONTÁBEIS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81CBDB"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7693E9"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3E60FEF9" w14:textId="11C7606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DD96C43"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33. As EFPC devem elaborar os seguintes documentos: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1AF9D0"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EE9899"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30043DA8" w14:textId="65C1A0A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A2264AF"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 - Balancetes mensais do Plano de Benefícios, do Plano de Gestão Administrativa, do Consolidado e as informações extracontábeis do anexo IV;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7D5955"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D8B77E"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4EED24B5" w14:textId="018E69E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DBE2A8D"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 - Balanço Patrimonial Consolidado, comparativo com o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7338DD"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5967BA"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2DBB84C5" w14:textId="408069E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AA6214C"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III - Demonstração da Mutação do Patrimônio Social (DMPS), de forma consolidada, comparativa com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584FE1"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FD3A8A"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31421C8F" w14:textId="72A8C5B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DE13BB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 xml:space="preserve">IV - Demonstração do PGA (DPGA), de forma consolidada, comparativa com o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BD3753"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001C15"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3ACFA93D" w14:textId="7ED865E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04E660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V - Demonstração do Ativo Líquido (DAL), por plano de benefícios de caráter previdencial, comparativa com o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ABF5D9"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037C97"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71D6B91F" w14:textId="3B96174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B9C50B7"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VI - Demonstração da Mutação do Ativo Líquido (DMAL), por plano de benefícios de caráter previdencial, comparativa com o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D1683A"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985A8D"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33A6E536" w14:textId="4413C9E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588DBA9"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VII - Demonstração das Provisões Técnicas do Plano de Benefícios (DPT), por plano de benefícios de caráter previdencial, comparativa com o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5FD6E8"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C46D6E"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1D660FD5" w14:textId="3D9BA04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4B410B3"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VIII - Notas Explicativas às Demonstrações Contábeis consolidadas;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F172D4"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CEF3A7"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6D58E519" w14:textId="300E792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F7A20C3"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IX - Parecer do Conselho Fiscal, com opinião sobre as Demonstrações Contábeis;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47D67F"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FC9124"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3AD251DE" w14:textId="7B9C529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659D3D1"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X - Manifestação do Conselho Deliberativo relativa à aprovação das Demonstrações Contábeis;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1FA369"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CCCC9C"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57B34155" w14:textId="5CE66F9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19B7948"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 xml:space="preserve">XI - Relatórios de Auditor Independente, descritos a seguir: a) relatório do auditor independente sobre as demonstrações contábeis; </w:t>
            </w:r>
          </w:p>
          <w:p w14:paraId="34888B82"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b) relatório circunstanciado sobre controles internos; e </w:t>
            </w:r>
          </w:p>
          <w:p w14:paraId="755CD796"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c) relatório para propósito específico, exigido das EFPC classificadas pela Previc como Entidade Sistemicamente Importante (ESI).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C77BC6"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E40C28"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71C5D42A" w14:textId="1486F93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2DE3BD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 1º Os documentos elencados nos incisos II a X e na alínea “a” do inciso XI do caput devem ser elaborados e aprovados até 31 de março do exercício social subsequente ao de referência.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A95D8C"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76AC88"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7D5DFE8F" w14:textId="3C90269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D694BA3"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 2º As vias originais das demonstrações contábeis, do parecer do conselho fiscal, do relatório de auditor independente sobre as demonstrações contábeis e a manifestação do conselho deliberativo, assinadas e rubricadas, devem ser mantidas na EFPC à disposição da Previc.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879A22"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30F618"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518C631A" w14:textId="0398429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9FBC04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 xml:space="preserve">§ 3° Os documentos referidos nas alíneas “b” e “c” do inciso XI devem ser elaborados até 31 de maio do exercício social subsequente e permanecer à disposição da Previc.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0CB8F6"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20ACA8"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75AE2B4D" w14:textId="5DEFAFB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1C2AD8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 4° A EFPC pode, facultativamente, elaborar Demonstração do Plano de Gestão Administrativa (DPGA), por plano de benefícios de caráter previdencial, comparativo com o exercício anterior.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878F52"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922BFC"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490C742C" w14:textId="39B1FF5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5C0112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34. As EFPC devem enviar à Previc as informações previstas no art. 33, por meio de sistema disponibilizado pela autarquia em seu sítio eletrônico na internet, nos seguintes prazos: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5DBEAF"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69130C"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326CFD09" w14:textId="16F267A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DD19A64"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 - até o último dia do mês subsequente ao mês de referência: as informações elencadas no inciso I do art. 33;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1CE96F"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3431F3"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3FA0E34D" w14:textId="54170E0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A34203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 - até 31 de março do exercício social subsequente ao de referência: as demonstrações contábeis elencadas nos incisos II, V, VIII, IX e X e na alínea “a” do inciso XI do art. 33.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C548BB"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840AD9"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3F414679" w14:textId="04D1B02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A3CCAD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 xml:space="preserve">§ 1º Os balancetes mensais e as informações extracontábeis referentes ao mês de dezembro devem ser enviados até o último dia do mês de fevereiro do exercício subsequente.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3EEAC8"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C1CF79"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0FB5C00E" w14:textId="284B4B8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63970FD"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2º Os documentos listados nos incisos II, V, VIII, IX e X e na alínea “a” do inciso XI do art. 33, enviados por meio eletrônico à Previc, devem conter: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B07C5E"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9FEF8D"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0C2CA7C3" w14:textId="6E42C05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A9585AB"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 - o nome e o CPF dos dirigentes responsáveis pelas informações;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35CDE1"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282BFE"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7CF3004A" w14:textId="0F9837E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82C9A51"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 - o nome, o CPF e o CRC do profissional de contabilidade responsável.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28CAEC"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FDB41A"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02AE976A" w14:textId="2534E11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15F1598"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 3º A justificativa de eventual substituição das demonstrações contábeis e dos balancetes devem ser mantidas na EFPC à disposição do Conselho Fiscal e da Previc.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CC1242"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E51DA2"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6FF84176" w14:textId="25F3852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EF35C86"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4º A operacionalização do envio das informações de que trata o caput deve ser realizada nos termos de Portaria editada pela Diretoria de Fiscalização e Monitoramento.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318887"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4F7995"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que tratava de envio de demonstrações foi transferido para capítulo de “Dados e Informações”</w:t>
            </w:r>
          </w:p>
        </w:tc>
      </w:tr>
      <w:tr w:rsidR="00E31838" w:rsidRPr="0010524E" w14:paraId="1A3323BA" w14:textId="668E32A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1F44122" w14:textId="77777777" w:rsidR="00E31838" w:rsidRPr="0010524E" w:rsidRDefault="00E31838" w:rsidP="00A95720">
            <w:pPr>
              <w:spacing w:after="0"/>
              <w:jc w:val="center"/>
              <w:rPr>
                <w:rFonts w:ascii="Calibri" w:hAnsi="Calibri" w:cs="Calibri"/>
                <w:sz w:val="24"/>
                <w:szCs w:val="24"/>
              </w:rPr>
            </w:pPr>
            <w:r w:rsidRPr="0010524E">
              <w:rPr>
                <w:rFonts w:ascii="Calibri" w:hAnsi="Calibri" w:cs="Calibri"/>
                <w:sz w:val="24"/>
                <w:szCs w:val="24"/>
              </w:rPr>
              <w:lastRenderedPageBreak/>
              <w:t>CAPÍTULO VIII</w:t>
            </w:r>
          </w:p>
          <w:p w14:paraId="3273732B" w14:textId="77777777" w:rsidR="00E31838" w:rsidRPr="0010524E" w:rsidRDefault="00E31838" w:rsidP="00A95720">
            <w:pPr>
              <w:spacing w:after="0"/>
              <w:jc w:val="center"/>
              <w:rPr>
                <w:rFonts w:ascii="Calibri" w:hAnsi="Calibri" w:cs="Calibri"/>
                <w:sz w:val="24"/>
                <w:szCs w:val="24"/>
              </w:rPr>
            </w:pPr>
            <w:r w:rsidRPr="0010524E">
              <w:rPr>
                <w:rFonts w:ascii="Calibri" w:hAnsi="Calibri" w:cs="Calibri"/>
                <w:sz w:val="24"/>
                <w:szCs w:val="24"/>
              </w:rPr>
              <w:t>DAS DISPOSIÇÕES FINAIS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160CD8"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F7743C"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Capítulo excluído para adaptação à estrutura da consolidação de normas.</w:t>
            </w:r>
          </w:p>
        </w:tc>
      </w:tr>
      <w:tr w:rsidR="00E31838" w:rsidRPr="0010524E" w14:paraId="75CD0AAA" w14:textId="63C944E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6EE48D9"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35. As EFPC devem manter controles analíticos auxiliares do patrimônio do plano de benefícios e do PGA que possibilitem a prestação das informações extracontábeis.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6D8219" w14:textId="1619C636" w:rsidR="00E31838" w:rsidRPr="0010524E" w:rsidRDefault="00E31838" w:rsidP="001F0BE2">
            <w:pPr>
              <w:spacing w:after="12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Art. 202.  As EFPC devem manter controles analíticos auxiliares do patrimônio do plano de benefícios e do Plano de Gestão Administrativa que possibilitem a prestação das informações contábeis e extracontábeis.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24EE0B" w14:textId="6799D70D"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D8EB716" w14:textId="17FDBDA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61F0089"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36. Ficam a Diretoria de Normas e a Diretoria Fiscalização e Monitoramento da Previc autorizadas a alterar os anexos I, II, III e IV.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646D72"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C79AE8"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Transferido para o parágrafo único do art.301, para adaptação à estrutura da consolidação de normas.</w:t>
            </w:r>
          </w:p>
        </w:tc>
      </w:tr>
      <w:tr w:rsidR="00E31838" w:rsidRPr="0010524E" w14:paraId="569BC44B" w14:textId="5D42B94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71283C3" w14:textId="77777777" w:rsidR="00E31838" w:rsidRPr="0010524E" w:rsidRDefault="00E31838" w:rsidP="00A95720">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558F3A" w14:textId="53B658DD" w:rsidR="00E31838" w:rsidRPr="0010524E" w:rsidRDefault="00E31838" w:rsidP="00A95720">
            <w:pPr>
              <w:pStyle w:val="PargrafodaLista"/>
              <w:tabs>
                <w:tab w:val="left" w:pos="993"/>
              </w:tabs>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VIII</w:t>
            </w:r>
          </w:p>
          <w:p w14:paraId="29649789" w14:textId="41DB2FCA" w:rsidR="00E31838" w:rsidRPr="0010524E" w:rsidRDefault="00E31838" w:rsidP="00A95720">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Política contábil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16392A"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Seção incluída para adaptação à estrutura da consolidação de normas.</w:t>
            </w:r>
          </w:p>
        </w:tc>
      </w:tr>
      <w:tr w:rsidR="00E31838" w:rsidRPr="0010524E" w14:paraId="291C9BBB" w14:textId="5A88532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0C64864"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Art. 37. A EFPC deve definir a política contábil considerando suas peculiaridades, bem como a natureza de suas operações, devendo ser efetuada com critérios consistentes e verificáveis, em observância às Normas Brasileiras Contabilidade, contemplando as características da gestão de riscos e do tratamento das provisões, dos ativos e dos passivos contingentes.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D3E152" w14:textId="75D5D2CA" w:rsidR="00E31838" w:rsidRPr="0010524E" w:rsidRDefault="00E31838" w:rsidP="001F0BE2">
            <w:pPr>
              <w:spacing w:after="120"/>
              <w:ind w:left="3" w:hanging="3"/>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Art. 203.  A EFPC deve definir a política contábil considerando suas peculiaridades, bem como a natureza de suas operações, devendo ser efetuada com critérios consistentes e verificáveis, em observância às Normas Brasileiras Contabilidade, contemplando as características da gestão de riscos e do tratamento das provisões, dos ativos e dos passivos contingentes.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77DB15" w14:textId="13DBECF6"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E2BCEFB" w14:textId="4FD2DD5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98F2C60" w14:textId="77777777" w:rsidR="00E31838" w:rsidRPr="0010524E" w:rsidRDefault="00E31838" w:rsidP="00A95720">
            <w:pPr>
              <w:spacing w:after="0"/>
              <w:jc w:val="both"/>
              <w:rPr>
                <w:rFonts w:ascii="Calibri" w:hAnsi="Calibri" w:cs="Calibri"/>
                <w:sz w:val="24"/>
                <w:szCs w:val="24"/>
              </w:rPr>
            </w:pPr>
            <w:r w:rsidRPr="0010524E">
              <w:rPr>
                <w:rFonts w:ascii="Calibri" w:hAnsi="Calibri" w:cs="Calibri"/>
                <w:sz w:val="24"/>
                <w:szCs w:val="24"/>
              </w:rPr>
              <w:t>Art. 38.  Fica revogada a Resolução Previc n.º 18, de 22 de dezembro de 2022 a partir de 1º de abril de 2023.</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A637BE" w14:textId="77777777" w:rsidR="00E31838" w:rsidRPr="0010524E" w:rsidRDefault="00E31838" w:rsidP="00A957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B537D5"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Perda de objeto.</w:t>
            </w:r>
          </w:p>
        </w:tc>
      </w:tr>
      <w:tr w:rsidR="00E31838" w:rsidRPr="0010524E" w14:paraId="4928801C" w14:textId="7D3F5E3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1B03C8A"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lastRenderedPageBreak/>
              <w:t>Art. 39.  Esta Resolução entra em vigor em 1º de abril de 2023.</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0F4D4E" w14:textId="77777777" w:rsidR="00E31838" w:rsidRPr="0010524E" w:rsidRDefault="00E31838" w:rsidP="00A957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1574A3"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Perda de objeto.</w:t>
            </w:r>
          </w:p>
        </w:tc>
      </w:tr>
      <w:tr w:rsidR="00E31838" w:rsidRPr="0010524E" w14:paraId="1028C9AE" w14:textId="449CE8D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1C7856B" w14:textId="77777777" w:rsidR="00E31838" w:rsidRPr="00AC4555" w:rsidRDefault="00E31838" w:rsidP="00A95720">
            <w:pPr>
              <w:jc w:val="both"/>
              <w:rPr>
                <w:rFonts w:ascii="Calibri" w:hAnsi="Calibri" w:cs="Calibri"/>
                <w:b/>
                <w:bCs/>
                <w:sz w:val="24"/>
                <w:szCs w:val="24"/>
              </w:rPr>
            </w:pPr>
            <w:r w:rsidRPr="00AC4555">
              <w:rPr>
                <w:rFonts w:ascii="Calibri" w:hAnsi="Calibri" w:cs="Calibri"/>
                <w:b/>
                <w:bCs/>
                <w:sz w:val="24"/>
                <w:szCs w:val="24"/>
              </w:rPr>
              <w:t>INSTRUÇÃO Nº 3, DE 24 DE AGOSTO DE 2018</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562C24" w14:textId="44AC8F1B" w:rsidR="00E31838" w:rsidRPr="0010524E" w:rsidRDefault="00E31838" w:rsidP="00A95720">
            <w:pPr>
              <w:pStyle w:val="PargrafodaLista"/>
              <w:tabs>
                <w:tab w:val="left" w:pos="0"/>
              </w:tabs>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IX</w:t>
            </w:r>
          </w:p>
          <w:p w14:paraId="5AE84BDA" w14:textId="224D95DF" w:rsidR="00E31838" w:rsidRPr="0010524E" w:rsidRDefault="00E31838" w:rsidP="00A95720">
            <w:pPr>
              <w:pStyle w:val="PargrafodaLista"/>
              <w:tabs>
                <w:tab w:val="left" w:pos="0"/>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Auditoria Independente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B2BDD1" w14:textId="31F5514E"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Incluído seção para adaptação à estrutura da consolidação de normas.</w:t>
            </w:r>
          </w:p>
        </w:tc>
      </w:tr>
      <w:tr w:rsidR="00E31838" w:rsidRPr="0010524E" w14:paraId="44C85C1A" w14:textId="22FC848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7CDC805" w14:textId="77777777" w:rsidR="00E31838" w:rsidRPr="0010524E" w:rsidRDefault="00E31838" w:rsidP="001F0BE2">
            <w:pPr>
              <w:spacing w:after="0"/>
              <w:jc w:val="both"/>
              <w:rPr>
                <w:rFonts w:ascii="Calibri" w:hAnsi="Calibri" w:cs="Calibri"/>
                <w:sz w:val="24"/>
                <w:szCs w:val="24"/>
              </w:rPr>
            </w:pPr>
            <w:r w:rsidRPr="0010524E">
              <w:rPr>
                <w:rFonts w:ascii="Calibri" w:hAnsi="Calibri" w:cs="Calibri"/>
                <w:sz w:val="24"/>
                <w:szCs w:val="24"/>
              </w:rPr>
              <w:t>Dispõe sobre o Comitê de Auditoria, sobre as informações a serem apresentadas nos relatórios do auditor independente, de que trata a Resolução CNPC nº 27, de 06 dezembro de 2017, e dá outras providências.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7F16F1" w14:textId="77777777" w:rsidR="00E31838" w:rsidRPr="0010524E" w:rsidRDefault="00E31838" w:rsidP="00A95720">
            <w:pPr>
              <w:pStyle w:val="PargrafodaLista"/>
              <w:tabs>
                <w:tab w:val="left" w:pos="993"/>
              </w:tabs>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A0256C" w14:textId="321EADCD" w:rsidR="00E31838" w:rsidRPr="0010524E" w:rsidRDefault="00E31838" w:rsidP="00A957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devido à consolidação</w:t>
            </w:r>
          </w:p>
        </w:tc>
      </w:tr>
      <w:tr w:rsidR="00E31838" w:rsidRPr="0010524E" w14:paraId="29AD199D" w14:textId="211BC5C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582304E" w14:textId="77777777" w:rsidR="00E31838" w:rsidRPr="0010524E" w:rsidRDefault="00E31838" w:rsidP="001F0BE2">
            <w:pPr>
              <w:spacing w:after="0"/>
              <w:jc w:val="both"/>
              <w:rPr>
                <w:rFonts w:ascii="Calibri" w:hAnsi="Calibri" w:cs="Calibri"/>
                <w:sz w:val="24"/>
                <w:szCs w:val="24"/>
              </w:rPr>
            </w:pPr>
            <w:r w:rsidRPr="0010524E">
              <w:rPr>
                <w:rFonts w:ascii="Calibri" w:hAnsi="Calibri" w:cs="Calibri"/>
                <w:sz w:val="24"/>
                <w:szCs w:val="24"/>
              </w:rPr>
              <w:t>Art. 1º As Entidades Fechadas de Previdência Complementar – EFPC devem observar o disposto nesta instrução quanto ao Comitê de Auditoria e aos relatórios anuais a serem elaborados pelo auditor independente.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83F886" w14:textId="77777777" w:rsidR="00E31838" w:rsidRPr="0010524E" w:rsidRDefault="00E31838" w:rsidP="00A95720">
            <w:pPr>
              <w:pStyle w:val="PargrafodaLista"/>
              <w:tabs>
                <w:tab w:val="left" w:pos="993"/>
              </w:tabs>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E224DE" w14:textId="6859A116" w:rsidR="00E31838" w:rsidRPr="0010524E" w:rsidRDefault="00E31838" w:rsidP="00A95720">
            <w:pPr>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Excluído devido à consolidação</w:t>
            </w:r>
          </w:p>
        </w:tc>
      </w:tr>
      <w:tr w:rsidR="00E31838" w:rsidRPr="0010524E" w14:paraId="2986798F" w14:textId="380E5A3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0BC6204" w14:textId="77777777" w:rsidR="00E31838" w:rsidRPr="0010524E" w:rsidRDefault="00E31838" w:rsidP="00A95720">
            <w:pPr>
              <w:spacing w:after="0"/>
              <w:jc w:val="center"/>
              <w:rPr>
                <w:rFonts w:ascii="Calibri" w:hAnsi="Calibri" w:cs="Calibri"/>
                <w:sz w:val="24"/>
                <w:szCs w:val="24"/>
              </w:rPr>
            </w:pPr>
            <w:r w:rsidRPr="0010524E">
              <w:rPr>
                <w:rFonts w:ascii="Calibri" w:hAnsi="Calibri" w:cs="Calibri"/>
                <w:sz w:val="24"/>
                <w:szCs w:val="24"/>
              </w:rPr>
              <w:t>CAPÍTULO I</w:t>
            </w:r>
          </w:p>
          <w:p w14:paraId="06092652" w14:textId="77777777" w:rsidR="00E31838" w:rsidRPr="0010524E" w:rsidRDefault="00E31838" w:rsidP="00A95720">
            <w:pPr>
              <w:jc w:val="center"/>
              <w:rPr>
                <w:rFonts w:ascii="Calibri" w:hAnsi="Calibri" w:cs="Calibri"/>
                <w:sz w:val="24"/>
                <w:szCs w:val="24"/>
              </w:rPr>
            </w:pPr>
            <w:r w:rsidRPr="0010524E">
              <w:rPr>
                <w:rFonts w:ascii="Calibri" w:hAnsi="Calibri" w:cs="Calibri"/>
                <w:sz w:val="24"/>
                <w:szCs w:val="24"/>
              </w:rPr>
              <w:t>DO COMITÊ DE AUDITORIA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0FDCCD" w14:textId="77777777" w:rsidR="00E31838" w:rsidRPr="0010524E" w:rsidRDefault="00E31838" w:rsidP="00A95720">
            <w:pPr>
              <w:pStyle w:val="PargrafodaLista"/>
              <w:tabs>
                <w:tab w:val="left" w:pos="993"/>
              </w:tabs>
              <w:ind w:left="-26"/>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0396631E" w14:textId="77777777" w:rsidR="00E31838" w:rsidRPr="0010524E" w:rsidRDefault="00E31838" w:rsidP="00A95720">
            <w:pPr>
              <w:pStyle w:val="PargrafodaLista"/>
              <w:tabs>
                <w:tab w:val="left" w:pos="993"/>
              </w:tabs>
              <w:ind w:left="-26"/>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Comitê de auditoria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6523AE"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seção para adaptação à estrutura da consolidação de normas.</w:t>
            </w:r>
          </w:p>
          <w:p w14:paraId="3216A360"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Obs: Para exclusão da exigência do Comitê de Auditoria seria necessário alterar Resolução CNPC nº 43, de 2021.</w:t>
            </w:r>
          </w:p>
        </w:tc>
      </w:tr>
      <w:tr w:rsidR="00E31838" w:rsidRPr="0010524E" w14:paraId="3859DC20" w14:textId="295F850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6F23B11" w14:textId="77777777" w:rsidR="00E31838" w:rsidRPr="0010524E" w:rsidRDefault="00E31838" w:rsidP="001F0BE2">
            <w:pPr>
              <w:jc w:val="both"/>
              <w:rPr>
                <w:rFonts w:ascii="Calibri" w:hAnsi="Calibri" w:cs="Calibri"/>
                <w:sz w:val="24"/>
                <w:szCs w:val="24"/>
              </w:rPr>
            </w:pPr>
            <w:r w:rsidRPr="0010524E">
              <w:rPr>
                <w:rFonts w:ascii="Calibri" w:hAnsi="Calibri" w:cs="Calibri"/>
                <w:sz w:val="24"/>
                <w:szCs w:val="24"/>
              </w:rPr>
              <w:t>Art. 2º É obrigatória a constituição de Comitê de Auditoria para as EFPC definidas pela Previc como Entidades Sistemicamente Importantes – ESI, nos termos da Instrução Previc nº 05, de 29 de maio de 2017.</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D0C608" w14:textId="6D898801" w:rsidR="00E31838" w:rsidRPr="0010524E" w:rsidRDefault="00E31838" w:rsidP="001F0BE2">
            <w:pPr>
              <w:spacing w:before="120" w:after="12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Art. 204.  É obrigatória a constituição de Comitê de Auditoria para as EFPC definidas pela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549E5FE" w14:textId="77777777" w:rsidR="00E31838" w:rsidRPr="0010524E" w:rsidRDefault="00E31838" w:rsidP="001F0BE2">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Exclusão de remissão visto que a Instrução Previc nº 5, de 2017 foi revogada pela Resolução Previc nº 4, de 2021.</w:t>
            </w:r>
          </w:p>
          <w:p w14:paraId="1F0906E2" w14:textId="77777777" w:rsidR="00E31838" w:rsidRPr="0010524E" w:rsidRDefault="00E31838" w:rsidP="001F0BE2">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Opção de não ter remissão tendo vista a consolidação da norma.</w:t>
            </w:r>
          </w:p>
        </w:tc>
      </w:tr>
      <w:tr w:rsidR="00E31838" w:rsidRPr="0010524E" w14:paraId="5FBFEC66" w14:textId="18FE099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A5E9129"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lastRenderedPageBreak/>
              <w:t>§ 1º O prazo para constituição do Comitê de Auditoria é até 31 de dezembro de 2018.</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78ECA1D" w14:textId="77777777" w:rsidR="00E31838" w:rsidRPr="0010524E" w:rsidRDefault="00E31838" w:rsidP="001F0BE2">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BEC945F" w14:textId="77777777" w:rsidR="00E31838" w:rsidRPr="0010524E" w:rsidRDefault="00E31838" w:rsidP="001F0BE2">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Exclusão de parágrafo por perda de objeto. Prazo de 31/12/2018 ultrapassado.</w:t>
            </w:r>
          </w:p>
          <w:p w14:paraId="3E04F88C" w14:textId="77777777"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219D345C" w14:textId="75F1719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0DCE137" w14:textId="77777777" w:rsidR="00E31838" w:rsidRPr="0010524E" w:rsidRDefault="00E31838" w:rsidP="001F0BE2">
            <w:pPr>
              <w:spacing w:after="12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4B8E4DB" w14:textId="4EFB513E"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 1º As EFPC devem constituir Comitê de Auditoria até 31 de dezembro do ano subsequente à publicação de seu enquadramento pela Previc com base em critérios objetivos que leve em consideração porte e relevância.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430724A" w14:textId="77777777" w:rsidR="00E31838" w:rsidRPr="0010524E" w:rsidRDefault="00E31838" w:rsidP="001F0BE2">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Incluído parágrafo para estabelecimento de prazo para constituição de Comitê de Auditoria para as novas entidades classificadas.</w:t>
            </w:r>
          </w:p>
        </w:tc>
      </w:tr>
      <w:tr w:rsidR="00E31838" w:rsidRPr="0010524E" w14:paraId="60E0FE2D" w14:textId="0B47523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6EE7F18"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 2º As EFPC constituídas com base nos §§ 14 e 15 do art. 40 da Constituição Federal devem constituir Comitê de Auditoria até o dia 31 de dezembro do exercício subsequente ao atingimento de seu ponto de equilíbrio operacional.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68E951C" w14:textId="3A245CDF"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 2º As EFPC constituídas com base nos §§ 14 e 15 do art. 40 da Constituição Federal classificadas pela Previc com base em critérios objetivos que leve em consideração porte e relevância devem constituir Comitê de Auditoria até o dia 31 de dezembro do exercício subsequente ao atingimento de seu ponto de equilíbrio operacional.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6FB2166" w14:textId="77777777" w:rsidR="00E31838" w:rsidRPr="0010524E" w:rsidRDefault="00E31838" w:rsidP="001F0BE2">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para deixar claro que entidades de servidores públicos que forem classificadas como ESI só devem constituir comitê após atingimento do ponto de equilíbrio operacional.</w:t>
            </w:r>
          </w:p>
          <w:p w14:paraId="2B3D11CF" w14:textId="5033716B" w:rsidR="00E31838" w:rsidRPr="0010524E" w:rsidRDefault="00E31838" w:rsidP="001F0BE2">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Aguardar definição da nova segmentação das EFPC.</w:t>
            </w:r>
          </w:p>
        </w:tc>
      </w:tr>
      <w:tr w:rsidR="00E31838" w:rsidRPr="0010524E" w14:paraId="39711892" w14:textId="4BA24C9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283E53B"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 3º Para efeito desta instrução, considera-se ponto de equilíbrio operacional o momento em que o montante anual das receitas administrativas da EFPC exceder o montante de suas despesas administrativas.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125249" w14:textId="200B9907"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 3º Considera-se ponto de equilíbrio operacional o momento em que o montante anual das receitas administrativas da EFPC exceder o montante de suas despesas administrativas.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FEB8598" w14:textId="77777777" w:rsidR="00E31838" w:rsidRPr="0010524E" w:rsidRDefault="00E31838" w:rsidP="001F0BE2">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w:t>
            </w:r>
          </w:p>
        </w:tc>
      </w:tr>
      <w:tr w:rsidR="00E31838" w:rsidRPr="0010524E" w14:paraId="7A8AB1CF" w14:textId="7ADFB26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2C878B9"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lastRenderedPageBreak/>
              <w:t>Art. 3º As EFPC devem assegurar, quando da nomeação ou recondução dos integrantes do Comitê de Auditoria, que os indicados cumpram os seguintes requisitos mínimos: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CC2953" w14:textId="59C1D0CE"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205.  Os integrantes do Comitê de Auditoria devem cumprir, no mínimo, os seguintes requisitos para nomeação ou recondução: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65A2001" w14:textId="77777777" w:rsidR="00E31838" w:rsidRPr="0010524E" w:rsidRDefault="00E31838" w:rsidP="001F0BE2">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para ordem direta.</w:t>
            </w:r>
          </w:p>
        </w:tc>
      </w:tr>
      <w:tr w:rsidR="00E31838" w:rsidRPr="0010524E" w14:paraId="7CFAC328" w14:textId="45ECEC2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5D43E52"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I – Não ser ou não ter sido, no exercício social corrente e no anterior: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A67ADD3" w14:textId="3A7EBF35"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 - Não ter exercido cargo ou exercer, no exercício social corrente e no anterior: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6844FEA" w14:textId="77777777" w:rsidR="00E31838" w:rsidRPr="0010524E" w:rsidRDefault="00E31838" w:rsidP="001F0BE2">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w:t>
            </w:r>
          </w:p>
        </w:tc>
      </w:tr>
      <w:tr w:rsidR="00E31838" w:rsidRPr="0010524E" w14:paraId="62F4719E" w14:textId="376C5E8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B1DDF1A"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a) diretor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04AECF" w14:textId="0575CC5E"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a) de diretor da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2B2DDD1" w14:textId="6092F4CE"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08FF2938" w14:textId="0FE1977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6B79A4E"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b) membro responsável pela equipe de auditoria independente na EFPC;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A78F5B" w14:textId="60005D20"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b) de membro responsável pela equipe de auditoria independente na EFPC;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3337AEA" w14:textId="00C66200"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4133E02E" w14:textId="34BD78B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FDD0463"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c) membro do conselho fiscal e deliberativo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CFE28E7" w14:textId="1BD16509"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c) de membro do conselho fiscal e deliberativo da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D73DEB6" w14:textId="55AA4156"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7147D1CF" w14:textId="1E3E455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E2C2C69"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II – Não ser cônjuge, parente em linha reta ou colateral, até o terceiro grau, e por afinidade, até o segundo grau, das pessoas referidas nas alíneas “a” a “c” no inciso anterior;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FB0A0F7" w14:textId="525DB385"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II - Não ser cônjuge, parente em linha reta ou colateral, até o terceiro grau, e por afinidade, até o segundo grau, das pessoas referidas nas alíneas “a” a “c” no inciso anterior;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1C286E" w14:textId="7F9967F1"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1666F6AD" w14:textId="68E4FEB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B48E7D6"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III – Não receber qualquer outro tipo de remuneração da EFPC, que não seja aquela relativa à sua função de integrante do Comitê de Auditoria.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F2DD79" w14:textId="394184C1"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III - Não receber qualquer outro tipo de remuneração da EFPC, que não seja aquela relativa à sua função de integrante do Comitê de Auditoria.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E2757FB" w14:textId="3B357CD7"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43275DEA" w14:textId="7F50D3D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712110F"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Art. 4º O Comitê de Auditoria será vinculado ao Conselho Deliberativo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B25277E" w14:textId="7D1E84B0"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Art. 206.  O Comitê de Auditoria deve ser vinculado ao Conselho Deliberativo da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B68EBB5" w14:textId="77777777" w:rsidR="00E31838" w:rsidRPr="0010524E" w:rsidRDefault="00E31838" w:rsidP="001F0BE2">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Adequação tempo verbal.</w:t>
            </w:r>
          </w:p>
        </w:tc>
      </w:tr>
      <w:tr w:rsidR="00E31838" w:rsidRPr="0010524E" w14:paraId="3DB485FE" w14:textId="156796E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84AA7B5"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lastRenderedPageBreak/>
              <w:t>Art. 5º O Comitê de Auditoria pode, no âmbito de suas atribuições, ser assessorado por especialistas, sem eximir-se de suas responsabilidades.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10B274" w14:textId="0E469AA4"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Art. 207.  O Comitê de Auditoria pode, no âmbito de suas atribuições, ser assessorado por especialistas, sem eximir-se de suas responsabilidades.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29AF4F6" w14:textId="0E031A5A"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59BE1825" w14:textId="1E8B378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185283B"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Art. 6º O Comitê de Auditoria deve elaborar relatório até 30 de junho do exercício social subsequente, contendo, no mínimo, as seguintes informações: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6539CB" w14:textId="3EB15850"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Art. 208.  O Comitê de Auditoria deve elaborar relatório até 30 de junho do exercício social subsequente, contendo, no mínimo, as seguintes informações: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672332" w14:textId="2816A4CC"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7DD17866" w14:textId="2249680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CB11B41"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I – atividades exercidas no período, no âmbito de suas atribuições;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16F8851" w14:textId="7379D6B7"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 - atividades exercidas no período, no âmbito de suas atribuições;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ECD876F" w14:textId="07BCDF22"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64863C2F" w14:textId="40C8CC4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804E168"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II – manifestação sobre a efetividade dos controles internos da EFPC, com evidenciação das deficiências detectadas;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E483278" w14:textId="3E6BC56E"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II - manifestação sobre a efetividade dos controles internos da EFPC, com evidenciação das deficiências detectadas;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C4D758" w14:textId="73C8D797"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280E1FD3" w14:textId="1472DD5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CBFC286"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III –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396544A" w14:textId="5DF03319"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III -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92C6AE8" w14:textId="7B03BD8E"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63A5A387" w14:textId="2568A25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0E79773"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IV – descrição das recomendações apresentadas à Diretoria Executiva, se houver, especificando aquelas não acatadas, com as respectivas justificativas;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FAA00A7" w14:textId="0F9E1D84"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IV - descrição das recomendações apresentadas à Diretoria Executiva, se houver, especificando aquelas não acatadas, com as respectivas justificativas;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7E7D366" w14:textId="598BDA9C"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145A88BB" w14:textId="625020B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47F6A14"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lastRenderedPageBreak/>
              <w:t>V – manifestação sobre a adequação das demonstrações contábeis às práticas contábeis adotadas no Brasil e normas editadas pelo Conselho Nacional de Previdência Complementar – CNPC e pela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7155AA9" w14:textId="6A075E24"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V - manifestação sobre a adequação das demonstrações contábeis às práticas contábeis adotadas no Brasil e normas editadas pelo Conselho Nacional de Previdência Complementar e pela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943AD41" w14:textId="654E6D68"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2D7C3CD4" w14:textId="0346FA8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03C39E9"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Parágrafo único. As EFPC devem manter à disposição da Previc o relatório disposto no caput, pelo prazo mínimo de 5 (cinco) anos de sua elaboração, podendo ser armazenado em formato digital, com garantia de autenticidade.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1868087" w14:textId="78B4B738"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As EFPC devem manter à disposição da Previc o relatório disposto no </w:t>
            </w:r>
            <w:r w:rsidRPr="0010524E">
              <w:rPr>
                <w:rFonts w:ascii="Calibri" w:eastAsia="Calibri" w:hAnsi="Calibri" w:cs="Calibri"/>
                <w:b/>
                <w:bCs/>
                <w:sz w:val="24"/>
                <w:szCs w:val="24"/>
              </w:rPr>
              <w:t>caput</w:t>
            </w:r>
            <w:r w:rsidRPr="0010524E">
              <w:rPr>
                <w:rFonts w:ascii="Calibri" w:eastAsia="Calibri" w:hAnsi="Calibri" w:cs="Calibri"/>
                <w:sz w:val="24"/>
                <w:szCs w:val="24"/>
              </w:rPr>
              <w:t>, pelo prazo mínimo de 5 (cinco) anos de sua elaboração, podendo ser armazenado em formato digital, com garantia de autenticidade.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FFD8FA3" w14:textId="0CC82DB7"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2765D954" w14:textId="4ED0320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23657FA" w14:textId="77777777" w:rsidR="00E31838" w:rsidRPr="0010524E" w:rsidRDefault="00E31838" w:rsidP="001F0BE2">
            <w:pPr>
              <w:spacing w:after="120"/>
              <w:jc w:val="center"/>
              <w:rPr>
                <w:rFonts w:ascii="Calibri" w:hAnsi="Calibri" w:cs="Calibri"/>
                <w:sz w:val="24"/>
                <w:szCs w:val="24"/>
              </w:rPr>
            </w:pPr>
            <w:r w:rsidRPr="0010524E">
              <w:rPr>
                <w:rFonts w:ascii="Calibri" w:hAnsi="Calibri" w:cs="Calibri"/>
                <w:sz w:val="24"/>
                <w:szCs w:val="24"/>
              </w:rPr>
              <w:t>CAPÍTULO II</w:t>
            </w:r>
          </w:p>
          <w:p w14:paraId="49D9C5D2" w14:textId="77777777" w:rsidR="00E31838" w:rsidRPr="0010524E" w:rsidRDefault="00E31838" w:rsidP="001F0BE2">
            <w:pPr>
              <w:spacing w:after="120"/>
              <w:jc w:val="center"/>
              <w:rPr>
                <w:rFonts w:ascii="Calibri" w:hAnsi="Calibri" w:cs="Calibri"/>
                <w:sz w:val="24"/>
                <w:szCs w:val="24"/>
              </w:rPr>
            </w:pPr>
            <w:r w:rsidRPr="0010524E">
              <w:rPr>
                <w:rFonts w:ascii="Calibri" w:hAnsi="Calibri" w:cs="Calibri"/>
                <w:sz w:val="24"/>
                <w:szCs w:val="24"/>
              </w:rPr>
              <w:t>DOS RELATÓRIOS A SEREM PRODUZIDOS PELO AUDITOR INDEPENDENTE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86E560" w14:textId="77777777" w:rsidR="00E31838" w:rsidRPr="0010524E" w:rsidRDefault="00E31838" w:rsidP="001F0BE2">
            <w:pPr>
              <w:pStyle w:val="PargrafodaLista"/>
              <w:tabs>
                <w:tab w:val="left" w:pos="993"/>
              </w:tabs>
              <w:spacing w:after="120"/>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p w14:paraId="4C1A76C8" w14:textId="77777777" w:rsidR="00E31838" w:rsidRPr="0010524E" w:rsidRDefault="00E31838" w:rsidP="001F0BE2">
            <w:pPr>
              <w:pStyle w:val="PargrafodaLista"/>
              <w:tabs>
                <w:tab w:val="left" w:pos="993"/>
              </w:tabs>
              <w:spacing w:after="120"/>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Relatórios a serem produzidos pelo auditor independente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E4BA781" w14:textId="77777777" w:rsidR="00E31838" w:rsidRPr="0010524E" w:rsidRDefault="00E31838" w:rsidP="001F0BE2">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Alterado para seção para adaptação à estrutura da consolidação de normas.</w:t>
            </w:r>
          </w:p>
        </w:tc>
      </w:tr>
      <w:tr w:rsidR="00E31838" w:rsidRPr="0010524E" w14:paraId="146E41CF" w14:textId="0DD70BA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94F40B6"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Art. 7º As EFPC, anualmente, devem contratar auditor independente para produzir os seguintes relatórios: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724DC0" w14:textId="0A721878"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Art. 209.  As EFPC, anualmente, devem contratar auditor independente para produzir os seguintes relatórios: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C1D8B19" w14:textId="277BC129"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2D24B20C" w14:textId="70A886E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4DF6243"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I – relatório do auditor independente sobre as demonstrações contábeis, em conformidade com as normas brasileiras e internacionais de auditoria aprovadas pelo Conselho Federal de Contabilidade – CFC;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C989CA" w14:textId="5D366FC9"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 - relatório do auditor independente sobre as demonstrações contábeis, em conformidade com as normas brasileiras e internacionais de auditoria aprovadas pelo Conselho Federal de Contabilidade;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6B80857" w14:textId="51AE12E4"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64751FE9" w14:textId="5FF2799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3CF31ED"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lastRenderedPageBreak/>
              <w:t>II – relatório circunstanciado sobre as deficiências de controles internos, identificadas as respectivas recomendações em consonância com a Norma Brasileira de Contabilidade para Trabalhos de Auditoria nº 265 (NBC TA 265) – Comunicação de Deficiências de Controle Interno;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BE103E" w14:textId="0C6B4771"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II - relatório circunstanciado sobre as deficiências de controles internos, identificadas as respectivas recomendações em consonância com a Norma Brasileira de Contabilidade para Trabalhos de Auditoria nº 265 (NBC TA 265) - Comunicação de Deficiências de Controle Interno;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981D27E" w14:textId="77777777" w:rsidR="00E31838" w:rsidRPr="0010524E" w:rsidRDefault="00E31838" w:rsidP="001F0BE2">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Obs.: NBC não mudam de numeração quanto são revisadas. Nesses casos colocam R1, R2, R3 no final, indicando quantidade de revisões da norma</w:t>
            </w:r>
          </w:p>
        </w:tc>
      </w:tr>
      <w:tr w:rsidR="00E31838" w:rsidRPr="0010524E" w14:paraId="09C75965" w14:textId="37C6057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C561C4F"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III – relatório para propósito específico, no qual deve ser avaliada a adequação dos controles internos aos riscos suportados, bem como a governança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890DC5" w14:textId="47FE210F"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III - relatório para propósito específico, no qual deve ser avaliada a adequação dos controles internos aos riscos suportados, bem como a governança da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AE1F6D7" w14:textId="52F53B3D" w:rsidR="00E31838" w:rsidRPr="0010524E" w:rsidRDefault="00E31838" w:rsidP="001F0BE2">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Avaliar exclusão do Relatório na Resolução CNPC.</w:t>
            </w:r>
          </w:p>
        </w:tc>
      </w:tr>
      <w:tr w:rsidR="00E31838" w:rsidRPr="0010524E" w14:paraId="4973A534" w14:textId="4F87504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FBD2F83"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Parágrafo único. O relatório requerido no inciso III será exigido apenas para as EFPC classificadas como Entidades Sistemicamente Importantes – ESI, sendo obrigatório a partir das demonstrações contábeis do exercício de 2018.</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7D49ACA" w14:textId="71E11E89"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Parágrafo único. O relatório requerido no inciso III é exigido apenas para as EFPC classificadas pela Previc com base em critérios objetivos que leve em consideração porte e relevância.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2432E4C" w14:textId="77777777" w:rsidR="00E31838" w:rsidRPr="0010524E" w:rsidRDefault="00E31838" w:rsidP="001F0BE2">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Ajuste de tempo verbal e exclusão texto referente a prazo (exercício de 2018), por perda de objeto. </w:t>
            </w:r>
          </w:p>
          <w:p w14:paraId="3653D734" w14:textId="77777777" w:rsidR="00E31838" w:rsidRPr="0010524E" w:rsidRDefault="00E31838" w:rsidP="001F0BE2">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Exclusão do termo ESI.</w:t>
            </w:r>
          </w:p>
        </w:tc>
      </w:tr>
      <w:tr w:rsidR="00E31838" w:rsidRPr="0010524E" w14:paraId="5C71229C" w14:textId="1B46AA5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495A862"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Art. 8º O relatório para propósito específico, de que trata o inciso III do art. 7º, deve levar em consideração os principais processos existentes na EFPC, abrangendo aspectos relativos 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C69B868" w14:textId="6B73E7B1"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Art. 210.  O relatório para propósito específico, de que trata o inciso III do art. 209, deve levar em consideração os principais processos existentes na EFPC, abrangendo aspectos relativos 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ED42A8C" w14:textId="1E179C3B"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352DFFA7" w14:textId="6258A73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B49AE48"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I – governança;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B00AC6" w14:textId="19E08DC1"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 - governança;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09A2945" w14:textId="0AD15063"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7561BACA" w14:textId="58B83D5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0B57D5D"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II – avaliação e decisão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973A02" w14:textId="769F63DB"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II - avaliação e decisão de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D991904" w14:textId="1B05AE59"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4EB481B9" w14:textId="5DAE1F3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147DFD4"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lastRenderedPageBreak/>
              <w:t>III – contingências judiciais;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629902" w14:textId="73501B2C"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III - contingências judiciais;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A94EF7E" w14:textId="43FE51A4"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6D301446" w14:textId="66CF27F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DE184F3"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IV – cadastro e concessão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B649F3" w14:textId="2DA781FA"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IV - cadastro e concessão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F3FC9DE" w14:textId="0E8EDB18"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6B798777" w14:textId="3A0DA26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886BE55"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 1º Em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5DDBC1" w14:textId="0E320CEB"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 1º  Em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327DDEC" w14:textId="77777777"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1C3DC38D" w14:textId="2EBFFBC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04ECD2D"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 2º Em relação à avaliação e à decisão de investimentos, o relatório deve abordar o estabelecimento de alçadas de decisão, controles e avaliação de riscos, observância à política de investimentos e à legislação vigente no que se refere à aplicação dos recursos dos planos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9B28DD" w14:textId="31265695"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 2º  Em relação à avaliação e à decisão de investimentos, o relatório deve abordar o estabelecimento de alçadas de decisão, controles e avaliação de riscos, observância à política de investimentos e à legislação vigente no que se refere à aplicação dos recursos dos planos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9869CE4" w14:textId="77777777"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42AB3FD0" w14:textId="7059E88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883C135"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t>§ 3º Em relação às contingências judiciais, o relatório deve tratar do acompanhamento dos processos judiciais, dos critérios de gradação de risco, da razoabilidade das estimativas dos processos contingentes e do tratamento contábil adequado.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773A09" w14:textId="26D46959"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 3º  Em relação às contingências judiciais, o relatório deve tratar do acompanhamento dos processos judiciais, dos critérios de gradação de risco, da razoabilidade das estimativas dos processos contingentes e do tratamento contábil adequado.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419F3D0" w14:textId="77777777"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73F36C13" w14:textId="1927DBD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EBBF2D1" w14:textId="77777777" w:rsidR="00E31838" w:rsidRPr="0010524E" w:rsidRDefault="00E31838" w:rsidP="001F0BE2">
            <w:pPr>
              <w:spacing w:after="120"/>
              <w:jc w:val="both"/>
              <w:rPr>
                <w:rFonts w:ascii="Calibri" w:hAnsi="Calibri" w:cs="Calibri"/>
                <w:sz w:val="24"/>
                <w:szCs w:val="24"/>
              </w:rPr>
            </w:pPr>
            <w:r w:rsidRPr="0010524E">
              <w:rPr>
                <w:rFonts w:ascii="Calibri" w:hAnsi="Calibri" w:cs="Calibri"/>
                <w:sz w:val="24"/>
                <w:szCs w:val="24"/>
              </w:rPr>
              <w:lastRenderedPageBreak/>
              <w:t>§ 4º Em relação ao cadastro e à concessão de benefícios, o relatório deve tratar dos procedimentos adotados com relação à integridade do cadastro, à atualização das provisões matemáticas ou das contas individuais dos participantes, às rotinas relativas aos pagamentos de benefícios e à conciliação contábil.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5F171D" w14:textId="78BAF06B"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 4º  Em relação ao cadastro e à concessão de benefícios, o relatório deve tratar dos procedimentos adotados com relação à integridade do cadastro, à atualização das provisões matemáticas ou das contas individuais dos participantes, às rotinas relativas aos pagamentos de benefícios e à conciliação contábil.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8BDC9CD" w14:textId="77777777" w:rsidR="00E31838" w:rsidRPr="0010524E" w:rsidRDefault="00E31838" w:rsidP="001F0BE2">
            <w:pPr>
              <w:spacing w:after="120"/>
              <w:jc w:val="both"/>
              <w:rPr>
                <w:rFonts w:ascii="Calibri" w:eastAsia="Times New Roman" w:hAnsi="Calibri" w:cs="Calibri"/>
                <w:kern w:val="0"/>
                <w:sz w:val="24"/>
                <w:szCs w:val="24"/>
                <w:lang w:eastAsia="pt-BR"/>
                <w14:ligatures w14:val="none"/>
              </w:rPr>
            </w:pPr>
          </w:p>
        </w:tc>
      </w:tr>
      <w:tr w:rsidR="00E31838" w:rsidRPr="0010524E" w14:paraId="162D4D55" w14:textId="198C2EA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C86145B" w14:textId="77777777" w:rsidR="00E31838" w:rsidRPr="0010524E" w:rsidRDefault="00E31838" w:rsidP="001F0BE2">
            <w:pPr>
              <w:spacing w:after="120"/>
              <w:jc w:val="center"/>
              <w:rPr>
                <w:rFonts w:ascii="Calibri" w:hAnsi="Calibri" w:cs="Calibri"/>
                <w:sz w:val="24"/>
                <w:szCs w:val="24"/>
              </w:rPr>
            </w:pPr>
            <w:r w:rsidRPr="0010524E">
              <w:rPr>
                <w:rFonts w:ascii="Calibri" w:hAnsi="Calibri" w:cs="Calibri"/>
                <w:sz w:val="24"/>
                <w:szCs w:val="24"/>
              </w:rPr>
              <w:t>CAPÍTULO III</w:t>
            </w:r>
          </w:p>
          <w:p w14:paraId="1EC7BFDA" w14:textId="77777777" w:rsidR="00E31838" w:rsidRPr="0010524E" w:rsidRDefault="00E31838" w:rsidP="001F0BE2">
            <w:pPr>
              <w:spacing w:after="120"/>
              <w:jc w:val="center"/>
              <w:rPr>
                <w:rFonts w:ascii="Calibri" w:hAnsi="Calibri" w:cs="Calibri"/>
                <w:sz w:val="24"/>
                <w:szCs w:val="24"/>
              </w:rPr>
            </w:pPr>
            <w:r w:rsidRPr="0010524E">
              <w:rPr>
                <w:rFonts w:ascii="Calibri" w:hAnsi="Calibri" w:cs="Calibri"/>
                <w:sz w:val="24"/>
                <w:szCs w:val="24"/>
              </w:rPr>
              <w:t>DAS DISPOSIÇÕES FINAIS E TRANSITÓRIAS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17CB09" w14:textId="77777777" w:rsidR="00E31838" w:rsidRPr="0010524E" w:rsidRDefault="00E31838" w:rsidP="00A9572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D504FD"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por perda de objeto.</w:t>
            </w:r>
          </w:p>
        </w:tc>
      </w:tr>
      <w:tr w:rsidR="00E31838" w:rsidRPr="0010524E" w14:paraId="399F5CB8" w14:textId="694D7EF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2FC6D2D" w14:textId="77777777" w:rsidR="00E31838" w:rsidRPr="0010524E" w:rsidRDefault="00E31838" w:rsidP="001F0BE2">
            <w:pPr>
              <w:jc w:val="both"/>
              <w:rPr>
                <w:rFonts w:ascii="Calibri" w:hAnsi="Calibri" w:cs="Calibri"/>
                <w:sz w:val="24"/>
                <w:szCs w:val="24"/>
              </w:rPr>
            </w:pPr>
            <w:r w:rsidRPr="0010524E">
              <w:rPr>
                <w:rFonts w:ascii="Calibri" w:hAnsi="Calibri" w:cs="Calibri"/>
                <w:sz w:val="24"/>
                <w:szCs w:val="24"/>
              </w:rPr>
              <w:t>Art. 9º A existência do registro do auditor independente na Comissão de Valores Mobiliários - CVM será verificada pela Previc a partir de 31 de maio de 2019.</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F53323"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B78CBF" w14:textId="576A4336"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Exclusão de artigo considerando o disposto no art. 3º da Resolução CNPC nº 44/2021 que prevê o registro na Comissão de Valores Mobiliários – CVM</w:t>
            </w:r>
          </w:p>
        </w:tc>
      </w:tr>
      <w:tr w:rsidR="00E31838" w:rsidRPr="0010524E" w14:paraId="11C759F4" w14:textId="5A1703F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1B4D6D0" w14:textId="77777777" w:rsidR="00E31838" w:rsidRPr="0010524E" w:rsidRDefault="00E31838" w:rsidP="001F0BE2">
            <w:pPr>
              <w:jc w:val="both"/>
              <w:rPr>
                <w:rFonts w:ascii="Calibri" w:hAnsi="Calibri" w:cs="Calibri"/>
                <w:sz w:val="24"/>
                <w:szCs w:val="24"/>
              </w:rPr>
            </w:pPr>
            <w:r w:rsidRPr="0010524E">
              <w:rPr>
                <w:rFonts w:ascii="Calibri" w:hAnsi="Calibri" w:cs="Calibri"/>
                <w:sz w:val="24"/>
                <w:szCs w:val="24"/>
              </w:rPr>
              <w:t>Art. 10. A certificação do responsável técnico pela auditoria independente será exigida 2 (dois) anos após a implementação do Exame de Qualificação Técnica específico para atuação de auditor em EFPC, a cargo do CFC.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A1A67C"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7C8A03"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Exclusão de artigo considerando o disposto no Capítulo VIII da Certificação, art. 14 da Resolução CNPC nº 44/2021, que exige aprovação em exame específico de certificação elaborado pelo Conselho Federal de Contabilidade.</w:t>
            </w:r>
          </w:p>
        </w:tc>
      </w:tr>
      <w:tr w:rsidR="00E31838" w:rsidRPr="0010524E" w14:paraId="00DE28C6" w14:textId="6357837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7D2A1D9" w14:textId="77777777" w:rsidR="00E31838" w:rsidRPr="0010524E" w:rsidRDefault="00E31838" w:rsidP="001F0BE2">
            <w:pPr>
              <w:jc w:val="both"/>
              <w:rPr>
                <w:rFonts w:ascii="Calibri" w:hAnsi="Calibri" w:cs="Calibri"/>
                <w:sz w:val="24"/>
                <w:szCs w:val="24"/>
              </w:rPr>
            </w:pPr>
            <w:r w:rsidRPr="0010524E">
              <w:rPr>
                <w:rFonts w:ascii="Calibri" w:hAnsi="Calibri" w:cs="Calibri"/>
                <w:sz w:val="24"/>
                <w:szCs w:val="24"/>
              </w:rPr>
              <w:t xml:space="preserve">Art. 11. A EFPC deve incluir, no contrato celebrado com o auditor independente, cláusula autorizando o acesso da Previc aos papéis de trabalho do auditor independente, </w:t>
            </w:r>
            <w:r w:rsidRPr="0010524E">
              <w:rPr>
                <w:rFonts w:ascii="Calibri" w:hAnsi="Calibri" w:cs="Calibri"/>
                <w:sz w:val="24"/>
                <w:szCs w:val="24"/>
              </w:rPr>
              <w:lastRenderedPageBreak/>
              <w:t>bem como a quaisquer documentos que tenham servido de base ou evidência para emissão dos relatórios.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97C681"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A71BB2"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Exclusão de artigo considerando o disposto no art. 17 da Resolução CNPC nº 44/2021, que dispõe sobre cláusula </w:t>
            </w:r>
            <w:r w:rsidRPr="0010524E">
              <w:rPr>
                <w:rFonts w:ascii="Calibri" w:eastAsia="Times New Roman" w:hAnsi="Calibri" w:cs="Calibri"/>
                <w:kern w:val="0"/>
                <w:sz w:val="24"/>
                <w:szCs w:val="24"/>
                <w:lang w:eastAsia="pt-BR"/>
                <w14:ligatures w14:val="none"/>
              </w:rPr>
              <w:lastRenderedPageBreak/>
              <w:t>autorizando o acesso da Previc aos papéis de trabalho.</w:t>
            </w:r>
          </w:p>
        </w:tc>
      </w:tr>
      <w:tr w:rsidR="00E31838" w:rsidRPr="0010524E" w14:paraId="5F8090EF" w14:textId="7430371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5CEF4BE" w14:textId="77777777" w:rsidR="00E31838" w:rsidRPr="0010524E" w:rsidRDefault="00E31838" w:rsidP="001F0BE2">
            <w:pPr>
              <w:jc w:val="both"/>
              <w:rPr>
                <w:rFonts w:ascii="Calibri" w:hAnsi="Calibri" w:cs="Calibri"/>
                <w:sz w:val="24"/>
                <w:szCs w:val="24"/>
              </w:rPr>
            </w:pPr>
            <w:r w:rsidRPr="0010524E">
              <w:rPr>
                <w:rFonts w:ascii="Calibri" w:hAnsi="Calibri" w:cs="Calibri"/>
                <w:sz w:val="24"/>
                <w:szCs w:val="24"/>
              </w:rPr>
              <w:lastRenderedPageBreak/>
              <w:t>Art. 12. Esta Instrução entra em vigor na data de sua publicação.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8FFB6F" w14:textId="77777777" w:rsidR="00E31838" w:rsidRPr="0010524E" w:rsidRDefault="00E31838" w:rsidP="00A95720">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ADB188"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por perda de objeto</w:t>
            </w:r>
          </w:p>
        </w:tc>
      </w:tr>
      <w:tr w:rsidR="00E31838" w:rsidRPr="0010524E" w14:paraId="1390AC7B" w14:textId="5E1375F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2451B8E" w14:textId="77777777" w:rsidR="00E31838" w:rsidRPr="0010524E" w:rsidRDefault="00E31838" w:rsidP="00A9572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3F04A9" w14:textId="1D1C31A5" w:rsidR="00E31838" w:rsidRPr="0010524E" w:rsidRDefault="00E31838" w:rsidP="00A95720">
            <w:pPr>
              <w:pStyle w:val="PargrafodaLista"/>
              <w:tabs>
                <w:tab w:val="left" w:pos="993"/>
              </w:tabs>
              <w:spacing w:after="120"/>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IX</w:t>
            </w:r>
          </w:p>
          <w:p w14:paraId="5CA2745A" w14:textId="77777777" w:rsidR="00E31838" w:rsidRPr="0010524E" w:rsidRDefault="00E31838" w:rsidP="00A95720">
            <w:pPr>
              <w:pStyle w:val="PargrafodaLista"/>
              <w:tabs>
                <w:tab w:val="left" w:pos="993"/>
              </w:tabs>
              <w:spacing w:after="120"/>
              <w:ind w:left="0"/>
              <w:jc w:val="center"/>
              <w:rPr>
                <w:rFonts w:ascii="Calibri" w:eastAsia="Times New Roman" w:hAnsi="Calibri" w:cs="Calibri"/>
                <w:kern w:val="0"/>
                <w:sz w:val="24"/>
                <w:szCs w:val="24"/>
                <w:lang w:eastAsia="pt-BR"/>
                <w14:ligatures w14:val="none"/>
              </w:rPr>
            </w:pPr>
            <w:r w:rsidRPr="00E162D4">
              <w:rPr>
                <w:rFonts w:ascii="Calibri" w:eastAsia="Times New Roman" w:hAnsi="Calibri" w:cs="Calibri"/>
                <w:b/>
                <w:bCs/>
                <w:kern w:val="0"/>
                <w:sz w:val="24"/>
                <w:szCs w:val="24"/>
                <w:lang w:eastAsia="pt-BR"/>
                <w14:ligatures w14:val="none"/>
              </w:rPr>
              <w:t>Auditoria Interna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5679EF"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Inclusão de seção para tratar de auditoria interna</w:t>
            </w:r>
          </w:p>
        </w:tc>
      </w:tr>
      <w:tr w:rsidR="00E31838" w:rsidRPr="0010524E" w14:paraId="3B5B4E8A" w14:textId="5D86D98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0359851" w14:textId="77777777" w:rsidR="00E31838" w:rsidRPr="0010524E" w:rsidRDefault="00E31838" w:rsidP="00A9572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9D4BC97" w14:textId="4A6C56B9" w:rsidR="00E31838" w:rsidRPr="0010524E" w:rsidRDefault="00E31838" w:rsidP="00A95720">
            <w:pPr>
              <w:spacing w:before="120" w:after="120"/>
              <w:jc w:val="both"/>
              <w:rPr>
                <w:rFonts w:ascii="Calibri" w:eastAsia="Calibri" w:hAnsi="Calibri" w:cs="Calibri"/>
                <w:sz w:val="24"/>
                <w:szCs w:val="24"/>
              </w:rPr>
            </w:pPr>
            <w:r w:rsidRPr="0010524E">
              <w:rPr>
                <w:rFonts w:ascii="Calibri" w:eastAsia="Calibri" w:hAnsi="Calibri" w:cs="Calibri"/>
                <w:sz w:val="24"/>
                <w:szCs w:val="24"/>
              </w:rPr>
              <w:t>Art. 211.  As EFPC devem adotar princípios, regras e práticas de governança, gestão e controles internos adequados ao porte, complexidade e riscos inerentes aos planos de benefícios por elas operados, de modo a assegurar o pleno cumprimento de seus objetivos.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53EA95"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Inclusão de seção para tratar de auditoria interna</w:t>
            </w:r>
          </w:p>
        </w:tc>
      </w:tr>
      <w:tr w:rsidR="00E31838" w:rsidRPr="0010524E" w14:paraId="14B6CEEC" w14:textId="37A41A7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8E0DA14" w14:textId="77777777" w:rsidR="00E31838" w:rsidRPr="0010524E" w:rsidRDefault="00E31838" w:rsidP="00A9572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1AF1DB" w14:textId="155C11D1" w:rsidR="00E31838" w:rsidRPr="0010524E" w:rsidRDefault="00E31838" w:rsidP="00A95720">
            <w:pPr>
              <w:spacing w:before="120" w:after="120"/>
              <w:jc w:val="both"/>
              <w:rPr>
                <w:rFonts w:ascii="Calibri" w:eastAsia="Calibri" w:hAnsi="Calibri" w:cs="Calibri"/>
                <w:sz w:val="24"/>
                <w:szCs w:val="24"/>
              </w:rPr>
            </w:pPr>
            <w:r w:rsidRPr="0010524E">
              <w:rPr>
                <w:rFonts w:ascii="Calibri" w:eastAsia="Calibri" w:hAnsi="Calibri" w:cs="Calibri"/>
                <w:sz w:val="24"/>
                <w:szCs w:val="24"/>
              </w:rPr>
              <w:t>Art. 212.  O conselho deliberativo poderá instituir auditoria interna que a ele se reporte, para avaliar de maneira independente os controles internos da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BD2811"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Inclusão de seção para tratar de auditoria interna</w:t>
            </w:r>
          </w:p>
        </w:tc>
      </w:tr>
      <w:tr w:rsidR="00E31838" w:rsidRPr="0010524E" w14:paraId="073319D6" w14:textId="6E936B5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42CF6CC" w14:textId="77777777" w:rsidR="00E31838" w:rsidRPr="0010524E" w:rsidRDefault="00E31838" w:rsidP="00A9572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04B965" w14:textId="6FEAC85F" w:rsidR="00E31838" w:rsidRPr="0010524E" w:rsidRDefault="00E31838" w:rsidP="00A95720">
            <w:pPr>
              <w:spacing w:before="120" w:after="120"/>
              <w:jc w:val="both"/>
              <w:rPr>
                <w:rFonts w:ascii="Calibri" w:eastAsia="Calibri" w:hAnsi="Calibri" w:cs="Calibri"/>
                <w:sz w:val="24"/>
                <w:szCs w:val="24"/>
              </w:rPr>
            </w:pPr>
            <w:r w:rsidRPr="0010524E">
              <w:rPr>
                <w:rFonts w:ascii="Calibri" w:eastAsia="Calibri" w:hAnsi="Calibri" w:cs="Calibri"/>
                <w:sz w:val="24"/>
                <w:szCs w:val="24"/>
              </w:rPr>
              <w:t xml:space="preserve">§ 1º A atividade de auditoria interna de que trata 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poderá ser realizada por auditor independente devidamente habilitado, na forma da regulamentação vigente, desde que este não seja responsável pela auditoria das demonstrações contábeis da entidade ou por qualquer outra atividade com potencial conflito de interesses.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48FD88"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Inclusão de seção para tratar de auditoria interna</w:t>
            </w:r>
          </w:p>
        </w:tc>
      </w:tr>
      <w:tr w:rsidR="00E31838" w:rsidRPr="0010524E" w14:paraId="689E7355" w14:textId="5C5F360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E72C889" w14:textId="77777777" w:rsidR="00E31838" w:rsidRPr="0010524E" w:rsidRDefault="00E31838" w:rsidP="00A9572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FB9CA5" w14:textId="1D15DA74" w:rsidR="00E31838" w:rsidRPr="0010524E" w:rsidRDefault="00E31838" w:rsidP="00A95720">
            <w:pPr>
              <w:spacing w:before="120" w:after="120"/>
              <w:jc w:val="both"/>
              <w:rPr>
                <w:rFonts w:ascii="Calibri" w:eastAsia="Calibri" w:hAnsi="Calibri" w:cs="Calibri"/>
                <w:sz w:val="24"/>
                <w:szCs w:val="24"/>
              </w:rPr>
            </w:pPr>
            <w:r w:rsidRPr="0010524E">
              <w:rPr>
                <w:rFonts w:ascii="Calibri" w:eastAsia="Calibri" w:hAnsi="Calibri" w:cs="Calibri"/>
                <w:sz w:val="24"/>
                <w:szCs w:val="24"/>
              </w:rPr>
              <w:t>§ 2º Caso a EFPC opte por contratação de empresa de auditoria para realização dos trabalhos, a EFPC deve promover, em no máximo cinco exercícios sociais consecutivos, a substituição do responsável técnico, do diretor, do gerente e de qualquer outro integrante com função de gerência da equipe envolvida nos trabalhos de auditoria interna.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B54ED8"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Inclusão de seção para tratar de auditoria interna</w:t>
            </w:r>
          </w:p>
        </w:tc>
      </w:tr>
      <w:tr w:rsidR="00E31838" w:rsidRPr="0010524E" w14:paraId="218BA1D3" w14:textId="36F5125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1BB6CEE" w14:textId="77777777" w:rsidR="00E31838" w:rsidRPr="0010524E" w:rsidRDefault="00E31838" w:rsidP="00A9572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C3FF226" w14:textId="6A6A4404" w:rsidR="00E31838" w:rsidRPr="0010524E" w:rsidRDefault="00E31838" w:rsidP="00A95720">
            <w:pPr>
              <w:spacing w:before="120" w:after="120"/>
              <w:jc w:val="both"/>
              <w:rPr>
                <w:rFonts w:ascii="Calibri" w:eastAsia="Calibri" w:hAnsi="Calibri" w:cs="Calibri"/>
                <w:sz w:val="24"/>
                <w:szCs w:val="24"/>
              </w:rPr>
            </w:pPr>
            <w:r w:rsidRPr="0010524E">
              <w:rPr>
                <w:rFonts w:ascii="Calibri" w:eastAsia="Calibri" w:hAnsi="Calibri" w:cs="Calibri"/>
                <w:sz w:val="24"/>
                <w:szCs w:val="24"/>
              </w:rPr>
              <w:t xml:space="preserve">§ 3º A contagem de prazo para o disposto no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inicia-se a partir da última substituição do responsável técnico, do diretor, do gerente e de qualquer outro integrante com função de gerência da equipe envolvida nos trabalhos de auditoria.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39695B"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Inclusão de seção para tratar de auditoria interna</w:t>
            </w:r>
          </w:p>
        </w:tc>
      </w:tr>
      <w:tr w:rsidR="00E31838" w:rsidRPr="0010524E" w14:paraId="1E737C08" w14:textId="5804ABD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4CBE65C" w14:textId="77777777" w:rsidR="00E31838" w:rsidRPr="0010524E" w:rsidRDefault="00E31838" w:rsidP="00A9572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9A8C4E4" w14:textId="09C05048" w:rsidR="00E31838" w:rsidRPr="0010524E" w:rsidRDefault="00E31838" w:rsidP="00A95720">
            <w:pPr>
              <w:spacing w:before="120" w:after="120"/>
              <w:jc w:val="both"/>
              <w:rPr>
                <w:rFonts w:ascii="Calibri" w:eastAsia="Calibri" w:hAnsi="Calibri" w:cs="Calibri"/>
                <w:sz w:val="24"/>
                <w:szCs w:val="24"/>
              </w:rPr>
            </w:pPr>
            <w:r w:rsidRPr="0010524E">
              <w:rPr>
                <w:rFonts w:ascii="Calibri" w:eastAsia="Calibri" w:hAnsi="Calibri" w:cs="Calibri"/>
                <w:sz w:val="24"/>
                <w:szCs w:val="24"/>
              </w:rPr>
              <w:t>§ 4º O retorno do responsável técnico, do diretor, do gerente e de qualquer outro integrante com função de gerência da equipe envolvida nos trabalhos de auditoria, somente, poderá ocorrer após decorridos três exercícios sociais contados a partir da data de sua substituição.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962E1A"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Inclusão de seção para tratar de auditoria interna</w:t>
            </w:r>
          </w:p>
        </w:tc>
      </w:tr>
      <w:tr w:rsidR="00E31838" w:rsidRPr="0010524E" w14:paraId="393DA587" w14:textId="33A7F4F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00F6E6A" w14:textId="77777777" w:rsidR="00E31838" w:rsidRPr="001F0BE2" w:rsidRDefault="00E31838" w:rsidP="00A95720">
            <w:pPr>
              <w:rPr>
                <w:rFonts w:ascii="Calibri" w:hAnsi="Calibri" w:cs="Calibri"/>
                <w:b/>
                <w:bCs/>
                <w:sz w:val="24"/>
                <w:szCs w:val="24"/>
              </w:rPr>
            </w:pPr>
            <w:r w:rsidRPr="001F0BE2">
              <w:rPr>
                <w:rFonts w:ascii="Calibri" w:hAnsi="Calibri" w:cs="Calibri"/>
                <w:b/>
                <w:bCs/>
                <w:sz w:val="24"/>
                <w:szCs w:val="24"/>
              </w:rPr>
              <w:t>Instrução Previc nº 15, de 8 de dezembro de 2017</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0B9426" w14:textId="77777777"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3F6620"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06C395E" w14:textId="19CF44A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D0405F6" w14:textId="77777777" w:rsidR="00E31838" w:rsidRPr="0010524E" w:rsidRDefault="00E31838" w:rsidP="001F0BE2">
            <w:pPr>
              <w:jc w:val="both"/>
              <w:rPr>
                <w:rFonts w:ascii="Calibri" w:hAnsi="Calibri" w:cs="Calibri"/>
                <w:sz w:val="24"/>
                <w:szCs w:val="24"/>
              </w:rPr>
            </w:pPr>
            <w:r w:rsidRPr="0010524E">
              <w:rPr>
                <w:rFonts w:ascii="Calibri" w:hAnsi="Calibri" w:cs="Calibri"/>
                <w:sz w:val="24"/>
                <w:szCs w:val="24"/>
              </w:rPr>
              <w:t xml:space="preserve">Dispõe sobre medidas prudenciais preventivas destinadas a assegurar a solidez, a estabilidade e o regular funcionamento do </w:t>
            </w:r>
            <w:r w:rsidRPr="0010524E">
              <w:rPr>
                <w:rFonts w:ascii="Calibri" w:hAnsi="Calibri" w:cs="Calibri"/>
                <w:sz w:val="24"/>
                <w:szCs w:val="24"/>
              </w:rPr>
              <w:lastRenderedPageBreak/>
              <w:t>Regime de Previdência Complementar operado por Entidades Fechadas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6560A4" w14:textId="77777777"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Exclusão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396F36"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Exclusão considerando a consolidação normativa.</w:t>
            </w:r>
          </w:p>
        </w:tc>
      </w:tr>
      <w:tr w:rsidR="00E31838" w:rsidRPr="0010524E" w14:paraId="2466C29C" w14:textId="0502DA8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2E1A151" w14:textId="77777777" w:rsidR="00E31838" w:rsidRPr="0010524E" w:rsidRDefault="00E31838" w:rsidP="001F0BE2">
            <w:pPr>
              <w:jc w:val="both"/>
              <w:rPr>
                <w:rFonts w:ascii="Calibri" w:hAnsi="Calibri" w:cs="Calibri"/>
                <w:sz w:val="24"/>
                <w:szCs w:val="24"/>
              </w:rPr>
            </w:pPr>
            <w:r w:rsidRPr="0010524E">
              <w:rPr>
                <w:rFonts w:ascii="Calibri" w:hAnsi="Calibri" w:cs="Calibri"/>
                <w:sz w:val="24"/>
                <w:szCs w:val="24"/>
              </w:rPr>
              <w:t>A DIRETORIA COLEGIADA DA SUPERINTENDÊNCIA NACIONAL DE PREVIDÊNCIA COMPLEMENTAR - PREVIC, na 410ª sessão ordinária, realizada em de 24 de agosto de 2018, no uso das atribuições que lhe conferem o art. 5º da Lei Complementar nº 109, de 29 de maio de 2001, o art. 2º da Lei nº 12.154, de 23 de dezembro de 2009, e o art. 11 do Anexo I do Decreto nº 8.992, de 20 de fevereiro de 2017, resolve: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F675EB" w14:textId="1EF8B8DD"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169BE0"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Exclusão considerando a consolidação normativa.</w:t>
            </w:r>
          </w:p>
        </w:tc>
      </w:tr>
      <w:tr w:rsidR="00E31838" w:rsidRPr="0010524E" w14:paraId="20417137" w14:textId="18BD31A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544932C" w14:textId="77777777" w:rsidR="00E31838" w:rsidRPr="0010524E" w:rsidRDefault="00E31838" w:rsidP="001F0BE2">
            <w:pPr>
              <w:spacing w:after="120"/>
              <w:jc w:val="center"/>
              <w:rPr>
                <w:rFonts w:ascii="Calibri" w:hAnsi="Calibri" w:cs="Calibri"/>
                <w:sz w:val="24"/>
                <w:szCs w:val="24"/>
              </w:rPr>
            </w:pPr>
            <w:r w:rsidRPr="0010524E">
              <w:rPr>
                <w:rFonts w:ascii="Calibri" w:hAnsi="Calibri" w:cs="Calibri"/>
                <w:sz w:val="24"/>
                <w:szCs w:val="24"/>
              </w:rPr>
              <w:t>Capítulo I</w:t>
            </w:r>
          </w:p>
          <w:p w14:paraId="02CEB0D1" w14:textId="77777777" w:rsidR="00E31838" w:rsidRPr="0010524E" w:rsidRDefault="00E31838" w:rsidP="001F0BE2">
            <w:pPr>
              <w:spacing w:after="120"/>
              <w:jc w:val="center"/>
              <w:rPr>
                <w:rFonts w:ascii="Calibri" w:hAnsi="Calibri" w:cs="Calibri"/>
                <w:sz w:val="24"/>
                <w:szCs w:val="24"/>
              </w:rPr>
            </w:pPr>
            <w:r w:rsidRPr="0010524E">
              <w:rPr>
                <w:rFonts w:ascii="Calibri" w:hAnsi="Calibri" w:cs="Calibri"/>
                <w:sz w:val="24"/>
                <w:szCs w:val="24"/>
              </w:rPr>
              <w:t>Disposições gerais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4D07CA" w14:textId="77777777" w:rsidR="00E31838" w:rsidRPr="0010524E" w:rsidRDefault="00E31838" w:rsidP="001F0BE2">
            <w:pPr>
              <w:spacing w:after="120" w:line="240" w:lineRule="auto"/>
              <w:jc w:val="center"/>
              <w:rPr>
                <w:rFonts w:ascii="Calibri" w:hAnsi="Calibri" w:cstheme="minorHAnsi"/>
                <w:sz w:val="24"/>
                <w:szCs w:val="24"/>
              </w:rPr>
            </w:pPr>
            <w:r w:rsidRPr="0010524E">
              <w:rPr>
                <w:rFonts w:ascii="Calibri" w:hAnsi="Calibri" w:cstheme="minorHAnsi"/>
                <w:sz w:val="24"/>
                <w:szCs w:val="24"/>
              </w:rPr>
              <w:t>CAPÍTULO V</w:t>
            </w:r>
          </w:p>
          <w:p w14:paraId="1DDCAFEF" w14:textId="55F730DA" w:rsidR="00E31838" w:rsidRPr="0010524E" w:rsidRDefault="00E31838" w:rsidP="001F0BE2">
            <w:pPr>
              <w:spacing w:after="120" w:line="240" w:lineRule="auto"/>
              <w:jc w:val="center"/>
              <w:rPr>
                <w:rFonts w:ascii="Calibri" w:eastAsia="Times New Roman" w:hAnsi="Calibri" w:cs="Calibri"/>
                <w:kern w:val="0"/>
                <w:sz w:val="24"/>
                <w:szCs w:val="24"/>
                <w:lang w:eastAsia="pt-BR"/>
                <w14:ligatures w14:val="none"/>
              </w:rPr>
            </w:pPr>
            <w:r w:rsidRPr="0010524E">
              <w:rPr>
                <w:rFonts w:ascii="Calibri" w:hAnsi="Calibri"/>
                <w:sz w:val="24"/>
                <w:szCs w:val="24"/>
              </w:rPr>
              <w:t>FISCALIZAÇÃO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561A73"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a fim de possibilitar consolidação da normativa.</w:t>
            </w:r>
          </w:p>
        </w:tc>
      </w:tr>
      <w:tr w:rsidR="00E31838" w:rsidRPr="0010524E" w14:paraId="15927C55" w14:textId="46A9178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9A110BE" w14:textId="77777777" w:rsidR="00E31838" w:rsidRPr="0010524E" w:rsidRDefault="00E31838" w:rsidP="00A9572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DBEB62" w14:textId="77777777" w:rsidR="00E31838" w:rsidRPr="0010524E" w:rsidRDefault="00E31838" w:rsidP="001F0BE2">
            <w:pPr>
              <w:spacing w:after="0"/>
              <w:jc w:val="center"/>
              <w:rPr>
                <w:sz w:val="24"/>
                <w:szCs w:val="24"/>
              </w:rPr>
            </w:pPr>
            <w:r w:rsidRPr="0010524E">
              <w:rPr>
                <w:rFonts w:ascii="Calibri" w:eastAsia="Calibri" w:hAnsi="Calibri" w:cs="Calibri"/>
                <w:b/>
                <w:bCs/>
                <w:sz w:val="24"/>
                <w:szCs w:val="24"/>
              </w:rPr>
              <w:t>Seção I</w:t>
            </w:r>
          </w:p>
          <w:p w14:paraId="7E80A50E" w14:textId="1E566BA3" w:rsidR="00E31838" w:rsidRPr="0010524E" w:rsidRDefault="00E31838" w:rsidP="001F0BE2">
            <w:pPr>
              <w:spacing w:after="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Medidas prudenciais preventivas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490D5D"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6B8A854" w14:textId="58480A0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FB890A9" w14:textId="77777777" w:rsidR="00E31838" w:rsidRPr="0010524E" w:rsidRDefault="00E31838" w:rsidP="001F0BE2">
            <w:pPr>
              <w:jc w:val="both"/>
              <w:rPr>
                <w:rFonts w:ascii="Calibri" w:hAnsi="Calibri" w:cs="Calibri"/>
                <w:sz w:val="24"/>
                <w:szCs w:val="24"/>
              </w:rPr>
            </w:pPr>
            <w:r w:rsidRPr="0010524E">
              <w:rPr>
                <w:rFonts w:ascii="Calibri" w:hAnsi="Calibri" w:cs="Calibri"/>
                <w:sz w:val="24"/>
                <w:szCs w:val="24"/>
              </w:rPr>
              <w:t xml:space="preserve">Art. 1º Esta Instrução dispõe sobre medidas prudenciais preventivas aplicáveis às Entidades Fechadas de Previdência Complementar (EFPC), com o objetivo de preservar a liquidez, a solvência e o equilíbrio dos planos de benefícios e de cada entidade de previdência complementar, bem como o </w:t>
            </w:r>
            <w:r w:rsidRPr="0010524E">
              <w:rPr>
                <w:rFonts w:ascii="Calibri" w:hAnsi="Calibri" w:cs="Calibri"/>
                <w:sz w:val="24"/>
                <w:szCs w:val="24"/>
              </w:rPr>
              <w:lastRenderedPageBreak/>
              <w:t>regular funcionamento do Regime de Previdência Complementar Fechado.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6927DAF" w14:textId="76A83ECD" w:rsidR="00E31838" w:rsidRPr="0010524E" w:rsidRDefault="00E31838" w:rsidP="00A95720">
            <w:pPr>
              <w:spacing w:before="120" w:after="120"/>
              <w:jc w:val="both"/>
              <w:rPr>
                <w:rFonts w:ascii="Calibri" w:eastAsia="Calibri" w:hAnsi="Calibri" w:cs="Calibri"/>
                <w:sz w:val="24"/>
                <w:szCs w:val="24"/>
              </w:rPr>
            </w:pPr>
            <w:r w:rsidRPr="0010524E">
              <w:rPr>
                <w:rFonts w:ascii="Calibri" w:eastAsia="Calibri" w:hAnsi="Calibri" w:cs="Calibri"/>
                <w:sz w:val="24"/>
                <w:szCs w:val="24"/>
              </w:rPr>
              <w:lastRenderedPageBreak/>
              <w:t>Art. 213.  As medidas prudenciais preventivas aplicáveis às EFPC, tem como objetivo preservar a liquidez, a solvência e o equilíbrio dos planos de benefícios e de cada entidade de previdência complementar, bem como o regular funcionamento do Regime de Previdência Complementar Fechado.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EC77B1"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a fim de possibilitar consolidação da normativa.</w:t>
            </w:r>
          </w:p>
        </w:tc>
      </w:tr>
      <w:tr w:rsidR="00E31838" w:rsidRPr="0010524E" w14:paraId="688A8408" w14:textId="64046FA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51E6EFE" w14:textId="77777777" w:rsidR="00E31838" w:rsidRPr="0010524E" w:rsidRDefault="00E31838" w:rsidP="001F0BE2">
            <w:pPr>
              <w:jc w:val="both"/>
              <w:rPr>
                <w:rFonts w:ascii="Calibri" w:hAnsi="Calibri" w:cs="Calibri"/>
                <w:sz w:val="24"/>
                <w:szCs w:val="24"/>
              </w:rPr>
            </w:pPr>
            <w:r w:rsidRPr="0010524E">
              <w:rPr>
                <w:rFonts w:ascii="Calibri" w:hAnsi="Calibri" w:cs="Calibri"/>
                <w:sz w:val="24"/>
                <w:szCs w:val="24"/>
              </w:rPr>
              <w:t>Parágrafo único. As medidas prudenciais preventivas de que trata esta Instrução serão adotadas por decisão fundamentada da Superintendência Nacional de Previdência Complementar (Previc) junto à EFPC, sem prejuízo da aplicação de penalidades eventualmente incidentes na espécie.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94BCE5" w14:textId="15BF0CA2" w:rsidR="00E31838" w:rsidRPr="0010524E" w:rsidRDefault="00E31838" w:rsidP="00A95720">
            <w:pPr>
              <w:spacing w:before="120" w:after="120"/>
              <w:jc w:val="both"/>
              <w:rPr>
                <w:rFonts w:ascii="Calibri" w:eastAsia="Calibri" w:hAnsi="Calibri" w:cs="Calibri"/>
                <w:sz w:val="24"/>
                <w:szCs w:val="24"/>
              </w:rPr>
            </w:pPr>
            <w:r w:rsidRPr="0010524E">
              <w:rPr>
                <w:rFonts w:ascii="Calibri" w:eastAsia="Calibri" w:hAnsi="Calibri" w:cs="Calibri"/>
                <w:sz w:val="24"/>
                <w:szCs w:val="24"/>
              </w:rPr>
              <w:t>Parágrafo único. As medidas prudenciais preventivas de que trata o caput são adotadas por decisão fundamentada da Previc junto à EFPC, sem prejuízo da aplicação de penalidades eventualmente incidentes na espécie.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1F86FE"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a fim de possibilitar consolidação da normativa.</w:t>
            </w:r>
          </w:p>
        </w:tc>
      </w:tr>
      <w:tr w:rsidR="00E31838" w:rsidRPr="0010524E" w14:paraId="464E298E" w14:textId="3FC2DE7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4F804DE" w14:textId="04F71B34" w:rsidR="00E31838" w:rsidRPr="0010524E" w:rsidRDefault="00E31838" w:rsidP="001F0BE2">
            <w:pPr>
              <w:jc w:val="center"/>
              <w:rPr>
                <w:rFonts w:ascii="Calibri" w:hAnsi="Calibri" w:cs="Calibri"/>
                <w:sz w:val="24"/>
                <w:szCs w:val="24"/>
              </w:rPr>
            </w:pPr>
            <w:r w:rsidRPr="0010524E">
              <w:rPr>
                <w:rFonts w:ascii="Calibri" w:hAnsi="Calibri" w:cs="Calibri"/>
                <w:sz w:val="24"/>
                <w:szCs w:val="24"/>
              </w:rPr>
              <w:t>Capítulo II</w:t>
            </w:r>
          </w:p>
          <w:p w14:paraId="59DF89F2" w14:textId="77777777" w:rsidR="00E31838" w:rsidRPr="0010524E" w:rsidRDefault="00E31838" w:rsidP="001F0BE2">
            <w:pPr>
              <w:jc w:val="center"/>
              <w:rPr>
                <w:rFonts w:ascii="Calibri" w:hAnsi="Calibri" w:cs="Calibri"/>
                <w:sz w:val="24"/>
                <w:szCs w:val="24"/>
              </w:rPr>
            </w:pPr>
            <w:r w:rsidRPr="0010524E">
              <w:rPr>
                <w:rFonts w:ascii="Calibri" w:hAnsi="Calibri" w:cs="Calibri"/>
                <w:sz w:val="24"/>
                <w:szCs w:val="24"/>
              </w:rPr>
              <w:t>Das situações passíveis de aplicação das Medidas Prudenciais Preventivas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BE0F2E" w14:textId="77777777" w:rsidR="00E31838" w:rsidRPr="0010524E" w:rsidRDefault="00E31838" w:rsidP="00A95720">
            <w:pPr>
              <w:spacing w:after="0"/>
              <w:jc w:val="center"/>
              <w:rPr>
                <w:sz w:val="24"/>
                <w:szCs w:val="24"/>
              </w:rPr>
            </w:pPr>
            <w:r w:rsidRPr="0010524E">
              <w:rPr>
                <w:rFonts w:ascii="Calibri" w:eastAsia="Calibri" w:hAnsi="Calibri" w:cs="Calibri"/>
                <w:b/>
                <w:bCs/>
                <w:sz w:val="24"/>
                <w:szCs w:val="24"/>
              </w:rPr>
              <w:t>Subseção I</w:t>
            </w:r>
          </w:p>
          <w:p w14:paraId="166CB27C" w14:textId="74BB51C2" w:rsidR="00E31838" w:rsidRPr="0010524E" w:rsidRDefault="00E31838" w:rsidP="001F0BE2">
            <w:pPr>
              <w:spacing w:after="12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Situações passíveis de aplicação de medidas prudenciais preventivas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080900"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CCD1155" w14:textId="1B6A454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4ADA50D" w14:textId="16DB438E" w:rsidR="00E31838" w:rsidRPr="0010524E" w:rsidRDefault="00E31838" w:rsidP="00D91BD2">
            <w:pPr>
              <w:jc w:val="both"/>
              <w:rPr>
                <w:rFonts w:ascii="Calibri" w:hAnsi="Calibri" w:cs="Calibri"/>
                <w:sz w:val="24"/>
                <w:szCs w:val="24"/>
              </w:rPr>
            </w:pPr>
            <w:r w:rsidRPr="0010524E">
              <w:rPr>
                <w:rFonts w:ascii="Calibri" w:hAnsi="Calibri" w:cs="Calibri"/>
                <w:sz w:val="24"/>
                <w:szCs w:val="24"/>
              </w:rPr>
              <w:t>Art. 2º A Previc, em avaliação discricionária das circunstâncias de cada caso, poderá determinar a adoção das medidas prudenciais preventivas indicadas no art. 3º ao verificar a ocorrência de uma das seguintes situações: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BC4AFF" w14:textId="4AF74DA4"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Art. 214.  A Previc, em avaliação discricionária das circunstâncias de cada caso, pode determinar a adoção das medidas prudenciais preventivas indicadas no art. 215 ao verificar a ocorrência de uma das seguintes situações: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095C5AB"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a fim de colocar o tempo verbal no presente.</w:t>
            </w:r>
          </w:p>
        </w:tc>
      </w:tr>
      <w:tr w:rsidR="00E31838" w:rsidRPr="0010524E" w14:paraId="11D67218" w14:textId="3EFC6B6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CD4EEBA" w14:textId="513C8200" w:rsidR="00E31838" w:rsidRPr="0010524E" w:rsidRDefault="00E31838" w:rsidP="00D91BD2">
            <w:pPr>
              <w:jc w:val="both"/>
              <w:rPr>
                <w:rFonts w:ascii="Calibri" w:hAnsi="Calibri" w:cs="Calibri"/>
                <w:sz w:val="24"/>
                <w:szCs w:val="24"/>
              </w:rPr>
            </w:pPr>
            <w:r w:rsidRPr="0010524E">
              <w:rPr>
                <w:rFonts w:ascii="Calibri" w:hAnsi="Calibri" w:cs="Calibri"/>
                <w:sz w:val="24"/>
                <w:szCs w:val="24"/>
              </w:rPr>
              <w:t>I - inobservância de padrões de segurança que comprometam a liquidez e a solvência, tanto pelo enfoque dos investimentos quanto atuarial, dos planos de benefícios, isoladamente, e da EFPC, no conjunto de suas atividades;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FD743A5" w14:textId="6960A31C"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 - inobservância de padrões de segurança que comprometam a liquidez e a solvência, tanto pelo enfoque dos investimentos quanto atuarial, dos planos de benefícios, isoladamente, e da EFPC, no conjunto de suas atividades;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04AD4E7"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E6DDF7B" w14:textId="4E5EDB3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AE3C3D4"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lastRenderedPageBreak/>
              <w:t>II - insuficiência de elementos para avaliação da situação econômico-financeira ou dos riscos inerentes à entidade, em função de deficiências na prestação de informações à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EDC964D" w14:textId="2CFAFC35"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II - insuficiência de elementos para avaliação da situação econômico-financeira ou dos riscos inerentes à entidade, em função de deficiências na prestação de informações à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F7ECC3C"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BFC7D83" w14:textId="38C7EAD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82348AD"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III- grave deterioração ou perspectiva de grave deterioração da situação econômico-financeira dos planos de benefícios, independentemente de descumprimento de regras de solvência ou dos demais limites operacionais estabelecidos na regulamentação;</w:t>
            </w:r>
            <w:r w:rsidRPr="0010524E">
              <w:rPr>
                <w:rFonts w:ascii="Calibri" w:hAnsi="Calibri" w:cs="Calibri"/>
                <w:sz w:val="24"/>
                <w:szCs w:val="24"/>
              </w:rPr>
              <w:tab/>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A7EA45" w14:textId="27945423"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III - grave deterioração ou perspectiva de grave deterioração da situação econômico-financeira dos planos de benefícios, independentemente de descumprimento de regras de solvência ou dos demais limites operacionais estabelecidos em regulamentação;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0D30F3E" w14:textId="746C054F"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DD01CB5" w14:textId="580C373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067E914"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IV - aplicação de recursos de forma inadequada ou em desacordo com as normas expedidas pelos órgãos competentes;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D65599E" w14:textId="5D57F7F4"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IV - aplicação de recursos de forma inadequada ou em desacordo com as normas expedidas pelos órgãos competentes;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42BC277" w14:textId="6F149145"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D614495" w14:textId="492E865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3EA1E8C"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V - exposição a riscos incompatíveis com as estruturas de gerenciamento e de controles internos da entidade;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A2D60B" w14:textId="56CA765A"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V - exposição a riscos incompatíveis com as estruturas de gerenciamento e de controles internos da entidade;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CFA677F" w14:textId="031601BA"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52B5742" w14:textId="393EA35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790F2FA"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VI - práticas de governança que comprometam o regular funcionamento e as atividades operacionais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EC63B90" w14:textId="06E4026B"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VI - práticas de governança que comprometam o regular funcionamento e as atividades operacionais da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5E7B584" w14:textId="7E4CE135"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79E149B" w14:textId="38AB694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ABF2B56"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VII - projeção de inviabilidade dos planos de benefícios ou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2EE4A19" w14:textId="7248C4A7"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VII - projeção de inviabilidade dos planos de benefícios ou da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A9D8257" w14:textId="6668A7A3"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F62D11A" w14:textId="59D8D07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6893F58"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lastRenderedPageBreak/>
              <w:t>VIII - inobservância a disposições estatutárias ou a obrigações previstas nos regulamentos dos planos de benefícios, convênios de adesão ou contratos dos planos coletivos;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A500649" w14:textId="498DB33A"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VIII - inobservância a disposições estatutárias ou a obrigações previstas nos regulamentos dos planos de benefícios, convênios de adesão ou contratos dos planos coletivos;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B0DE6FA" w14:textId="57F41305"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989CFF5" w14:textId="7B74727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CFC827A"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IX - falta de segregação de atividades e conflito de interesses entre as funções de dirigentes, conselheiros, colaboradores e prestadores de serviços, em situações que comprometam o regular funcionamento e as atividades operacionais da EFPC;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E26465A" w14:textId="11938A8A"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IX - falta de segregação de atividades e conflito de interesse entre as funções de dirigentes, conselheiros, colaboradores e prestadores de serviços, em situações que comprometam o regular funcionamento e as atividades operacionais da EFPC;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D65E833" w14:textId="498A9BDB"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43CAC2AC" w14:textId="725757E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6FBC545"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X - outras situações que, a critério da Previc, possam acarretar grave risco aos planos de benefícios, à EFPC ou ao regular funcionamento do Regime de Previdência Complementar Fechado.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CBA4AF" w14:textId="1CD0AD69"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X - outras situações que, a critério da Previc, possam acarretar grave risco aos planos de benefícios, à EFPC ou ao regular funcionamento do Regime de Previdência Complementar Fechado.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679A564" w14:textId="48EF95F1"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w:t>
            </w:r>
          </w:p>
        </w:tc>
      </w:tr>
      <w:tr w:rsidR="00E31838" w:rsidRPr="0010524E" w14:paraId="5C9C3D80" w14:textId="105090D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49B160D" w14:textId="6BB978C5" w:rsidR="00E31838" w:rsidRPr="0010524E" w:rsidRDefault="00E31838" w:rsidP="00D91BD2">
            <w:pPr>
              <w:spacing w:after="120"/>
              <w:jc w:val="center"/>
              <w:rPr>
                <w:rFonts w:ascii="Calibri" w:hAnsi="Calibri" w:cs="Calibri"/>
                <w:sz w:val="24"/>
                <w:szCs w:val="24"/>
              </w:rPr>
            </w:pPr>
            <w:r w:rsidRPr="0010524E">
              <w:rPr>
                <w:rFonts w:ascii="Calibri" w:hAnsi="Calibri" w:cs="Calibri"/>
                <w:sz w:val="24"/>
                <w:szCs w:val="24"/>
              </w:rPr>
              <w:t>Capítulo III</w:t>
            </w:r>
          </w:p>
          <w:p w14:paraId="5CA9DB32" w14:textId="77777777" w:rsidR="00E31838" w:rsidRPr="0010524E" w:rsidRDefault="00E31838" w:rsidP="00D91BD2">
            <w:pPr>
              <w:spacing w:after="120"/>
              <w:jc w:val="center"/>
              <w:rPr>
                <w:rFonts w:ascii="Calibri" w:hAnsi="Calibri" w:cs="Calibri"/>
                <w:sz w:val="24"/>
                <w:szCs w:val="24"/>
              </w:rPr>
            </w:pPr>
            <w:r w:rsidRPr="0010524E">
              <w:rPr>
                <w:rFonts w:ascii="Calibri" w:hAnsi="Calibri" w:cs="Calibri"/>
                <w:sz w:val="24"/>
                <w:szCs w:val="24"/>
              </w:rPr>
              <w:t>Das Medidas Prudenciais Preventivas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4AEB45" w14:textId="77777777" w:rsidR="00E31838" w:rsidRPr="0010524E" w:rsidRDefault="00E31838" w:rsidP="001F0BE2">
            <w:pPr>
              <w:pStyle w:val="PargrafodaLista"/>
              <w:tabs>
                <w:tab w:val="left" w:pos="993"/>
              </w:tabs>
              <w:spacing w:after="12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430BBAB"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Excluído considerando a consolidação normativa. </w:t>
            </w:r>
          </w:p>
        </w:tc>
      </w:tr>
      <w:tr w:rsidR="00E31838" w:rsidRPr="0010524E" w14:paraId="4F9BE763" w14:textId="78678F1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0F0420C"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Art. 3º Configurada a ocorrência de qualquer uma das situações descritas no artigo 2º, a Previc poderá adotar ou determinar uma ou mais das seguintes medidas prudenciais preventivas, concomitante ou sucessivamente: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22AB70" w14:textId="173AFC34"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Art. 215.  Configurada a ocorrência de qualquer uma das situações descritas no art. 214, a Previc pode adotar ou determinar uma ou mais das seguintes medidas prudenciais preventivas, concomitante ou sucessivamente: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917C2E0"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do tempo verbal.</w:t>
            </w:r>
          </w:p>
        </w:tc>
      </w:tr>
      <w:tr w:rsidR="00E31838" w:rsidRPr="0010524E" w14:paraId="026BF74E" w14:textId="1B9D29F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B089CE7"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lastRenderedPageBreak/>
              <w:t>I - implantação de controles e procedimentos operacionais adicionais;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781EE4" w14:textId="4A04052A"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 - implantação de controles e procedimentos operacionais adicionais;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F45C38F"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793A698" w14:textId="08D5CC9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2FB2137"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II - redução de exposição a riscos considerados inadequados ou incompatíveis com as estruturas de gerenciamento e de controles internos da entidade;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35DF18" w14:textId="190E26BD"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II - redução de exposição a riscos considerados inadequados ou incompatíveis com as estruturas de gerenciamento e de controles internos da entidade;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8BCA1AF"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B20E076" w14:textId="14160A2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66ADDE6"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III - exigência de critérios adicionais que venham a preservar a liquidez e a solvência dos planos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CCFA1BD" w14:textId="09E9FEAA"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III - exigência de critérios adicionais que venham a preservar a liquidez e a solvência dos planos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47C99B1"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9F5BB40" w14:textId="291B8D5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74FDB72"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IV - observância de limites operacionais mais restritivos na aplicação dos recursos garantidores dos planos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DA27051" w14:textId="2D8A5A5A"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IV - observância de limites operacionais mais restritivos na aplicação dos recursos garantidores dos planos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BBBAD58"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DF78FDE" w14:textId="4430439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31D3528"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V - limitação ou suspensão da prática de modalidades operacionais ou de determinadas espécies de operações ativas;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8D0E23" w14:textId="63FFF5B0"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V - limitação ou suspensão da prática de modalidades operacionais ou de determinadas espécies de operações ativas;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863F694"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48EE499A" w14:textId="57F1B08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D570B0C"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VI - instauração de processo administrativo disciplinar determinando o afastamento cautelar do dirigente ou conselheiro até sua conclusão;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4F8534" w14:textId="13F1DC5C"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VI - instauração de processo administrativo disciplinar determinando o afastamento cautelar do dirigente ou conselheiro até sua conclusão;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8B5FE6D"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CB61859" w14:textId="3FC0B33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88A8703"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VII - suspensão cautelar da habilitação de diretores e conselheiros;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6A77C5" w14:textId="42A9E1A3"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VII - suspensão cautelar da habilitação de diretores e conselheiros;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081C02C"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D60D780" w14:textId="05065CE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0D0E94B"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lastRenderedPageBreak/>
              <w:t>VIII - transferência de planos de benefícios para outra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992CFB7" w14:textId="1E8342B6"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VIII - transferência de planos de benefícios para outra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03787C9"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7AA3EEDC" w14:textId="4D1F309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7382D28"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IX - suspensão de qualquer forma de remuneração variável para gestores da EFPC ou proibição de aumento de proventos;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1292156" w14:textId="074D2782"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IX - suspensão de qualquer forma de remuneração variável para gestores da EFPC ou proibição de aumento de proventos;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1F0B6DC"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4881D1F" w14:textId="46493CB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E0F5F0F"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X - limitação ou impedimento de atividades de prestadores de serviço;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EBECD71" w14:textId="07EB55FB"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X - limitação ou impedimento de atividades de prestadores de serviço;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8DC3FCA"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737113B3" w14:textId="0E2BE52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4D207F3"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XI - alteração de estatuto, regulamento ou convênio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887DF61" w14:textId="52950BEE"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XI - alteração de estatuto, regulamento ou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F914782"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4302F7CA" w14:textId="043FB01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40DB32F" w14:textId="77777777" w:rsidR="00E31838" w:rsidRPr="0010524E" w:rsidRDefault="00E31838" w:rsidP="00D91BD2">
            <w:pPr>
              <w:spacing w:after="0"/>
              <w:jc w:val="center"/>
              <w:rPr>
                <w:rFonts w:ascii="Calibri" w:hAnsi="Calibri" w:cs="Calibri"/>
                <w:sz w:val="24"/>
                <w:szCs w:val="24"/>
              </w:rPr>
            </w:pPr>
            <w:r w:rsidRPr="0010524E">
              <w:rPr>
                <w:rFonts w:ascii="Calibri" w:hAnsi="Calibri" w:cs="Calibri"/>
                <w:sz w:val="24"/>
                <w:szCs w:val="24"/>
              </w:rPr>
              <w:t>Capítulo IV</w:t>
            </w:r>
          </w:p>
          <w:p w14:paraId="2CA00757" w14:textId="5D6BF83D" w:rsidR="00E31838" w:rsidRPr="0010524E" w:rsidRDefault="00E31838" w:rsidP="00D91BD2">
            <w:pPr>
              <w:spacing w:after="0"/>
              <w:jc w:val="center"/>
              <w:rPr>
                <w:rFonts w:ascii="Calibri" w:hAnsi="Calibri" w:cs="Calibri"/>
                <w:sz w:val="24"/>
                <w:szCs w:val="24"/>
              </w:rPr>
            </w:pPr>
            <w:r w:rsidRPr="0010524E">
              <w:rPr>
                <w:rFonts w:ascii="Calibri" w:hAnsi="Calibri" w:cs="Calibri"/>
                <w:sz w:val="24"/>
                <w:szCs w:val="24"/>
              </w:rPr>
              <w:t>Da Convocação dos Representantes Legais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465259" w14:textId="77777777" w:rsidR="00E31838" w:rsidRPr="0010524E" w:rsidRDefault="00E31838" w:rsidP="001F0BE2">
            <w:pPr>
              <w:pStyle w:val="PargrafodaLista"/>
              <w:tabs>
                <w:tab w:val="left" w:pos="993"/>
              </w:tabs>
              <w:spacing w:after="12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p w14:paraId="2ED1ED96" w14:textId="77777777" w:rsidR="00E31838" w:rsidRPr="0010524E" w:rsidRDefault="00E31838" w:rsidP="001F0BE2">
            <w:pPr>
              <w:pStyle w:val="PargrafodaLista"/>
              <w:tabs>
                <w:tab w:val="left" w:pos="993"/>
              </w:tabs>
              <w:spacing w:after="12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Convocação dos representantes legais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6945162"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CD61CBF" w14:textId="03171FE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3E8DC6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Art. 4º A Previc, sem prejuízo da adoção das medidas prudenciais preventivas previstas no art. 3º, em vista de uma das situações previstas no art. 2º, poderá convocar os representantes legais da EFPC para: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5BEAA0" w14:textId="46C0B447"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Art. 216.  A Previc, sem prejuízo da adoção das medidas prudenciais preventivas dispostas no art. 215, considerando as situações previstas no art. 214, pode convocar os representantes legais da EFPC para: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C44F776"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para compreensão.</w:t>
            </w:r>
          </w:p>
        </w:tc>
      </w:tr>
      <w:tr w:rsidR="00E31838" w:rsidRPr="0010524E" w14:paraId="32E9F097" w14:textId="3DDF100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D198BAC"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I - prestar esclarecimentos sobre as causas da situação que ensejou a adoção de medidas prudenciais preventivas;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103FD8" w14:textId="0C6D0109"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I - prestar esclarecimentos sobre as causas da situação que ensejou a adoção de medidas prudenciais preventivas;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26E0CB2"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2264A62" w14:textId="149AF4B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3BFA839" w14:textId="77777777" w:rsidR="00E31838" w:rsidRPr="0010524E" w:rsidRDefault="00E31838" w:rsidP="00A95720">
            <w:pPr>
              <w:jc w:val="both"/>
              <w:rPr>
                <w:rFonts w:ascii="Calibri" w:hAnsi="Calibri" w:cs="Calibri"/>
                <w:sz w:val="24"/>
                <w:szCs w:val="24"/>
              </w:rPr>
            </w:pPr>
            <w:bookmarkStart w:id="32" w:name="_Hlk113898550"/>
            <w:r w:rsidRPr="0010524E">
              <w:rPr>
                <w:rFonts w:ascii="Calibri" w:hAnsi="Calibri" w:cs="Calibri"/>
                <w:sz w:val="24"/>
                <w:szCs w:val="24"/>
              </w:rPr>
              <w:t xml:space="preserve">II - apresentar plano para a solução da situação que ensejou a adoção das medidas prudenciais preventivas, com a indicação de metas quantitativas e qualitativas a serem </w:t>
            </w:r>
            <w:r w:rsidRPr="0010524E">
              <w:rPr>
                <w:rFonts w:ascii="Calibri" w:hAnsi="Calibri" w:cs="Calibri"/>
                <w:sz w:val="24"/>
                <w:szCs w:val="24"/>
              </w:rPr>
              <w:lastRenderedPageBreak/>
              <w:t>atingidas, a anuência de todas as partes envolvidas na consecução do plano e o estabelecimento de cronograma para sua execução.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AA5649A" w14:textId="028651B9"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II - apresentar plano para a solução da situação que ensejou a adoção das medidas prudenciais preventivas, com a indicação de metas quantitativas e qualitativas a serem atingidas, a anuência de todas as partes </w:t>
            </w:r>
            <w:r w:rsidRPr="0010524E">
              <w:rPr>
                <w:rFonts w:ascii="Calibri" w:eastAsia="Calibri" w:hAnsi="Calibri" w:cs="Calibri"/>
                <w:sz w:val="24"/>
                <w:szCs w:val="24"/>
              </w:rPr>
              <w:lastRenderedPageBreak/>
              <w:t>envolvidas na consecução do plano e o estabelecimento de cronograma para sua execução.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11563E"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C50D18C" w14:textId="73C6443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20084D8" w14:textId="77777777" w:rsidR="00E31838" w:rsidRPr="0010524E" w:rsidRDefault="00E31838" w:rsidP="00A95720">
            <w:pPr>
              <w:jc w:val="both"/>
              <w:rPr>
                <w:rFonts w:ascii="Calibri" w:hAnsi="Calibri" w:cs="Calibri"/>
                <w:sz w:val="24"/>
                <w:szCs w:val="24"/>
              </w:rPr>
            </w:pPr>
            <w:bookmarkStart w:id="33" w:name="_Hlk113898565"/>
            <w:bookmarkEnd w:id="32"/>
            <w:r w:rsidRPr="0010524E">
              <w:rPr>
                <w:rFonts w:ascii="Calibri" w:hAnsi="Calibri" w:cs="Calibri"/>
                <w:sz w:val="24"/>
                <w:szCs w:val="24"/>
              </w:rPr>
              <w:t>§ 1º O plano de que trata o inciso II deverá ser aprovado pela Diretoria Executiva e pelo Conselho Deliberativo, com a ciência do Conselho Fiscal e do Comitê de Auditoria, se houver.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F513E3" w14:textId="0BFE8D50"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 1º  O plano de que trata o inciso II deve ser aprovado pela Diretoria Executiva e pelo Conselho Deliberativo, com a ciência do Conselho Fiscal e do Comitê de Auditoria, se houver.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D088E88"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do tempo verbal.</w:t>
            </w:r>
          </w:p>
        </w:tc>
      </w:tr>
      <w:bookmarkEnd w:id="33"/>
      <w:tr w:rsidR="00E31838" w:rsidRPr="0010524E" w14:paraId="5FC8A82A" w14:textId="103CCCC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DDF01E7" w14:textId="4B58A739" w:rsidR="00E31838" w:rsidRPr="0010524E" w:rsidRDefault="00E31838" w:rsidP="00D91BD2">
            <w:pPr>
              <w:jc w:val="both"/>
              <w:rPr>
                <w:rFonts w:ascii="Calibri" w:hAnsi="Calibri" w:cs="Calibri"/>
                <w:sz w:val="24"/>
                <w:szCs w:val="24"/>
              </w:rPr>
            </w:pPr>
            <w:r w:rsidRPr="0010524E">
              <w:rPr>
                <w:rFonts w:ascii="Calibri" w:hAnsi="Calibri" w:cs="Calibri"/>
                <w:sz w:val="24"/>
                <w:szCs w:val="24"/>
              </w:rPr>
              <w:t>§ 2º A Previc poderá determinar que o auditor independente responsável pela auditoria das demonstrações contábeis da entidade elabore relatórios de acompanhamento da execução do plano mencionado no inciso II.</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62D99B" w14:textId="3F7FFA53" w:rsidR="00E31838" w:rsidRPr="0010524E" w:rsidRDefault="00E31838" w:rsidP="001F0BE2">
            <w:pPr>
              <w:spacing w:after="120"/>
              <w:jc w:val="both"/>
              <w:rPr>
                <w:rFonts w:ascii="Calibri" w:eastAsia="Calibri" w:hAnsi="Calibri" w:cs="Calibri"/>
                <w:sz w:val="24"/>
                <w:szCs w:val="24"/>
              </w:rPr>
            </w:pPr>
            <w:r w:rsidRPr="0010524E">
              <w:rPr>
                <w:rFonts w:ascii="Calibri" w:eastAsia="Calibri" w:hAnsi="Calibri" w:cs="Calibri"/>
                <w:sz w:val="24"/>
                <w:szCs w:val="24"/>
              </w:rPr>
              <w:t>§ 2º  A Previc pode determinar que o auditor independente responsável pela auditoria das demonstrações contábeis da entidade elabore relatórios de acompanhamento da execução do plano mencionado no inciso II.</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42FBF4"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do tempo verbal.</w:t>
            </w:r>
          </w:p>
        </w:tc>
      </w:tr>
      <w:tr w:rsidR="00E31838" w:rsidRPr="0010524E" w14:paraId="142B4DB8" w14:textId="4A94865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FE83C1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3º Aplicam-se ao disposto neste artigo os seguintes procedimentos: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55CFE3" w14:textId="0E4073BD"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 3º  Aplicam-se ao disposto caput os seguintes procedimentos: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1524A3"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6468773" w14:textId="7F09C2C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C5150C7"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I - o comparecimento dos representantes deverá ocorrer no prazo máximo de dez dias contados da data da convocação, que poderá ser formalizado em termo específico lavrado pela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94C054" w14:textId="77777777"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I - o comparecimento dos representantes deve ocorrer no prazo máximo de dez dias contados da data da convocação, que pode ser formalizado em termo específico lavrado pela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A32EC9"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do tempo verbal.</w:t>
            </w:r>
          </w:p>
        </w:tc>
      </w:tr>
      <w:tr w:rsidR="00E31838" w:rsidRPr="0010524E" w14:paraId="1B6BF017" w14:textId="3414803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AC7039E"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II -  o plano deverá ser apresentado à Previc no prazo por ela estabelecido, o qual não deverá </w:t>
            </w:r>
            <w:r w:rsidRPr="0010524E">
              <w:rPr>
                <w:rFonts w:ascii="Calibri" w:hAnsi="Calibri" w:cs="Calibri"/>
                <w:sz w:val="24"/>
                <w:szCs w:val="24"/>
              </w:rPr>
              <w:lastRenderedPageBreak/>
              <w:t>ser superior a sessenta dias, contado da data da convocação referida no inciso anterior;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FE2B11F" w14:textId="77777777"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II -  o plano deve ser apresentado à Previc no prazo por ela estabelecido, o qual não deve ser superior a </w:t>
            </w:r>
            <w:r w:rsidRPr="0010524E">
              <w:rPr>
                <w:rFonts w:ascii="Calibri" w:eastAsia="Calibri" w:hAnsi="Calibri" w:cs="Calibri"/>
                <w:sz w:val="24"/>
                <w:szCs w:val="24"/>
              </w:rPr>
              <w:lastRenderedPageBreak/>
              <w:t>sessenta dias, contado da data da convocação referida no inciso anterior;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B1BB50"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Ajuste redacional do tempo verbal.</w:t>
            </w:r>
          </w:p>
        </w:tc>
      </w:tr>
      <w:tr w:rsidR="00E31838" w:rsidRPr="0010524E" w14:paraId="52A31670" w14:textId="30F6BAA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6E657EF" w14:textId="77777777" w:rsidR="00E31838" w:rsidRPr="0010524E" w:rsidRDefault="00E31838" w:rsidP="00D91BD2">
            <w:pPr>
              <w:spacing w:after="120"/>
              <w:jc w:val="both"/>
              <w:rPr>
                <w:rFonts w:ascii="Calibri" w:hAnsi="Calibri" w:cs="Calibri"/>
                <w:sz w:val="24"/>
                <w:szCs w:val="24"/>
              </w:rPr>
            </w:pPr>
            <w:r w:rsidRPr="0010524E">
              <w:rPr>
                <w:rFonts w:ascii="Calibri" w:hAnsi="Calibri" w:cs="Calibri"/>
                <w:sz w:val="24"/>
                <w:szCs w:val="24"/>
              </w:rPr>
              <w:t>III - o plano deverá ser executado no prazo aprovado pela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C81A6F" w14:textId="77777777"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III - o plano deve ser executado no prazo aprovado pela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AAC70E"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do tempo verbal.</w:t>
            </w:r>
          </w:p>
        </w:tc>
      </w:tr>
      <w:tr w:rsidR="00E31838" w:rsidRPr="0010524E" w14:paraId="0C88DCBB" w14:textId="1D4E543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5A0A2EC" w14:textId="77777777" w:rsidR="00E31838" w:rsidRPr="0010524E" w:rsidRDefault="00E31838" w:rsidP="00D91BD2">
            <w:pPr>
              <w:spacing w:after="120"/>
              <w:jc w:val="both"/>
              <w:rPr>
                <w:rFonts w:ascii="Calibri" w:hAnsi="Calibri" w:cs="Calibri"/>
                <w:sz w:val="24"/>
                <w:szCs w:val="24"/>
              </w:rPr>
            </w:pPr>
            <w:r w:rsidRPr="0010524E">
              <w:rPr>
                <w:rFonts w:ascii="Calibri" w:hAnsi="Calibri" w:cs="Calibri"/>
                <w:sz w:val="24"/>
                <w:szCs w:val="24"/>
              </w:rPr>
              <w:t>Art. 5º Esta Instrução entra em vigor na data de sua publicação.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972894" w14:textId="77777777" w:rsidR="00E31838" w:rsidRPr="0010524E" w:rsidRDefault="00E31838" w:rsidP="00D91BD2">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FC7E5F"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por perda de objeto.</w:t>
            </w:r>
          </w:p>
        </w:tc>
      </w:tr>
      <w:tr w:rsidR="00E31838" w:rsidRPr="0010524E" w14:paraId="5F9A2EA3" w14:textId="7C99DAC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98899B8" w14:textId="77777777" w:rsidR="00E31838" w:rsidRPr="0010524E" w:rsidRDefault="00E31838" w:rsidP="00D91BD2">
            <w:pPr>
              <w:spacing w:after="0"/>
              <w:jc w:val="both"/>
              <w:rPr>
                <w:rFonts w:ascii="Calibri" w:hAnsi="Calibri" w:cs="Calibri"/>
                <w:sz w:val="24"/>
                <w:szCs w:val="24"/>
              </w:rPr>
            </w:pPr>
            <w:r w:rsidRPr="0010524E">
              <w:rPr>
                <w:rFonts w:ascii="Calibri" w:hAnsi="Calibri" w:cs="Calibri"/>
                <w:sz w:val="24"/>
                <w:szCs w:val="24"/>
              </w:rPr>
              <w:t>FABIO HENRIQUE DE SOUSA COELHO</w:t>
            </w:r>
          </w:p>
          <w:p w14:paraId="087E12FF" w14:textId="77777777" w:rsidR="00E31838" w:rsidRPr="0010524E" w:rsidRDefault="00E31838" w:rsidP="00D91BD2">
            <w:pPr>
              <w:spacing w:after="0"/>
              <w:jc w:val="both"/>
              <w:rPr>
                <w:rFonts w:ascii="Calibri" w:hAnsi="Calibri" w:cs="Calibri"/>
                <w:sz w:val="24"/>
                <w:szCs w:val="24"/>
              </w:rPr>
            </w:pPr>
            <w:r w:rsidRPr="0010524E">
              <w:rPr>
                <w:rFonts w:ascii="Calibri" w:hAnsi="Calibri" w:cs="Calibri"/>
                <w:sz w:val="24"/>
                <w:szCs w:val="24"/>
              </w:rPr>
              <w:t>Diretor-Superintendente Substituto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AB6A85" w14:textId="77777777"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225EC3"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por perda de objeto.</w:t>
            </w:r>
          </w:p>
        </w:tc>
      </w:tr>
      <w:tr w:rsidR="00E31838" w:rsidRPr="0010524E" w14:paraId="7E99DB4E" w14:textId="63FD404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8FC0E37" w14:textId="77777777" w:rsidR="00E31838" w:rsidRPr="00857030" w:rsidRDefault="00E31838" w:rsidP="00A95720">
            <w:pPr>
              <w:rPr>
                <w:rFonts w:ascii="Calibri" w:hAnsi="Calibri" w:cs="Calibri"/>
                <w:b/>
                <w:bCs/>
                <w:sz w:val="24"/>
                <w:szCs w:val="24"/>
              </w:rPr>
            </w:pPr>
            <w:r w:rsidRPr="00857030">
              <w:rPr>
                <w:rFonts w:ascii="Calibri" w:hAnsi="Calibri" w:cs="Calibri"/>
                <w:b/>
                <w:bCs/>
                <w:sz w:val="24"/>
                <w:szCs w:val="24"/>
              </w:rPr>
              <w:t>Instrução Normativa Previc nº 34, de 28 de outubro de 2020.</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BA1625" w14:textId="77777777"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F04BD4" w14:textId="31F7725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w:t>
            </w:r>
            <w:r w:rsidR="00E86BE2">
              <w:rPr>
                <w:rFonts w:ascii="Calibri" w:eastAsia="Times New Roman" w:hAnsi="Calibri" w:cs="Calibri"/>
                <w:kern w:val="0"/>
                <w:sz w:val="24"/>
                <w:szCs w:val="24"/>
                <w:lang w:eastAsia="pt-BR"/>
                <w14:ligatures w14:val="none"/>
              </w:rPr>
              <w:t>ído</w:t>
            </w:r>
            <w:r w:rsidRPr="0010524E">
              <w:rPr>
                <w:rFonts w:ascii="Calibri" w:eastAsia="Times New Roman" w:hAnsi="Calibri" w:cs="Calibri"/>
                <w:kern w:val="0"/>
                <w:sz w:val="24"/>
                <w:szCs w:val="24"/>
                <w:lang w:eastAsia="pt-BR"/>
                <w14:ligatures w14:val="none"/>
              </w:rPr>
              <w:t xml:space="preserve"> considerando a consolidação normativa.</w:t>
            </w:r>
          </w:p>
        </w:tc>
      </w:tr>
      <w:tr w:rsidR="00E31838" w:rsidRPr="0010524E" w14:paraId="474993B1" w14:textId="4DD3BD1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F7F30A0"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Dispõe sobre a política, os procedimentos e os controles internos a serem adotados pelas entidades fechadas de previdência complementar visando à prevenção da utilização do regime para a prática dos crimes de "lavagem" ou ocultação de bens, direitos e valores, de que trata a Lei nº 9.613, de 3 de março de 1998, e de financiamento do terrorismo, previsto na Lei nº 13.260, de 16 de março de 2016, observando também aos dispositivos da Lei nº 13.709, de 14 de agosto de 2018, Lei Geral de Proteção de Dados.</w:t>
            </w:r>
          </w:p>
          <w:p w14:paraId="7D795C89" w14:textId="77777777" w:rsidR="00E31838" w:rsidRPr="0010524E" w:rsidRDefault="00E31838" w:rsidP="00D91BD2">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E0020F" w14:textId="46D8C09D"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BBD0E4" w14:textId="5AF1FB79"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w:t>
            </w:r>
            <w:r w:rsidR="00E86BE2">
              <w:rPr>
                <w:rFonts w:ascii="Calibri" w:eastAsia="Times New Roman" w:hAnsi="Calibri" w:cs="Calibri"/>
                <w:kern w:val="0"/>
                <w:sz w:val="24"/>
                <w:szCs w:val="24"/>
                <w:lang w:eastAsia="pt-BR"/>
                <w14:ligatures w14:val="none"/>
              </w:rPr>
              <w:t>ído</w:t>
            </w:r>
            <w:r w:rsidRPr="0010524E">
              <w:rPr>
                <w:rFonts w:ascii="Calibri" w:eastAsia="Times New Roman" w:hAnsi="Calibri" w:cs="Calibri"/>
                <w:kern w:val="0"/>
                <w:sz w:val="24"/>
                <w:szCs w:val="24"/>
                <w:lang w:eastAsia="pt-BR"/>
                <w14:ligatures w14:val="none"/>
              </w:rPr>
              <w:t xml:space="preserve"> considerando a consolidação normativa.</w:t>
            </w:r>
          </w:p>
        </w:tc>
      </w:tr>
      <w:tr w:rsidR="00E31838" w:rsidRPr="0010524E" w14:paraId="0AEC8B83" w14:textId="44EF02F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CB3D779"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lastRenderedPageBreak/>
              <w:t>A DIRETORIA COLEGIADA DA SUPERINTENDENCIA NACIONAL DE PREVIDENCIA COMPLEMENTAR(PREVIC), sessão 511ª, realizada em 27 de outubro de 2020, com fundamento no inciso III do art. 2º da Lei nº 12.154, de 23 de dezembro de 2009, inciso III do art. 2º e inciso VIII do art. 10 do Anexo I do Decreto nº 8.992, de 20 de fevereiro de 2017, de 20 de fevereiro de 2017, resolve: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5E258E" w14:textId="77777777"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D3A84F"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a consolidação normativa.</w:t>
            </w:r>
          </w:p>
        </w:tc>
      </w:tr>
      <w:tr w:rsidR="00E31838" w:rsidRPr="0010524E" w14:paraId="76DC10E4" w14:textId="6AD924D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FB0C588" w14:textId="77777777" w:rsidR="00E31838" w:rsidRPr="0010524E" w:rsidRDefault="00E31838" w:rsidP="00A95720">
            <w:pPr>
              <w:jc w:val="center"/>
              <w:rPr>
                <w:rFonts w:ascii="Calibri" w:hAnsi="Calibri" w:cs="Calibri"/>
                <w:sz w:val="24"/>
                <w:szCs w:val="24"/>
              </w:rPr>
            </w:pPr>
            <w:r w:rsidRPr="0010524E">
              <w:rPr>
                <w:rFonts w:ascii="Calibri" w:hAnsi="Calibri" w:cs="Calibri"/>
                <w:sz w:val="24"/>
                <w:szCs w:val="24"/>
              </w:rPr>
              <w:t>CAPÍTULO I</w:t>
            </w:r>
          </w:p>
          <w:p w14:paraId="2B96BAF0" w14:textId="77777777" w:rsidR="00E31838" w:rsidRPr="0010524E" w:rsidRDefault="00E31838" w:rsidP="00A95720">
            <w:pPr>
              <w:jc w:val="center"/>
              <w:rPr>
                <w:rFonts w:ascii="Calibri" w:hAnsi="Calibri" w:cs="Calibri"/>
                <w:sz w:val="24"/>
                <w:szCs w:val="24"/>
              </w:rPr>
            </w:pPr>
            <w:r w:rsidRPr="0010524E">
              <w:rPr>
                <w:rFonts w:ascii="Calibri" w:hAnsi="Calibri" w:cs="Calibri"/>
                <w:sz w:val="24"/>
                <w:szCs w:val="24"/>
              </w:rPr>
              <w:t>DO OBJETO E DO ÂMBITO DE APLICAÇÃO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8E5C6F" w14:textId="77777777" w:rsidR="00E31838" w:rsidRPr="0010524E" w:rsidRDefault="00E31838" w:rsidP="00A95720">
            <w:pPr>
              <w:pStyle w:val="PargrafodaLista"/>
              <w:tabs>
                <w:tab w:val="left" w:pos="993"/>
              </w:tabs>
              <w:ind w:left="11" w:hanging="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II</w:t>
            </w:r>
          </w:p>
          <w:p w14:paraId="007CE09A" w14:textId="2674528E" w:rsidR="00E31838" w:rsidRPr="0010524E" w:rsidRDefault="00E31838" w:rsidP="00A95720">
            <w:pPr>
              <w:pStyle w:val="PargrafodaLista"/>
              <w:tabs>
                <w:tab w:val="left" w:pos="993"/>
              </w:tabs>
              <w:ind w:left="11" w:hanging="11"/>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Lavagem e ocultação de dinheiro, de bens, de direitos e de valores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C111FE"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a fim de possibilitar a consolidação da normativa.</w:t>
            </w:r>
          </w:p>
        </w:tc>
      </w:tr>
      <w:tr w:rsidR="00E31838" w:rsidRPr="0010524E" w14:paraId="060C16F8" w14:textId="1DF8B6B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380FB67"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t>Art. 1º As entidades fechadas de previdência complementar (EFPC) devem observar o disposto nesta Instrução para prevenir a utilização do regime de previdência complementar fechada para a prática dos crimes de "lavagem" ou de ocultação de bens, direitos e valores, de que trata a Lei nº 9.613, de 3 de março de 1998, e de financiamento do terrorismo, previsto na Lei nº 13.260, de 16 de março de 2016.</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3992EF" w14:textId="2408C418"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Art. 217.  As EFPC devem adotar políticas, procedimentos e controles internos definidos nesta Seção a fim de prevenir a prática dos crimes de "lavagem" ou ocultação de bens, direitos e valores, de que trata a Lei nº 9.613, de 3 de março de 1998, e de ﬁnanciamento do terrorismo, previsto na Lei nº 13.260, de 16 de março de 2016, observando também aos dispositivos da Lei nº 13.709, de 14 de agosto de 2018, Lei Geral de Proteção de Dados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C69FAF"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a fim de possibilitar a consolidação normativa.</w:t>
            </w:r>
          </w:p>
          <w:p w14:paraId="33E8D3A4"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Foi acrescentado a Lei nº 13.709, de 14 de agosto de 2018, Lei Geral de Proteção de Dados, considerando que consta da ementa da Instrução Normativa Previc nº 34, de 28 de outubro de 2020. </w:t>
            </w:r>
          </w:p>
        </w:tc>
      </w:tr>
      <w:tr w:rsidR="00E31838" w:rsidRPr="0010524E" w14:paraId="18A4A1C0" w14:textId="5389CA5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8D9DA26"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lastRenderedPageBreak/>
              <w:t>Parágrafo único. Os crimes referidos no caput, para os ﬁns desta Instrução, são denominados genericamente "lavagem de dinheiro" e "financiamento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92A42A" w14:textId="5E39492A"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Parágrafo único.  Os crimes, referidos no caput, são denominados genericamente "lavagem de dinheiro" e "ﬁnanciamento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B0E096"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w:t>
            </w:r>
          </w:p>
        </w:tc>
      </w:tr>
      <w:tr w:rsidR="00E31838" w:rsidRPr="0010524E" w14:paraId="19C8DE72" w14:textId="4E028C3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EDE129F" w14:textId="77777777" w:rsidR="00E31838" w:rsidRPr="0010524E" w:rsidRDefault="00E31838" w:rsidP="00D91BD2">
            <w:pPr>
              <w:spacing w:after="0"/>
              <w:jc w:val="center"/>
              <w:rPr>
                <w:rFonts w:ascii="Calibri" w:hAnsi="Calibri" w:cs="Calibri"/>
                <w:sz w:val="24"/>
                <w:szCs w:val="24"/>
              </w:rPr>
            </w:pPr>
            <w:r w:rsidRPr="0010524E">
              <w:rPr>
                <w:rFonts w:ascii="Calibri" w:hAnsi="Calibri" w:cs="Calibri"/>
                <w:sz w:val="24"/>
                <w:szCs w:val="24"/>
              </w:rPr>
              <w:t>CAPÍTULO II</w:t>
            </w:r>
          </w:p>
          <w:p w14:paraId="287D4FBB" w14:textId="77777777" w:rsidR="00E31838" w:rsidRPr="0010524E" w:rsidRDefault="00E31838" w:rsidP="00D91BD2">
            <w:pPr>
              <w:spacing w:after="0"/>
              <w:jc w:val="center"/>
              <w:rPr>
                <w:rFonts w:ascii="Calibri" w:hAnsi="Calibri" w:cs="Calibri"/>
                <w:sz w:val="24"/>
                <w:szCs w:val="24"/>
              </w:rPr>
            </w:pPr>
            <w:r w:rsidRPr="0010524E">
              <w:rPr>
                <w:rFonts w:ascii="Calibri" w:hAnsi="Calibri" w:cs="Calibri"/>
                <w:sz w:val="24"/>
                <w:szCs w:val="24"/>
              </w:rPr>
              <w:t>DA POLÍTICA DE PREVENÇÃO À LAVAGEM DE DINHEIRO E AO FINANCIAMENTO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68770C" w14:textId="77777777" w:rsidR="00E31838" w:rsidRPr="0010524E" w:rsidRDefault="00E31838" w:rsidP="00D91BD2">
            <w:pPr>
              <w:pStyle w:val="PargrafodaLista"/>
              <w:tabs>
                <w:tab w:val="left" w:pos="993"/>
              </w:tabs>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44ABF774" w14:textId="77777777" w:rsidR="00E31838" w:rsidRPr="0010524E" w:rsidRDefault="00E31838" w:rsidP="00D91BD2">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Política de prevenção à lavagem de dinheiro e ao financiamento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40ECCB"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76276419" w14:textId="18F7651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A0A85D1"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Art. 2º As EFPC, considerando seu perﬁl de risco, porte e complexidade, devem implementar e manter política formulada com base em princípios e diretrizes que busquem prevenir a sua utilização para as práticas de lavagem de dinheiro e de financiamento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0BC8AEE" w14:textId="0CCC697C"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Art. 218.  As EFPC, considerando seu perﬁl de risco, porte e complexidade, devem implementar e manter política formulada com base em princípios e diretrizes que busquem prevenir a sua utilização para as práticas de lavagem de dinheiro e de ﬁnanciamento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C2A846F"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4206BE78" w14:textId="1670A44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03801C0"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 1º A política de que trata o caput deve ser compatível com os perﬁs de risco da EFPC, dos clientes, das operações, das transações, dos produtos e dos serviços prestados.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A80787" w14:textId="6922C8FA"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 1º  A política de que trata o caput deve ser compatível com os perﬁs de risco da EFPC, dos clientes, das operações, das transações, dos produtos e dos serviços prestados.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C35ABA5"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40BDF98B" w14:textId="67AAD5B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7C5E028"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 2º Para os ﬁns desta Instrução, consideram-se clientes as patrocinadoras, os instituidores, os participantes, os beneﬁciários e os assistidos de plano de benefícios de caráter previdenciário administrado por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D351ADA" w14:textId="6897424B"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 2º  Para fins deste capítulo, consideram-se clientes as patrocinadoras, os instituidores, os participantes, os beneﬁciários e os assistidos de plano de benefícios de caráter previdenciário administrado por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953D924"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533DFCAA" w14:textId="1175E9A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31B1D91"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lastRenderedPageBreak/>
              <w:t>Art. 3º A política referida no art. 2º desta Instrução deve contemplar,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24A15DF" w14:textId="130CD8BF"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Art. 219.  A política referida no art. 218 desta Resolução deve contemplar, no mínimo: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F35EFD0"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Adequação da remissão.</w:t>
            </w:r>
          </w:p>
        </w:tc>
      </w:tr>
      <w:tr w:rsidR="00E31838" w:rsidRPr="0010524E" w14:paraId="6BA6EA95" w14:textId="014DC02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C12FA93"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I - as diretrizes para: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2393B2" w14:textId="36ECAF4C"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I - as diretrizes para: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2E5F9A5"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74513208" w14:textId="7F52CE6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D824671"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a)</w:t>
            </w:r>
            <w:r w:rsidRPr="0010524E">
              <w:rPr>
                <w:rFonts w:ascii="Calibri" w:hAnsi="Calibri" w:cs="Calibri"/>
                <w:sz w:val="24"/>
                <w:szCs w:val="24"/>
              </w:rPr>
              <w:tab/>
              <w:t>a deﬁnição de papéis e responsabilidades para o cumprimento das obrigações de que trata esta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D5680C" w14:textId="7B2D8FFF"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 xml:space="preserve">a) a deﬁnição de papéis e responsabilidades para o cumprimento das obrigações relacionadas à prevenção à lavagem de dinheiro e ao financiamento do terrorismo;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B0545BC"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acrescentando o do que se trata a seção de modo a clarificar a norma.</w:t>
            </w:r>
          </w:p>
        </w:tc>
      </w:tr>
      <w:tr w:rsidR="00E31838" w:rsidRPr="0010524E" w14:paraId="2E8BB6A2" w14:textId="6A7DEE3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9F95CF5"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b) a deﬁnição de procedimentos voltados à avaliação e à análise prévia de novos planos e serviços, bem como da utilização de novas tecnologias, tendo em vista o risco de lavagem de dinheiro e de ﬁnanciamento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E700D2E" w14:textId="2015BB03"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b) a deﬁnição de procedimentos voltados à avaliação e à análise prévia de novos planos e serviços, bem como da utilização de novas tecnologias, tendo em vista o risco de lavagem de dinheiro e de ﬁnanciamento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BB65FF2"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6E15DB02" w14:textId="3DE63FA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0EA3806"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c) a avaliação interna de risco de lavagem de dinheiro e ﬁnanciamento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74097B" w14:textId="2535FBA2"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c) a avaliação interna de risco de lavagem de dinheiro e ﬁnanciamento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29CA294"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6C19A68C" w14:textId="323E77E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77FD45C"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d) a veriﬁcação do cumprimento da política, dos procedimentos e dos controles internos de que trata esta Instrução, bem como a identiﬁcação e a correção das deﬁciências veriﬁcadas;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E02B858" w14:textId="4CE7BB15"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d) a veriﬁcação do cumprimento da política, dos procedimentos e dos controles internos de que trata esta Seção, bem como a identiﬁcação e a correção das deﬁciências veriﬁcadas;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966E987"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6A45F101" w14:textId="0623221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F174624"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 xml:space="preserve">e) a promoção de cultura organizacional de prevenção à lavagem de dinheiro e ao ﬁnanciamento do terrorismo, contemplando, </w:t>
            </w:r>
            <w:r w:rsidRPr="0010524E">
              <w:rPr>
                <w:rFonts w:ascii="Calibri" w:hAnsi="Calibri" w:cs="Calibri"/>
                <w:sz w:val="24"/>
                <w:szCs w:val="24"/>
              </w:rPr>
              <w:lastRenderedPageBreak/>
              <w:t>inclusive, os funcionários, os parceiros e os prestadores de serviços terceirizados;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AEAA188" w14:textId="4B7E86A1"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e) a promoção de cultura organizacional de prevenção à lavagem de dinheiro e ao ﬁnanciamento do terrorismo, contemplando, inclusive, os funcionários, os parceiros e os prestadores de serviços terceirizados;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4398B4"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0F01C3B8" w14:textId="6C25488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83B955F"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f) a seleção e a contratação de funcionários e de prestadores de serviços terceirizados, tendo em vista o risco de lavagem de dinheiro e de ﬁnanciamento do terrorismo;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DE2777" w14:textId="1CA77EAD"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f) a seleção e a contratação de funcionários e de prestadores de serviços terceirizados, tendo em vista o risco de lavagem de dinheiro e de ﬁnanciamento do terrorismo;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59CE4C9"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1B126F4B" w14:textId="221AFF0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1BE355F"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g) a capacitação dos funcionários sobre o tema da prevenção à lavagem de dinheiro e ao ﬁnanciamento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125AF3" w14:textId="5D860E88"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g) a capacitação dos funcionários sobre o tema da prevenção à lavagem de dinheiro e ao ﬁnanciamento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037E329"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233CB773" w14:textId="4D71D68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D444A18"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II - as diretrizes para implementação de procedimentos: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FDB36E3" w14:textId="3D033540"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II - as diretrizes para implementação de procedimentos: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7D576D6"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0B271CFF" w14:textId="08ABCE0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B568A18"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a)</w:t>
            </w:r>
            <w:r w:rsidRPr="0010524E">
              <w:rPr>
                <w:rFonts w:ascii="Calibri" w:hAnsi="Calibri" w:cs="Calibri"/>
                <w:sz w:val="24"/>
                <w:szCs w:val="24"/>
              </w:rPr>
              <w:tab/>
              <w:t>de coleta, veriﬁcação, validação e atualização de informações cadastrais, visando ao conhecimento de clientes, os funcionários, os parceiros e os prestadores de serviços terceirizados;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1FCBA52" w14:textId="160500A7"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a) de coleta, veriﬁcação, validação e atualização de informações cadastrais, visando ao conhecimento de clientes, os funcionários, os parceiros e os prestadores de serviços terceirizados;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784C285"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48610234" w14:textId="73E023E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6900A59"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b)</w:t>
            </w:r>
            <w:r w:rsidRPr="0010524E">
              <w:rPr>
                <w:rFonts w:ascii="Calibri" w:hAnsi="Calibri" w:cs="Calibri"/>
                <w:sz w:val="24"/>
                <w:szCs w:val="24"/>
              </w:rPr>
              <w:tab/>
              <w:t>de registro de operações;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E9DC84" w14:textId="0EF090DB"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b) de registro de operações;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CBD61E2"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7DDE26D6" w14:textId="789C6DF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C9E5C55"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c)</w:t>
            </w:r>
            <w:r w:rsidRPr="0010524E">
              <w:rPr>
                <w:rFonts w:ascii="Calibri" w:hAnsi="Calibri" w:cs="Calibri"/>
                <w:sz w:val="24"/>
                <w:szCs w:val="24"/>
              </w:rPr>
              <w:tab/>
              <w:t>de monitoramento, seleção e análise de operações e situações suspeitas;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4901BE" w14:textId="00AC15C6"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c) de monitoramento, seleção e análise de operações e situações suspeitas;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5D4C032"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68E79BAB" w14:textId="5E9BDE6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E84D681"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d)</w:t>
            </w:r>
            <w:r w:rsidRPr="0010524E">
              <w:rPr>
                <w:rFonts w:ascii="Calibri" w:hAnsi="Calibri" w:cs="Calibri"/>
                <w:sz w:val="24"/>
                <w:szCs w:val="24"/>
              </w:rPr>
              <w:tab/>
              <w:t>de comunicação de operações ao Conselho de Controle de Atividades Financeiras (COAF).</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925E8F4" w14:textId="02189D5F"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d) de comunicação de operações ao Conselho de Controle de Atividades Financeiras.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E66CD88"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104FDE1B" w14:textId="05910CB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84BD0FB"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lastRenderedPageBreak/>
              <w:t>III - o comprometimento da alta administração com a efetividade e a melhoria contínua da política, dos procedimentos e dos controles internos relacionados com a prevenção à lavagem de dinheiro e ao ﬁnanciamento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F9CE934" w14:textId="672AB9A9"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III - o comprometimento da alta administração com a efetividade e a melhoria contínua da política, dos procedimentos e dos controles internos relacionados com a prevenção à lavagem de dinheiro e ao ﬁnanciamento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1AB3653"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7BB8DA5B" w14:textId="2C43F9A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3085E04"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Art. 4º A política referida no art. 2º desta Instrução deve ser amplamente divulgada, no mínimo anualmente, aos funcionários, parceiros, prestadores de serviços terceirizados, participantes, assistidos, patrocinadoras e instituidores, mediante linguagem clara e acessível, em nível de detalhamento compatível com as funções desempenhadas e com a sensibilidade das informações.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0B9FBC" w14:textId="386B234C"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Art. 220.  A política referida no art. 218 desta Resolução deve ser amplamente divulgada, no mínimo anualmente, aos funcionários, parceiros, prestadores de serviços terceirizados, participantes, assistidos, patrocinadoras e instituidores, mediante linguagem clara e acessível, em nível de detalhamento compatível com as funções desempenhadas e com a sensibilidade das informações.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FFBD8CB"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w:t>
            </w:r>
          </w:p>
        </w:tc>
      </w:tr>
      <w:tr w:rsidR="00E31838" w:rsidRPr="0010524E" w14:paraId="670717D1" w14:textId="6D176BA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D9DC393"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Art. 5º A política referida no art. 2º desta Instrução deve ser: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864DB9C" w14:textId="0D713725"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Art. 221.  A política referida no art. 218 desta Resolução deve ser: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049B73B"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4A39F21C" w14:textId="7EA1928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6298E69"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I -  documentada;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4911AF" w14:textId="50E01C6D"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I -  documentada;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538419D"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2A2D9DA4" w14:textId="72B96F3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C0A005A"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II - elaborada pela diretoria executiva;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BC50EB" w14:textId="22A145DF"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II - elaborada pela diretoria executiva;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1790124"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7C9F801D" w14:textId="0E6F476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3057512"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 xml:space="preserve">III - aprovada pelo conselho deliberativo;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368FADE" w14:textId="0F65FA44"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III - aprovada pelo conselho deliberativo;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D6D13DB"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2D816BB8" w14:textId="7DB781D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E02C449" w14:textId="77777777" w:rsidR="00E31838" w:rsidRPr="0010524E" w:rsidRDefault="00E31838" w:rsidP="00D91BD2">
            <w:pPr>
              <w:jc w:val="both"/>
              <w:rPr>
                <w:rFonts w:ascii="Calibri" w:hAnsi="Calibri" w:cs="Calibri"/>
                <w:sz w:val="24"/>
                <w:szCs w:val="24"/>
              </w:rPr>
            </w:pPr>
            <w:r w:rsidRPr="0010524E">
              <w:rPr>
                <w:rFonts w:ascii="Calibri" w:hAnsi="Calibri" w:cs="Calibri"/>
                <w:sz w:val="24"/>
                <w:szCs w:val="24"/>
              </w:rPr>
              <w:t>IV - mantida atualizada.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B30DFCA" w14:textId="3FC2EA2B"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IV - mantida atualizada.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D0615DC" w14:textId="77777777" w:rsidR="00E31838" w:rsidRPr="0010524E" w:rsidRDefault="00E31838" w:rsidP="00D91BD2">
            <w:pPr>
              <w:spacing w:after="120"/>
              <w:jc w:val="both"/>
              <w:rPr>
                <w:rFonts w:ascii="Calibri" w:eastAsia="Times New Roman" w:hAnsi="Calibri" w:cs="Calibri"/>
                <w:kern w:val="0"/>
                <w:sz w:val="24"/>
                <w:szCs w:val="24"/>
                <w:lang w:eastAsia="pt-BR"/>
                <w14:ligatures w14:val="none"/>
              </w:rPr>
            </w:pPr>
          </w:p>
        </w:tc>
      </w:tr>
      <w:tr w:rsidR="00E31838" w:rsidRPr="0010524E" w14:paraId="1C661EC6" w14:textId="7D91AC2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90E40AB" w14:textId="77777777" w:rsidR="00E31838" w:rsidRPr="0010524E" w:rsidRDefault="00E31838" w:rsidP="00A95720">
            <w:pPr>
              <w:jc w:val="center"/>
              <w:rPr>
                <w:rFonts w:ascii="Calibri" w:hAnsi="Calibri" w:cs="Calibri"/>
                <w:sz w:val="24"/>
                <w:szCs w:val="24"/>
              </w:rPr>
            </w:pPr>
            <w:r w:rsidRPr="0010524E">
              <w:rPr>
                <w:rFonts w:ascii="Calibri" w:hAnsi="Calibri" w:cs="Calibri"/>
                <w:sz w:val="24"/>
                <w:szCs w:val="24"/>
              </w:rPr>
              <w:lastRenderedPageBreak/>
              <w:t>CAPÍTULO III</w:t>
            </w:r>
          </w:p>
          <w:p w14:paraId="12D3BD43" w14:textId="77777777" w:rsidR="00E31838" w:rsidRPr="0010524E" w:rsidRDefault="00E31838" w:rsidP="00A95720">
            <w:pPr>
              <w:jc w:val="center"/>
              <w:rPr>
                <w:rFonts w:ascii="Calibri" w:hAnsi="Calibri" w:cs="Calibri"/>
                <w:sz w:val="24"/>
                <w:szCs w:val="24"/>
              </w:rPr>
            </w:pPr>
            <w:r w:rsidRPr="0010524E">
              <w:rPr>
                <w:rFonts w:ascii="Calibri" w:hAnsi="Calibri" w:cs="Calibri"/>
                <w:sz w:val="24"/>
                <w:szCs w:val="24"/>
              </w:rPr>
              <w:t>DA GOVERNANÇA DA POLÍTICA DE PREVENÇÃO À LAVAGEM DE DINHEIRO E AO FINANCIAMENTO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105E59" w14:textId="77777777" w:rsidR="00E31838" w:rsidRPr="0010524E" w:rsidRDefault="00E31838" w:rsidP="00A95720">
            <w:pPr>
              <w:pStyle w:val="PargrafodaLista"/>
              <w:tabs>
                <w:tab w:val="left" w:pos="993"/>
              </w:tabs>
              <w:ind w:left="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p w14:paraId="6F006035" w14:textId="77777777" w:rsidR="00E31838" w:rsidRPr="0010524E" w:rsidRDefault="00E31838" w:rsidP="00A95720">
            <w:pPr>
              <w:pStyle w:val="PargrafodaLista"/>
              <w:tabs>
                <w:tab w:val="left" w:pos="993"/>
              </w:tabs>
              <w:ind w:left="11"/>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Governança, política de prevenção à lavagem de dinheiro e ao financiamento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77D653"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DE41772" w14:textId="5E444FD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4B745B5" w14:textId="77777777" w:rsidR="00E31838" w:rsidRPr="0010524E" w:rsidRDefault="00E31838" w:rsidP="00D91BD2">
            <w:pPr>
              <w:spacing w:after="120"/>
              <w:jc w:val="both"/>
              <w:rPr>
                <w:rFonts w:ascii="Calibri" w:hAnsi="Calibri" w:cs="Calibri"/>
                <w:sz w:val="24"/>
                <w:szCs w:val="24"/>
              </w:rPr>
            </w:pPr>
            <w:r w:rsidRPr="0010524E">
              <w:rPr>
                <w:rFonts w:ascii="Calibri" w:hAnsi="Calibri" w:cs="Calibri"/>
                <w:sz w:val="24"/>
                <w:szCs w:val="24"/>
              </w:rPr>
              <w:t>Art. 6º As EFPC devem dispor de estrutura de governança que vise assegurar o cumprimento da política referida no art. 2º desta Instrução e dos procedimentos e controles internos de prevenção à lavagem de dinheiro e ao ﬁnanciamento do terrorismo previstos nesta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5F9F7EF" w14:textId="456B42F6"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Art. 222.  As EFPC devem dispor de estrutura de governança que vise assegurar o cumprimento da política referida no art. 218 desta Resolução e dos procedimentos e controles internos de prevenção à lavagem de dinheiro e ao ﬁnanciamento do terrorismo previstos nesta Seção.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A97B17"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w:t>
            </w:r>
          </w:p>
        </w:tc>
      </w:tr>
      <w:tr w:rsidR="00E31838" w:rsidRPr="0010524E" w14:paraId="23A2C1A2" w14:textId="6EC5D1C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2642E16" w14:textId="77777777" w:rsidR="00E31838" w:rsidRPr="0010524E" w:rsidRDefault="00E31838" w:rsidP="00D91BD2">
            <w:pPr>
              <w:spacing w:after="120"/>
              <w:jc w:val="both"/>
              <w:rPr>
                <w:rFonts w:ascii="Calibri" w:hAnsi="Calibri" w:cs="Calibri"/>
                <w:sz w:val="24"/>
                <w:szCs w:val="24"/>
              </w:rPr>
            </w:pPr>
            <w:r w:rsidRPr="0010524E">
              <w:rPr>
                <w:rFonts w:ascii="Calibri" w:hAnsi="Calibri" w:cs="Calibri"/>
                <w:sz w:val="24"/>
                <w:szCs w:val="24"/>
              </w:rPr>
              <w:t>Art. 7º As EFPC devem indicar formalmente à Superintendência Nacional de Previdência Complementar (Previc) diretor executivo responsável pelo cumprimento das obrigações previstas nesta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48A1E9" w14:textId="4BF4534A" w:rsidR="00E31838" w:rsidRPr="0010524E" w:rsidRDefault="00E31838" w:rsidP="00D91BD2">
            <w:pPr>
              <w:spacing w:after="120"/>
              <w:jc w:val="both"/>
              <w:rPr>
                <w:rFonts w:ascii="Calibri" w:eastAsia="Calibri" w:hAnsi="Calibri" w:cs="Calibri"/>
                <w:sz w:val="24"/>
                <w:szCs w:val="24"/>
              </w:rPr>
            </w:pPr>
            <w:r w:rsidRPr="0010524E">
              <w:rPr>
                <w:rFonts w:ascii="Calibri" w:eastAsia="Calibri" w:hAnsi="Calibri" w:cs="Calibri"/>
                <w:sz w:val="24"/>
                <w:szCs w:val="24"/>
              </w:rPr>
              <w:t>Art. 223.  As EFPC devem indicar formalmente à Previc, o diretor executivo responsável pelo cumprimento das obrigações previstas nesta Seção.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785005"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w:t>
            </w:r>
          </w:p>
        </w:tc>
      </w:tr>
      <w:tr w:rsidR="00E31838" w:rsidRPr="0010524E" w14:paraId="4E2EDEF7" w14:textId="26E57F9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8AAF6B2" w14:textId="77777777" w:rsidR="00E31838" w:rsidRDefault="00E31838" w:rsidP="00A95720">
            <w:pPr>
              <w:spacing w:after="0"/>
              <w:jc w:val="center"/>
              <w:rPr>
                <w:rFonts w:ascii="Calibri" w:hAnsi="Calibri" w:cs="Calibri"/>
                <w:sz w:val="24"/>
                <w:szCs w:val="24"/>
              </w:rPr>
            </w:pPr>
            <w:r w:rsidRPr="0010524E">
              <w:rPr>
                <w:rFonts w:ascii="Calibri" w:hAnsi="Calibri" w:cs="Calibri"/>
                <w:sz w:val="24"/>
                <w:szCs w:val="24"/>
              </w:rPr>
              <w:t>CAPÍTULO IV</w:t>
            </w:r>
          </w:p>
          <w:p w14:paraId="35EB3A65" w14:textId="38CB1411" w:rsidR="00E31838" w:rsidRPr="0010524E" w:rsidRDefault="00E31838" w:rsidP="00A95720">
            <w:pPr>
              <w:spacing w:after="0"/>
              <w:jc w:val="center"/>
              <w:rPr>
                <w:rFonts w:ascii="Calibri" w:hAnsi="Calibri" w:cs="Calibri"/>
                <w:sz w:val="24"/>
                <w:szCs w:val="24"/>
              </w:rPr>
            </w:pPr>
            <w:r>
              <w:t>DA AVALIAÇÃO INTERNA DE RISCO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2C06AA" w14:textId="77777777" w:rsidR="00E31838" w:rsidRPr="0010524E" w:rsidRDefault="00E31838" w:rsidP="00A95720">
            <w:pPr>
              <w:pStyle w:val="PargrafodaLista"/>
              <w:tabs>
                <w:tab w:val="left" w:pos="993"/>
              </w:tabs>
              <w:ind w:left="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III</w:t>
            </w:r>
          </w:p>
          <w:p w14:paraId="600876A8" w14:textId="77777777" w:rsidR="00E31838" w:rsidRPr="0010524E" w:rsidRDefault="00E31838" w:rsidP="00A95720">
            <w:pPr>
              <w:pStyle w:val="PargrafodaLista"/>
              <w:tabs>
                <w:tab w:val="left" w:pos="993"/>
              </w:tabs>
              <w:ind w:left="11"/>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Avaliação interna de risco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BCEF23"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49E4983" w14:textId="54AFDCB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72C8DFB"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Art. 8º As EFPC devem realizar avaliação interna com o objetivo de identiﬁcar e mensurar o risco de utilização de seus produtos e serviços na prática da lavagem de dinheiro e do ﬁnanciamento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34FD7BD" w14:textId="605314E8"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Art. 224.  As EFPC devem realizar avaliação interna com o objetivo de identiﬁcar e mensurar o risco de utilização de seus produtos e serviços na prática da lavagem de dinheiro e do ﬁnanciamento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142363"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69E5BDA" w14:textId="5448E6B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776E814"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lastRenderedPageBreak/>
              <w:t>§ 1º Para identiﬁcação do risco de que trata o caput, a avaliação interna deve considerar, no mínimo, os perﬁs de risco: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7B217AA" w14:textId="71857D46"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 1º  Para identiﬁcação do risco de que trata o caput, a avaliação interna deve considerar, no mínimo, os perﬁs de risco: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42AAC7"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79EEA06B" w14:textId="67AB03C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4367F95"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I - dos clientes;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9C9323F" w14:textId="5F653CD7"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 - dos clientes;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9980C9"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5746B3A" w14:textId="27B83E3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28D1D62"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II - da entidade;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AAD23D4" w14:textId="1695D3C8"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II - da entidade;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442CB8"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138C91E" w14:textId="04C656F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E428ED9"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III - das operações, produtos e serviços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A6F0190" w14:textId="16FF5472"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III - das operações, produtos e serviços;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9BA5EA"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487F5390" w14:textId="59D8960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A8845D5"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IV - das atividades exercidas pelos funcionários, parceiros e prestadores de serviços terceirizados.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EBF696" w14:textId="1D9AA814"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IV - das atividades exercidas pelos funcionários, parceiros e prestadores de serviços terceirizados.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5FC7C2"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CEF3903" w14:textId="775DCFA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7B59F57"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 2º O risco identiﬁcado deve ser avaliado quanto à probabilidade de ocorrência e à magnitude dos impactos ﬁnanceiro, jurídico e reputacional.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AEB940" w14:textId="0ABBA5CF"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 2º  O risco identiﬁcado deve ser avaliado quanto à probabilidade de ocorrência e à magnitude dos impactos ﬁnanceiro, jurídico e reputacional.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05B4A0"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4E512784" w14:textId="62FEA02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06B0E98"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 3º Devem ser deﬁnidas categorias de risco que possibilitem a adoção de controles de gerenciamento e de mitigação reforçados para as situações de maior risco e a adoção de controles simpliﬁcados nas situações de menor risco.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1BA348" w14:textId="0858C534"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 3º  Devem ser deﬁnidas categorias de risco que possibilitem a adoção de controles de gerenciamento e de mitigação reforçados para as situações de maior risco e a adoção de controles simpliﬁcados nas situações de menor risco.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53AE43"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7AA8EFEE" w14:textId="51295C0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A65D15E"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 xml:space="preserve">§ 4º Devem ser utilizadas como subsídio à avaliação interna de risco, quando disponíveis, avaliações realizadas por entidades públicas </w:t>
            </w:r>
            <w:r w:rsidRPr="0010524E">
              <w:rPr>
                <w:rFonts w:ascii="Calibri" w:hAnsi="Calibri" w:cs="Calibri"/>
                <w:sz w:val="24"/>
                <w:szCs w:val="24"/>
              </w:rPr>
              <w:lastRenderedPageBreak/>
              <w:t>do país relativas ao risco de lavagem de dinheiro e de ﬁnanciamento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1DB187" w14:textId="109AA159"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 4º  Devem ser utilizadas como subsídio à avaliação interna de risco, quando disponíveis, avaliações realizadas por entidades públicas do país relativas ao </w:t>
            </w:r>
            <w:r w:rsidRPr="0010524E">
              <w:rPr>
                <w:rFonts w:ascii="Calibri" w:eastAsia="Calibri" w:hAnsi="Calibri" w:cs="Calibri"/>
                <w:sz w:val="24"/>
                <w:szCs w:val="24"/>
              </w:rPr>
              <w:lastRenderedPageBreak/>
              <w:t>risco de lavagem de dinheiro e de ﬁnanciamento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307297"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9B8D35E" w14:textId="77C25B2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E097EF0"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Art. 9º A avaliação interna de risco deve ser: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57923C" w14:textId="213CB062"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Art. 225.  A avaliação interna de risco deve ser: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91C17D"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CD5D53F" w14:textId="55A17DE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29199D7"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 xml:space="preserve">I - documentada e aprovada pela diretoria executiva;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6C774AB" w14:textId="3E72B399"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 - documentada e aprovada pela diretoria executiva;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D39A5E"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82F9486" w14:textId="521A69D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262CE91"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II - encaminhada para ciência: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39B741C" w14:textId="08B983F9"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II - encaminhada para ciência: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C20B11"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0CC131C" w14:textId="01E305A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4618A34"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a)</w:t>
            </w:r>
            <w:r w:rsidRPr="0010524E">
              <w:rPr>
                <w:rFonts w:ascii="Calibri" w:hAnsi="Calibri" w:cs="Calibri"/>
                <w:sz w:val="24"/>
                <w:szCs w:val="24"/>
              </w:rPr>
              <w:tab/>
              <w:t>ao comitê de riscos, quando houver;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FFEF90" w14:textId="743DFF3A"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a) ao comitê de riscos, quando houver;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965F1F"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C9974AF" w14:textId="71BAAAA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005F3C3"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b)</w:t>
            </w:r>
            <w:r w:rsidRPr="0010524E">
              <w:rPr>
                <w:rFonts w:ascii="Calibri" w:hAnsi="Calibri" w:cs="Calibri"/>
                <w:sz w:val="24"/>
                <w:szCs w:val="24"/>
              </w:rPr>
              <w:tab/>
              <w:t>ao comitê de auditoria, quando houver;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654A78" w14:textId="74A1F996"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b) ao comitê de auditoria, quando houver;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E6B422"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72206B49" w14:textId="31A309C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61E52FE"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c)</w:t>
            </w:r>
            <w:r w:rsidRPr="0010524E">
              <w:rPr>
                <w:rFonts w:ascii="Calibri" w:hAnsi="Calibri" w:cs="Calibri"/>
                <w:sz w:val="24"/>
                <w:szCs w:val="24"/>
              </w:rPr>
              <w:tab/>
              <w:t>ao conselho ﬁscal;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627F96" w14:textId="27F20AF7"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c) ao conselho ﬁscal;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C588DD"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1536CB2" w14:textId="44836E3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0C0CA07"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d)</w:t>
            </w:r>
            <w:r w:rsidRPr="0010524E">
              <w:rPr>
                <w:rFonts w:ascii="Calibri" w:hAnsi="Calibri" w:cs="Calibri"/>
                <w:sz w:val="24"/>
                <w:szCs w:val="24"/>
              </w:rPr>
              <w:tab/>
              <w:t>ao conselho deliberativo.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1347C8" w14:textId="64AE15E9"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d) ao conselho deliberativo.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B5AA50"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839B504" w14:textId="1AA41B7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87DB3E4"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III   - revisada a cada dois anos, bem como quando ocorrerem alterações signiﬁcativas nos perﬁs de risco mencionados no § 1º do art. 8º desta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60F7C74" w14:textId="77777777" w:rsidR="00E31838"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III - revisada a cada dois anos, bem como quando ocorrerem alterações signiﬁcativas nos perﬁs de risco mencionados no § 1º do art. 224 desta Resolução.</w:t>
            </w:r>
          </w:p>
          <w:p w14:paraId="396B30C2" w14:textId="53FCC6F6" w:rsidR="00E31838" w:rsidRPr="0010524E" w:rsidRDefault="00E31838" w:rsidP="0017266A">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3A50C6"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FE9EEA6" w14:textId="622FF1F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8E22250" w14:textId="77777777" w:rsidR="00E31838" w:rsidRPr="0010524E" w:rsidRDefault="00E31838" w:rsidP="00A95720">
            <w:pPr>
              <w:jc w:val="center"/>
              <w:rPr>
                <w:rFonts w:ascii="Calibri" w:hAnsi="Calibri" w:cs="Calibri"/>
                <w:sz w:val="24"/>
                <w:szCs w:val="24"/>
              </w:rPr>
            </w:pPr>
            <w:r w:rsidRPr="0010524E">
              <w:rPr>
                <w:rFonts w:ascii="Calibri" w:hAnsi="Calibri" w:cs="Calibri"/>
                <w:sz w:val="24"/>
                <w:szCs w:val="24"/>
              </w:rPr>
              <w:t>CAPÍTULO V</w:t>
            </w:r>
          </w:p>
          <w:p w14:paraId="78FCB500" w14:textId="4E730169" w:rsidR="00E31838" w:rsidRPr="0010524E" w:rsidRDefault="00E31838" w:rsidP="00A95720">
            <w:pPr>
              <w:jc w:val="center"/>
              <w:rPr>
                <w:rFonts w:ascii="Calibri" w:hAnsi="Calibri" w:cs="Calibri"/>
                <w:sz w:val="24"/>
                <w:szCs w:val="24"/>
              </w:rPr>
            </w:pPr>
            <w:r w:rsidRPr="0010524E">
              <w:rPr>
                <w:rFonts w:ascii="Calibri" w:hAnsi="Calibri" w:cs="Calibri"/>
                <w:sz w:val="24"/>
                <w:szCs w:val="24"/>
              </w:rPr>
              <w:t>DOS PROCEDIMENTOS DESTINADOS AO</w:t>
            </w:r>
            <w:r>
              <w:rPr>
                <w:rFonts w:ascii="Calibri" w:hAnsi="Calibri" w:cs="Calibri"/>
                <w:sz w:val="24"/>
                <w:szCs w:val="24"/>
              </w:rPr>
              <w:t xml:space="preserve"> </w:t>
            </w:r>
            <w:r w:rsidRPr="0010524E">
              <w:rPr>
                <w:rFonts w:ascii="Calibri" w:hAnsi="Calibri" w:cs="Calibri"/>
                <w:sz w:val="24"/>
                <w:szCs w:val="24"/>
              </w:rPr>
              <w:t>CONHECIMENTO DE CLIENTES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B8A867" w14:textId="77777777" w:rsidR="00E31838" w:rsidRPr="0010524E" w:rsidRDefault="00E31838" w:rsidP="00A95720">
            <w:pPr>
              <w:pStyle w:val="PargrafodaLista"/>
              <w:tabs>
                <w:tab w:val="left" w:pos="993"/>
              </w:tabs>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IV</w:t>
            </w:r>
          </w:p>
          <w:p w14:paraId="7421445E" w14:textId="77777777" w:rsidR="00E31838" w:rsidRPr="0010524E" w:rsidRDefault="00E31838" w:rsidP="00A95720">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Procedimentos destinados à identiﬁcação, qualiﬁcação, classiﬁcação e cadastro de clientes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48B8E5"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72E29727" w14:textId="40B4946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C753EC0" w14:textId="77777777" w:rsidR="00E31838" w:rsidRPr="00135E1F" w:rsidRDefault="00E31838" w:rsidP="00A95720">
            <w:pPr>
              <w:spacing w:after="0"/>
              <w:jc w:val="center"/>
              <w:rPr>
                <w:rFonts w:ascii="Calibri" w:hAnsi="Calibri" w:cs="Calibri"/>
                <w:b/>
                <w:bCs/>
                <w:sz w:val="24"/>
                <w:szCs w:val="24"/>
              </w:rPr>
            </w:pPr>
            <w:r w:rsidRPr="00135E1F">
              <w:rPr>
                <w:rFonts w:ascii="Calibri" w:hAnsi="Calibri" w:cs="Calibri"/>
                <w:b/>
                <w:bCs/>
                <w:sz w:val="24"/>
                <w:szCs w:val="24"/>
              </w:rPr>
              <w:t>Seção I</w:t>
            </w:r>
          </w:p>
          <w:p w14:paraId="38F5540C" w14:textId="77777777" w:rsidR="00E31838" w:rsidRPr="0010524E" w:rsidRDefault="00E31838" w:rsidP="00A95720">
            <w:pPr>
              <w:spacing w:after="0"/>
              <w:jc w:val="center"/>
              <w:rPr>
                <w:rFonts w:ascii="Calibri" w:hAnsi="Calibri" w:cs="Calibri"/>
                <w:sz w:val="24"/>
                <w:szCs w:val="24"/>
              </w:rPr>
            </w:pPr>
            <w:r w:rsidRPr="00135E1F">
              <w:rPr>
                <w:rFonts w:ascii="Calibri" w:hAnsi="Calibri" w:cs="Calibri"/>
                <w:b/>
                <w:bCs/>
                <w:sz w:val="24"/>
                <w:szCs w:val="24"/>
              </w:rPr>
              <w:t>Da Identiﬁcação, Qualiﬁcação, Classiﬁcação e Cadastro de Clientes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A6136C" w14:textId="77777777"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43DF84"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Excluído devido à aglutinação do Capitulo e da Seção </w:t>
            </w:r>
          </w:p>
        </w:tc>
      </w:tr>
      <w:tr w:rsidR="00E31838" w:rsidRPr="0010524E" w14:paraId="6C344824" w14:textId="2624BA1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9CDA8F4" w14:textId="77777777" w:rsidR="00E31838" w:rsidRPr="0010524E" w:rsidRDefault="00E31838" w:rsidP="0017266A">
            <w:pPr>
              <w:spacing w:after="120"/>
              <w:rPr>
                <w:rFonts w:ascii="Calibri" w:hAnsi="Calibri" w:cs="Calibri"/>
                <w:sz w:val="24"/>
                <w:szCs w:val="24"/>
              </w:rPr>
            </w:pPr>
            <w:r w:rsidRPr="0010524E">
              <w:rPr>
                <w:rFonts w:ascii="Calibri" w:hAnsi="Calibri" w:cs="Calibri"/>
                <w:sz w:val="24"/>
                <w:szCs w:val="24"/>
              </w:rPr>
              <w:lastRenderedPageBreak/>
              <w:t>Art. 10. As EFPC devem implementar procedimentos destinados ao conhecimento de seus clientes, incluindo procedimentos que assegurem a devida diligência na sua identiﬁcação, qualiﬁcação e classiﬁcação.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1D78728" w14:textId="070F3DEC"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Art. 226.  As EFPC devem implementar procedimentos destinados ao conhecimento de seus clientes, incluindo procedimentos que assegurem a devida diligência na sua identiﬁcação, qualiﬁcação e classiﬁcação.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46906BD"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2DD3FDB0" w14:textId="07FB535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CC071DC" w14:textId="77777777" w:rsidR="00E31838" w:rsidRPr="0010524E" w:rsidRDefault="00E31838" w:rsidP="0017266A">
            <w:pPr>
              <w:spacing w:after="120"/>
              <w:rPr>
                <w:rFonts w:ascii="Calibri" w:hAnsi="Calibri" w:cs="Calibri"/>
                <w:sz w:val="24"/>
                <w:szCs w:val="24"/>
              </w:rPr>
            </w:pPr>
            <w:r w:rsidRPr="0010524E">
              <w:rPr>
                <w:rFonts w:ascii="Calibri" w:hAnsi="Calibri" w:cs="Calibri"/>
                <w:sz w:val="24"/>
                <w:szCs w:val="24"/>
              </w:rPr>
              <w:t>§ 1º Os procedimentos referidos no caput devem ser compatíveis com: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DCC43C" w14:textId="695C3A74"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 1º  Os procedimentos referidos no caput devem ser compatíveis com:</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9611E4B"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4800829C" w14:textId="5878F5F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8B805A1" w14:textId="77777777" w:rsidR="00E31838" w:rsidRPr="0010524E" w:rsidRDefault="00E31838" w:rsidP="0017266A">
            <w:pPr>
              <w:spacing w:after="120"/>
              <w:rPr>
                <w:rFonts w:ascii="Calibri" w:hAnsi="Calibri" w:cs="Calibri"/>
                <w:sz w:val="24"/>
                <w:szCs w:val="24"/>
              </w:rPr>
            </w:pPr>
            <w:r w:rsidRPr="0010524E">
              <w:rPr>
                <w:rFonts w:ascii="Calibri" w:hAnsi="Calibri" w:cs="Calibri"/>
                <w:sz w:val="24"/>
                <w:szCs w:val="24"/>
              </w:rPr>
              <w:t>I - o perﬁl de risco do cliente, contemplando medidas reforçadas para clientes classiﬁcados em categorias de maior risco, de acordo com a avaliação interna de risco;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BCD047" w14:textId="0D38EDAA"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 - o perﬁl de risco do cliente, contemplando medidas reforçadas para clientes classiﬁcados em categorias de maior risco, de acordo com a avaliação interna de risco;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48EDEA8"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0774ADA6" w14:textId="6F4C76B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69F819F" w14:textId="77777777" w:rsidR="00E31838" w:rsidRPr="0010524E" w:rsidRDefault="00E31838" w:rsidP="0017266A">
            <w:pPr>
              <w:spacing w:after="120"/>
              <w:rPr>
                <w:rFonts w:ascii="Calibri" w:hAnsi="Calibri" w:cs="Calibri"/>
                <w:sz w:val="24"/>
                <w:szCs w:val="24"/>
              </w:rPr>
            </w:pPr>
            <w:r w:rsidRPr="0010524E">
              <w:rPr>
                <w:rFonts w:ascii="Calibri" w:hAnsi="Calibri" w:cs="Calibri"/>
                <w:sz w:val="24"/>
                <w:szCs w:val="24"/>
              </w:rPr>
              <w:t xml:space="preserve">II  - a política de prevenção à lavagem de dinheiro e ao ﬁnanciamento do terrorismo;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3CA0A1" w14:textId="5C47D4BF"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II - a política de prevenção à lavagem de dinheiro e ao ﬁnanciamento do terrorismo;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0EB2198"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397CAEE6" w14:textId="52C0F57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2365C4C" w14:textId="77777777" w:rsidR="00E31838" w:rsidRPr="0010524E" w:rsidRDefault="00E31838" w:rsidP="0017266A">
            <w:pPr>
              <w:spacing w:after="120"/>
              <w:rPr>
                <w:rFonts w:ascii="Calibri" w:hAnsi="Calibri" w:cs="Calibri"/>
                <w:sz w:val="24"/>
                <w:szCs w:val="24"/>
              </w:rPr>
            </w:pPr>
            <w:r w:rsidRPr="0010524E">
              <w:rPr>
                <w:rFonts w:ascii="Calibri" w:hAnsi="Calibri" w:cs="Calibri"/>
                <w:sz w:val="24"/>
                <w:szCs w:val="24"/>
              </w:rPr>
              <w:t>III - a avaliação interna de risco.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A7FA2C8" w14:textId="4AE31646"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III - a avaliação interna de risco.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D949DF6"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5E85F679" w14:textId="59F301C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F4E80CC" w14:textId="77777777" w:rsidR="00E31838" w:rsidRPr="0010524E" w:rsidRDefault="00E31838" w:rsidP="0017266A">
            <w:pPr>
              <w:spacing w:after="120"/>
              <w:rPr>
                <w:rFonts w:ascii="Calibri" w:hAnsi="Calibri" w:cs="Calibri"/>
                <w:sz w:val="24"/>
                <w:szCs w:val="24"/>
              </w:rPr>
            </w:pPr>
            <w:r w:rsidRPr="0010524E">
              <w:rPr>
                <w:rFonts w:ascii="Calibri" w:hAnsi="Calibri" w:cs="Calibri"/>
                <w:sz w:val="24"/>
                <w:szCs w:val="24"/>
              </w:rPr>
              <w:t>§ 2º Os procedimentos de qualiﬁcação referidos no caput incluem o empenho na coleta de informações que permitam avaliar a capacidade ﬁnanceira do cliente, incluindo a renda no caso de pessoa natural, ou o faturamento, no caso de pessoa jurídica.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1B00AC0" w14:textId="47EBFF64"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 2º  Os procedimentos de qualiﬁcação referidos no caput incluem o empenho na coleta de informações que permitam avaliar a capacidade ﬁnanceira do cliente, incluindo a renda no caso de pessoa natural, ou o faturamento, no caso de pessoa jurídica.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99905F2"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1E96B686" w14:textId="039D9E9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44D5D77" w14:textId="77777777" w:rsidR="00E31838" w:rsidRPr="0010524E" w:rsidRDefault="00E31838" w:rsidP="0017266A">
            <w:pPr>
              <w:spacing w:after="120"/>
              <w:rPr>
                <w:rFonts w:ascii="Calibri" w:hAnsi="Calibri" w:cs="Calibri"/>
                <w:sz w:val="24"/>
                <w:szCs w:val="24"/>
              </w:rPr>
            </w:pPr>
            <w:r w:rsidRPr="0010524E">
              <w:rPr>
                <w:rFonts w:ascii="Calibri" w:hAnsi="Calibri" w:cs="Calibri"/>
                <w:sz w:val="24"/>
                <w:szCs w:val="24"/>
              </w:rPr>
              <w:t xml:space="preserve">Art. 11. Para os ﬁns desta Instrução, as EFPC devem manter cadastro e atualizar periodicamente as informações cadastrais de </w:t>
            </w:r>
            <w:r w:rsidRPr="0010524E">
              <w:rPr>
                <w:rFonts w:ascii="Calibri" w:hAnsi="Calibri" w:cs="Calibri"/>
                <w:sz w:val="24"/>
                <w:szCs w:val="24"/>
              </w:rPr>
              <w:lastRenderedPageBreak/>
              <w:t>seus clientes, de modo a assegurar constante ﬁdedignidade das informações.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7079272" w14:textId="0CC6DE2C"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Art. 227.  Para fins desta Seção, as EFPC devem manter cadastro e atualizar periodicamente as informações </w:t>
            </w:r>
            <w:r w:rsidRPr="0010524E">
              <w:rPr>
                <w:rFonts w:ascii="Calibri" w:eastAsia="Calibri" w:hAnsi="Calibri" w:cs="Calibri"/>
                <w:sz w:val="24"/>
                <w:szCs w:val="24"/>
              </w:rPr>
              <w:lastRenderedPageBreak/>
              <w:t>cadastrais de seus clientes, de modo a assegurar constante ﬁdedignidade das informações.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889EEB0"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12FE9860" w14:textId="53DB23D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6E4EB54" w14:textId="77777777" w:rsidR="00E31838" w:rsidRPr="0010524E" w:rsidRDefault="00E31838" w:rsidP="0017266A">
            <w:pPr>
              <w:spacing w:after="120"/>
              <w:rPr>
                <w:rFonts w:ascii="Calibri" w:hAnsi="Calibri" w:cs="Calibri"/>
                <w:sz w:val="24"/>
                <w:szCs w:val="24"/>
              </w:rPr>
            </w:pPr>
            <w:r w:rsidRPr="0010524E">
              <w:rPr>
                <w:rFonts w:ascii="Calibri" w:hAnsi="Calibri" w:cs="Calibri"/>
                <w:sz w:val="24"/>
                <w:szCs w:val="24"/>
              </w:rPr>
              <w:t>Art. 12. As EFPC devem classiﬁcar seus clientes nas categorias de risco deﬁnidas na avaliação interna de risco, com base nas informações obtidas nos procedimentos de identiﬁcação e de qualiﬁcação.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724B547" w14:textId="4BF67A66"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Art. 228.  As EFPC devem classiﬁcar seus clientes nas categorias de risco deﬁnidas na avaliação interna de risco, com base nas informações obtidas nos procedimentos de identiﬁcação e de qualiﬁcação.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4B54BD"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14F70262" w14:textId="50CBE8A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C2859D0" w14:textId="77777777" w:rsidR="00E31838" w:rsidRPr="0010524E" w:rsidRDefault="00E31838" w:rsidP="0017266A">
            <w:pPr>
              <w:spacing w:after="120"/>
              <w:rPr>
                <w:rFonts w:ascii="Calibri" w:hAnsi="Calibri" w:cs="Calibri"/>
                <w:sz w:val="24"/>
                <w:szCs w:val="24"/>
              </w:rPr>
            </w:pPr>
            <w:r w:rsidRPr="0010524E">
              <w:rPr>
                <w:rFonts w:ascii="Calibri" w:hAnsi="Calibri" w:cs="Calibri"/>
                <w:sz w:val="24"/>
                <w:szCs w:val="24"/>
              </w:rPr>
              <w:t>Parágrafo único. A classiﬁcação mencionada no caput deve ser: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0A7095" w14:textId="448F80EA"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Parágrafo único.  A classiﬁcação mencionada no caput deve ser: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28DCCD0"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3B3BB675" w14:textId="1CF3459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32333A2" w14:textId="77777777" w:rsidR="00E31838" w:rsidRPr="0010524E" w:rsidRDefault="00E31838" w:rsidP="0017266A">
            <w:pPr>
              <w:spacing w:after="120"/>
              <w:rPr>
                <w:rFonts w:ascii="Calibri" w:hAnsi="Calibri" w:cs="Calibri"/>
                <w:sz w:val="24"/>
                <w:szCs w:val="24"/>
              </w:rPr>
            </w:pPr>
            <w:r w:rsidRPr="0010524E">
              <w:rPr>
                <w:rFonts w:ascii="Calibri" w:hAnsi="Calibri" w:cs="Calibri"/>
                <w:sz w:val="24"/>
                <w:szCs w:val="24"/>
              </w:rPr>
              <w:t>I - realizada com base no perﬁl de risco do cliente;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80AA03" w14:textId="5EC1D566"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 - realizada com base no perﬁl de risco do cliente;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B071EF6"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6B213D0F" w14:textId="2EB4033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CD38057" w14:textId="77777777" w:rsidR="00E31838" w:rsidRPr="0010524E" w:rsidRDefault="00E31838" w:rsidP="0017266A">
            <w:pPr>
              <w:spacing w:after="120"/>
              <w:rPr>
                <w:rFonts w:ascii="Calibri" w:hAnsi="Calibri" w:cs="Calibri"/>
                <w:sz w:val="24"/>
                <w:szCs w:val="24"/>
              </w:rPr>
            </w:pPr>
            <w:r w:rsidRPr="0010524E">
              <w:rPr>
                <w:rFonts w:ascii="Calibri" w:hAnsi="Calibri" w:cs="Calibri"/>
                <w:sz w:val="24"/>
                <w:szCs w:val="24"/>
              </w:rPr>
              <w:t>II - revista sempre que houver alterações no perﬁl de risco do cliente.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EF81A4" w14:textId="0F405EB5"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II - revista sempre que houver alterações no perﬁl de risco do cliente.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74D4A1D"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25934C9B" w14:textId="0C13790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5305278" w14:textId="77777777" w:rsidR="00E31838" w:rsidRPr="0010524E" w:rsidRDefault="00E31838" w:rsidP="0017266A">
            <w:pPr>
              <w:spacing w:after="120"/>
              <w:rPr>
                <w:rFonts w:ascii="Calibri" w:hAnsi="Calibri" w:cs="Calibri"/>
                <w:sz w:val="24"/>
                <w:szCs w:val="24"/>
              </w:rPr>
            </w:pPr>
            <w:r w:rsidRPr="0010524E">
              <w:rPr>
                <w:rFonts w:ascii="Calibri" w:hAnsi="Calibri" w:cs="Calibri"/>
                <w:sz w:val="24"/>
                <w:szCs w:val="24"/>
              </w:rPr>
              <w:t>Art. 13. Os dados cadastrais devem observar níveis diferenciados de detalhamento, proporcionais às categorias de risco do cliente, devendo ser adotadas diligências adicionais para obtenção e conﬁrmação das informações.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9D8C6B2" w14:textId="054781A8"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Art. 229.  Os dados cadastrais devem observar níveis diferenciados de detalhamento, proporcionais às categorias de risco do cliente, devendo ser adotadas diligências adicionais para obtenção e conﬁrmação das informações.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C4B734D"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4E66421B" w14:textId="41CBC11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EEEA510" w14:textId="77777777" w:rsidR="00E31838" w:rsidRPr="00135E1F" w:rsidRDefault="00E31838" w:rsidP="0017266A">
            <w:pPr>
              <w:spacing w:after="0"/>
              <w:jc w:val="center"/>
              <w:rPr>
                <w:rFonts w:ascii="Calibri" w:hAnsi="Calibri" w:cs="Calibri"/>
                <w:b/>
                <w:bCs/>
                <w:sz w:val="24"/>
                <w:szCs w:val="24"/>
              </w:rPr>
            </w:pPr>
            <w:r w:rsidRPr="00135E1F">
              <w:rPr>
                <w:rFonts w:ascii="Calibri" w:hAnsi="Calibri" w:cs="Calibri"/>
                <w:b/>
                <w:bCs/>
                <w:sz w:val="24"/>
                <w:szCs w:val="24"/>
              </w:rPr>
              <w:t>Seção II</w:t>
            </w:r>
          </w:p>
          <w:p w14:paraId="443F069E" w14:textId="77777777" w:rsidR="00E31838" w:rsidRPr="0010524E" w:rsidRDefault="00E31838" w:rsidP="0017266A">
            <w:pPr>
              <w:spacing w:after="0"/>
              <w:jc w:val="center"/>
              <w:rPr>
                <w:rFonts w:ascii="Calibri" w:hAnsi="Calibri" w:cs="Calibri"/>
                <w:sz w:val="24"/>
                <w:szCs w:val="24"/>
              </w:rPr>
            </w:pPr>
            <w:r w:rsidRPr="00135E1F">
              <w:rPr>
                <w:rFonts w:ascii="Calibri" w:hAnsi="Calibri" w:cs="Calibri"/>
                <w:b/>
                <w:bCs/>
                <w:sz w:val="24"/>
                <w:szCs w:val="24"/>
              </w:rPr>
              <w:t>Da Qualiﬁcação como Pessoa Exposta Politicamente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EDB0E4" w14:textId="77777777" w:rsidR="00E31838" w:rsidRPr="00135E1F" w:rsidRDefault="00E31838" w:rsidP="00A95720">
            <w:pPr>
              <w:pStyle w:val="PargrafodaLista"/>
              <w:tabs>
                <w:tab w:val="left" w:pos="993"/>
              </w:tabs>
              <w:ind w:left="11"/>
              <w:jc w:val="center"/>
              <w:rPr>
                <w:rFonts w:ascii="Calibri" w:eastAsia="Times New Roman" w:hAnsi="Calibri" w:cs="Calibri"/>
                <w:b/>
                <w:bCs/>
                <w:kern w:val="0"/>
                <w:sz w:val="24"/>
                <w:szCs w:val="24"/>
                <w:lang w:eastAsia="pt-BR"/>
                <w14:ligatures w14:val="none"/>
              </w:rPr>
            </w:pPr>
            <w:bookmarkStart w:id="34" w:name="_Hlk132885179"/>
            <w:r w:rsidRPr="00135E1F">
              <w:rPr>
                <w:rFonts w:ascii="Calibri" w:eastAsia="Times New Roman" w:hAnsi="Calibri" w:cs="Calibri"/>
                <w:b/>
                <w:bCs/>
                <w:kern w:val="0"/>
                <w:sz w:val="24"/>
                <w:szCs w:val="24"/>
                <w:lang w:eastAsia="pt-BR"/>
                <w14:ligatures w14:val="none"/>
              </w:rPr>
              <w:t>Subseção V</w:t>
            </w:r>
          </w:p>
          <w:p w14:paraId="79A7FE54" w14:textId="77777777" w:rsidR="00E31838" w:rsidRPr="0010524E" w:rsidRDefault="00E31838" w:rsidP="00A95720">
            <w:pPr>
              <w:pStyle w:val="PargrafodaLista"/>
              <w:tabs>
                <w:tab w:val="left" w:pos="993"/>
              </w:tabs>
              <w:ind w:left="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Procedimentos destinados à qualiﬁcação como pessoa exposta politicamente</w:t>
            </w:r>
            <w:bookmarkEnd w:id="34"/>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D4E51C"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70F1883C" w14:textId="1917842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402E4F8"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lastRenderedPageBreak/>
              <w:t>Art. 14. As EFPC devem desenvolver e implementar procedimentos que possibilitem a identiﬁcação e a qualiﬁcação de clientes como pessoa exposta politicamente.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E16CBCB" w14:textId="2F70F18C"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Art.  230.  As EFPC devem desenvolver e implementar procedimentos que possibilitem a identiﬁcação e a qualiﬁcação de clientes como pessoa exposta politicamente.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B951273"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68196937" w14:textId="5A4D021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D046A6B"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Art. 15. Considera-se exposta politicamente a pessoa natural que desempenha ou tenha desempenhado, nos cinco anos anteriores, cargo, emprego ou função pública relevantes, assim como funções relevantes em organizações internacionais.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D737831" w14:textId="6D0AFB9E"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Art. 231.  Considera-se exposta politicamente a pessoa natural que desempenha ou tenha desempenhado, nos cinco anos anteriores, cargo, emprego ou função pública relevantes, assim como funções relevantes em organizações internacionais.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D6CA3D"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01F32917" w14:textId="415A1B2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1E641C4"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 1º Consideram-se pessoas expostas politicamente: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75CD6C" w14:textId="66B9B5A0"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 1º  Consideram-se pessoas expostas politicamente: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756A48A"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67150601" w14:textId="18C83D3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87BFA7F"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 xml:space="preserve">I - os detentores de mandatos eletivos dos Poderes Executivo e Legislativo da União;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45BB3E" w14:textId="3E292453"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os detentores de mandatos eletivos dos Poderes Executivo e Legislativo da União;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92D39F3"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2F7F75A9" w14:textId="64A53A3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C942F54"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II - os ocupantes de cargo, no Poder Executivo da União,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E8709F" w14:textId="3B1D0D59"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II - os ocupantes de cargo, no Poder Executivo da União, de: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F356C10"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10452585" w14:textId="7F4D2A8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7D191B0"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a)</w:t>
            </w:r>
            <w:r w:rsidRPr="0010524E">
              <w:rPr>
                <w:rFonts w:ascii="Calibri" w:hAnsi="Calibri" w:cs="Calibri"/>
                <w:sz w:val="24"/>
                <w:szCs w:val="24"/>
              </w:rPr>
              <w:tab/>
              <w:t>Ministro de Estado ou equiparado;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DCED6BE" w14:textId="639B2BA0"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a) Ministro de Estado ou equiparado;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3110DA5"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7693A09F" w14:textId="19A19FE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7BD2A18"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b)</w:t>
            </w:r>
            <w:r w:rsidRPr="0010524E">
              <w:rPr>
                <w:rFonts w:ascii="Calibri" w:hAnsi="Calibri" w:cs="Calibri"/>
                <w:sz w:val="24"/>
                <w:szCs w:val="24"/>
              </w:rPr>
              <w:tab/>
              <w:t>natureza especial ou equivalente;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F04BF33" w14:textId="47C2FC0A"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b) natureza especial ou equivalente;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427D142"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0A5743EE" w14:textId="10038D4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885F730"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c)</w:t>
            </w:r>
            <w:r w:rsidRPr="0010524E">
              <w:rPr>
                <w:rFonts w:ascii="Calibri" w:hAnsi="Calibri" w:cs="Calibri"/>
                <w:sz w:val="24"/>
                <w:szCs w:val="24"/>
              </w:rPr>
              <w:tab/>
              <w:t>presidente, vice-presidente e diretor, ou equivalentes, de entidades da administração pública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68B6FD" w14:textId="61CE97B2"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c) presidente, vice-presidente e diretor, ou equivalentes, de entidades da administração pública indireta;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A40FDD9"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4F81F5AB" w14:textId="36EF66A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0D5A99F"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lastRenderedPageBreak/>
              <w:t>d)</w:t>
            </w:r>
            <w:r w:rsidRPr="0010524E">
              <w:rPr>
                <w:rFonts w:ascii="Calibri" w:hAnsi="Calibri" w:cs="Calibri"/>
                <w:sz w:val="24"/>
                <w:szCs w:val="24"/>
              </w:rPr>
              <w:tab/>
              <w:t>grupo Direção e Assessoramento Superiores (DAS), nível 6, ou equivalente.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FD92064" w14:textId="5179933D"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d) Cargos Comissionados Executivos e as Funções Comissionadas Executivas, nível 17, ou equivalente.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7BC57D2"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Texto alterado considerando o disposto na Lei nº 14.204, de 2021 que trata da nova denominação e níveis de cargos. </w:t>
            </w:r>
          </w:p>
        </w:tc>
      </w:tr>
      <w:tr w:rsidR="00E31838" w:rsidRPr="0010524E" w14:paraId="100F15B5" w14:textId="0130FDA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7BA8DEB"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III - os membros do Conselho Nacional de Justiça, do Supremo Tribunal Federal, dos Tribunais Superiores, dos Tribunais Regionais Federais, dos Tribunais Regionais do Trabalho, dos Tribunais Regionais Eleitorais, do Conselho Superior da Justiça do Trabalho e do Conselho da Justiça Federal;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E34051" w14:textId="1F5464AC"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III - os membros do Conselho Nacional de Justiça, do Supremo Tribunal Federal, dos Tribunais Superiores, dos Tribunais Regionais Federais, dos Tribunais Regionais do Trabalho, dos Tribunais Regionais Eleitorais, do Conselho Superior da Justiça do Trabalho e do Conselho da Justiça Federal;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B275C5C"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57AC1321" w14:textId="697E0F5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DC083E4"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IV</w:t>
            </w:r>
            <w:r w:rsidRPr="0010524E">
              <w:rPr>
                <w:rFonts w:ascii="Calibri" w:hAnsi="Calibri" w:cs="Calibri"/>
                <w:sz w:val="24"/>
                <w:szCs w:val="24"/>
              </w:rPr>
              <w:tab/>
              <w:t>- os membros do Conselho Nacional do Ministério Público, o Procurador-Geral da República, o Vice-Procurador-Geral da República, o Procurador-Geral do Trabalho, o Procurador-Geral da Justiça Militar, os Subprocuradores-Gerais da República e os Procuradores-Gerais de Justiça dos Estados e do Distrito Federal;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D909213" w14:textId="3199E3A5"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IV - os membros do Conselho Nacional do Ministério Público, o Procurador-Geral da República, o Vice-Procurador-Geral da República, o Procurador-Geral do Trabalho, o Procurador-Geral da Justiça Militar, os Subprocuradores-Gerais da República e os Procuradores-Gerais de Justiça dos Estados e do Distrito Federal;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E40D159"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56E6F80B" w14:textId="69CFA2A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F66C3FB"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V - os membros do Tribunal de Contas da União, o Procurador-Geral e os Subprocuradores- Gerais do Ministério Público junto ao Tribunal de Contas da União;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4798313" w14:textId="733C184C"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V - os membros do Tribunal de Contas da União, o Procurador-Geral e os Subprocuradores- Gerais do Ministério Público junto ao Tribunal de Contas da União;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4A6325D"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49F83718" w14:textId="6C23662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5C6AB2A"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VI - os presidentes e os tesoureiros nacionais, ou equivalentes, de partidos políticos;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1A15D0C" w14:textId="4ED7EC62"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VI - os presidentes e os tesoureiros nacionais, ou equivalentes, de partidos políticos;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7B79B1"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22E1F220" w14:textId="3D53985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2666B9C"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lastRenderedPageBreak/>
              <w:t>VII</w:t>
            </w:r>
            <w:r w:rsidRPr="0010524E">
              <w:rPr>
                <w:rFonts w:ascii="Calibri" w:hAnsi="Calibri" w:cs="Calibri"/>
                <w:sz w:val="24"/>
                <w:szCs w:val="24"/>
              </w:rPr>
              <w:tab/>
              <w:t>- os governadores e os secretários de Estados e do Distrito Federal, os deputados estaduais e distritais, os presidentes, ou equivalentes, de entidades da administração pública indireta estadual e distrital e os presidentes de Tribunais de Justiça, Tribunais Militares, Tribunais de Contas ou equivalentes dos Estados e do Distrito Federal;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E3B1BFC" w14:textId="6E21FE44"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VII - os governadores e os secretários de Estados e do Distrito Federal, os deputados estaduais e distritais, os presidentes, ou equivalentes, de entidades da administração pública indireta estadual e distrital e os presidentes de Tribunais de Justiça, Tribunais Militares, Tribunais de Contas ou equivalentes dos Estados e do Distrito Federal;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CAD63FE"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4DA75B8A" w14:textId="18C87D3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1126A00"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VIII</w:t>
            </w:r>
            <w:r w:rsidRPr="0010524E">
              <w:rPr>
                <w:rFonts w:ascii="Calibri" w:hAnsi="Calibri" w:cs="Calibri"/>
                <w:sz w:val="24"/>
                <w:szCs w:val="24"/>
              </w:rPr>
              <w:tab/>
              <w:t>- os prefeitos, os vereadores, os secretários municipais, os presidentes, ou equivalentes, de entidades da administração pública indireta municipal e os presidentes de Tribunais de Contas ou equivalentes dos municípios.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A795A91" w14:textId="738B7B23"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VIII - os prefeitos, os vereadores, os secretários municipais, os presidentes, ou equivalentes, de entidades da administração pública indireta municipal e os presidentes de Tribunais de Contas ou equivalentes dos municípios.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C943AFA"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026EAC15" w14:textId="7388102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86FAB5B"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 xml:space="preserve">§ 2º São também consideradas expostas politicamente as pessoas que, no exterior, sejam: </w:t>
            </w:r>
          </w:p>
          <w:p w14:paraId="5F0D7CF3" w14:textId="77777777" w:rsidR="00E31838" w:rsidRPr="0010524E" w:rsidRDefault="00E31838" w:rsidP="0017266A">
            <w:pPr>
              <w:spacing w:after="12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A9DED9D" w14:textId="48FFDC29"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 xml:space="preserve">§ 2º  São também consideradas expostas politicamente as pessoas que, no exterior, sejam: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7B1935A"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73B07DBC" w14:textId="2BEEA26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ACC4092"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I - chefes de estado ou de governo;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D621EB" w14:textId="1B97910B"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 - chefes de estado ou de governo;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9E00F1D"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3DFE51C4" w14:textId="48B07DB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4D489F6"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II - políticos de escalões superiores;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BD7529" w14:textId="50905682"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II - políticos de escalões superiores;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7449B16"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7D29AAE6" w14:textId="0EE3B48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0939D93"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III</w:t>
            </w:r>
            <w:r w:rsidRPr="0010524E">
              <w:rPr>
                <w:rFonts w:ascii="Calibri" w:hAnsi="Calibri" w:cs="Calibri"/>
                <w:sz w:val="24"/>
                <w:szCs w:val="24"/>
              </w:rPr>
              <w:tab/>
              <w:t>- ocupantes de cargos governamentais de escalões superiores;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A10F449" w14:textId="3BCDD567"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III - ocupantes de cargos governamentais de escalões superiores;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7784CDE"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596BB0C7" w14:textId="214BEA4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28E39FB"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lastRenderedPageBreak/>
              <w:t xml:space="preserve">IV - oﬁciais-generais e membros de escalões superiores do Poder Judiciário;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55338E9" w14:textId="7B8F48FA"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 xml:space="preserve">IV - oﬁciais-generais e membros de escalões superiores do Poder Judiciário;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4BB1D9C"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7DC64F65" w14:textId="5A4FD4A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369AA99"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V - executivos de escalões superiores de empresas públicas;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7C25D10" w14:textId="7A2823CA"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V - executivos de escalões superiores de empresas públicas;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6791277"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2299D85B" w14:textId="7737C0C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BE0D2AC"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VI - dirigentes de partidos políticos.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AFEE96D" w14:textId="0F1D70B0"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VI - dirigentes de partidos políticos.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04DC560"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29416F81" w14:textId="033EB61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30DE4CB"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 3º São também consideradas pessoas expostas politicamente os dirigentes de escalões superiores de entidades de direito internacional público ou privado.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70EE908" w14:textId="6F048A24"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 3º  São também consideradas pessoas expostas politicamente os dirigentes de escalões superiores de entidades de direito internacional público ou privado.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20EB4F9"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1A604A17" w14:textId="2651E02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E5F606F"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 4º A condição de pessoa exposta politicamente deve ser aplicada pelos cinco anos seguintes à data em que a pessoa deixou de se enquadrar nas categorias previstas nos §§ 1º, 2º e 3º deste artigo.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C03617C" w14:textId="26FA1E1C"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 4º  A condição de pessoa exposta politicamente deve ser aplicada pelos cinco anos seguintes à data em que a pessoa deixou de se enquadrar nas categorias previstas nos §§ 1º, 2º e 3º deste artigo.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8BF9FBF"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3FA2330E" w14:textId="478F010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B0716D0"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 5º No caso de pessoas expostas politicamente residentes no exterior, para ﬁns da identiﬁcação e qualiﬁcação, as EFPC poderão adotar as seguintes providências: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032E2F" w14:textId="1BC7D7B0"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 5º  No caso de pessoas expostas politicamente residentes no exterior, para ﬁns da identiﬁcação e qualiﬁcação, as EFPC podem adotar as seguintes providências: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70FAE65"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597A2B63" w14:textId="0D5A4DA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C8D7C2C"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 xml:space="preserve">I - solicitar declaração expressa do cliente a respeito da sua classiﬁcação;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AE186E3" w14:textId="0A10AFAC"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solicitar declaração expressa do cliente a respeito da sua classiﬁcação;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900A9AC"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08226BEA" w14:textId="18EBF5E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EDF5121"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II - utilizar informações publicamente disponíveis;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8382280" w14:textId="773D2D3C"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II - utilizar informações publicamente disponíveis;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C90553A"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677926EB" w14:textId="76057A6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B929B51"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lastRenderedPageBreak/>
              <w:t>III - recorrer a bases de dados eletrônicos comerciais sobre pessoas expostas politicamente.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5D4BD1" w14:textId="10EE58F6"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III - recorrer a bases de dados eletrônicos comerciais sobre pessoas expostas politicamente.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0325F27"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51BE39F5" w14:textId="1398101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DD6F7B7"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Art. 16. As EFPC devem dedicar especial atenção às operações envolvendo pessoa exposta politicamente, bem como com seus representantes, familiares e outras pessoas de seu relacionamento próximo.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AE9E200" w14:textId="42C636D7"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Art. 232.  As EFPC devem dedicar especial atenção às operações envolvendo pessoa exposta politicamente, bem como com seus representantes, familiares e outras pessoas de seu relacionamento próximo.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98FEE84"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0D7808B2" w14:textId="6CB1130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9C25D73"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 1º As EFPC devem conduzir monitoramento reforçado e contínuo às relações jurídicas mantidas com pessoa exposta politicamente.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87B868" w14:textId="370F2A13" w:rsidR="00E31838" w:rsidRPr="0010524E"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 1º  As EFPC devem conduzir monitoramento reforçado e contínuo às relações jurídicas mantidas com pessoa exposta politicamente.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1BA2706"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79EBE667" w14:textId="6B87122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0F248E3" w14:textId="77777777" w:rsidR="00E31838" w:rsidRPr="0010524E" w:rsidRDefault="00E31838" w:rsidP="0017266A">
            <w:pPr>
              <w:spacing w:after="120"/>
              <w:jc w:val="both"/>
              <w:rPr>
                <w:rFonts w:ascii="Calibri" w:hAnsi="Calibri" w:cs="Calibri"/>
                <w:sz w:val="24"/>
                <w:szCs w:val="24"/>
              </w:rPr>
            </w:pPr>
            <w:r w:rsidRPr="0010524E">
              <w:rPr>
                <w:rFonts w:ascii="Calibri" w:hAnsi="Calibri" w:cs="Calibri"/>
                <w:sz w:val="24"/>
                <w:szCs w:val="24"/>
              </w:rPr>
              <w:t>§ 2º Para ﬁns do disposto no caput são considerados familiares os parentes, na linha reta, até o segundo grau, o cônjuge, o companheiro, a companheira, o enteado e a enteada.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1B4567" w14:textId="77777777" w:rsidR="00E31838" w:rsidRDefault="00E31838" w:rsidP="0017266A">
            <w:pPr>
              <w:spacing w:after="120"/>
              <w:jc w:val="both"/>
              <w:rPr>
                <w:rFonts w:ascii="Calibri" w:eastAsia="Calibri" w:hAnsi="Calibri" w:cs="Calibri"/>
                <w:sz w:val="24"/>
                <w:szCs w:val="24"/>
              </w:rPr>
            </w:pPr>
            <w:r w:rsidRPr="0010524E">
              <w:rPr>
                <w:rFonts w:ascii="Calibri" w:eastAsia="Calibri" w:hAnsi="Calibri" w:cs="Calibri"/>
                <w:sz w:val="24"/>
                <w:szCs w:val="24"/>
              </w:rPr>
              <w:t>§ 2º  Para ﬁns do disposto no caput são considerados familiares os parentes, na linha reta, até o segundo grau, o cônjuge, o companheiro, a companheira, o enteado e a enteada.</w:t>
            </w:r>
          </w:p>
          <w:p w14:paraId="79E31D74" w14:textId="040E12E9" w:rsidR="00E31838" w:rsidRPr="0010524E" w:rsidRDefault="00E31838" w:rsidP="0017266A">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8EDE80C" w14:textId="77777777" w:rsidR="00E31838" w:rsidRPr="0010524E" w:rsidRDefault="00E31838" w:rsidP="0017266A">
            <w:pPr>
              <w:spacing w:after="120"/>
              <w:jc w:val="both"/>
              <w:rPr>
                <w:rFonts w:ascii="Calibri" w:eastAsia="Times New Roman" w:hAnsi="Calibri" w:cs="Calibri"/>
                <w:kern w:val="0"/>
                <w:sz w:val="24"/>
                <w:szCs w:val="24"/>
                <w:lang w:eastAsia="pt-BR"/>
                <w14:ligatures w14:val="none"/>
              </w:rPr>
            </w:pPr>
          </w:p>
        </w:tc>
      </w:tr>
      <w:tr w:rsidR="00E31838" w:rsidRPr="0010524E" w14:paraId="36BC39C6" w14:textId="4038022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69F2F9A6" w14:textId="77777777" w:rsidR="00E31838" w:rsidRPr="0010524E" w:rsidRDefault="00E31838" w:rsidP="00A95720">
            <w:pPr>
              <w:spacing w:after="0"/>
              <w:jc w:val="center"/>
              <w:rPr>
                <w:rFonts w:ascii="Calibri" w:hAnsi="Calibri" w:cs="Calibri"/>
                <w:sz w:val="24"/>
                <w:szCs w:val="24"/>
              </w:rPr>
            </w:pPr>
            <w:r w:rsidRPr="0010524E">
              <w:rPr>
                <w:rFonts w:ascii="Calibri" w:hAnsi="Calibri" w:cs="Calibri"/>
                <w:sz w:val="24"/>
                <w:szCs w:val="24"/>
              </w:rPr>
              <w:t>CAPÍTULO VI</w:t>
            </w:r>
          </w:p>
          <w:p w14:paraId="29603570" w14:textId="77777777" w:rsidR="00E31838" w:rsidRPr="0010524E" w:rsidRDefault="00E31838" w:rsidP="00A95720">
            <w:pPr>
              <w:spacing w:after="0"/>
              <w:jc w:val="center"/>
              <w:rPr>
                <w:rFonts w:ascii="Calibri" w:hAnsi="Calibri" w:cs="Calibri"/>
                <w:sz w:val="24"/>
                <w:szCs w:val="24"/>
              </w:rPr>
            </w:pPr>
            <w:r w:rsidRPr="0010524E">
              <w:rPr>
                <w:rFonts w:ascii="Calibri" w:hAnsi="Calibri" w:cs="Calibri"/>
                <w:sz w:val="24"/>
                <w:szCs w:val="24"/>
              </w:rPr>
              <w:t>DO REGISTRO DE OPERAÇÕES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EEE53F" w14:textId="77777777" w:rsidR="00E31838" w:rsidRPr="0010524E" w:rsidRDefault="00E31838" w:rsidP="00A95720">
            <w:pPr>
              <w:pStyle w:val="PargrafodaLista"/>
              <w:tabs>
                <w:tab w:val="left" w:pos="993"/>
              </w:tabs>
              <w:spacing w:after="120"/>
              <w:ind w:left="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w:t>
            </w:r>
          </w:p>
          <w:p w14:paraId="69DDA0BD" w14:textId="77777777" w:rsidR="00E31838" w:rsidRPr="0010524E" w:rsidRDefault="00E31838" w:rsidP="00A95720">
            <w:pPr>
              <w:pStyle w:val="PargrafodaLista"/>
              <w:tabs>
                <w:tab w:val="left" w:pos="993"/>
              </w:tabs>
              <w:spacing w:after="120"/>
              <w:ind w:left="11"/>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Registro de operações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6C606D"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41140C5C" w14:textId="1B94FFD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E01244A"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xml:space="preserve">Art. 17. Para os ﬁns do disposto no inciso II do art. 10 da Lei nº 9.613, de 1998, as EFPC devem manter registro que reﬂita suas operações ativas e passivas e a identiﬁcação das pessoas físicas ou jurídicas com as quais estabeleça qualquer tipo de relação jurídica </w:t>
            </w:r>
            <w:r w:rsidRPr="0010524E">
              <w:rPr>
                <w:rFonts w:ascii="Calibri" w:hAnsi="Calibri" w:cs="Calibri"/>
                <w:sz w:val="24"/>
                <w:szCs w:val="24"/>
              </w:rPr>
              <w:lastRenderedPageBreak/>
              <w:t>cujo valor seja igual ou superior a R$ 10.000,00 (dez mil reais).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CDA1009" w14:textId="6EBA6A9B"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lastRenderedPageBreak/>
              <w:t>Art. 233.  As EFPC devem manter registro que reﬂita suas operações ativas e passivas e a identiﬁcação das pessoas físicas ou jurídicas com as quais estabeleça qualquer tipo de relação jurídica cujo valor seja igual ou superior a R$ 10.000,00 (dez mil reais), conforme inciso II do art. 10 da Lei nº 9.613, de 1998.</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4A60B81"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para ordem direta.</w:t>
            </w:r>
          </w:p>
        </w:tc>
      </w:tr>
      <w:tr w:rsidR="00E31838" w:rsidRPr="0010524E" w14:paraId="275FBA18" w14:textId="3452E92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92AFD9D" w14:textId="77777777" w:rsidR="00E31838" w:rsidRPr="0010524E" w:rsidRDefault="00E31838" w:rsidP="00A95720">
            <w:pPr>
              <w:spacing w:after="0"/>
              <w:jc w:val="center"/>
              <w:rPr>
                <w:rFonts w:ascii="Calibri" w:hAnsi="Calibri" w:cs="Calibri"/>
                <w:sz w:val="24"/>
                <w:szCs w:val="24"/>
              </w:rPr>
            </w:pPr>
            <w:r w:rsidRPr="0010524E">
              <w:rPr>
                <w:rFonts w:ascii="Calibri" w:hAnsi="Calibri" w:cs="Calibri"/>
                <w:sz w:val="24"/>
                <w:szCs w:val="24"/>
              </w:rPr>
              <w:t>CAPÍTULO VII</w:t>
            </w:r>
          </w:p>
          <w:p w14:paraId="415041DB" w14:textId="77777777" w:rsidR="00E31838" w:rsidRPr="0010524E" w:rsidRDefault="00E31838" w:rsidP="00A95720">
            <w:pPr>
              <w:spacing w:after="0"/>
              <w:jc w:val="center"/>
              <w:rPr>
                <w:rFonts w:ascii="Calibri" w:hAnsi="Calibri" w:cs="Calibri"/>
                <w:sz w:val="24"/>
                <w:szCs w:val="24"/>
              </w:rPr>
            </w:pPr>
            <w:r w:rsidRPr="0010524E">
              <w:rPr>
                <w:rFonts w:ascii="Calibri" w:hAnsi="Calibri" w:cs="Calibri"/>
                <w:sz w:val="24"/>
                <w:szCs w:val="24"/>
              </w:rPr>
              <w:t>DO MONITORAMENTO E DA ANÁLISE DE OPERAÇÕES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FB55E3" w14:textId="77777777" w:rsidR="00E31838" w:rsidRPr="0010524E" w:rsidRDefault="00E31838" w:rsidP="00A95720">
            <w:pPr>
              <w:pStyle w:val="PargrafodaLista"/>
              <w:tabs>
                <w:tab w:val="left" w:pos="993"/>
              </w:tabs>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VII</w:t>
            </w:r>
          </w:p>
          <w:p w14:paraId="4B1AAB73" w14:textId="77777777" w:rsidR="00E31838" w:rsidRPr="0010524E" w:rsidRDefault="00E31838" w:rsidP="00A95720">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Monitoramento e análise de operações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302747"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FEA2DEE" w14:textId="420F660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E72E265"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18. As EFPC devem implementar procedimentos de monitoramento, seleção e análise com o objetivo de identiﬁcar operações e situações que possam indicar suspeitas de lavagem de dinheiro e de ﬁnanciamento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63EE98" w14:textId="524872BC"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234.  As EFPC devem implementar procedimentos de monitoramento, seleção e análise com o objetivo de identiﬁcar operações e situações que possam indicar suspeitas de lavagem de dinheiro e de ﬁnanciamento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CC51602"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525BA946" w14:textId="398DA95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5F0F02F"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1º Para os ﬁns desta Instrução, operações e situações suspeitas são aquelas que apresentem indícios de utilização da instituição para a prática dos crimes de lavagem de dinheiro e de ﬁnanciamento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3B040D" w14:textId="3478A56E"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1º  Para ﬁns desta Seção, operações e situações suspeitas são aquelas que apresentem indícios de utilização da instituição para a prática dos crimes de lavagem de dinheiro e de ﬁnanciamento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E1763C8"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w:t>
            </w:r>
          </w:p>
        </w:tc>
      </w:tr>
      <w:tr w:rsidR="00E31838" w:rsidRPr="0010524E" w14:paraId="008C27B8" w14:textId="4BC8756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179D66C"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2º Os procedimentos mencionados no caput devem: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23A79A" w14:textId="30018C61"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2º  Os procedimentos mencionados no caput devem:</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4E1ABE5"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2F9DE46B" w14:textId="525C383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BDC61D0"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 - ser compatíveis com a política de prevenção à lavagem de dinheiro e ao ﬁnanciamento do terrorismo da entidade;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0A1233B" w14:textId="49C1480E"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 - ser compatíveis com a política de prevenção à lavagem de dinheiro e ao ﬁnanciamento do terrorismo da entidade;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0D17C63"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333ECE14" w14:textId="7778B62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750997D"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II - ser deﬁnidos com base na avaliação interna de risco;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A1D283A" w14:textId="7C0ED546"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II - ser deﬁnidos com base na avaliação interna de risco;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B9D0E6A"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130FE454" w14:textId="66EB393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B749961"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lastRenderedPageBreak/>
              <w:t>III - considerar a condição de pessoa exposta politicamente, bem como a condição de representante, familiar ou outras pessoas de seu relacionamento próximo.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2CD5FD" w14:textId="32FCB73A"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III - considerar a condição de pessoa exposta politicamente, bem como a condição de representante, familiar ou outras pessoas de seu relacionamento próximo.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A1A03C8"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2549FBEC" w14:textId="1F05103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3B727BB"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19. As EFPC devem dispensar especial atenção às seguintes ocorrências, dentro de sua esfera de atuação: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7C1A23" w14:textId="462E4E09"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235.  As EFPC devem dispensar especial atenção às seguintes ocorrências, dentro de sua esfera de atuação: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8036517"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552CD53F" w14:textId="0774168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2525B09"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 - contribuição ao plano de benefícios, pelo participante ou assistido, cujo valor se aﬁgure objetivamente incompatível com a sua ocupação proﬁssional ou com seus rendimentos, considerado isoladamente ou em conjunto com outras contribuições do mesmo participante ou assistido;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7B3AFD" w14:textId="07B11DDB"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 - contribuição ao plano de benefícios, pelo participante ou assistido, cujo valor se aﬁgure objetivamente incompatível com a sua ocupação proﬁssional ou com seus rendimentos, considerado isoladamente ou em conjunto com outras contribuições do mesmo participante ou assistido;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E92EA22"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456BEE4E" w14:textId="36F8711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3FDA2E3"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II - aporte ao plano de benefícios efetuado por terceiro que não a patrocinadora, cujo valor seja igual ou superior a R$ 10.000,00 (dez mil reais);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45E9F81" w14:textId="2AFF4A41"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II - aporte ao plano de benefícios efetuado por terceiro que não a patrocinadora, cujo valor seja igual ou superior a R$ 10.000,00 (dez mil reais);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D19E4D0"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383F4BC" w14:textId="2BF3FD9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8A21202"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III - negociação com pagamento em espécie, a uma mesma pessoa física ou jurídica, cujo valor seja superior a R$ 10.000,00 (dez mil reais);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99B13D" w14:textId="3D37FB2D"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III - negociação com pagamento em espécie, a uma mesma pessoa física ou jurídica, cujo valor seja superior a R$ 10.000,00 (dez mil reais);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F315B30"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1FA141B0" w14:textId="1CEFB57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850C842"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xml:space="preserve">IV - operações realizadas que, por sua habitualidade, valor ou forma, conﬁgurem </w:t>
            </w:r>
            <w:r w:rsidRPr="0010524E">
              <w:rPr>
                <w:rFonts w:ascii="Calibri" w:hAnsi="Calibri" w:cs="Calibri"/>
                <w:sz w:val="24"/>
                <w:szCs w:val="24"/>
              </w:rPr>
              <w:lastRenderedPageBreak/>
              <w:t>artifício para evitar procedimentos de identiﬁcação, qualiﬁcação, registro, monitoramento e seleção previstos nesta Instrução;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E1F5E79" w14:textId="0569BE14"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IV - operações realizadas que, por sua habitualidade, valor ou forma, conﬁgurem artifício para evitar </w:t>
            </w:r>
            <w:r w:rsidRPr="0010524E">
              <w:rPr>
                <w:rFonts w:ascii="Calibri" w:eastAsia="Calibri" w:hAnsi="Calibri" w:cs="Calibri"/>
                <w:sz w:val="24"/>
                <w:szCs w:val="24"/>
              </w:rPr>
              <w:lastRenderedPageBreak/>
              <w:t>procedimentos de identiﬁcação, qualiﬁcação, registro, monitoramento e seleção previstos nesta Seção;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4782145"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5ECE0C8C" w14:textId="5790D98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AFB132B" w14:textId="0450172F"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V - operações realizadas e os produtos e serviços contratados que, considerando as partes envolvidas, os valores, as formas de realização, os instrumentos utilizados ou a falta de fundamento econômico ou legal, possam conﬁgurar a existência de indícios de lavagem de dinheiro ou de ﬁnanciamento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413A86" w14:textId="44ADAC01"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V - operações realizadas e os produtos e serviços contratados que, considerando as partes envolvidas, os valores, as formas de realização, os instrumentos utilizados ou a falta de fundamento econômico ou legal, possam conﬁgurar a existência de indícios de lavagem de dinheiro ou de ﬁnanciamento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86ED429"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0AE6D924" w14:textId="558D573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21C44707" w14:textId="77777777" w:rsidR="00E31838" w:rsidRPr="0010524E" w:rsidRDefault="00E31838" w:rsidP="00A95720">
            <w:pPr>
              <w:jc w:val="center"/>
              <w:rPr>
                <w:rFonts w:ascii="Calibri" w:hAnsi="Calibri" w:cs="Calibri"/>
                <w:sz w:val="24"/>
                <w:szCs w:val="24"/>
              </w:rPr>
            </w:pPr>
            <w:r w:rsidRPr="0010524E">
              <w:rPr>
                <w:rFonts w:ascii="Calibri" w:hAnsi="Calibri" w:cs="Calibri"/>
                <w:sz w:val="24"/>
                <w:szCs w:val="24"/>
              </w:rPr>
              <w:t>CAPÍTULO VIII</w:t>
            </w:r>
          </w:p>
          <w:p w14:paraId="01E5AE2A" w14:textId="77777777" w:rsidR="00E31838" w:rsidRPr="0010524E" w:rsidRDefault="00E31838" w:rsidP="00A95720">
            <w:pPr>
              <w:jc w:val="center"/>
              <w:rPr>
                <w:rFonts w:ascii="Calibri" w:hAnsi="Calibri" w:cs="Calibri"/>
                <w:sz w:val="24"/>
                <w:szCs w:val="24"/>
              </w:rPr>
            </w:pPr>
            <w:r w:rsidRPr="0010524E">
              <w:rPr>
                <w:rFonts w:ascii="Calibri" w:hAnsi="Calibri" w:cs="Calibri"/>
                <w:sz w:val="24"/>
                <w:szCs w:val="24"/>
              </w:rPr>
              <w:t>DA COMUNICAÇÃO AO COAF</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5733D5" w14:textId="77777777" w:rsidR="00E31838" w:rsidRPr="0010524E" w:rsidRDefault="00E31838" w:rsidP="00A95720">
            <w:pPr>
              <w:pStyle w:val="PargrafodaLista"/>
              <w:tabs>
                <w:tab w:val="left" w:pos="993"/>
              </w:tabs>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VIII</w:t>
            </w:r>
          </w:p>
          <w:p w14:paraId="236C6386" w14:textId="77777777" w:rsidR="00E31838" w:rsidRPr="0010524E" w:rsidRDefault="00E31838" w:rsidP="00A95720">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Comunicação ao COAF</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32E0CD"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143A608" w14:textId="6A46FEE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524E430"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Art.20. As EFPC devem comunicar ao COAF quando o resultado da análise da operação ou da situação indicar suspeita de lavagem de dinheiro e de ﬁnanciamento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352E26D" w14:textId="39E8F2BA"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236.  As EFPC devem comunicar ao Conselho de Controle de Atividades Financeiras quando o resultado da análise da operação ou da situação indicar suspeita de lavagem de dinheiro e de ﬁnanciamento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DC53309"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0E233AFE" w14:textId="5167273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B454F82"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1º A decisão de comunicação da operação ou da situação ao COAF deve ser fundamentada e registrada de forma detalhada.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07F674" w14:textId="05FED889"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1º  A decisão de comunicação da operação ou da situação ao Conselho de Controle de Atividades Financeiras deve ser fundamentada e registrada de forma detalhada.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586C43D"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2F95F4D9" w14:textId="1C1F4A8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89AEC26"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lastRenderedPageBreak/>
              <w:t>§ 2º A comunicação da operação ou situação suspeita ao COAF deve ser realizada no prazo de vinte e quatro horas da decisão de comunicação.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A6271C0" w14:textId="663B37E9"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2º  A comunicação da operação ou situação suspeita ao Conselho de Controle de Atividades Financeiras deve ser realizada no prazo de vinte e quatro horas da decisão de comunicação.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DB2CE01"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1A4F3113" w14:textId="3FF4351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6DF05AC"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21 As EFPC devem comunicar ao COAF, no prazo de vinte e quatro horas, a contar da veriﬁcação de sua ocorrência, todas as operações realizadas com um mesmo participante ou assistido que sejam iguais ou superiores a R$ 50.000,00 (cinquenta mil reais).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E94CFB" w14:textId="1CE92D53"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237.  As EFPC devem comunicar ao Conselho de Controle de Atividades Financeiras, no prazo de vinte e quatro horas, a contar da veriﬁcação de sua ocorrência, todas as operações realizadas com um mesmo participante ou assistido que sejam iguais ou superiores a R$ 50.000,00 (cinquenta mil reais).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53B2D8D"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8873E41" w14:textId="6621201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B1A57E1"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Parágrafo único. O disposto no caput deste artigo não se aplica às operações decorrentes do pagamento de benefícios de caráter previdenciário, de empréstimos a participantes ou assistidos e de portabilidade ou resgate.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AA327F" w14:textId="1F8027B7"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O disposto no caput deste artigo não se aplica às operações decorrentes do pagamento de benefícios de caráter previdenciário, de empréstimos a participantes ou assistidos e de portabilidade ou resgate.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860115F"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14F1FFBD" w14:textId="0445A91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76C2E29"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22. As EFPC devem realizar as comunicações mencionadas nos arts. 20 e 21 sem dar ciência aos envolvidos ou a terceiros.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33C020" w14:textId="632C581C"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238.  As EFPC devem realizar as comunicações mencionadas nos arts. 236 e 237 sem dar ciência aos envolvidos ou a terceiros.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85E4E63"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21CC910" w14:textId="2A65592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2ECABFC"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xml:space="preserve">Art. 23. As EFPC devem comunicar à Previc a não ocorrência de propostas, situações ou operações passíveis de comunicação ao COAF </w:t>
            </w:r>
            <w:r w:rsidRPr="0010524E">
              <w:rPr>
                <w:rFonts w:ascii="Calibri" w:hAnsi="Calibri" w:cs="Calibri"/>
                <w:sz w:val="24"/>
                <w:szCs w:val="24"/>
              </w:rPr>
              <w:lastRenderedPageBreak/>
              <w:t>até último dia do mês de janeiro do ano subsequente ao exercício.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8EB078" w14:textId="3ABB99AB"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Art. 239.  As EFPC devem comunicar à Previc a não ocorrência de propostas, situações ou operações passíveis de comunicação ao Conselho de Controle de </w:t>
            </w:r>
            <w:r w:rsidRPr="0010524E">
              <w:rPr>
                <w:rFonts w:ascii="Calibri" w:eastAsia="Calibri" w:hAnsi="Calibri" w:cs="Calibri"/>
                <w:sz w:val="24"/>
                <w:szCs w:val="24"/>
              </w:rPr>
              <w:lastRenderedPageBreak/>
              <w:t>Atividades Financeiras até último dia do mês de janeiro do ano subsequente ao exercício.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914E833"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38D3081" w14:textId="20175A1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55A512A"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24. As EFPC devem se habilitar para realizar as comunicações no Sistema de Controle de Atividades Financeiras (Siscoaf), do COAF.</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45245C6" w14:textId="77777777" w:rsidR="00E31838"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240.  As EFPC devem se habilitar para realizar as comunicações no Sistema de Controle de Atividades Financeiras, do Conselho de Controle de Atividades Financeiras.</w:t>
            </w:r>
          </w:p>
          <w:p w14:paraId="46EC4957" w14:textId="77777777" w:rsidR="00E31838" w:rsidRDefault="00E31838" w:rsidP="00455980">
            <w:pPr>
              <w:spacing w:after="120"/>
              <w:jc w:val="both"/>
              <w:rPr>
                <w:rFonts w:ascii="Calibri" w:eastAsia="Calibri" w:hAnsi="Calibri" w:cs="Calibri"/>
                <w:sz w:val="24"/>
                <w:szCs w:val="24"/>
              </w:rPr>
            </w:pPr>
          </w:p>
          <w:p w14:paraId="04E896E5" w14:textId="70E3763D" w:rsidR="00E31838" w:rsidRPr="0010524E" w:rsidRDefault="00E31838" w:rsidP="00455980">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9F1927A"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28811115" w14:textId="717CD0E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A8AAB12" w14:textId="77777777" w:rsidR="00E31838" w:rsidRPr="0010524E" w:rsidRDefault="00E31838" w:rsidP="00455980">
            <w:pPr>
              <w:spacing w:after="120"/>
              <w:jc w:val="center"/>
              <w:rPr>
                <w:rFonts w:ascii="Calibri" w:hAnsi="Calibri" w:cs="Calibri"/>
                <w:sz w:val="24"/>
                <w:szCs w:val="24"/>
              </w:rPr>
            </w:pPr>
            <w:r w:rsidRPr="0010524E">
              <w:rPr>
                <w:rFonts w:ascii="Calibri" w:hAnsi="Calibri" w:cs="Calibri"/>
                <w:sz w:val="24"/>
                <w:szCs w:val="24"/>
              </w:rPr>
              <w:t>CAPÍTULO IX</w:t>
            </w:r>
          </w:p>
          <w:p w14:paraId="04D17BBA" w14:textId="77777777" w:rsidR="00E31838" w:rsidRPr="0010524E" w:rsidRDefault="00E31838" w:rsidP="00455980">
            <w:pPr>
              <w:spacing w:after="120"/>
              <w:jc w:val="center"/>
              <w:rPr>
                <w:rFonts w:ascii="Calibri" w:hAnsi="Calibri" w:cs="Calibri"/>
                <w:sz w:val="24"/>
                <w:szCs w:val="24"/>
              </w:rPr>
            </w:pPr>
            <w:r w:rsidRPr="0010524E">
              <w:rPr>
                <w:rFonts w:ascii="Calibri" w:hAnsi="Calibri" w:cs="Calibri"/>
                <w:sz w:val="24"/>
                <w:szCs w:val="24"/>
              </w:rPr>
              <w:t>DOS PROCEDIMENTOS DESTINADOS AO CONHECIMENTO DE FUNCIONÁRIOS, PARCEIROS E PRESTADORES DE SERVIÇOS TERCEIRIZADOS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844C29" w14:textId="77777777" w:rsidR="00E31838" w:rsidRPr="0010524E" w:rsidRDefault="00E31838" w:rsidP="00A95720">
            <w:pPr>
              <w:pStyle w:val="PargrafodaLista"/>
              <w:tabs>
                <w:tab w:val="left" w:pos="993"/>
              </w:tabs>
              <w:ind w:left="0"/>
              <w:jc w:val="center"/>
              <w:rPr>
                <w:rFonts w:ascii="Calibri" w:eastAsia="Calibri" w:hAnsi="Calibri" w:cs="Calibri"/>
                <w:b/>
                <w:bCs/>
                <w:sz w:val="24"/>
                <w:szCs w:val="24"/>
              </w:rPr>
            </w:pPr>
            <w:r w:rsidRPr="0010524E">
              <w:rPr>
                <w:rFonts w:ascii="Calibri" w:eastAsia="Calibri" w:hAnsi="Calibri" w:cs="Calibri"/>
                <w:b/>
                <w:bCs/>
                <w:sz w:val="24"/>
                <w:szCs w:val="24"/>
              </w:rPr>
              <w:t>Subseção IX</w:t>
            </w:r>
          </w:p>
          <w:p w14:paraId="356AA693" w14:textId="77777777" w:rsidR="00E31838" w:rsidRPr="0010524E" w:rsidRDefault="00E31838" w:rsidP="00A95720">
            <w:pPr>
              <w:pStyle w:val="PargrafodaLista"/>
              <w:tabs>
                <w:tab w:val="left" w:pos="993"/>
              </w:tabs>
              <w:ind w:left="0"/>
              <w:jc w:val="center"/>
              <w:rPr>
                <w:rFonts w:ascii="Calibri" w:eastAsia="Calibri" w:hAnsi="Calibri" w:cs="Calibri"/>
                <w:sz w:val="24"/>
                <w:szCs w:val="24"/>
              </w:rPr>
            </w:pPr>
            <w:r w:rsidRPr="0010524E">
              <w:rPr>
                <w:rFonts w:ascii="Calibri" w:eastAsia="Calibri" w:hAnsi="Calibri" w:cs="Calibri"/>
                <w:b/>
                <w:bCs/>
                <w:sz w:val="24"/>
                <w:szCs w:val="24"/>
              </w:rPr>
              <w:t>Procedimentos destinados ao conhecimento de funcionários, parceiros e prestadores de serviços terceirizados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851B9C"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73DB7FA7" w14:textId="13D62A5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A790B32"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25. As EFPC devem implementar procedimentos destinados ao conhecimento de funcionários, parceiros e prestadores de serviços terceirizados, incluindo procedimentos de identiﬁcação e qualiﬁcação.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0AF82B1" w14:textId="2C4ABF4F"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241.  As EFPC devem implementar procedimentos destinados ao conhecimento de funcionários, parceiros e prestadores de serviços terceirizados, incluindo procedimentos de identiﬁcação e qualiﬁcação.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83567CA"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0E7CE119" w14:textId="6A3F59A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6BD309D"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Parágrafo único. Os procedimentos referidos no caput devem ser compatíveis com a política de prevenção à lavagem de dinheiro e ao ﬁnanciamento do terrorismo e com a avaliação interna de risco.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FED61E" w14:textId="0F9F7857"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Os procedimentos referidos no caput devem ser compatíveis com a política de prevenção à lavagem de dinheiro e ao ﬁnanciamento do terrorismo e com a avaliação interna de risco.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56929FE"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0C77F8F0" w14:textId="0C5DF7F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7D43E2B"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lastRenderedPageBreak/>
              <w:t>Art. 26. As EFPC devem classiﬁcar as atividades exercidas por seus funcionários, parceiros e prestadores de serviços terceirizados nas categorias de risco deﬁnidas na avaliação interna de risco.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61D967" w14:textId="4E056FA3"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242.  As EFPC devem classiﬁcar as atividades exercidas por seus funcionários, parceiros e prestadores de serviços terceirizados nas categorias de risco deﬁnidas na avaliação interna de risco.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8DE1FD5"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3E148669" w14:textId="31AE3D5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195B865" w14:textId="77777777" w:rsidR="00E31838" w:rsidRPr="0010524E" w:rsidRDefault="00E31838" w:rsidP="00455980">
            <w:pPr>
              <w:spacing w:after="120"/>
              <w:jc w:val="center"/>
              <w:rPr>
                <w:rFonts w:ascii="Calibri" w:hAnsi="Calibri" w:cs="Calibri"/>
                <w:sz w:val="24"/>
                <w:szCs w:val="24"/>
              </w:rPr>
            </w:pPr>
            <w:r w:rsidRPr="0010524E">
              <w:rPr>
                <w:rFonts w:ascii="Calibri" w:hAnsi="Calibri" w:cs="Calibri"/>
                <w:sz w:val="24"/>
                <w:szCs w:val="24"/>
              </w:rPr>
              <w:t>CAPÍTULO X</w:t>
            </w:r>
          </w:p>
          <w:p w14:paraId="17CFF726" w14:textId="77777777" w:rsidR="00E31838" w:rsidRPr="0010524E" w:rsidRDefault="00E31838" w:rsidP="00455980">
            <w:pPr>
              <w:spacing w:after="120"/>
              <w:jc w:val="center"/>
              <w:rPr>
                <w:rFonts w:ascii="Calibri" w:hAnsi="Calibri" w:cs="Calibri"/>
                <w:sz w:val="24"/>
                <w:szCs w:val="24"/>
              </w:rPr>
            </w:pPr>
            <w:r w:rsidRPr="0010524E">
              <w:rPr>
                <w:rFonts w:ascii="Calibri" w:hAnsi="Calibri" w:cs="Calibri"/>
                <w:sz w:val="24"/>
                <w:szCs w:val="24"/>
              </w:rPr>
              <w:t>DOS MECANISMOS DE ACOMPANHAMENTO, DE CONTROLE E DE AVALIAÇÃO DE EFETIVIDADE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493B68" w14:textId="77777777" w:rsidR="00E31838" w:rsidRPr="0010524E" w:rsidRDefault="00E31838" w:rsidP="00A95720">
            <w:pPr>
              <w:pStyle w:val="PargrafodaLista"/>
              <w:tabs>
                <w:tab w:val="left" w:pos="993"/>
              </w:tabs>
              <w:ind w:left="-13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X</w:t>
            </w:r>
          </w:p>
          <w:p w14:paraId="3478CD03" w14:textId="77777777" w:rsidR="00E31838" w:rsidRPr="0010524E" w:rsidRDefault="00E31838" w:rsidP="00A95720">
            <w:pPr>
              <w:pStyle w:val="PargrafodaLista"/>
              <w:tabs>
                <w:tab w:val="left" w:pos="993"/>
              </w:tabs>
              <w:ind w:left="11"/>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Mecanismos de acompanhamento, de controle e de avaliação de efetividade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5DC9D4"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1109179" w14:textId="47019E6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4752D0E"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27. As EFPC, considerando seu perﬁl de risco, porte e complexidade, devem instituir mecanismos de acompanhamento e de controle que assegurem a implementação e a adequação da política, dos procedimentos e dos controles internos de que trata esta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4E53CC" w14:textId="3F62CD3B"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243.  As EFPC, considerando seu perﬁl de risco, porte e complexidade, devem instituir mecanismos de acompanhamento e de controle que assegurem a implementação e a adequação da política, dos procedimentos e dos controles internos de que trata esta Seção.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DF16730"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F657303" w14:textId="25AF7E6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3A9C4AB"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28. As EFPC devem avaliar a efetividade da política, dos procedimentos e dos controles internos de que trata esta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2EABBAC" w14:textId="5541390C"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244.  As EFPC devem avaliar a efetividade da política, dos procedimentos e dos controles internos de que trata este capítulo.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22E905F"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25028B4C" w14:textId="2657E89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1FA2682"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1º A avaliação referida no caput deve ser documentada em relatório especíﬁco.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4A44323" w14:textId="3A6104AF"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 1º  A avaliação referida no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deve ser documentada em relatório especíﬁco.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CB05D92"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6F44C9EB" w14:textId="4115776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DA6B39B"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2º O relatório de que trata o § 1º deste artigo deve ser: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F4528B6" w14:textId="34B71C69"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2º  O relatório de que trata o § 1º deste artigo deve ser: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B379B12"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4651D4CE" w14:textId="0153AB4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D03280B"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lastRenderedPageBreak/>
              <w:t>I - elaborado anualmente, com data-base de 31 de dezembro;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D240896" w14:textId="25EAE2D9"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 - elaborado anualmente, com data-base de 31 de dezembro;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A6A2D1F"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53B32DB0" w14:textId="7C52F60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C5DB4CF"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II - encaminhado, para ciência, até 30 de junho do ano seguinte ao da data-base: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1EE3819" w14:textId="7F4ED905"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II - encaminhado, para ciência, até 30 de junho do ano seguinte ao da data-base: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AEAFB2F"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50386DE0" w14:textId="0F24550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BEC9D45"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 ao comitê de auditoria, quando houver;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5A1BDC" w14:textId="0B47F6F7"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 ao comitê de auditoria, quando houver;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EEB9ED1"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4B631F6" w14:textId="3300D80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FDBFBD3"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b) ao conselho ﬁscal;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5589223" w14:textId="6266CFB1"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b) ao conselho ﬁscal;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EB234E"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5E34416B" w14:textId="7342AD1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CA7A747"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b) ao conselho deliberativo.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C8FA7B" w14:textId="6F8F8B2E"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c) ao conselho deliberativo.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73DF030"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60B740EB" w14:textId="5A71B47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5BE99DD"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29. O relatório de avaliação de efetividade deve analisar: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216DA7" w14:textId="2B80BA96"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245.  O relatório de avaliação de efetividade deve analisar: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9788C9D"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415B6F5F" w14:textId="57E5EA0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1426810"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 os procedimentos destinados ao conhecimento de clientes, incluindo a veriﬁcação e a validação das informações dos clientes e a adequação dos dados cadastrais;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B9F0ED9" w14:textId="2B4FADA0"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 os procedimentos destinados ao conhecimento de clientes, incluindo a veriﬁcação e a validação das informações dos clientes e a adequação dos dados cadastrais;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0095700"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1283C94B" w14:textId="7EA01BF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BCC5737"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b) os procedimentos de monitoramento, seleção, análise e comunicação ao COAF, incluindo a avaliação de efetividade dos parâmetros de seleção de operações e de situações suspeitas;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93AD2AB" w14:textId="5163C87F"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b) os procedimentos de monitoramento, seleção, análise e comunicação ao Conselho de Controle de Atividades Financeiras, incluindo a avaliação de efetividade dos parâmetros de seleção de operações e de situações suspeitas;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0B09D00"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079D2EAF" w14:textId="2C60D8C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4CDEFE0"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c) a governança da política de prevenção à lavagem de dinheiro e ao ﬁnanciamento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786178" w14:textId="79BD1E0B"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c) a governança da política de prevenção à lavagem de dinheiro e ao ﬁnanciamento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44008C4"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520D2D5" w14:textId="55784F0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4149D22"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lastRenderedPageBreak/>
              <w:t>d) os procedimentos destinados ao conhecimento de funcionários, parceiros e prestadores de serviços terceirizados;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DCE59D" w14:textId="3131E359"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d) os procedimentos destinados ao conhecimento de funcionários, parceiros e prestadores de serviços terceirizados;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6617DB8"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6F9C338B" w14:textId="3D9EEC2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745312A"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e) as medidas de desenvolvimento da cultura organizacional voltadas à prevenção da lavagem de dinheiro e ao ﬁnanciamento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7BCE6F" w14:textId="24BBDFB9"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e) as medidas de desenvolvimento da cultura organizacional voltadas à prevenção da lavagem de dinheiro e ao ﬁnanciamento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CAB3851"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2909B351" w14:textId="0469105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6725D92" w14:textId="77777777" w:rsidR="00E31838" w:rsidRPr="0010524E" w:rsidRDefault="00E31838" w:rsidP="00455980">
            <w:pPr>
              <w:spacing w:after="12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7C9076" w14:textId="69618BF0"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246.  Devem permanecer à disposição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1BF0AAF"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Remanejado do art. 31 da Instrução Normativa previc nº 34, de 2020 para melhor estruturação da norma.</w:t>
            </w:r>
          </w:p>
        </w:tc>
      </w:tr>
      <w:tr w:rsidR="00E31838" w:rsidRPr="0010524E" w14:paraId="21EA61C7" w14:textId="20205A3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430F8CC" w14:textId="77777777" w:rsidR="00E31838" w:rsidRPr="0010524E" w:rsidRDefault="00E31838" w:rsidP="00455980">
            <w:pPr>
              <w:spacing w:after="12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C5AA2A" w14:textId="322D00E5"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 - os documentos relativos à política de prevenção à lavagem de dinheiro e ao ﬁnanciamento do terrorismo;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B1DD111"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44E6CA7" w14:textId="4F782FC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7B5D8A6" w14:textId="77777777" w:rsidR="00E31838" w:rsidRPr="0010524E" w:rsidRDefault="00E31838" w:rsidP="00455980">
            <w:pPr>
              <w:spacing w:after="12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6452B79" w14:textId="197788A0"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II - os documentos relativos à avaliação interna de risco, juntamente com a documentação de suporte à sua elaboração;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A1B2A0"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E9E79DF" w14:textId="5C8F471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FAB3C46" w14:textId="77777777" w:rsidR="00E31838" w:rsidRPr="0010524E" w:rsidRDefault="00E31838" w:rsidP="00455980">
            <w:pPr>
              <w:spacing w:after="12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7344223" w14:textId="206C1ADA"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III - o relatório de avaliação de efetividade;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ADA2A88"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377D766B" w14:textId="6E45144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0B65161" w14:textId="77777777" w:rsidR="00E31838" w:rsidRPr="0010524E" w:rsidRDefault="00E31838" w:rsidP="00455980">
            <w:pPr>
              <w:spacing w:after="12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5CC956" w14:textId="61E17A0F"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IV - toda a documentação que comprove a adoção dos procedimentos previstos nesta Seção.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BA4AC94"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280C0C4D" w14:textId="04A2FF1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334B9BD" w14:textId="77777777" w:rsidR="00E31838" w:rsidRPr="0010524E" w:rsidRDefault="00E31838" w:rsidP="00455980">
            <w:pPr>
              <w:spacing w:after="12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FE2BEF" w14:textId="77777777" w:rsidR="00E31838"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Os documentos e informações a que se refere este artigo podem ser guardados em meios físico ou eletrônico, admitindo-se a substituição de documentos pelas respectivas imagens digitalizadas.</w:t>
            </w:r>
          </w:p>
          <w:p w14:paraId="61F6D28E" w14:textId="77777777" w:rsidR="00E31838" w:rsidRDefault="00E31838" w:rsidP="00455980">
            <w:pPr>
              <w:spacing w:after="120"/>
              <w:jc w:val="both"/>
              <w:rPr>
                <w:rFonts w:ascii="Calibri" w:eastAsia="Calibri" w:hAnsi="Calibri" w:cs="Calibri"/>
                <w:sz w:val="24"/>
                <w:szCs w:val="24"/>
              </w:rPr>
            </w:pPr>
          </w:p>
          <w:p w14:paraId="78C683D0" w14:textId="0602B4F0" w:rsidR="00E31838" w:rsidRPr="0010524E" w:rsidRDefault="00E31838" w:rsidP="00455980">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2BBC1F0"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Remanejado do parágrafo único do art. 31 da Instrução Normativa previc nº 34, de 2020.</w:t>
            </w:r>
          </w:p>
        </w:tc>
      </w:tr>
      <w:tr w:rsidR="00E31838" w:rsidRPr="0010524E" w14:paraId="0FC418A5" w14:textId="2A37000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7140A00A" w14:textId="77777777" w:rsidR="00E31838" w:rsidRPr="0010524E" w:rsidRDefault="00E31838" w:rsidP="00A95720">
            <w:pPr>
              <w:jc w:val="center"/>
              <w:rPr>
                <w:rFonts w:ascii="Calibri" w:hAnsi="Calibri" w:cs="Calibri"/>
                <w:sz w:val="24"/>
                <w:szCs w:val="24"/>
              </w:rPr>
            </w:pPr>
            <w:r w:rsidRPr="0010524E">
              <w:rPr>
                <w:rFonts w:ascii="Calibri" w:hAnsi="Calibri" w:cs="Calibri"/>
                <w:sz w:val="24"/>
                <w:szCs w:val="24"/>
              </w:rPr>
              <w:t>CAPÍTULO XI</w:t>
            </w:r>
          </w:p>
          <w:p w14:paraId="57489711" w14:textId="77777777" w:rsidR="00E31838" w:rsidRPr="0010524E" w:rsidRDefault="00E31838" w:rsidP="00A95720">
            <w:pPr>
              <w:jc w:val="center"/>
              <w:rPr>
                <w:rFonts w:ascii="Calibri" w:hAnsi="Calibri" w:cs="Calibri"/>
                <w:sz w:val="24"/>
                <w:szCs w:val="24"/>
              </w:rPr>
            </w:pPr>
            <w:r w:rsidRPr="0010524E">
              <w:rPr>
                <w:rFonts w:ascii="Calibri" w:hAnsi="Calibri" w:cs="Calibri"/>
                <w:sz w:val="24"/>
                <w:szCs w:val="24"/>
              </w:rPr>
              <w:t>DA RESPONSABILIDADE ADMINISTRATIVA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D855B3" w14:textId="77777777" w:rsidR="00E31838" w:rsidRPr="0010524E" w:rsidRDefault="00E31838" w:rsidP="00A95720">
            <w:pPr>
              <w:pStyle w:val="PargrafodaLista"/>
              <w:tabs>
                <w:tab w:val="left" w:pos="993"/>
              </w:tabs>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XI</w:t>
            </w:r>
          </w:p>
          <w:p w14:paraId="045C646F" w14:textId="77777777" w:rsidR="00E31838" w:rsidRPr="0010524E" w:rsidRDefault="00E31838" w:rsidP="00A95720">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Responsabilidade administrativa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85B6D6"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8A9ED41" w14:textId="14C47B3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0F230CE"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30. A infração às disposições desta Instrução, sujeitam as EFPC e seus administradores às sanções do art. 12 da Lei nº 9.613, de 1998 e da regulamentação em vigor, sem prejuízo das sanções aplicáveis por eventual descumprimento da legislação no âmbito da previdência complementar fechada.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4737E3" w14:textId="3F29CE4F"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247.  A infração às disposições desta Seção, sujeitam as EFPC e seus administradores às sanções do art. 12 da Lei nº 9.613, de 1998 e da regulamentação em vigor, sem prejuízo das sanções aplicáveis por eventual descumprimento da legislação no âmbito da previdência complementar fechada.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537CC6B"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51F4764F" w14:textId="4A24883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9FF9BEB"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Parágrafo único. Para os ﬁns do disposto neste artigo, serão adotados os procedimentos administrativos próprios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E0D873F" w14:textId="43E5D085"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Para os ﬁns do disposto no caput, são adotados os procedimentos administrativos próprios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80A65E9"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35A388A5" w14:textId="16DB05A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A6B864C" w14:textId="77777777" w:rsidR="00E31838" w:rsidRPr="0010524E" w:rsidRDefault="00E31838" w:rsidP="00455980">
            <w:pPr>
              <w:spacing w:after="120"/>
              <w:jc w:val="center"/>
              <w:rPr>
                <w:rFonts w:ascii="Calibri" w:hAnsi="Calibri" w:cs="Calibri"/>
                <w:sz w:val="24"/>
                <w:szCs w:val="24"/>
              </w:rPr>
            </w:pPr>
            <w:r w:rsidRPr="0010524E">
              <w:rPr>
                <w:rFonts w:ascii="Calibri" w:hAnsi="Calibri" w:cs="Calibri"/>
                <w:sz w:val="24"/>
                <w:szCs w:val="24"/>
              </w:rPr>
              <w:t>CAPÍTULO XII</w:t>
            </w:r>
          </w:p>
          <w:p w14:paraId="7A0BE407" w14:textId="77777777" w:rsidR="00E31838" w:rsidRPr="0010524E" w:rsidRDefault="00E31838" w:rsidP="00455980">
            <w:pPr>
              <w:spacing w:after="120"/>
              <w:jc w:val="center"/>
              <w:rPr>
                <w:rFonts w:ascii="Calibri" w:hAnsi="Calibri" w:cs="Calibri"/>
                <w:sz w:val="24"/>
                <w:szCs w:val="24"/>
              </w:rPr>
            </w:pPr>
            <w:r w:rsidRPr="0010524E">
              <w:rPr>
                <w:rFonts w:ascii="Calibri" w:hAnsi="Calibri" w:cs="Calibri"/>
                <w:sz w:val="24"/>
                <w:szCs w:val="24"/>
              </w:rPr>
              <w:t>DISPOSIÇÕES FINAIS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37D941" w14:textId="77777777" w:rsidR="00E31838" w:rsidRPr="0010524E" w:rsidRDefault="00E31838" w:rsidP="0045598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A965E11"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0695E5B" w14:textId="56DB89B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DBDECF1"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31. Devem permanecer à disposição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37D2EF" w14:textId="77777777" w:rsidR="00E31838" w:rsidRPr="0010524E" w:rsidRDefault="00E31838" w:rsidP="0045598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AA3FE8E"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Realocado para o art 434 da Subseção X da proposta de Resolução.</w:t>
            </w:r>
          </w:p>
        </w:tc>
      </w:tr>
      <w:tr w:rsidR="00E31838" w:rsidRPr="0010524E" w14:paraId="1AF17171" w14:textId="5C83023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555C1EC"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w:t>
            </w:r>
            <w:r w:rsidRPr="0010524E">
              <w:rPr>
                <w:rFonts w:ascii="Calibri" w:hAnsi="Calibri" w:cs="Calibri"/>
                <w:sz w:val="24"/>
                <w:szCs w:val="24"/>
              </w:rPr>
              <w:tab/>
              <w:t>- os documentos relativos à política de prevenção à lavagem de dinheiro e ao ﬁnanciamento do terrorismo;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FD2DC3" w14:textId="77777777" w:rsidR="00E31838" w:rsidRPr="0010524E" w:rsidRDefault="00E31838" w:rsidP="0045598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CD16011"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Realocado para o art 434 da Subseção X da proposta de Resolução.</w:t>
            </w:r>
          </w:p>
          <w:p w14:paraId="775F37ED"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71CB055" w14:textId="69A518D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B99B6B8"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lastRenderedPageBreak/>
              <w:t>II</w:t>
            </w:r>
            <w:r w:rsidRPr="0010524E">
              <w:rPr>
                <w:rFonts w:ascii="Calibri" w:hAnsi="Calibri" w:cs="Calibri"/>
                <w:sz w:val="24"/>
                <w:szCs w:val="24"/>
              </w:rPr>
              <w:tab/>
              <w:t>- os documentos relativos à avaliação interna de risco, juntamente com a documentação de suporte à sua elaboração;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03934D" w14:textId="77777777" w:rsidR="00E31838" w:rsidRPr="0010524E" w:rsidRDefault="00E31838" w:rsidP="0045598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B36BE61"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Realocado para o art 434 da Subseção X da proposta de Resolução.</w:t>
            </w:r>
          </w:p>
          <w:p w14:paraId="4E3234B4"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41E10B2" w14:textId="6EF14F9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2A5B001"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III</w:t>
            </w:r>
            <w:r w:rsidRPr="0010524E">
              <w:rPr>
                <w:rFonts w:ascii="Calibri" w:hAnsi="Calibri" w:cs="Calibri"/>
                <w:sz w:val="24"/>
                <w:szCs w:val="24"/>
              </w:rPr>
              <w:tab/>
              <w:t>- o relatório de avaliação de efetividade;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95DEB68" w14:textId="77777777" w:rsidR="00E31838" w:rsidRPr="0010524E" w:rsidRDefault="00E31838" w:rsidP="0045598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31CD4D7"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Realocado para o art 434 da Subseção X da proposta de Resolução.</w:t>
            </w:r>
          </w:p>
        </w:tc>
      </w:tr>
      <w:tr w:rsidR="00E31838" w:rsidRPr="0010524E" w14:paraId="05D9B299" w14:textId="5BE5B2B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0737FA4"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IV</w:t>
            </w:r>
            <w:r w:rsidRPr="0010524E">
              <w:rPr>
                <w:rFonts w:ascii="Calibri" w:hAnsi="Calibri" w:cs="Calibri"/>
                <w:sz w:val="24"/>
                <w:szCs w:val="24"/>
              </w:rPr>
              <w:tab/>
              <w:t>- toda a documentação que comprove a adoção dos procedimentos previstos nesta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9F47D89" w14:textId="77777777" w:rsidR="00E31838" w:rsidRPr="0010524E" w:rsidRDefault="00E31838" w:rsidP="0045598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380CB23"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Realocado para o art 434 da Subseção X da proposta de Resolução.</w:t>
            </w:r>
          </w:p>
          <w:p w14:paraId="1EFDB371"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5974AAAA" w14:textId="2CED421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BA54212"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Parágrafo único. Os documentos e informações a que se refere este artigo podem ser guardados em meios físico ou eletrônico, admitindo-se a substituição de documentos pelas respectivas imagens digitalizadas.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E45FA3" w14:textId="77777777" w:rsidR="00E31838" w:rsidRPr="0010524E" w:rsidRDefault="00E31838" w:rsidP="0045598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D35EBC6"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Realocado para o art 434 da Subseção X da proposta de Resolução.</w:t>
            </w:r>
          </w:p>
          <w:p w14:paraId="38A2D290"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3601C8FD" w14:textId="743190D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BC4191E"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32. Fica revogada a Instrução Previc nº 18, de 24 de dezembro de 2014. Art. 33. Esta Instrução entra em vigor em 1º de março de 2021.</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047A2D" w14:textId="77777777" w:rsidR="00E31838" w:rsidRPr="0010524E" w:rsidRDefault="00E31838" w:rsidP="0045598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FCFE7F1"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por perda de objeto</w:t>
            </w:r>
          </w:p>
        </w:tc>
      </w:tr>
      <w:tr w:rsidR="00E31838" w:rsidRPr="0010524E" w14:paraId="007915F5" w14:textId="6C5BFDB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D8873D7" w14:textId="77777777" w:rsidR="00E31838" w:rsidRPr="0010524E" w:rsidRDefault="00E31838" w:rsidP="00455980">
            <w:pPr>
              <w:spacing w:after="0"/>
              <w:jc w:val="both"/>
              <w:rPr>
                <w:rFonts w:ascii="Calibri" w:hAnsi="Calibri" w:cs="Calibri"/>
                <w:sz w:val="24"/>
                <w:szCs w:val="24"/>
              </w:rPr>
            </w:pPr>
            <w:r w:rsidRPr="0010524E">
              <w:rPr>
                <w:rFonts w:ascii="Calibri" w:hAnsi="Calibri" w:cs="Calibri"/>
                <w:sz w:val="24"/>
                <w:szCs w:val="24"/>
              </w:rPr>
              <w:t>LUCIO RODRIGUES CAPELLETTO</w:t>
            </w:r>
          </w:p>
          <w:p w14:paraId="76D0E874" w14:textId="77777777" w:rsidR="00E31838" w:rsidRPr="0010524E" w:rsidRDefault="00E31838" w:rsidP="00455980">
            <w:pPr>
              <w:spacing w:after="0"/>
              <w:jc w:val="both"/>
              <w:rPr>
                <w:rFonts w:ascii="Calibri" w:hAnsi="Calibri" w:cs="Calibri"/>
                <w:sz w:val="24"/>
                <w:szCs w:val="24"/>
              </w:rPr>
            </w:pPr>
            <w:r w:rsidRPr="0010524E">
              <w:rPr>
                <w:rFonts w:ascii="Calibri" w:hAnsi="Calibri" w:cs="Calibri"/>
                <w:sz w:val="24"/>
                <w:szCs w:val="24"/>
              </w:rPr>
              <w:t>Diretor-Superintendente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77292F7" w14:textId="77777777" w:rsidR="00E31838" w:rsidRPr="0010524E" w:rsidRDefault="00E31838" w:rsidP="0045598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17CEC11"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38F909C5" w14:textId="4826680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04BF9F2" w14:textId="77777777" w:rsidR="00E31838" w:rsidRPr="00361862" w:rsidRDefault="00E31838" w:rsidP="00A95720">
            <w:pPr>
              <w:jc w:val="both"/>
              <w:rPr>
                <w:rFonts w:ascii="Calibri" w:hAnsi="Calibri" w:cs="Calibri"/>
                <w:b/>
                <w:bCs/>
                <w:sz w:val="24"/>
                <w:szCs w:val="24"/>
              </w:rPr>
            </w:pPr>
            <w:bookmarkStart w:id="35" w:name="_Hlk132731112"/>
            <w:r w:rsidRPr="00361862">
              <w:rPr>
                <w:rFonts w:ascii="Calibri" w:hAnsi="Calibri" w:cs="Calibri"/>
                <w:b/>
                <w:bCs/>
                <w:sz w:val="24"/>
                <w:szCs w:val="24"/>
              </w:rPr>
              <w:t>Instrução Previc nº 25, de 22 de abril de 2020</w:t>
            </w:r>
            <w:bookmarkEnd w:id="35"/>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C09D9F" w14:textId="77777777"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6BA080"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102002D" w14:textId="1170A58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4F8980B" w14:textId="77777777" w:rsidR="00E31838" w:rsidRPr="0010524E" w:rsidRDefault="00E31838" w:rsidP="00455980">
            <w:pPr>
              <w:jc w:val="both"/>
              <w:rPr>
                <w:rFonts w:ascii="Calibri" w:hAnsi="Calibri" w:cs="Calibri"/>
                <w:sz w:val="24"/>
                <w:szCs w:val="24"/>
              </w:rPr>
            </w:pPr>
            <w:r w:rsidRPr="0010524E">
              <w:rPr>
                <w:rFonts w:ascii="Calibri" w:hAnsi="Calibri" w:cs="Calibri"/>
                <w:sz w:val="24"/>
                <w:szCs w:val="24"/>
              </w:rPr>
              <w:t xml:space="preserve">Estabelece procedimentos para a execução pelas entidades fechadas de previdência complementar das medidas determinadas </w:t>
            </w:r>
            <w:r w:rsidRPr="0010524E">
              <w:rPr>
                <w:rFonts w:ascii="Calibri" w:hAnsi="Calibri" w:cs="Calibri"/>
                <w:sz w:val="24"/>
                <w:szCs w:val="24"/>
              </w:rPr>
              <w:lastRenderedPageBreak/>
              <w:t>pela Lei nº 13.810, de 8 de março de 2019, que dispõe sobre o cumprimento das sanções impostas por resoluções do Conselho de Segurança das Nações Unidas, incluída a indisponibilidade de ativos de pessoas naturais, de pessoas jurídicas e de entidades, e a designação nacional de pessoas investigadas ou acusadas de terrorismo, de seu financiamento ou de atos a ele correlacionados.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EDB0CC" w14:textId="77777777"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A42A92"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E31838" w:rsidRPr="0010524E" w14:paraId="37F74DA0" w14:textId="440EA8D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4CD8FB9" w14:textId="77777777" w:rsidR="00E31838" w:rsidRPr="0010524E" w:rsidRDefault="00E31838" w:rsidP="00455980">
            <w:pPr>
              <w:jc w:val="both"/>
              <w:rPr>
                <w:rFonts w:ascii="Calibri" w:hAnsi="Calibri" w:cs="Calibri"/>
                <w:sz w:val="24"/>
                <w:szCs w:val="24"/>
              </w:rPr>
            </w:pPr>
            <w:r w:rsidRPr="0010524E">
              <w:rPr>
                <w:rFonts w:ascii="Calibri" w:hAnsi="Calibri" w:cs="Calibri"/>
                <w:sz w:val="24"/>
                <w:szCs w:val="24"/>
              </w:rPr>
              <w:t>Estabelece procedimentos para a execução pelas entidades fechadas de previdência complementar das medidas determinadas pela Lei nº 13.810, de 8 de março de 2019, que dispõe sobre o cumprimento das sanções impostas por resoluções do Conselho de Segurança das Nações Unidas, incluída a indisponibilidade de ativos de pessoas naturais, de pessoas jurídicas e de entidades, e a designação nacional de pessoas investigadas ou acusadas de terrorismo, de seu ﬁnanciamento ou de atos a ele correlacionados.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0F69B9" w14:textId="77777777"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57BCEA"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E31838" w:rsidRPr="0010524E" w14:paraId="46D92508" w14:textId="459A3F5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569CD31" w14:textId="77777777" w:rsidR="00E31838" w:rsidRPr="0010524E" w:rsidRDefault="00E31838" w:rsidP="00455980">
            <w:pPr>
              <w:jc w:val="both"/>
              <w:rPr>
                <w:rFonts w:ascii="Calibri" w:hAnsi="Calibri" w:cs="Calibri"/>
                <w:sz w:val="24"/>
                <w:szCs w:val="24"/>
              </w:rPr>
            </w:pPr>
            <w:r w:rsidRPr="0010524E">
              <w:rPr>
                <w:rFonts w:ascii="Calibri" w:hAnsi="Calibri" w:cs="Calibri"/>
                <w:sz w:val="24"/>
                <w:szCs w:val="24"/>
              </w:rPr>
              <w:t xml:space="preserve"> A DIRETORIA COLEGIADA DA SUPERINTENDÊNCIA NACIONAL DE </w:t>
            </w:r>
            <w:r w:rsidRPr="0010524E">
              <w:rPr>
                <w:rFonts w:ascii="Calibri" w:hAnsi="Calibri" w:cs="Calibri"/>
                <w:sz w:val="24"/>
                <w:szCs w:val="24"/>
              </w:rPr>
              <w:lastRenderedPageBreak/>
              <w:t>PREVIDÊNCIA COMPLEMENTAR - PREVIC (Previc), no uso das atribuições que lhe conferem o art. 5º da Lei Complementar nº 109, de 29 de maio de 2001, o art. 2º da Lei nº 12.154, de 23 de dezembro de 2009, e o art. 10 do Anexo I do Decreto nº 8.992, de 20 de fevereiro de 2017, e considerando o disposto na Lei nº 13.810, de 8 de março de 2019, e no Decreto nº 9.825, de 5 de junho de 2019, resolve: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F19103" w14:textId="77777777"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Exclusão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55137A"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E31838" w:rsidRPr="0010524E" w14:paraId="2E7AC529" w14:textId="4B081A6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36E8B76" w14:textId="77777777" w:rsidR="00E31838" w:rsidRPr="0010524E" w:rsidRDefault="00E31838" w:rsidP="00A9572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E8E265" w14:textId="77777777" w:rsidR="00E31838" w:rsidRPr="0010524E" w:rsidRDefault="00E31838" w:rsidP="00A95720">
            <w:pPr>
              <w:pStyle w:val="PargrafodaLista"/>
              <w:tabs>
                <w:tab w:val="left" w:pos="993"/>
              </w:tabs>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III</w:t>
            </w:r>
          </w:p>
          <w:p w14:paraId="0B41FCD5" w14:textId="251FE7D7" w:rsidR="00E31838" w:rsidRPr="0010524E" w:rsidRDefault="00E31838" w:rsidP="00A95720">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Cumprimento das sanções impostas por resoluções do conselho de segurança das nações unidas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8D3D6F"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A08E6F5" w14:textId="1C83B82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6EA76DC"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1º As entidades fechadas de previdência complementar (EFPC) devem cumprir imediatamente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BDE9BE7" w14:textId="24103E82"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248.  As EFPC devem cumprir imediatamente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0FDFC9"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5F34B96E" w14:textId="4398780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290FCAD"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lastRenderedPageBreak/>
              <w:t>§ 1º O disposto no caput deve ser observado sem prejuízo do dever de cumprir determinações judiciais de indisponibilidade previstas na referida Lei.</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F3A511C" w14:textId="4EF39AE3"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1º  O disposto no caput deve ser observado sem prejuízo do dever de cumprir determinações judiciais de indisponibilidade previstas na referida Lei.</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B469E52"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225D7FC3" w14:textId="254204D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4BAA4BB"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2º A indisponibilidade de que trata o caput refere-se à proibição de transferir, converter, trasladar, disponibilizar ativos ou deles dispor, direta ou indiretamente, conforme o previsto no inciso II do art. 2º e no § 2º do 31, da Lei nº 13.810, de 2019.</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74E3F67" w14:textId="2D5C42C0"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2º  A indisponibilidade de que trata o caput refere-se à proibição de transferir, converter, trasladar, disponibilizar ativos ou deles dispor, direta ou indiretamente, conforme o previsto no inciso II do art. 2º e no § 2º do 31, da Lei nº 13.810, de 2019.</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FE2FF00"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CC28AB0" w14:textId="1A12230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7FB30BB"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2º As EFPC devem monitorar permanentemente as determinações de indisponibilidade referidas no art. 1º desta Instrução, bem como eventuais informações a serem observadas para o seu atendimento, visando ao seu cumprimento imediato, independentemente da comunicação da Previc mencionada no inciso I do art. 10 da Lei nº 13.810, de 2019.</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A896E6A" w14:textId="1B12350D"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249.  As EFPC devem monitorar permanentemente as determinações de indisponibilidade referidas no art. 248 desta Resolução, bem como eventuais informações a serem observadas para o seu atendimento, visando ao seu cumprimento imediato, independentemente da comunicação da Previc mencionada no inciso I do art. 10 da Lei nº 13.810, de 2019.</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5DDBB6"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Renumeração</w:t>
            </w:r>
          </w:p>
        </w:tc>
      </w:tr>
      <w:tr w:rsidR="00E31838" w:rsidRPr="0010524E" w14:paraId="753F5CE7" w14:textId="4C45864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E4F7D45"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xml:space="preserve">Art. 3º As EFPC devem comunicar imediatamente a indisponibilidade de ativos e as tentativas de sua transferência relacionadas às pessoas naturais, às pessoas jurídicas ou às entidades sancionadas por resolução do Conselho de Segurança das Nações Unidas ou </w:t>
            </w:r>
            <w:r w:rsidRPr="0010524E">
              <w:rPr>
                <w:rFonts w:ascii="Calibri" w:hAnsi="Calibri" w:cs="Calibri"/>
                <w:sz w:val="24"/>
                <w:szCs w:val="24"/>
              </w:rPr>
              <w:lastRenderedPageBreak/>
              <w:t>por designações de seus comitês de sanções, nos termos do art. 11 da Lei nº 13.810, de 2019:</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85994E" w14:textId="5E11EC2D"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Art. 250.  As EFPC devem comunicar imediatamente a indisponibilidade de ativos e as tentativas de sua transferência relacionadas às pessoas naturais, às pessoas jurídicas ou às entidades sancionadas por resolução do Conselho de Segurança das Nações </w:t>
            </w:r>
            <w:r w:rsidRPr="0010524E">
              <w:rPr>
                <w:rFonts w:ascii="Calibri" w:eastAsia="Calibri" w:hAnsi="Calibri" w:cs="Calibri"/>
                <w:sz w:val="24"/>
                <w:szCs w:val="24"/>
              </w:rPr>
              <w:lastRenderedPageBreak/>
              <w:t>Unidas ou por designações de seus comitês de sanções, nos termos do art. 11 da Lei nº 13.810, de 2019:</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572BFD"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lastRenderedPageBreak/>
              <w:t>Renumeração</w:t>
            </w:r>
          </w:p>
        </w:tc>
      </w:tr>
      <w:tr w:rsidR="00E31838" w:rsidRPr="0010524E" w14:paraId="0CCD8EAB" w14:textId="0E2A420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ADBFB83"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xml:space="preserve">I - à Superintendência Nacional de Previdência Complementar (Previc);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4C9228" w14:textId="04C00ABC"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à Previc;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88FB98A"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4EABDB18" w14:textId="2D29083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4E6FE0D"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II - ao Ministério da Justiça e Segurança Pública;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AD20F2" w14:textId="02475A9B"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II - ao Ministério da Justiça e Segurança Pública;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8D5D727"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2970A4B4" w14:textId="64970A7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200FF16"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III - ao Conselho de Controle de Atividades Financeiras (Coaf), na forma utilizada para efetivar as comunicações previstas no inciso II do art. 11 da Lei nº 9.613, de 3 de março de 1998.</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46C0E3" w14:textId="69CC7478"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III - ao Conselho de Controle de Atividades Financeiras, na forma utilizada para efetivar as comunicações previstas no inciso II do art. 11 da Lei nº 9.613, de 3 de março de 1998.</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462B2C3"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44FB24AD" w14:textId="2287F21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16B5A44"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4º As EFPC devem informar ao Ministério da Justiça e Segurança Pública, imediatamente, sobre a existência de pessoas ou ativos sujeitos a determinações de indisponibilidade referidas nesta Instrução às quais deixaram de dar cumprimento imediato na forma dos arts. 6º a 11 da Lei nº 13.810, de 2019, informando as razões para tanto.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E72CA7A" w14:textId="196F9D99"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251.  As EFPC devem informar ao Ministério da Justiça e Segurança Pública, imediatamente, sobre a existência de pessoas ou ativos sujeitos a determinações de indisponibilidade referidas neste capítulo às quais deixaram de dar cumprimento imediato na forma dos arts. 6º a 11 da Lei nº 13.810, de 2019, informando as razões para tanto.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4CE9A1D"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5385DE6B" w14:textId="08CE024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1BAC807"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5º As EFPC devem adequar seus sistemas de controles internos com o objetivo de assegurar o cumprimento da Lei nº 13.810, de 2019, e desta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98A3D0" w14:textId="444F292A"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252.  As EFPC devem adequar seus sistemas de controles internos com o objetivo de assegurar o cumprimento da Lei nº 13.810, de 2019, e as disposições deste capítulo.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BD1325C"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 a fim de possibilitar a consolidação normativa.</w:t>
            </w:r>
          </w:p>
        </w:tc>
      </w:tr>
      <w:tr w:rsidR="00E31838" w:rsidRPr="0010524E" w14:paraId="25E77EE6" w14:textId="791A18E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1B29765"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lastRenderedPageBreak/>
              <w:t>Art. 6º As EFPC e seus dirigentes que deixarem de cumprir as obrigações previstas na Lei nº 13.810, de 2019, ou nesta Instrução, sujeitam-se às sanções previstas no art. 65 da Lei Complementar nº 109, de 29 de maio de 2001, na forma prevista no Decreto nº 4.942, de 30 de dezembro de 2003.</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66E671" w14:textId="714E6581"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253.  As EFPC e seus dirigentes que deixarem de cumprir as obrigações previstas na Lei nº 13.810, de 2019, ou nesta Seção, sujeitam-se às sanções previstas no art. 65 da Lei Complementar nº 109, de 29 de maio de 2001, na forma prevista no Decreto nº 4.942, de 30 de dezembro de 2003.</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5A35458"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1EC5F344" w14:textId="65E5E20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CFC099B"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7º Esta Instrução entra em vigor no dia 04 de maio de 2020.</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C096729" w14:textId="77777777" w:rsidR="00E31838" w:rsidRPr="0010524E" w:rsidRDefault="00E31838" w:rsidP="0045598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FC7604A"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E31838" w:rsidRPr="0010524E" w14:paraId="56AD6803" w14:textId="09317B0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B123F43"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LUCIO RODRIGUES CAPELLETTO</w:t>
            </w:r>
          </w:p>
          <w:p w14:paraId="7611B2B8"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Diretor Superintendente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00244B1" w14:textId="77777777" w:rsidR="00E31838" w:rsidRPr="0010524E" w:rsidRDefault="00E31838" w:rsidP="0045598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211F9EB"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E31838" w:rsidRPr="0010524E" w14:paraId="378B9114" w14:textId="22DB3E5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557C2B68" w14:textId="77777777" w:rsidR="00E31838" w:rsidRPr="00361862" w:rsidRDefault="00E31838" w:rsidP="00A95720">
            <w:pPr>
              <w:rPr>
                <w:rFonts w:ascii="Calibri" w:hAnsi="Calibri" w:cs="Calibri"/>
                <w:b/>
                <w:bCs/>
                <w:sz w:val="24"/>
                <w:szCs w:val="24"/>
              </w:rPr>
            </w:pPr>
            <w:bookmarkStart w:id="36" w:name="_Hlk132733724"/>
            <w:r w:rsidRPr="00361862">
              <w:rPr>
                <w:rFonts w:ascii="Calibri" w:hAnsi="Calibri" w:cs="Calibri"/>
                <w:b/>
                <w:bCs/>
                <w:sz w:val="24"/>
                <w:szCs w:val="24"/>
              </w:rPr>
              <w:t>Resolução Previc nº 20, de 22 de dezembro de 2022</w:t>
            </w:r>
            <w:bookmarkEnd w:id="36"/>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9A1956" w14:textId="77777777"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CAC8F1"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E31838" w:rsidRPr="0010524E" w14:paraId="32F20A3F" w14:textId="7275E48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04989B5"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Dispõe sobre os procedimentos relativos ao recolhimento da Taxa de Fiscalização e Controle da Previdência Complementar (Taﬁc), da multa prevista no regime disciplinar aplicável às entidades fechadas de previdência complementar e da cobrança administrativa de competência da Superintendência Nacional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0348546" w14:textId="77777777"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9E9A1D4"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E31838" w:rsidRPr="0010524E" w14:paraId="7C6C75C6" w14:textId="631A775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A7FF0A0"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A DIRETORIA COLEGIADA DA SUPERINTENDÊNCIA NACIONAL DE PREVIDÊNCIA COMPLEMENTAR (Previc), na </w:t>
            </w:r>
            <w:r w:rsidRPr="0010524E">
              <w:rPr>
                <w:rFonts w:ascii="Calibri" w:hAnsi="Calibri" w:cs="Calibri"/>
                <w:sz w:val="24"/>
                <w:szCs w:val="24"/>
              </w:rPr>
              <w:lastRenderedPageBreak/>
              <w:t>78ª sessão extraordinária, realizada em 22 de dezembro de 2022, com fundamento no inciso III do art. 2º da Lei nº 12.154, de 23 de dezembro de 2009, no inciso III do art. 2º e no inciso VIII do art. 12 do Anexo I ao Decreto nº 11.241, de 18 de outubro de 2022, no parágrafo único do art. 11 do Decreto nº 70.235, de 6 de março de 1972, no art. 2º do Decreto n° 10.139, de 28 de novembro de 2019, e na Resolução Previc nº 11, de 7 de junho de 2022, resolve: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3EE684" w14:textId="77777777"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D1E3F3B"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E31838" w:rsidRPr="0010524E" w14:paraId="04F1888F" w14:textId="60DC02B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7EF27BC"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Art. 1º Esta Resolução dispõe sobre os procedimentos referentes ao recolhimento da Taxa de Fiscalização e Controle da Previdência Complementar (Taﬁc), da multa prevista no regime disciplinar aplicável às entidades fechadas de previdência complementar (EFPC) e da cobrança administrativa de competência da Superintendência Nacional de Previdência Complementar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D44C69" w14:textId="77777777"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7842E50"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E31838" w:rsidRPr="0010524E" w14:paraId="594BE249" w14:textId="6CEB693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1109317"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t>CAPÍTULO I</w:t>
            </w:r>
          </w:p>
          <w:p w14:paraId="33E7BB96" w14:textId="77777777" w:rsidR="00E31838" w:rsidRPr="0010524E" w:rsidRDefault="00E31838" w:rsidP="00A95720">
            <w:pPr>
              <w:rPr>
                <w:rFonts w:ascii="Calibri" w:hAnsi="Calibri" w:cs="Calibri"/>
                <w:sz w:val="24"/>
                <w:szCs w:val="24"/>
              </w:rPr>
            </w:pPr>
            <w:r w:rsidRPr="0010524E">
              <w:rPr>
                <w:rFonts w:ascii="Calibri" w:hAnsi="Calibri" w:cs="Calibri"/>
                <w:sz w:val="24"/>
                <w:szCs w:val="24"/>
              </w:rPr>
              <w:t>DA TAXA DE FISCALIZAÇÃO E CONTROLE DA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14485A" w14:textId="77777777"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1287CE4"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Conversão do capítulo em seção.</w:t>
            </w:r>
          </w:p>
        </w:tc>
      </w:tr>
      <w:tr w:rsidR="00E31838" w:rsidRPr="0010524E" w14:paraId="0E19F5E6" w14:textId="4BF359B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BB95CEF" w14:textId="77777777" w:rsidR="00E31838" w:rsidRDefault="00E31838" w:rsidP="00A95720">
            <w:pPr>
              <w:rPr>
                <w:rFonts w:ascii="Calibri" w:hAnsi="Calibri" w:cs="Calibri"/>
                <w:sz w:val="24"/>
                <w:szCs w:val="24"/>
              </w:rPr>
            </w:pPr>
            <w:r w:rsidRPr="0010524E">
              <w:rPr>
                <w:rFonts w:ascii="Calibri" w:hAnsi="Calibri" w:cs="Calibri"/>
                <w:sz w:val="24"/>
                <w:szCs w:val="24"/>
              </w:rPr>
              <w:lastRenderedPageBreak/>
              <w:t>Art. 1º Esta Resolução dispõe sobre os procedimentos referentes ao recolhimento da Taxa de Fiscalização e Controle da Previdência Complementar (Tafic), da multa prevista no regime disciplinar aplicável às entidades fechadas de previdência complementar (EFPC) e da cobrança administrativa decompetência da Superintendência Nacional de Previdência Complementar (Previc).</w:t>
            </w:r>
          </w:p>
          <w:p w14:paraId="4F34F1D8" w14:textId="77777777" w:rsidR="00E31838" w:rsidRPr="0010524E" w:rsidRDefault="00E31838" w:rsidP="00A9572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D2ED7D1" w14:textId="77777777"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91A396D"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Texto realocado nas Subseções seguintes.</w:t>
            </w:r>
          </w:p>
        </w:tc>
      </w:tr>
      <w:tr w:rsidR="00E31838" w:rsidRPr="0010524E" w14:paraId="084995E6" w14:textId="46070CD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4FB303B" w14:textId="77777777" w:rsidR="00E31838" w:rsidRPr="0010524E" w:rsidRDefault="00E31838" w:rsidP="00A9572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DF3FFF" w14:textId="77777777" w:rsidR="00E31838" w:rsidRPr="0010524E" w:rsidRDefault="00E31838" w:rsidP="00A95720">
            <w:pPr>
              <w:spacing w:after="0"/>
              <w:jc w:val="center"/>
              <w:rPr>
                <w:sz w:val="24"/>
                <w:szCs w:val="24"/>
              </w:rPr>
            </w:pPr>
            <w:r w:rsidRPr="0010524E">
              <w:rPr>
                <w:rFonts w:ascii="Calibri" w:eastAsia="Calibri" w:hAnsi="Calibri" w:cs="Calibri"/>
                <w:b/>
                <w:bCs/>
                <w:sz w:val="24"/>
                <w:szCs w:val="24"/>
              </w:rPr>
              <w:t>Seção IV</w:t>
            </w:r>
          </w:p>
          <w:p w14:paraId="5FEB3108" w14:textId="05E46A60" w:rsidR="00E31838" w:rsidRPr="0010524E" w:rsidRDefault="00E31838" w:rsidP="00A95720">
            <w:pPr>
              <w:spacing w:after="120"/>
              <w:jc w:val="center"/>
              <w:rPr>
                <w:rFonts w:ascii="Calibri" w:eastAsia="Times New Roman" w:hAnsi="Calibri" w:cs="Calibri"/>
                <w:kern w:val="0"/>
                <w:sz w:val="24"/>
                <w:szCs w:val="24"/>
                <w:lang w:eastAsia="pt-BR"/>
                <w14:ligatures w14:val="none"/>
              </w:rPr>
            </w:pPr>
            <w:r w:rsidRPr="0010524E">
              <w:rPr>
                <w:rFonts w:ascii="Calibri" w:eastAsia="Calibri" w:hAnsi="Calibri" w:cs="Calibri"/>
                <w:b/>
                <w:bCs/>
                <w:sz w:val="24"/>
                <w:szCs w:val="24"/>
              </w:rPr>
              <w:t>Taxa de fiscalização e controle da previdência complementar, multa prevista no regime disciplinar e processo administrativo-fiscal de lançamento de crédito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C4E31C"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9544F35" w14:textId="31A7DA9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A083B2D" w14:textId="77777777" w:rsidR="00E31838" w:rsidRPr="0010524E" w:rsidRDefault="00E31838" w:rsidP="00A95720">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D2DDAC" w14:textId="77777777" w:rsidR="00E31838" w:rsidRPr="0010524E" w:rsidRDefault="00E31838" w:rsidP="00A95720">
            <w:pPr>
              <w:pStyle w:val="PargrafodaLista"/>
              <w:tabs>
                <w:tab w:val="left" w:pos="993"/>
              </w:tabs>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w:t>
            </w:r>
          </w:p>
          <w:p w14:paraId="4C8F15C1" w14:textId="77777777" w:rsidR="00E31838" w:rsidRPr="0010524E" w:rsidRDefault="00E31838" w:rsidP="00A95720">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Taxa de Fiscalização e Controle da Previdência Complementar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427A23"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A8B5CF2" w14:textId="25E638D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26F6A76"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2º O fato gerador da Taﬁc é o exercício do poder de polícia legalmente atribuído à Previc, na forma do art. 2º da Lei nº 12.154, de 23 de dezembro de 2009.</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7541247" w14:textId="0ECE8BE6"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254.  O fato gerador da Taxa de Fiscalização e Controle da Previdência Complementar é o exercício do poder de polícia legalmente atribuído à Previc, na forma do art. 2º da Lei nº 12.154, de 23 de dezembro de 2009.</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F4DE65E"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Ajuste redacional </w:t>
            </w:r>
          </w:p>
        </w:tc>
      </w:tr>
      <w:tr w:rsidR="00E31838" w:rsidRPr="0010524E" w14:paraId="16F3F386" w14:textId="16C6913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F797D9E"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lastRenderedPageBreak/>
              <w:t>Art. 3º A base de cálculo da TAFIC é o valor dos recursos garantidores, conforme apresentado nos balancetes contábeis referentes aos meses de novembro, março e julho de cada ano, observado o respectivo enquadramento na tabela anexa a esta Resolução de cada plano de benefícios de caráter previdencial administrado pela EFPC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D4D7BC" w14:textId="5059642D"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255.  A base de cálculo da Taxa de Fiscalização e Controle da Previdência Complementar é o valor dos recursos garantidores, conforme apresentado nos balancetes contábeis referentes aos meses de novembro, março e julho de cada ano, observando o respectivo enquadramento constante do Anexo XXIV desta Resolução, de cada plano de benefícios de caráter previdencial administrado pela EFPC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A65301E" w14:textId="77777777"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Ajuste redacional</w:t>
            </w:r>
          </w:p>
        </w:tc>
      </w:tr>
      <w:tr w:rsidR="00E31838" w:rsidRPr="0010524E" w14:paraId="70983C19" w14:textId="368BEAA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7D222A3"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1º Consideram-se recursos garantidores dos planos de benefícios administrados por EFPC os ativos disponíveis e de investimentos, deduzidos de suas correspondentes exigibilidades.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87A194" w14:textId="0D2723B2"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1º  Consideram-se recursos garantidores dos planos de benefícios administrados por EFPC os ativos disponíveis e de investimentos, deduzidos de suas correspondentes exigibilidades.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4E86DA"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70ACDBD" w14:textId="4AF65B7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B46824C"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2º Os planos de benefícios autorizados e que não estiverem em funcionamento nas datas referidas no caput devem ser enquadrados na primeira faixa da tabela anexa a esta Resolução.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0150C8" w14:textId="276DC387"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2º  Os planos de benefícios autorizados e que não estiverem em funcionamento nas datas referidas no caput devem ser enquadrados na primeira faixa da tabela anexa a esta Resolução.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850B2E"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D7ED1B8" w14:textId="1F7067E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483800A"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3º Os recursos garantidores dos planos de benefícios assistenciais com registro na Agência Nacional de Saúde Suplementar (ANS) não integram a base de cálculo da Taﬁc.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D3B1D6" w14:textId="558D459B"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3º  Os recursos garantidores dos planos de benefícios assistenciais com registro na Agência Nacional de Saúde Suplementar não integram a base de cálculo da Taxa de Fiscalização e Controle da Previdência Complementar.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5A2D0B"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4E31835B" w14:textId="06EE913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54047B3"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lastRenderedPageBreak/>
              <w:t>Art. 4º São contribuintes as EFPC, constituídas na forma da legislação e autorizadas a administrar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E0B7F49" w14:textId="4815910B"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256.  São contribuintes as EFPC, constituídas na forma da legislação e autorizadas a administrar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1EE485"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3B26C38" w14:textId="6E05794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C890702"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5º A Taﬁc deve ser recolhida quadrimestralmente, em valores expressos em reais, até o dia 10 dos meses de janeiro, maio e setembro de cada ano.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FDEC679" w14:textId="47B77CE6"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257.  A Taxa de Fiscalização e Controle da Previdência Complementar deve ser recolhida quadrimestralmente, em valores expressos em reais, até o dia 10 dos meses de janeiro, maio e setembro de cada ano.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70D543"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8CA9A94" w14:textId="3EFD1E9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EEE6401"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6º A Taﬁc recolhida em valor inferior ou em desacordo com a forma e os prazos previstos nesta Resolução sujeita a EFPC 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A7F5506" w14:textId="4DB79D4A"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258.  A Taxa de Fiscalização e Controle da Previdência Complementar recolhida em valor inferior ou em desacordo com a forma e os prazos previstos nesta Seção sujeita a EFPC 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EDBF25"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4A696D3" w14:textId="4832D4B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F98D2B8"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 - juros de mora: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4D8BB1B" w14:textId="398DA8DC"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 - juros de mora: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8EC19D"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41E5887" w14:textId="36F7BD9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5F500FC"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 calculados à taxa referencial do Sistema Especial de Liquidação e de Custódia (SELIC) aplicada aos títulos públicos federais, a partir do primeiro dia do mês subsequente ao vencimento do prazo até o mês anterior ao do pagamento;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3337F56" w14:textId="6452684E"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 calculados à taxa referencial do Sistema Especial de Liquidação e de Custódia aplicada aos títulos públicos federais, a partir do primeiro dia do mês subsequente ao vencimento do prazo até o mês anterior ao do pagamento;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A90480"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3F4CB058" w14:textId="728EA71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B36E519"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b) de um por cento no mês do pagamento;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FFB073" w14:textId="4CA4869F"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b) de um por cento no mês do pagamento.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20E061"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03ED2BBA" w14:textId="188250A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C160844"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II - multa de mora, calculada à taxa de trinta e três centésimos por cento, por dia de atraso.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4812E9" w14:textId="0687FCE6"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II - multa de mora, calculada à taxa de trinta e três centésimos por cento, por dia de atraso.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0A5861"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442D04D2" w14:textId="640C3E8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CB331AC"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lastRenderedPageBreak/>
              <w:t>§ 1º A multa de mora de que trata o inciso II do caput deve ser calculada a partir do primeiro dia subsequente ao do vencimento do prazo previsto para o pagamento da Taﬁc até o dia em que ocorrer o seu pagamento.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18568AE" w14:textId="049A48A3"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1º  A multa de mora de que trata o inciso II do caput deve ser calculada a partir do primeiro dia subsequente ao do vencimento do prazo previsto para o pagamento da Taxa de Fiscalização e Controle da Previdência Complementar até o dia em que ocorrer o seu pagamento.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0DA2D8"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BC69BC7" w14:textId="30B45C2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E1EC9A7"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2º O percentual a ser aplicado na multa de mora de que trata o inciso II do caput ﬁca limitado a vinte por cento.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E2ACB95" w14:textId="33DA2090"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2º  O percentual a ser aplicado na multa de mora de que trata o inciso II do caput ﬁca limitado a vinte por cento.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D0EAA5"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2FB5C80" w14:textId="5DFAD44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D52E0FC"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7º A Taﬁc deve ser recolhida sob o código 10070-6, em conta vinculada à Previc, mediante emissão de Guia de Recolhimento da União (GRU) para cada plano de benefícios, observando-se o seguinte: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8DE628" w14:textId="3321FBF6"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259.  A Taxa de Fiscalização e Controle da Previdência Complementar deve ser recolhida sob o código 10070-6, em conta vinculada à Previc, mediante emissão de Guia de Recolhimento da União para cada plano de benefícios, observando-se o seguinte: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C378BA"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5BDF8708" w14:textId="1847A0A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01867AE"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 - o recolhimento de valores iguais ou superiores a R$ 50,00 (cinquenta reais) deve ser realizado por meio da emissão da GRU-Cobrança, pagável na rede bancária integrante da rede arrecadadora de receitas federais;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4E3522" w14:textId="5CF26072"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 - o recolhimento de valores iguais ou superiores a R$ 50,00 (cinquenta reais) deve ser realizado por meio da emissão da Guia de Recolhimento da União-Cobrança, pagável na rede bancária integrante da rede arrecadadora de receitas federais;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5938A9"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4FF698B" w14:textId="4651569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94C1D5E"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II - o recolhimento de valores inferiores a R$ 50,00 (cinquenta reais), deve ser realizado por meio da GRU-Simples, pagável somente no Banco do Brasil.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0F625B" w14:textId="70EB8A4D"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II - o recolhimento de valores inferiores a R$ 50,00 (cinquenta reais), deve ser realizado por meio da Guia de Recolhimento da União-Simples, pagável somente no Banco do Brasil.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3D3AA4"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C99BA4F" w14:textId="04E624E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580A34F"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lastRenderedPageBreak/>
              <w:t>Art. 8º A Taﬁc, nos casos de transferência de gerenciamento, de cisão, de incorporação e de fusão de planos de benefícios, deve ser recolhida pelas EFPC envolvidas nessas operações, observada a proporção do tempo em que os recursos garantidores foram por elas administrados durante o quadrimestre em que ocorrer a data efetiva da operação, conforme deﬁnida pela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05CED0" w14:textId="1945A360"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260.  A Taxa de Fiscalização e Controle da Previdência Complementar, nos casos de transferência de gerenciamento, de cisão, de incorporação e de fusão de planos de benefícios, deve ser recolhida pelas EFPC envolvidas nessas operações, observada a proporção do tempo em que os recursos garantidores foram por elas administrados durante o quadrimestre em que ocorrer a data efetiva da operação, conforme deﬁnida pela legislação aplicável.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DBD57C"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D5798ED" w14:textId="3BB3562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4D450713" w14:textId="77777777" w:rsidR="00E31838" w:rsidRDefault="00E31838" w:rsidP="00A95720">
            <w:pPr>
              <w:spacing w:after="0"/>
              <w:jc w:val="center"/>
              <w:rPr>
                <w:rFonts w:ascii="Calibri" w:hAnsi="Calibri" w:cs="Calibri"/>
                <w:sz w:val="24"/>
                <w:szCs w:val="24"/>
              </w:rPr>
            </w:pPr>
            <w:r w:rsidRPr="0010524E">
              <w:rPr>
                <w:rFonts w:ascii="Calibri" w:hAnsi="Calibri" w:cs="Calibri"/>
                <w:sz w:val="24"/>
                <w:szCs w:val="24"/>
              </w:rPr>
              <w:t>CAPÍTULO II</w:t>
            </w:r>
          </w:p>
          <w:p w14:paraId="63393C97" w14:textId="4E0913AF" w:rsidR="00E31838" w:rsidRPr="0010524E" w:rsidRDefault="00E31838" w:rsidP="00A95720">
            <w:pPr>
              <w:spacing w:after="0"/>
              <w:jc w:val="center"/>
              <w:rPr>
                <w:rFonts w:ascii="Calibri" w:hAnsi="Calibri" w:cs="Calibri"/>
                <w:sz w:val="24"/>
                <w:szCs w:val="24"/>
              </w:rPr>
            </w:pPr>
            <w:r w:rsidRPr="0010524E">
              <w:rPr>
                <w:rFonts w:ascii="Calibri" w:hAnsi="Calibri" w:cs="Calibri"/>
                <w:sz w:val="24"/>
                <w:szCs w:val="24"/>
              </w:rPr>
              <w:t>DA MULTA PREVISTA NO REGIME DISCIPLINAR APLICÁVEL ÀS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D668A4" w14:textId="77777777" w:rsidR="00E31838" w:rsidRPr="0010524E" w:rsidRDefault="00E31838" w:rsidP="00A95720">
            <w:pPr>
              <w:pStyle w:val="PargrafodaLista"/>
              <w:tabs>
                <w:tab w:val="left" w:pos="993"/>
              </w:tabs>
              <w:ind w:left="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w:t>
            </w:r>
          </w:p>
          <w:p w14:paraId="2D7911C1" w14:textId="77777777" w:rsidR="00E31838" w:rsidRPr="0010524E" w:rsidRDefault="00E31838" w:rsidP="00A95720">
            <w:pPr>
              <w:pStyle w:val="PargrafodaLista"/>
              <w:tabs>
                <w:tab w:val="left" w:pos="993"/>
              </w:tabs>
              <w:ind w:left="11"/>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Multa aplicável no regime disciplinar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AAD91B"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43B80CC9" w14:textId="24FB2C2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492BE2C"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9º O recolhimento da multa prevista no regime disciplinar aplicável às EFPC deve observar o disposto nesta Resolução.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C96846A" w14:textId="315FD6D9"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261.  O recolhimento da multa prevista no regime disciplinar aplicável ao autuado deve observar o disposto nesta Seção.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5629599"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Sugestão apresentada pela Difis: A penalidade administrativa de multa não é aplicável às EFPC e sim ao autuado, pessoa física.</w:t>
            </w:r>
          </w:p>
          <w:p w14:paraId="4211E62C"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Art. 451. O recolhimento da multa prevista no regime disciplinar ao autuado deve observar o disposto nesta Resolução.</w:t>
            </w:r>
          </w:p>
        </w:tc>
      </w:tr>
      <w:tr w:rsidR="00E31838" w:rsidRPr="0010524E" w14:paraId="180B99CC" w14:textId="76B56D0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6CF5CF4"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10. O recolhimento da multa deve ser efetuado por GRU-Cobrança, que pode ser impressa mediante acesso à internet.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2DBFA0" w14:textId="6603A1F5"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262.  O recolhimento da multa deve ser efetuado por Guia de Recolhimento da União-Cobrança, que pode ser impressa mediante acesso à internet.</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21D45CC"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38BEFB27" w14:textId="5443827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017F629"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xml:space="preserve">§ 1º O recolhimento deve ser efetuado mediante utilização de GRU-Cobrança, </w:t>
            </w:r>
            <w:r w:rsidRPr="0010524E">
              <w:rPr>
                <w:rFonts w:ascii="Calibri" w:hAnsi="Calibri" w:cs="Calibri"/>
                <w:sz w:val="24"/>
                <w:szCs w:val="24"/>
              </w:rPr>
              <w:lastRenderedPageBreak/>
              <w:t>quando se tratar de débito inscrito em Dívida Ativa da União.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4B4E94" w14:textId="3E337E68"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 1º  O recolhimento deve ser efetuado mediante utilização de Guia de Recolhimento da União-Cobrança, </w:t>
            </w:r>
            <w:r w:rsidRPr="0010524E">
              <w:rPr>
                <w:rFonts w:ascii="Calibri" w:eastAsia="Calibri" w:hAnsi="Calibri" w:cs="Calibri"/>
                <w:sz w:val="24"/>
                <w:szCs w:val="24"/>
              </w:rPr>
              <w:lastRenderedPageBreak/>
              <w:t>quando se tratar de débito inscrito em Dívida Ativa da União.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E12226A"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346627AA" w14:textId="6AF1892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1B5CBF5"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2º As instruções necessárias ao preenchimento da GRU devem ser encaminhadas ao autuado juntamente com a notiﬁcação administrativa de cobrança de multa expedida pela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5E1FBE" w14:textId="09D141A7"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2º  As instruções necessárias ao preenchimento da Guia de Recolhimento da União devem ser encaminhadas ao autuado juntamente com a notiﬁcação administrativa de cobrança de multa expedida pela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3F4762A"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5D16712D" w14:textId="2FDDD7D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E0C68A4"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11. O autuado ﬁca obrigado a encaminhar à Previc o comprovante de pagamento da penalidade recebida, devidamente autenticado e sem rasuras, a ﬁm de que se proceda o encerramento do procedimento administrativo de cobrança.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D174B25" w14:textId="42C01735"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263.  O autuado ﬁca obrigado a encaminhar à Previc o comprovante de pagamento da penalidade recebida, devidamente autenticado e sem rasuras, a ﬁm de que se proceda o encerramento do procedimento administrativo de cobrança.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1AAB60B"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0096DC7E" w14:textId="5DCE8E9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100B97E"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12. O processo administrativo deve ser repassado à gestão da Procuradoria Federal junto à Previc para a realização da cobrança, em caso de vencimento do prazo estabelecido na notiﬁcação administrativa para o recolhimento da multa.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D8F110" w14:textId="6BE908BD"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264.  O processo administrativo deve ser repassado à gestão da Procuradoria Federal junto à Previc para a realização da cobrança, em caso de vencimento do prazo estabelecido na notiﬁcação administrativa para o recolhimento da multa.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4A4C7EE"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214764B8" w14:textId="67B6A1A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69577E2"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13. O não cumprimento da obrigação ou o recolhimento da multa referida no art. 9º em valor inferior ou em desacordo com a forma e os prazos previstos nesta Resolução sujeita o autuado 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24F617" w14:textId="582DA2C1"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265.  O não cumprimento da obrigação ou o recolhimento da multa referida no art. 261 em valor inferior ou em desacordo com a forma e os prazos previstos nesta Seção sujeita o autuado aos acréscimos previstos nos Incisos I e II do art. 258.</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8019F41"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Inclusão de remissão por sugestão da Difis,  tendo em vista que repete os incisos do art. 6º da Resolução Previc nº 20, de 2022.</w:t>
            </w:r>
          </w:p>
        </w:tc>
      </w:tr>
      <w:tr w:rsidR="00E31838" w:rsidRPr="0010524E" w14:paraId="758D14F3" w14:textId="12B8F22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AEFB418"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lastRenderedPageBreak/>
              <w:t>I - juros de mora: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DCE0F8" w14:textId="77777777" w:rsidR="00E31838" w:rsidRPr="0010524E" w:rsidRDefault="00E31838" w:rsidP="0045598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CAF8BA4"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Retirada de inciso por sugestão da Difis, tendo em vista que repete os incisos do art. 6º da Resolução Previc nº 20, de 2022.</w:t>
            </w:r>
          </w:p>
        </w:tc>
      </w:tr>
      <w:tr w:rsidR="00E31838" w:rsidRPr="0010524E" w14:paraId="068DEB93" w14:textId="6FD9689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069B094"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w:t>
            </w:r>
            <w:r w:rsidRPr="0010524E">
              <w:rPr>
                <w:rFonts w:ascii="Calibri" w:hAnsi="Calibri" w:cs="Calibri"/>
                <w:sz w:val="24"/>
                <w:szCs w:val="24"/>
              </w:rPr>
              <w:tab/>
              <w:t>calculados à taxa referencial do Sistema Especial de Liquidação e de Custódia (SELIC) aplicada aos títulos públicos federais, a partir do primeiro dia do mês subsequente ao vencimento do prazo até o mês anterior ao do pagamento;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1A7F2CF" w14:textId="77777777" w:rsidR="00E31838" w:rsidRPr="0010524E" w:rsidRDefault="00E31838" w:rsidP="0045598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31ACF43"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Retirada de inciso por sugestão da Difis, tendo em vista que repete os incisos do art. 6º da Resolução Previc nº 20, de 2022.</w:t>
            </w:r>
          </w:p>
        </w:tc>
      </w:tr>
      <w:tr w:rsidR="00E31838" w:rsidRPr="0010524E" w14:paraId="60BF1C7F" w14:textId="187B9B5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D931CA7"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b)</w:t>
            </w:r>
            <w:r w:rsidRPr="0010524E">
              <w:rPr>
                <w:rFonts w:ascii="Calibri" w:hAnsi="Calibri" w:cs="Calibri"/>
                <w:sz w:val="24"/>
                <w:szCs w:val="24"/>
              </w:rPr>
              <w:tab/>
              <w:t>de um por cento no mês do pagamento;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BEF9A0" w14:textId="77777777" w:rsidR="00E31838" w:rsidRPr="0010524E" w:rsidRDefault="00E31838" w:rsidP="0045598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C7B497D"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Retirada de inciso por sugestão da Difis, tendo em vista que repete os incisos do art. 6º da Resolução Previc nº 20, de 2022.</w:t>
            </w:r>
          </w:p>
        </w:tc>
      </w:tr>
      <w:tr w:rsidR="00E31838" w:rsidRPr="0010524E" w14:paraId="2EC1BA05" w14:textId="0A715A7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EB5170B"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II</w:t>
            </w:r>
            <w:r w:rsidRPr="0010524E">
              <w:rPr>
                <w:rFonts w:ascii="Calibri" w:hAnsi="Calibri" w:cs="Calibri"/>
                <w:sz w:val="24"/>
                <w:szCs w:val="24"/>
              </w:rPr>
              <w:tab/>
              <w:t>- multa de mora, calculada à taxa de trinta e três centésimos por cento, por dia de atraso.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441D1D9" w14:textId="77777777" w:rsidR="00E31838" w:rsidRPr="0010524E" w:rsidRDefault="00E31838" w:rsidP="0045598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C1C24F0"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Retirada de inciso por sugestão da Difis, tendo em vista que repete os incisos do art. 6º da Resolução Previc nº 20, de 2022.</w:t>
            </w:r>
          </w:p>
        </w:tc>
      </w:tr>
      <w:tr w:rsidR="00E31838" w:rsidRPr="0010524E" w14:paraId="3F8334C2" w14:textId="28C6F17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90A1972"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xml:space="preserve">§ 1º Os juros de mora referidos no inciso I do caput deste artigo, relativos a multas previstas no regime disciplinar aplicável às EFPC que, em razão de recurso, tenham sido conﬁrmadas pela instância superior, contam-se do primeiro dia do mês subsequente ao do </w:t>
            </w:r>
            <w:r w:rsidRPr="0010524E">
              <w:rPr>
                <w:rFonts w:ascii="Calibri" w:hAnsi="Calibri" w:cs="Calibri"/>
                <w:sz w:val="24"/>
                <w:szCs w:val="24"/>
              </w:rPr>
              <w:lastRenderedPageBreak/>
              <w:t>vencimento, previsto na intimação da decisão de primeira instância.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37F1D20" w14:textId="7F8A2CE1"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1º  Os juros de mora relativos a multas previstas no regime disciplinar aplicável às EFPC que, em razão de recurso, tenham sido conﬁrmadas pela instância superior, contam-se do primeiro dia do mês subsequente ao do vencimento, previsto na intimação da decisão de primeira instância.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E8D5859"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a remissão por ter sido alterado o caput do art. 453</w:t>
            </w:r>
          </w:p>
        </w:tc>
      </w:tr>
      <w:tr w:rsidR="00E31838" w:rsidRPr="0010524E" w14:paraId="57EB74D0" w14:textId="4E007F5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78BDC02"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2º A multa de mora de que trata o inciso II do caput deste artigo deve ser calculada a partir do primeiro dia subsequente ao do vencimento do prazo previsto para o pagamento da multa referida no art. 9º até o dia em que ocorrer o seu pagamento.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B83F0EC" w14:textId="64D3104B"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2º  A multa de mora deve ser calculada a partir do primeiro dia subsequente ao do vencimento do prazo previsto para o pagamento da multa referida no art. 262 até o dia em que ocorrer o seu pagamento.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FBE706A"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a remissão por ter sido alterado o caput do art. 453</w:t>
            </w:r>
          </w:p>
        </w:tc>
      </w:tr>
      <w:tr w:rsidR="00E31838" w:rsidRPr="0010524E" w14:paraId="1CC462E0" w14:textId="1EC183C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EED3563"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3º O percentual a ser aplicado na multa de mora de que trata o inciso II do caput deste artigo ﬁca limitado a vinte por cento.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261165" w14:textId="7482747C"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3º  O percentual a ser aplicado na multa de mora ﬁca limitado a vinte por cento.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8764866"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a remissão por ter sido alterado o caput do art. 453</w:t>
            </w:r>
          </w:p>
        </w:tc>
      </w:tr>
      <w:tr w:rsidR="00E31838" w:rsidRPr="0010524E" w14:paraId="36C19A09" w14:textId="20AA3E4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511DB7B" w14:textId="77777777" w:rsidR="00E31838" w:rsidRPr="0010524E" w:rsidRDefault="00E31838" w:rsidP="00A95720">
            <w:pPr>
              <w:jc w:val="center"/>
              <w:rPr>
                <w:rFonts w:ascii="Calibri" w:hAnsi="Calibri" w:cs="Calibri"/>
                <w:sz w:val="24"/>
                <w:szCs w:val="24"/>
              </w:rPr>
            </w:pPr>
            <w:r w:rsidRPr="0010524E">
              <w:rPr>
                <w:rFonts w:ascii="Calibri" w:hAnsi="Calibri" w:cs="Calibri"/>
                <w:sz w:val="24"/>
                <w:szCs w:val="24"/>
              </w:rPr>
              <w:t>CAPÍTULO III</w:t>
            </w:r>
          </w:p>
          <w:p w14:paraId="091DC8B1" w14:textId="77777777" w:rsidR="00E31838" w:rsidRPr="0010524E" w:rsidRDefault="00E31838" w:rsidP="00A95720">
            <w:pPr>
              <w:jc w:val="center"/>
              <w:rPr>
                <w:rFonts w:ascii="Calibri" w:hAnsi="Calibri" w:cs="Calibri"/>
                <w:sz w:val="24"/>
                <w:szCs w:val="24"/>
              </w:rPr>
            </w:pPr>
            <w:r w:rsidRPr="0010524E">
              <w:rPr>
                <w:rFonts w:ascii="Calibri" w:hAnsi="Calibri" w:cs="Calibri"/>
                <w:sz w:val="24"/>
                <w:szCs w:val="24"/>
              </w:rPr>
              <w:t>DA RESTITUIÇÃO E DA COMPENSAÇÃO DE QUANTIAS RECOLHIDAS A TÍTULO DE TAFIC E DE MULTA PREVISTA NO REGIME DISCIPLINAR APLICÁVEL ÀS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6A8DAF5" w14:textId="77777777" w:rsidR="00E31838" w:rsidRPr="0010524E" w:rsidRDefault="00E31838" w:rsidP="00A95720">
            <w:pPr>
              <w:pStyle w:val="PargrafodaLista"/>
              <w:tabs>
                <w:tab w:val="left" w:pos="993"/>
              </w:tabs>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III</w:t>
            </w:r>
          </w:p>
          <w:p w14:paraId="26E4CCBC" w14:textId="77777777" w:rsidR="00E31838" w:rsidRPr="0010524E" w:rsidRDefault="00E31838" w:rsidP="00A95720">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Restituição e compensação de quantias recolhidas a título de Tafic e de penalidade de multa prevista no regime disciplinar.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8F1912"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2764A3BB" w14:textId="6B23F82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C3F2496"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14. As quantias recolhidas a título de Taﬁc podem ser objeto de restituição ou de compensação, nas seguintes hipóteses: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6B55BF" w14:textId="59CFFF47"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266.  As quantias recolhidas a título de Taxa de Fiscalização e Controle da Previdência Complementar podem ser objeto de restituição ou de compensação, nas seguintes hipóteses: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9C5769F"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47707272" w14:textId="4E84BAD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AE9FB0C"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w:t>
            </w:r>
            <w:r w:rsidRPr="0010524E">
              <w:rPr>
                <w:rFonts w:ascii="Calibri" w:hAnsi="Calibri" w:cs="Calibri"/>
                <w:sz w:val="24"/>
                <w:szCs w:val="24"/>
              </w:rPr>
              <w:tab/>
              <w:t>- cobrança ou pagamento espontâneo, indevido ou em valor maior que o devido;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50EB73" w14:textId="4482D060"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 - cobrança ou pagamento espontâneo, indevido ou em valor maior que o devido;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46590CB"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2883381A" w14:textId="35CC6E6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FE349D1"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lastRenderedPageBreak/>
              <w:t>II</w:t>
            </w:r>
            <w:r w:rsidRPr="0010524E">
              <w:rPr>
                <w:rFonts w:ascii="Calibri" w:hAnsi="Calibri" w:cs="Calibri"/>
                <w:sz w:val="24"/>
                <w:szCs w:val="24"/>
              </w:rPr>
              <w:tab/>
              <w:t>- erro na identiﬁcação do sujeito passivo, no cálculo do montante do débito ou na elaboração ou conferência de qualquer documento relativo ao pagamento.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93BEEE" w14:textId="0E7F2B8B"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II - erro na identiﬁcação do sujeito passivo, no cálculo do montante do débito ou na elaboração ou conferência de qualquer documento relativo ao pagamento.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810686E"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699D08FB" w14:textId="099D468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D0C05E7"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1º Nas hipóteses mencionadas no caput deste artigo, a restituição deve contemplar as quantias recolhidas em razão dos acréscimos referidos no art. 6º.</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14B3B31" w14:textId="49249A16"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1º  Nas hipóteses mencionadas no caput deste artigo, a restituição deve contemplar as quantias recolhidas em razão dos acréscimos referidos no art. 258.</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E2AC38F"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3668E73C" w14:textId="1C3EA07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86E82B0"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2º A compensação somente pode ser realizada entre créditos tributários da Taﬁc, não sendo admitida a compensação de crédito tributário com crédito não-tributário, nem a compensação entre créditos não-tributários.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2987D4B" w14:textId="307566DA"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 2º  A compensação somente pode ser realizada entre créditos tributários da Taxa de Fiscalização e Controle da Previdência Complementar, não sendo admitida a compensação de crédito tributário com crédito não-tributário, nem a compensação entre créditos não-tributários.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F0B7A8A"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647C1A09" w14:textId="31D869F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17BC03C"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15. As quantias recolhidas a título de outras receitas arrecadadas, podem ser objeto de restituição, nas seguintes hipóteses: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38ABD07" w14:textId="0D18C5BB"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267.  As quantias recolhidas a título de outras receitas arrecadadas, podem ser objeto de restituição, nas seguintes hipóteses: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C827980"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C16FA87" w14:textId="2CCC35F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7FFB2E6"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w:t>
            </w:r>
            <w:r w:rsidRPr="0010524E">
              <w:rPr>
                <w:rFonts w:ascii="Calibri" w:hAnsi="Calibri" w:cs="Calibri"/>
                <w:sz w:val="24"/>
                <w:szCs w:val="24"/>
              </w:rPr>
              <w:tab/>
              <w:t>- cobrança ou pagamento espontâneo, indevido ou em valor maior que o devido;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7EDD0B" w14:textId="13B133C1"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 - cobrança ou pagamento espontâneo, indevido ou em valor maior que o devido;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8F2F7BD"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69C17DEC" w14:textId="022AF29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8960A53"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II</w:t>
            </w:r>
            <w:r w:rsidRPr="0010524E">
              <w:rPr>
                <w:rFonts w:ascii="Calibri" w:hAnsi="Calibri" w:cs="Calibri"/>
                <w:sz w:val="24"/>
                <w:szCs w:val="24"/>
              </w:rPr>
              <w:tab/>
              <w:t>- erro na identiﬁcação do sujeito passivo, no cálculo do montante do débito ou na elaboração ou conferência de qualquer documento relativo ao pagamento;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16E09A" w14:textId="0089B3A8"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II - erro na identiﬁcação do sujeito passivo, no cálculo do montante do débito ou na elaboração ou conferência de qualquer documento relativo ao pagamento;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BB3549A"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3725C92" w14:textId="339F7A49"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F08A8BE"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lastRenderedPageBreak/>
              <w:t>III</w:t>
            </w:r>
            <w:r w:rsidRPr="0010524E">
              <w:rPr>
                <w:rFonts w:ascii="Calibri" w:hAnsi="Calibri" w:cs="Calibri"/>
                <w:sz w:val="24"/>
                <w:szCs w:val="24"/>
              </w:rPr>
              <w:tab/>
              <w:t>- reforma, anulação, revogação ou rescisão de decisão condenatória.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A3E4AFA" w14:textId="37C0AAE9"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III - reforma, anulação, revogação ou rescisão de decisão condenatória.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CF3D60"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95F5714" w14:textId="43C2011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5563EEF"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Parágrafo único. Nas hipóteses mencionadas no caput deste artigo, a restituição pode contemplar as quantias recolhidas em razão dos acréscimos referidos no art. 13.</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B90DE5" w14:textId="6CCC0F8B"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Nas hipóteses mencionadas no caput deste artigo, a restituição pode contemplar as quantias recolhidas em razão dos acréscimos referidos no art. 265.</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E56F770"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828A12D" w14:textId="05EDB0A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99CA0D6"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16. Os requerimentos de restituição ou de compensação de crédito tributário e de restituição de crédito não tributário devem indicar o plano de benefícios ao qual o valor correspondente deve ser restituído ou compensado.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D31445" w14:textId="3E7403F3"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268.  Os requerimentos de restituição ou de compensação de crédito tributário e de restituição de crédito não tributário devem indicar o plano de benefícios ao qual o valor correspondente deve ser restituído ou compensado.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4BD95CE"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67A84BB6" w14:textId="78EE3DF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9BC3508"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17. O crédito tributário passível de restituição ou de compensação deve ser restituído ou compensado com o acréscimo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4B4D25" w14:textId="37F4E43A"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269.  O crédito tributário passível de restituição ou de compensação deve ser restituído ou compensado com os acréscimos de: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7DB6B17"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55EDCEA9" w14:textId="55431F6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E6D76B5"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 - juros: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6FE5AF" w14:textId="7B452BE2"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 - juros equivalentes à taxa referencial do Sistema Especial de Liquidação e Custódia, acumulados mensalmente, calculados a partir do mês subsequente ao do pagamento indevido da Tafic ou a maior que o devido, até o mês anterior ao da efetivação da restituição ou da compensação;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7CB1B94"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631FB320" w14:textId="517A420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F1E17B1"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 xml:space="preserve">a) equivalentes à taxa referencial do Sistema Especial de Liquidação e Custódia (Selic), </w:t>
            </w:r>
            <w:r w:rsidRPr="0010524E">
              <w:rPr>
                <w:rFonts w:ascii="Calibri" w:hAnsi="Calibri" w:cs="Calibri"/>
                <w:sz w:val="24"/>
                <w:szCs w:val="24"/>
              </w:rPr>
              <w:lastRenderedPageBreak/>
              <w:t>acumulados mensalmente, calculados a partir do mês subsequente ao do pagamento indevido ou a maior que o devido, até o mês anterior ao da efetivação da restituição ou da compensação;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07FA329" w14:textId="77777777" w:rsidR="00E31838" w:rsidRPr="0010524E" w:rsidRDefault="00E31838" w:rsidP="00455980">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BA34F23"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Texto realocado para inciso. </w:t>
            </w:r>
          </w:p>
        </w:tc>
      </w:tr>
      <w:tr w:rsidR="00E31838" w:rsidRPr="0010524E" w14:paraId="701D5D55" w14:textId="0BE3E7E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227C26B"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II - de um por cento, no mês da efetivação da restituição ou da compensação.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5A5D02" w14:textId="7B23FED1"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II - um por cento, no mês da efetivação da restituição ou da compensação.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7AF0345"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08DAF6A4" w14:textId="51ADD25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1927BF8"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Parágrafo único. O disposto neste artigo aplica-se ao crédito não tributário passível de restituição.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BAA96C2" w14:textId="52FA71E8"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O disposto no caput aplica-se ao crédito não tributário passível de restituição.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A667D20"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4917782" w14:textId="1313FD7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334A607"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18. A restituição é realizada exclusivamente mediante crédito em conta corrente, devendo o requerente, no momento da solicitação, indicar o banco, a agência e o número da conta bancária de sua titularidade em que pretende seja efetuado o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D23A14" w14:textId="67EA358B"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270.  A restituição é realizada exclusivamente mediante crédito em conta corrente, devendo o requerente, no momento da solicitação, indicar o banco, a agência e o número da conta bancária de sua titularidade em que pretende seja efetuado o crédito.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D0ADB73"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00FCD1B5" w14:textId="78AE4F2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BA2A0EE"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19. Antes de proceder à restituição de créditos tributários, a Previc deve veriﬁcar a existência de débitos de mesma natureza em nome do requerente.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90470BF" w14:textId="05059BB0"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271.  Antes de proceder à restituição de créditos tributários, a Previc deve veriﬁcar a existência de débitos de mesma natureza em nome do requerente.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A66489F"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42017431" w14:textId="447CCB3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E05CD57"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Parágrafo único. A Previc, veriﬁcada a existência dos débitos referidos no caput, deve realizar a sua compensação total com o crédito a ser restituído.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FA3727A" w14:textId="00663DA1"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A Previc, veriﬁcada a existência dos débitos referidos no caput, deve realizar a sua compensação total com o crédito a ser restituído.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C6B78AD"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33757FB2" w14:textId="0852510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CD352A4"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lastRenderedPageBreak/>
              <w:t>Art. 20. O direito de pleitear a restituição ou a compensação de créditos tributários ou de créditos não tributários extingue-se após cinco anos, contados: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164B6C" w14:textId="3E9211A0"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272.  O direito de pleitear a restituição ou a compensação de créditos tributários ou de créditos não tributários extingue-se após cinco anos, contados: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C585304"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3A40CAEF" w14:textId="1BD75A1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DB08ED4"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 - nas hipóteses do art. 14 e dos incisos I e II do art. 15, da data da extinção do crédito tributário;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9643993" w14:textId="169C4456"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 - nas hipóteses do art. 267 e dos incisos I e II do art. 268, da data da extinção do crédito tributário;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5019F15"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75706B6F" w14:textId="3285E5D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2B618A6"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II</w:t>
            </w:r>
            <w:r w:rsidRPr="0010524E">
              <w:rPr>
                <w:rFonts w:ascii="Calibri" w:hAnsi="Calibri" w:cs="Calibri"/>
                <w:sz w:val="24"/>
                <w:szCs w:val="24"/>
              </w:rPr>
              <w:tab/>
              <w:t>- nas hipóteses do inciso III do art. 15, da data em que se tornar deﬁnitiva a decisão administrativa ou transitar em julgado a decisão judicial que tenha reformado, anulado, revogado ou rescindido a decisão condenatória.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DC92BC" w14:textId="19839331"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II - nas hipóteses do inciso III do art. 268, da data em que se tornar deﬁnitiva a decisão administrativa ou transitar em julgado a decisão judicial que tenha reformado, anulado, revogado ou rescindido a decisão condenatória.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EF62EDB"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11CA3262" w14:textId="24AE2B0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4D68678"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Art. 21. Prescreve em dois anos a ação anulatória da decisão administrativa que denegar a restituição.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4F1A141" w14:textId="46CDBD53"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Art. 273.  Prescreve em dois anos a ação anulatória da decisão administrativa que denegar a restituição.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4C4179A"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21870E78" w14:textId="194944F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4FB9F5D" w14:textId="77777777" w:rsidR="00E31838" w:rsidRPr="0010524E" w:rsidRDefault="00E31838" w:rsidP="00455980">
            <w:pPr>
              <w:spacing w:after="120"/>
              <w:jc w:val="both"/>
              <w:rPr>
                <w:rFonts w:ascii="Calibri" w:hAnsi="Calibri" w:cs="Calibri"/>
                <w:sz w:val="24"/>
                <w:szCs w:val="24"/>
              </w:rPr>
            </w:pPr>
            <w:r w:rsidRPr="0010524E">
              <w:rPr>
                <w:rFonts w:ascii="Calibri" w:hAnsi="Calibri" w:cs="Calibri"/>
                <w:sz w:val="24"/>
                <w:szCs w:val="24"/>
              </w:rPr>
              <w:t>Parágrafo único. O prazo de prescrição referido neste artigo é interrompido pelo início da ação judicial, recomeçando o seu curso, por metade, a partir da data da intimação validamente feita ao representante judicial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41D6A63" w14:textId="3128A485" w:rsidR="00E31838" w:rsidRPr="0010524E" w:rsidRDefault="00E31838" w:rsidP="00455980">
            <w:pPr>
              <w:spacing w:after="120"/>
              <w:jc w:val="both"/>
              <w:rPr>
                <w:rFonts w:ascii="Calibri" w:eastAsia="Calibri" w:hAnsi="Calibri" w:cs="Calibri"/>
                <w:sz w:val="24"/>
                <w:szCs w:val="24"/>
              </w:rPr>
            </w:pPr>
            <w:r w:rsidRPr="0010524E">
              <w:rPr>
                <w:rFonts w:ascii="Calibri" w:eastAsia="Calibri" w:hAnsi="Calibri" w:cs="Calibri"/>
                <w:sz w:val="24"/>
                <w:szCs w:val="24"/>
              </w:rPr>
              <w:t>Parágrafo único. O prazo de prescrição referido no caput é interrompido pelo início da ação judicial, recomeçando o seu curso, por metade, a partir da data da intimação validamente feita ao representante judicial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78702E6" w14:textId="77777777" w:rsidR="00E31838" w:rsidRPr="0010524E" w:rsidRDefault="00E31838" w:rsidP="00455980">
            <w:pPr>
              <w:spacing w:after="120"/>
              <w:jc w:val="both"/>
              <w:rPr>
                <w:rFonts w:ascii="Calibri" w:eastAsia="Times New Roman" w:hAnsi="Calibri" w:cs="Calibri"/>
                <w:kern w:val="0"/>
                <w:sz w:val="24"/>
                <w:szCs w:val="24"/>
                <w:lang w:eastAsia="pt-BR"/>
                <w14:ligatures w14:val="none"/>
              </w:rPr>
            </w:pPr>
          </w:p>
        </w:tc>
      </w:tr>
      <w:tr w:rsidR="00E31838" w:rsidRPr="0010524E" w14:paraId="37576555" w14:textId="2D75D56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542CE0F" w14:textId="77777777" w:rsidR="00E31838" w:rsidRPr="0010524E" w:rsidRDefault="00E31838" w:rsidP="00455980">
            <w:pPr>
              <w:jc w:val="center"/>
              <w:rPr>
                <w:rFonts w:ascii="Calibri" w:hAnsi="Calibri" w:cs="Calibri"/>
                <w:sz w:val="24"/>
                <w:szCs w:val="24"/>
              </w:rPr>
            </w:pPr>
            <w:r w:rsidRPr="0010524E">
              <w:rPr>
                <w:rFonts w:ascii="Calibri" w:hAnsi="Calibri" w:cs="Calibri"/>
                <w:sz w:val="24"/>
                <w:szCs w:val="24"/>
              </w:rPr>
              <w:t>CAPÍTULO IV</w:t>
            </w:r>
          </w:p>
          <w:p w14:paraId="7EE805B0" w14:textId="77777777" w:rsidR="00E31838" w:rsidRPr="0010524E" w:rsidRDefault="00E31838" w:rsidP="00455980">
            <w:pPr>
              <w:jc w:val="center"/>
              <w:rPr>
                <w:rFonts w:ascii="Calibri" w:hAnsi="Calibri" w:cs="Calibri"/>
                <w:sz w:val="24"/>
                <w:szCs w:val="24"/>
              </w:rPr>
            </w:pPr>
            <w:r w:rsidRPr="0010524E">
              <w:rPr>
                <w:rFonts w:ascii="Calibri" w:hAnsi="Calibri" w:cs="Calibri"/>
                <w:sz w:val="24"/>
                <w:szCs w:val="24"/>
              </w:rPr>
              <w:lastRenderedPageBreak/>
              <w:t>DO PROCESSO ADMINISTRATIVO-FISCAL DE LANÇAMENTO DE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62F34E3" w14:textId="77777777" w:rsidR="00E31838" w:rsidRPr="0010524E" w:rsidRDefault="00E31838" w:rsidP="00455980">
            <w:pPr>
              <w:pStyle w:val="PargrafodaLista"/>
              <w:tabs>
                <w:tab w:val="left" w:pos="993"/>
              </w:tabs>
              <w:ind w:left="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lastRenderedPageBreak/>
              <w:t>Subseção IV</w:t>
            </w:r>
          </w:p>
          <w:p w14:paraId="7C0CBD5B" w14:textId="77777777" w:rsidR="00E31838" w:rsidRPr="0010524E" w:rsidRDefault="00E31838" w:rsidP="00455980">
            <w:pPr>
              <w:pStyle w:val="PargrafodaLista"/>
              <w:tabs>
                <w:tab w:val="left" w:pos="993"/>
              </w:tabs>
              <w:ind w:left="11"/>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lastRenderedPageBreak/>
              <w:t>Processo administrativo-fiscal de lançamento de crédito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FC9448C" w14:textId="77777777" w:rsidR="00E31838" w:rsidRPr="0010524E" w:rsidRDefault="00E31838" w:rsidP="00455980">
            <w:pPr>
              <w:jc w:val="both"/>
              <w:rPr>
                <w:rFonts w:ascii="Calibri" w:eastAsia="Times New Roman" w:hAnsi="Calibri" w:cs="Calibri"/>
                <w:kern w:val="0"/>
                <w:sz w:val="24"/>
                <w:szCs w:val="24"/>
                <w:lang w:eastAsia="pt-BR"/>
                <w14:ligatures w14:val="none"/>
              </w:rPr>
            </w:pPr>
          </w:p>
        </w:tc>
      </w:tr>
      <w:tr w:rsidR="00E31838" w:rsidRPr="0010524E" w14:paraId="41E79AE1" w14:textId="511B495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ED749BE" w14:textId="77777777" w:rsidR="00E31838" w:rsidRPr="00E4351F" w:rsidRDefault="00E31838" w:rsidP="00455980">
            <w:pPr>
              <w:spacing w:after="0"/>
              <w:jc w:val="center"/>
              <w:rPr>
                <w:rFonts w:ascii="Calibri" w:hAnsi="Calibri" w:cs="Calibri"/>
                <w:b/>
                <w:bCs/>
                <w:sz w:val="24"/>
                <w:szCs w:val="24"/>
              </w:rPr>
            </w:pPr>
            <w:r w:rsidRPr="00E4351F">
              <w:rPr>
                <w:rFonts w:ascii="Calibri" w:hAnsi="Calibri" w:cs="Calibri"/>
                <w:b/>
                <w:bCs/>
                <w:sz w:val="24"/>
                <w:szCs w:val="24"/>
              </w:rPr>
              <w:t>Seção I</w:t>
            </w:r>
          </w:p>
          <w:p w14:paraId="1434CC07" w14:textId="77777777" w:rsidR="00E31838" w:rsidRPr="0010524E" w:rsidRDefault="00E31838" w:rsidP="00455980">
            <w:pPr>
              <w:spacing w:after="0"/>
              <w:jc w:val="center"/>
              <w:rPr>
                <w:rFonts w:ascii="Calibri" w:hAnsi="Calibri" w:cs="Calibri"/>
                <w:sz w:val="24"/>
                <w:szCs w:val="24"/>
              </w:rPr>
            </w:pPr>
            <w:r w:rsidRPr="00E4351F">
              <w:rPr>
                <w:rFonts w:ascii="Calibri" w:hAnsi="Calibri" w:cs="Calibri"/>
                <w:b/>
                <w:bCs/>
                <w:sz w:val="24"/>
                <w:szCs w:val="24"/>
              </w:rPr>
              <w:t>Do Lançamento do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883DF64" w14:textId="77777777" w:rsidR="00E31838" w:rsidRPr="0010524E" w:rsidRDefault="00E31838" w:rsidP="00455980">
            <w:pPr>
              <w:pStyle w:val="PargrafodaLista"/>
              <w:tabs>
                <w:tab w:val="left" w:pos="993"/>
              </w:tabs>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1DD7AC" w14:textId="266B5810" w:rsidR="00E31838" w:rsidRPr="0010524E" w:rsidRDefault="00E31838" w:rsidP="00455980">
            <w:pPr>
              <w:jc w:val="both"/>
              <w:rPr>
                <w:rFonts w:ascii="Calibri" w:eastAsia="Times New Roman" w:hAnsi="Calibri" w:cs="Calibri"/>
                <w:kern w:val="0"/>
                <w:sz w:val="24"/>
                <w:szCs w:val="24"/>
                <w:lang w:eastAsia="pt-BR"/>
                <w14:ligatures w14:val="none"/>
              </w:rPr>
            </w:pPr>
          </w:p>
        </w:tc>
      </w:tr>
      <w:tr w:rsidR="00E31838" w:rsidRPr="0010524E" w14:paraId="50B65BAF" w14:textId="7418703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D2D88D2" w14:textId="77777777" w:rsidR="00E31838" w:rsidRPr="0010524E" w:rsidRDefault="00E31838" w:rsidP="000F7568">
            <w:pPr>
              <w:jc w:val="both"/>
              <w:rPr>
                <w:rFonts w:ascii="Calibri" w:hAnsi="Calibri" w:cs="Calibri"/>
                <w:sz w:val="24"/>
                <w:szCs w:val="24"/>
              </w:rPr>
            </w:pPr>
            <w:r w:rsidRPr="0010524E">
              <w:rPr>
                <w:rFonts w:ascii="Calibri" w:hAnsi="Calibri" w:cs="Calibri"/>
                <w:sz w:val="24"/>
                <w:szCs w:val="24"/>
              </w:rPr>
              <w:t>Art. 22. O processo administrativo-ﬁscal de lançamento da Taﬁc e da multa prevista no regime disciplinar aplicável às EFPC deve ser iniciado com a emissão da Notiﬁcação de Lançamento de Crédito pela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E6CD63" w14:textId="63AFB04D"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Art. 274.  O processo administrativo-ﬁscal de lançamento da Taxa de Fiscalização e Controle da Previdência Complementar e da multa prevista no regime disciplinar aplicável ao autuado deve ser iniciado com a emissão da Notiﬁcação de Lançamento de Crédito pela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F62146C" w14:textId="77777777" w:rsidR="00E31838" w:rsidRPr="0010524E" w:rsidRDefault="00E31838" w:rsidP="000F7568">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 xml:space="preserve">Sugestão apresentada pela difis. A penalidade administrativa de multa não é aplicável às efpc e sim ao autuado, pessoa física. </w:t>
            </w:r>
          </w:p>
        </w:tc>
      </w:tr>
      <w:tr w:rsidR="00E31838" w:rsidRPr="0010524E" w14:paraId="5E8FED2A" w14:textId="5A3E5A1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EE82A5A" w14:textId="77777777" w:rsidR="00E31838" w:rsidRPr="0010524E" w:rsidRDefault="00E31838" w:rsidP="000F7568">
            <w:pPr>
              <w:jc w:val="both"/>
              <w:rPr>
                <w:rFonts w:ascii="Calibri" w:hAnsi="Calibri" w:cs="Calibri"/>
                <w:sz w:val="24"/>
                <w:szCs w:val="24"/>
              </w:rPr>
            </w:pPr>
            <w:r w:rsidRPr="0010524E">
              <w:rPr>
                <w:rFonts w:ascii="Calibri" w:hAnsi="Calibri" w:cs="Calibri"/>
                <w:sz w:val="24"/>
                <w:szCs w:val="24"/>
              </w:rPr>
              <w:t>§ 1º O lançamento a que se refere o caput deve ser realizado em relação: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ADC079" w14:textId="61272458"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 1º  O lançamento a que se refere o caput deve ser realizado em relação: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3BDAC83" w14:textId="77777777" w:rsidR="00E31838" w:rsidRPr="0010524E" w:rsidRDefault="00E31838" w:rsidP="000F7568">
            <w:pPr>
              <w:jc w:val="both"/>
              <w:rPr>
                <w:rFonts w:ascii="Calibri" w:eastAsia="Times New Roman" w:hAnsi="Calibri" w:cs="Calibri"/>
                <w:kern w:val="0"/>
                <w:sz w:val="24"/>
                <w:szCs w:val="24"/>
                <w:lang w:eastAsia="pt-BR"/>
                <w14:ligatures w14:val="none"/>
              </w:rPr>
            </w:pPr>
          </w:p>
        </w:tc>
      </w:tr>
      <w:tr w:rsidR="00E31838" w:rsidRPr="0010524E" w14:paraId="29174FF4" w14:textId="3D81790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28A3A5A" w14:textId="77777777" w:rsidR="00E31838" w:rsidRPr="0010524E" w:rsidRDefault="00E31838" w:rsidP="000F7568">
            <w:pPr>
              <w:jc w:val="both"/>
              <w:rPr>
                <w:rFonts w:ascii="Calibri" w:hAnsi="Calibri" w:cs="Calibri"/>
                <w:sz w:val="24"/>
                <w:szCs w:val="24"/>
              </w:rPr>
            </w:pPr>
            <w:r w:rsidRPr="0010524E">
              <w:rPr>
                <w:rFonts w:ascii="Calibri" w:hAnsi="Calibri" w:cs="Calibri"/>
                <w:sz w:val="24"/>
                <w:szCs w:val="24"/>
              </w:rPr>
              <w:t xml:space="preserve">I - à EFPC, considerando o plano de benefícios por ela administrado como inadimplente; ou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BED5D39" w14:textId="5F9322D4"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à EFPC, considerando o plano de benefícios por ela administrado como inadimplente;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C1E14F7" w14:textId="77777777" w:rsidR="00E31838" w:rsidRPr="0010524E" w:rsidRDefault="00E31838" w:rsidP="000F7568">
            <w:pPr>
              <w:jc w:val="both"/>
              <w:rPr>
                <w:rFonts w:ascii="Calibri" w:eastAsia="Times New Roman" w:hAnsi="Calibri" w:cs="Calibri"/>
                <w:kern w:val="0"/>
                <w:sz w:val="24"/>
                <w:szCs w:val="24"/>
                <w:lang w:eastAsia="pt-BR"/>
                <w14:ligatures w14:val="none"/>
              </w:rPr>
            </w:pPr>
          </w:p>
        </w:tc>
      </w:tr>
      <w:tr w:rsidR="00E31838" w:rsidRPr="0010524E" w14:paraId="337F9673" w14:textId="4E482F2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E62FFCE" w14:textId="77777777" w:rsidR="00E31838" w:rsidRPr="0010524E" w:rsidRDefault="00E31838" w:rsidP="000F7568">
            <w:pPr>
              <w:jc w:val="both"/>
              <w:rPr>
                <w:rFonts w:ascii="Calibri" w:hAnsi="Calibri" w:cs="Calibri"/>
                <w:sz w:val="24"/>
                <w:szCs w:val="24"/>
              </w:rPr>
            </w:pPr>
            <w:r w:rsidRPr="0010524E">
              <w:rPr>
                <w:rFonts w:ascii="Calibri" w:hAnsi="Calibri" w:cs="Calibri"/>
                <w:sz w:val="24"/>
                <w:szCs w:val="24"/>
              </w:rPr>
              <w:t>II - ao autuado.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FC7C92" w14:textId="241A685A"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II - ao autuado.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F43B4E6" w14:textId="77777777" w:rsidR="00E31838" w:rsidRPr="0010524E" w:rsidRDefault="00E31838" w:rsidP="000F7568">
            <w:pPr>
              <w:jc w:val="both"/>
              <w:rPr>
                <w:rFonts w:ascii="Calibri" w:eastAsia="Times New Roman" w:hAnsi="Calibri" w:cs="Calibri"/>
                <w:kern w:val="0"/>
                <w:sz w:val="24"/>
                <w:szCs w:val="24"/>
                <w:lang w:eastAsia="pt-BR"/>
                <w14:ligatures w14:val="none"/>
              </w:rPr>
            </w:pPr>
          </w:p>
        </w:tc>
      </w:tr>
      <w:tr w:rsidR="00E31838" w:rsidRPr="0010524E" w14:paraId="333795D6" w14:textId="60E424B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0BB8AC6" w14:textId="77777777" w:rsidR="00E31838" w:rsidRPr="0010524E" w:rsidRDefault="00E31838" w:rsidP="000F7568">
            <w:pPr>
              <w:jc w:val="both"/>
              <w:rPr>
                <w:rFonts w:ascii="Calibri" w:hAnsi="Calibri" w:cs="Calibri"/>
                <w:sz w:val="24"/>
                <w:szCs w:val="24"/>
              </w:rPr>
            </w:pPr>
            <w:r w:rsidRPr="0010524E">
              <w:rPr>
                <w:rFonts w:ascii="Calibri" w:hAnsi="Calibri" w:cs="Calibri"/>
                <w:sz w:val="24"/>
                <w:szCs w:val="24"/>
              </w:rPr>
              <w:t>§ 2º Devem ser lavradas Notiﬁcações de Lançamento de Crédito especíﬁcas, para cada plano de benefícios ou o autuado inadimplente.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C7B554" w14:textId="47FAED7B"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 2º  Devem ser lavradas Notiﬁcações de Lançamento de Crédito especíﬁcas, para cada plano de benefícios ou o autuado inadimplente.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9844AD5" w14:textId="77777777" w:rsidR="00E31838" w:rsidRPr="0010524E" w:rsidRDefault="00E31838" w:rsidP="000F7568">
            <w:pPr>
              <w:jc w:val="both"/>
              <w:rPr>
                <w:rFonts w:ascii="Calibri" w:eastAsia="Times New Roman" w:hAnsi="Calibri" w:cs="Calibri"/>
                <w:kern w:val="0"/>
                <w:sz w:val="24"/>
                <w:szCs w:val="24"/>
                <w:lang w:eastAsia="pt-BR"/>
                <w14:ligatures w14:val="none"/>
              </w:rPr>
            </w:pPr>
          </w:p>
        </w:tc>
      </w:tr>
      <w:tr w:rsidR="00E31838" w:rsidRPr="0010524E" w14:paraId="164B0DAF" w14:textId="5B4CB4C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67BFF04" w14:textId="77777777" w:rsidR="00E31838" w:rsidRPr="0010524E" w:rsidRDefault="00E31838" w:rsidP="000F7568">
            <w:pPr>
              <w:jc w:val="both"/>
              <w:rPr>
                <w:rFonts w:ascii="Calibri" w:hAnsi="Calibri" w:cs="Calibri"/>
                <w:sz w:val="24"/>
                <w:szCs w:val="24"/>
              </w:rPr>
            </w:pPr>
            <w:r w:rsidRPr="0010524E">
              <w:rPr>
                <w:rFonts w:ascii="Calibri" w:hAnsi="Calibri" w:cs="Calibri"/>
                <w:sz w:val="24"/>
                <w:szCs w:val="24"/>
              </w:rPr>
              <w:t xml:space="preserve">Art. 23. Durante a vigência de medida judicial que determine a suspensão da exigibilidade do crédito tributário ou do crédito não tributário, a autoridade competente deve </w:t>
            </w:r>
            <w:r w:rsidRPr="0010524E">
              <w:rPr>
                <w:rFonts w:ascii="Calibri" w:hAnsi="Calibri" w:cs="Calibri"/>
                <w:sz w:val="24"/>
                <w:szCs w:val="24"/>
              </w:rPr>
              <w:lastRenderedPageBreak/>
              <w:t>expedir Notiﬁcação de Lançamento de Crédito ao sujeito passivo favorecido pela decisão, a ﬁm de evitar a consumação do prazo decadencial.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F33936" w14:textId="337E5418"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Art. 275.  Durante a vigência de medida judicial que determine a suspensão da exigibilidade do crédito tributário ou do crédito não tributário, a autoridade competente deve expedir Notiﬁcação de Lançamento </w:t>
            </w:r>
            <w:r w:rsidRPr="0010524E">
              <w:rPr>
                <w:rFonts w:ascii="Calibri" w:eastAsia="Calibri" w:hAnsi="Calibri" w:cs="Calibri"/>
                <w:sz w:val="24"/>
                <w:szCs w:val="24"/>
              </w:rPr>
              <w:lastRenderedPageBreak/>
              <w:t>de Crédito ao sujeito passivo favorecido pela decisão, a ﬁm de evitar a consumação do prazo decadencial.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6E690BA" w14:textId="77777777" w:rsidR="00E31838" w:rsidRPr="0010524E" w:rsidRDefault="00E31838" w:rsidP="000F7568">
            <w:pPr>
              <w:jc w:val="both"/>
              <w:rPr>
                <w:rFonts w:ascii="Calibri" w:eastAsia="Times New Roman" w:hAnsi="Calibri" w:cs="Calibri"/>
                <w:kern w:val="0"/>
                <w:sz w:val="24"/>
                <w:szCs w:val="24"/>
                <w:lang w:eastAsia="pt-BR"/>
                <w14:ligatures w14:val="none"/>
              </w:rPr>
            </w:pPr>
          </w:p>
        </w:tc>
      </w:tr>
      <w:tr w:rsidR="00E31838" w:rsidRPr="0010524E" w14:paraId="37D03074" w14:textId="0C5A5C6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858AB72" w14:textId="77777777" w:rsidR="00E31838" w:rsidRPr="0010524E" w:rsidRDefault="00E31838" w:rsidP="000F7568">
            <w:pPr>
              <w:jc w:val="both"/>
              <w:rPr>
                <w:rFonts w:ascii="Calibri" w:hAnsi="Calibri" w:cs="Calibri"/>
                <w:sz w:val="24"/>
                <w:szCs w:val="24"/>
              </w:rPr>
            </w:pPr>
            <w:r w:rsidRPr="0010524E">
              <w:rPr>
                <w:rFonts w:ascii="Calibri" w:hAnsi="Calibri" w:cs="Calibri"/>
                <w:sz w:val="24"/>
                <w:szCs w:val="24"/>
              </w:rPr>
              <w:t>Parágrafo único. Efetuado o lançamento do crédito tributário ou do crédito não tributário correspondente à Notiﬁcação de Lançamento de Crédito referida no caput: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B60915" w14:textId="3B47D6A5"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Parágrafo único. Efetuado o lançamento do crédito tributário ou do crédito não tributário correspondente à Notiﬁcação de Lançamento de Crédito referida no caput:</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E874E35" w14:textId="77777777" w:rsidR="00E31838" w:rsidRPr="0010524E" w:rsidRDefault="00E31838" w:rsidP="000F7568">
            <w:pPr>
              <w:jc w:val="both"/>
              <w:rPr>
                <w:rFonts w:ascii="Calibri" w:eastAsia="Times New Roman" w:hAnsi="Calibri" w:cs="Calibri"/>
                <w:kern w:val="0"/>
                <w:sz w:val="24"/>
                <w:szCs w:val="24"/>
                <w:lang w:eastAsia="pt-BR"/>
                <w14:ligatures w14:val="none"/>
              </w:rPr>
            </w:pPr>
          </w:p>
        </w:tc>
      </w:tr>
      <w:tr w:rsidR="00E31838" w:rsidRPr="0010524E" w14:paraId="2C5C71F0" w14:textId="173EA2A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8DFACE1" w14:textId="77777777" w:rsidR="00E31838" w:rsidRPr="0010524E" w:rsidRDefault="00E31838" w:rsidP="000F7568">
            <w:pPr>
              <w:jc w:val="both"/>
              <w:rPr>
                <w:rFonts w:ascii="Calibri" w:hAnsi="Calibri" w:cs="Calibri"/>
                <w:sz w:val="24"/>
                <w:szCs w:val="24"/>
              </w:rPr>
            </w:pPr>
            <w:r w:rsidRPr="0010524E">
              <w:rPr>
                <w:rFonts w:ascii="Calibri" w:hAnsi="Calibri" w:cs="Calibri"/>
                <w:sz w:val="24"/>
                <w:szCs w:val="24"/>
              </w:rPr>
              <w:t>I - o sujeito passivo deve ser devidamente notiﬁcado, com o esclarecimento de que a exigibilidade do crédito tributário permanecerá suspensa durante a vigência da medida judicial;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7F80C4E" w14:textId="4B14FB46"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 - o sujeito passivo deve ser devidamente notiﬁcado, com o esclarecimento de que a exigibilidade do crédito tributário permanecerá suspensa durante a vigência da medida judicial;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1FCDAA4" w14:textId="77777777" w:rsidR="00E31838" w:rsidRPr="0010524E" w:rsidRDefault="00E31838" w:rsidP="000F7568">
            <w:pPr>
              <w:jc w:val="both"/>
              <w:rPr>
                <w:rFonts w:ascii="Calibri" w:eastAsia="Times New Roman" w:hAnsi="Calibri" w:cs="Calibri"/>
                <w:kern w:val="0"/>
                <w:sz w:val="24"/>
                <w:szCs w:val="24"/>
                <w:lang w:eastAsia="pt-BR"/>
                <w14:ligatures w14:val="none"/>
              </w:rPr>
            </w:pPr>
          </w:p>
        </w:tc>
      </w:tr>
      <w:tr w:rsidR="00E31838" w:rsidRPr="0010524E" w14:paraId="0F9D98D1" w14:textId="4EED28E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18BCC0B" w14:textId="77777777" w:rsidR="00E31838" w:rsidRPr="0010524E" w:rsidRDefault="00E31838" w:rsidP="000F7568">
            <w:pPr>
              <w:jc w:val="both"/>
              <w:rPr>
                <w:rFonts w:ascii="Calibri" w:hAnsi="Calibri" w:cs="Calibri"/>
                <w:sz w:val="24"/>
                <w:szCs w:val="24"/>
              </w:rPr>
            </w:pPr>
            <w:r w:rsidRPr="0010524E">
              <w:rPr>
                <w:rFonts w:ascii="Calibri" w:hAnsi="Calibri" w:cs="Calibri"/>
                <w:sz w:val="24"/>
                <w:szCs w:val="24"/>
              </w:rPr>
              <w:t>II - o processo administrativo ﬁscal deve prosseguir até a decisão ﬁnal, ﬁcando a eventual inscrição em dívida ativa e o ajuizamento da execução ﬁscal sobrestados até a cessação dos efeitos da decisão que tiver determinado a suspensão da exigibilidade do crédito tributário.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B1FA341" w14:textId="1F77946A"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II - o processo administrativo ﬁscal deve prosseguir até a decisão ﬁnal, ﬁcando a eventual inscrição em dívida ativa e o ajuizamento da execução ﬁscal sobrestados até a cessação dos efeitos da decisão que tiver determinado a suspensão da exigibilidade do crédito tributário.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7C6C5C3" w14:textId="77777777" w:rsidR="00E31838" w:rsidRPr="0010524E" w:rsidRDefault="00E31838" w:rsidP="000F7568">
            <w:pPr>
              <w:jc w:val="both"/>
              <w:rPr>
                <w:rFonts w:ascii="Calibri" w:eastAsia="Times New Roman" w:hAnsi="Calibri" w:cs="Calibri"/>
                <w:kern w:val="0"/>
                <w:sz w:val="24"/>
                <w:szCs w:val="24"/>
                <w:lang w:eastAsia="pt-BR"/>
                <w14:ligatures w14:val="none"/>
              </w:rPr>
            </w:pPr>
          </w:p>
        </w:tc>
      </w:tr>
      <w:tr w:rsidR="00E31838" w:rsidRPr="0010524E" w14:paraId="2887F540" w14:textId="5A98446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BFC4EA3" w14:textId="77777777" w:rsidR="00E31838" w:rsidRPr="0010524E" w:rsidRDefault="00E31838" w:rsidP="000F7568">
            <w:pPr>
              <w:jc w:val="both"/>
              <w:rPr>
                <w:rFonts w:ascii="Calibri" w:hAnsi="Calibri" w:cs="Calibri"/>
                <w:sz w:val="24"/>
                <w:szCs w:val="24"/>
              </w:rPr>
            </w:pPr>
            <w:r w:rsidRPr="0010524E">
              <w:rPr>
                <w:rFonts w:ascii="Calibri" w:hAnsi="Calibri" w:cs="Calibri"/>
                <w:sz w:val="24"/>
                <w:szCs w:val="24"/>
              </w:rPr>
              <w:t xml:space="preserve">Art. 24. Para dar cumprimento à decisão judicial de que trata o art. 21 e como condição para a efetivação da restituição ou compensação, a autoridade competente pode </w:t>
            </w:r>
            <w:r w:rsidRPr="0010524E">
              <w:rPr>
                <w:rFonts w:ascii="Calibri" w:hAnsi="Calibri" w:cs="Calibri"/>
                <w:sz w:val="24"/>
                <w:szCs w:val="24"/>
              </w:rPr>
              <w:lastRenderedPageBreak/>
              <w:t>exigir do sujeito passivo cópia do inteiro teor da decisão.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618C59" w14:textId="1C2A669A"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Art. 276.  Para dar cumprimento à decisão judicial de que trata o art. 273 e como condição para a efetivação da restituição ou compensação, a autoridade </w:t>
            </w:r>
            <w:r w:rsidRPr="0010524E">
              <w:rPr>
                <w:rFonts w:ascii="Calibri" w:eastAsia="Calibri" w:hAnsi="Calibri" w:cs="Calibri"/>
                <w:sz w:val="24"/>
                <w:szCs w:val="24"/>
              </w:rPr>
              <w:lastRenderedPageBreak/>
              <w:t>competente pode exigir do sujeito passivo cópia do inteiro teor da decisão.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E51F098" w14:textId="77777777" w:rsidR="00E31838" w:rsidRPr="0010524E" w:rsidRDefault="00E31838" w:rsidP="000F7568">
            <w:pPr>
              <w:jc w:val="both"/>
              <w:rPr>
                <w:rFonts w:ascii="Calibri" w:eastAsia="Times New Roman" w:hAnsi="Calibri" w:cs="Calibri"/>
                <w:kern w:val="0"/>
                <w:sz w:val="24"/>
                <w:szCs w:val="24"/>
                <w:lang w:eastAsia="pt-BR"/>
                <w14:ligatures w14:val="none"/>
              </w:rPr>
            </w:pPr>
          </w:p>
        </w:tc>
      </w:tr>
      <w:tr w:rsidR="00E31838" w:rsidRPr="0010524E" w14:paraId="1321AFB6" w14:textId="103C9F5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2D85FD0" w14:textId="77777777" w:rsidR="00E31838" w:rsidRPr="00E4351F" w:rsidRDefault="00E31838" w:rsidP="000F7568">
            <w:pPr>
              <w:spacing w:after="0"/>
              <w:jc w:val="center"/>
              <w:rPr>
                <w:rFonts w:ascii="Calibri" w:hAnsi="Calibri" w:cs="Calibri"/>
                <w:b/>
                <w:bCs/>
                <w:sz w:val="24"/>
                <w:szCs w:val="24"/>
              </w:rPr>
            </w:pPr>
            <w:r w:rsidRPr="00E4351F">
              <w:rPr>
                <w:rFonts w:ascii="Calibri" w:hAnsi="Calibri" w:cs="Calibri"/>
                <w:b/>
                <w:bCs/>
                <w:sz w:val="24"/>
                <w:szCs w:val="24"/>
              </w:rPr>
              <w:t>Seção II</w:t>
            </w:r>
          </w:p>
          <w:p w14:paraId="41E04D95" w14:textId="77777777" w:rsidR="00E31838" w:rsidRPr="0010524E" w:rsidRDefault="00E31838" w:rsidP="000F7568">
            <w:pPr>
              <w:spacing w:after="0"/>
              <w:jc w:val="center"/>
              <w:rPr>
                <w:rFonts w:ascii="Calibri" w:hAnsi="Calibri" w:cs="Calibri"/>
                <w:sz w:val="24"/>
                <w:szCs w:val="24"/>
              </w:rPr>
            </w:pPr>
            <w:r w:rsidRPr="00E4351F">
              <w:rPr>
                <w:rFonts w:ascii="Calibri" w:hAnsi="Calibri" w:cs="Calibri"/>
                <w:b/>
                <w:bCs/>
                <w:sz w:val="24"/>
                <w:szCs w:val="24"/>
              </w:rPr>
              <w:t>Da Notiﬁcação de Lançamento de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50D2E9D" w14:textId="77777777" w:rsidR="00E31838" w:rsidRPr="0010524E" w:rsidRDefault="00E31838" w:rsidP="000F7568">
            <w:pPr>
              <w:pStyle w:val="PargrafodaLista"/>
              <w:tabs>
                <w:tab w:val="left" w:pos="993"/>
              </w:tabs>
              <w:ind w:left="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w:t>
            </w:r>
          </w:p>
          <w:p w14:paraId="75C21393" w14:textId="77777777" w:rsidR="00E31838" w:rsidRPr="0010524E" w:rsidRDefault="00E31838" w:rsidP="000F7568">
            <w:pPr>
              <w:pStyle w:val="PargrafodaLista"/>
              <w:tabs>
                <w:tab w:val="left" w:pos="993"/>
              </w:tabs>
              <w:ind w:left="11"/>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Notiﬁcação de Lançamento de Crédito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175E6BD" w14:textId="77777777" w:rsidR="00E31838" w:rsidRPr="0010524E" w:rsidRDefault="00E31838" w:rsidP="000F7568">
            <w:pPr>
              <w:jc w:val="both"/>
              <w:rPr>
                <w:rFonts w:ascii="Calibri" w:eastAsia="Times New Roman" w:hAnsi="Calibri" w:cs="Calibri"/>
                <w:kern w:val="0"/>
                <w:sz w:val="24"/>
                <w:szCs w:val="24"/>
                <w:lang w:eastAsia="pt-BR"/>
                <w14:ligatures w14:val="none"/>
              </w:rPr>
            </w:pPr>
          </w:p>
        </w:tc>
      </w:tr>
      <w:tr w:rsidR="00E31838" w:rsidRPr="0010524E" w14:paraId="266DEC10" w14:textId="599856E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E5EA4CC"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 xml:space="preserve">Art. 25. A Notiﬁcação de Lançamento de Crédito deve conter as seguintes informações: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E4EB1E" w14:textId="52595863"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277.  A Notiﬁcação de Lançamento de Crédito deve conter as seguintes informações: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C1CC2E6"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11281C3E" w14:textId="6D51954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205FB0D"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 - a qualiﬁcação do sujeito passivo;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A7D0861" w14:textId="564C9BC4"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 - a qualiﬁcação do sujeito passivo;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9B71EDF"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7718F3B8" w14:textId="1193BB5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AD03816"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II</w:t>
            </w:r>
            <w:r w:rsidRPr="0010524E">
              <w:rPr>
                <w:rFonts w:ascii="Calibri" w:hAnsi="Calibri" w:cs="Calibri"/>
                <w:sz w:val="24"/>
                <w:szCs w:val="24"/>
              </w:rPr>
              <w:tab/>
              <w:t>- o valor do crédito tributário ou do crédito não tributário, com discriminação do principal, multa e juros moratórios, em moeda corrente, nos termos dos arts. 6º e 13;</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1047B5C" w14:textId="349AD238"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II - o valor do crédito tributário ou do crédito não tributário, com discriminação do principal, multa e juros moratórios, em moeda corrente, nos termos dos arts. 258 e 265;</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3FD4A52"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47C306D7" w14:textId="104F0A2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34AC212"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III</w:t>
            </w:r>
            <w:r w:rsidRPr="0010524E">
              <w:rPr>
                <w:rFonts w:ascii="Calibri" w:hAnsi="Calibri" w:cs="Calibri"/>
                <w:sz w:val="24"/>
                <w:szCs w:val="24"/>
              </w:rPr>
              <w:tab/>
              <w:t>- os dispositivos legais que embasaram a Notiﬁcação de Lançamento de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03F97E" w14:textId="608A10E7"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III - os dispositivos legais que embasaram a Notiﬁcação de Lançamento de Crédito;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1871F27"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21DA5D4E" w14:textId="30E04A9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FEA409F"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IV</w:t>
            </w:r>
            <w:r w:rsidRPr="0010524E">
              <w:rPr>
                <w:rFonts w:ascii="Calibri" w:hAnsi="Calibri" w:cs="Calibri"/>
                <w:sz w:val="24"/>
                <w:szCs w:val="24"/>
              </w:rPr>
              <w:tab/>
              <w:t>- o prazo e o modo por meio dos quais poderá o devedor realizar o pagamento do crédito tributário ou do crédito não tributário notiﬁcado ou apresentar impugnação do lançamento correspondente;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BDD76B" w14:textId="31C72976"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IV - o prazo e o modo por meio dos quais pode o devedor realizar o pagamento do crédito tributário ou do crédito não tributário notiﬁcado ou apresentar impugnação do lançamento correspondente;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5FE24E6"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2DB1DD4E" w14:textId="640BD69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13A3354"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V</w:t>
            </w:r>
            <w:r w:rsidRPr="0010524E">
              <w:rPr>
                <w:rFonts w:ascii="Calibri" w:hAnsi="Calibri" w:cs="Calibri"/>
                <w:sz w:val="24"/>
                <w:szCs w:val="24"/>
              </w:rPr>
              <w:tab/>
              <w:t>- o número de série da Notiﬁcação de Lançamento de Crédito;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D00DFC" w14:textId="2ED4FB50"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V - o número de série da Notiﬁcação de Lançamento de Crédito;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8B548AD"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31DDCEC8" w14:textId="0B5EF5B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B83C59E"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lastRenderedPageBreak/>
              <w:t>VI</w:t>
            </w:r>
            <w:r w:rsidRPr="0010524E">
              <w:rPr>
                <w:rFonts w:ascii="Calibri" w:hAnsi="Calibri" w:cs="Calibri"/>
                <w:sz w:val="24"/>
                <w:szCs w:val="24"/>
              </w:rPr>
              <w:tab/>
              <w:t>- o nome, a assinatura e a matrícula da autoridade administrativa responsável pelo lançamento do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940EE6E" w14:textId="682B5B7D"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VI - o nome, a assinatura e a matrícula da autoridade administrativa responsável pelo lançamento do crédito.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B07B5FF"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03562005" w14:textId="5DB51BC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5528BA6"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 1º A Notiﬁcação de Lançamento de Crédito emitida por processo eletrônico prescinde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AC43399" w14:textId="58CFA6EF"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 1º  A Notiﬁcação de Lançamento de Crédito emitida por processo eletrônico prescinde de assinatura.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3FC5BB0"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1FA4216F" w14:textId="5043B24E"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A171252"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 2º Quando o fato gerador do lançamento do crédito for a cobrança da Taﬁc, a Notiﬁcação de Lançamento de Crédito deve conter também: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26979A" w14:textId="1BD4B353"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 2º  Quando o fato gerador do lançamento do crédito for a cobrança da Taxa de Fiscalização e Controle da Previdência Complementar, a Notiﬁcação de Lançamento de Crédito deve conter também:</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D92B12F"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6A014DE1" w14:textId="670A1CF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6A36322"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 - a indicação do plano de benefícios inadimplente, em acréscimo à referida no inciso I do caput;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1EF7F3" w14:textId="1DC8725A"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 - a indicação do plano de benefícios inadimplente, em acréscimo à referida no inciso I do caput;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01B14FF"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295D53D4" w14:textId="57A42C9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4F15A95F"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II - a discriminação do valor referido no inciso II do caput, por quadrimestre e respectivo exercício.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0F8C4A" w14:textId="460B3B95"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a discriminação do valor referido no inciso II do caput, por quadrimestre e respectivo exercício.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885A024"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7CA5B6CF" w14:textId="7879D402"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C65C22E"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 xml:space="preserve"> Art. 26. A Previc, quando do não pagamento do crédito tributário ou do crédito não tributário, depois de conﬁrmado por decisão administrativa deﬁnitiva ou quando transcorrido o prazo para impugnação sem que essa tenha sido apresentada, deve: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D75A91" w14:textId="000750C0"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 xml:space="preserve"> Art. 278.  A Previc, quando do não pagamento do crédito tributário ou do crédito não tributário, depois de conﬁrmado por decisão administrativa deﬁnitiva ou quando transcorrido o prazo para impugnação sem que essa tenha sido apresentada, deve: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EBA5041"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4F8770CF" w14:textId="1CC0947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C63244C"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 - promover a inscrição do devedor: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74769E" w14:textId="3C26D08A"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 - promover a inscrição do devedor: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8F73A61"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153A2A65" w14:textId="4CAAFD0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9FF9051"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lastRenderedPageBreak/>
              <w:t>a) no Cadastro Informativo de Créditos não Quitados do Setor Público Federal (Cadin);</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50221A" w14:textId="006E1469"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a) no Cadastro Informativo de Créditos não Quitados do Setor Público Federal;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93945DE"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015A0988" w14:textId="397116E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37928E0"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b) nos serviços de proteção ao crédito;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A21FE75" w14:textId="3601D6F8"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b) nos serviços de proteção ao crédito;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52B8354"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569CFEC6" w14:textId="04D30AE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62C5BFA"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II - realizar o encaminhamento do processo e apensos à Procuradoria Federal junto à Previc, para inscrição em Dívida Ativa, nos termos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ED18128" w14:textId="521C338D"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II - realizar o encaminhamento do processo e apensos à Procuradoria Federal junto à Previc, para inscrição em Dívida Ativa, nos termos da legislação aplicável.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65499CB"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218B7463" w14:textId="22B19D2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FE6DFB3"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Art. 27. O sujeito passivo, qualiﬁcado na Notiﬁcação de Lançamento de Crédito, deve ser notiﬁcado: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720B3D7" w14:textId="5874717C"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Art. 279.  O sujeito passivo, qualiﬁcado na Notiﬁcação de Lançamento de Crédito, deve ser notiﬁcado: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CA00276"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6528BD42" w14:textId="636320EC"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DFCB5D4"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 - por meio eletrônico, na forma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D88B3D" w14:textId="59B645E9"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 -  por meio eletrônico, na forma da legislação aplicável;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8627B81"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625873E0" w14:textId="409776C6"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6F16C0F"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II - por via postal, comprovando-se sua entrega pelo aviso de recebimento ou documento similar com mesma ﬁnalidade, emitido pelo serviço postal;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6CB688B" w14:textId="12421DD2"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II - por via postal, comprovando-se sua entrega pelo aviso de recebimento ou documento similar com mesma ﬁnalidade, emitido pelo serviço postal;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4768851"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3241642B" w14:textId="5CCBC99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6623A27"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III - mediante ciência do notiﬁcado ou do seu procurador, efetivada por servidor designado, ou, no caso de recusa daquele, de aposição de assinatura desse em declaração expressa;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15DEBF2" w14:textId="51F7C8B8"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III - mediante ciência do notiﬁcado ou do seu procurador, efetivada por servidor designado, ou, no caso de recusa daquele, de aposição de assinatura desse em declaração expressa;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B316D77"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63137F2C" w14:textId="76BF5DB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1AC9BDE"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 xml:space="preserve">IV - por edital, publicado uma única vez no Diário Oﬁcial da União, se frustradas as tentativas de notiﬁcação previstas nos incisos </w:t>
            </w:r>
            <w:r w:rsidRPr="0010524E">
              <w:rPr>
                <w:rFonts w:ascii="Calibri" w:hAnsi="Calibri" w:cs="Calibri"/>
                <w:sz w:val="24"/>
                <w:szCs w:val="24"/>
              </w:rPr>
              <w:lastRenderedPageBreak/>
              <w:t>I, II e III, ou pela constatação de estar o notiﬁcado em lugar inacessível, incerto ou ignorado, devendo constar do edital o termo inicial para contagem do prazo para impugnação.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E449C0" w14:textId="7A71567C"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lastRenderedPageBreak/>
              <w:t xml:space="preserve">IV - por edital, publicado uma única vez no Diário Oﬁcial da União, se frustradas as tentativas de notiﬁcação previstas nos incisos I, II e III, ou pela constatação de </w:t>
            </w:r>
            <w:r w:rsidRPr="0010524E">
              <w:rPr>
                <w:rFonts w:ascii="Calibri" w:eastAsia="Calibri" w:hAnsi="Calibri" w:cs="Calibri"/>
                <w:sz w:val="24"/>
                <w:szCs w:val="24"/>
              </w:rPr>
              <w:lastRenderedPageBreak/>
              <w:t>estar o notiﬁcado em lugar inacessível, incerto ou ignorado, devendo constar do edital o termo inicial para contagem do prazo para impugnação.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EE03C5"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2063FF85" w14:textId="09E86718"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E029652"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Parágrafo único. Os meios de notiﬁcação previstos nos incisos I a III do caput não estão sujeitos a ordem de preferência.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44DB1BD" w14:textId="1F2DCFBE"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Parágrafo único.  Os meios de notiﬁcação previstos nos incisos I a III do caput não estão sujeitos a ordem de preferência.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3A87381"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302720DF" w14:textId="1080E2B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374E5B46" w14:textId="77777777" w:rsidR="00E31838" w:rsidRPr="00E4351F" w:rsidRDefault="00E31838" w:rsidP="00A95720">
            <w:pPr>
              <w:jc w:val="center"/>
              <w:rPr>
                <w:rFonts w:ascii="Calibri" w:hAnsi="Calibri" w:cs="Calibri"/>
                <w:b/>
                <w:bCs/>
                <w:sz w:val="24"/>
                <w:szCs w:val="24"/>
              </w:rPr>
            </w:pPr>
            <w:r w:rsidRPr="00E4351F">
              <w:rPr>
                <w:rFonts w:ascii="Calibri" w:hAnsi="Calibri" w:cs="Calibri"/>
                <w:b/>
                <w:bCs/>
                <w:sz w:val="24"/>
                <w:szCs w:val="24"/>
              </w:rPr>
              <w:t>Seção III</w:t>
            </w:r>
          </w:p>
          <w:p w14:paraId="54104A9F" w14:textId="77777777" w:rsidR="00E31838" w:rsidRPr="0010524E" w:rsidRDefault="00E31838" w:rsidP="00A95720">
            <w:pPr>
              <w:jc w:val="center"/>
              <w:rPr>
                <w:rFonts w:ascii="Calibri" w:hAnsi="Calibri" w:cs="Calibri"/>
                <w:sz w:val="24"/>
                <w:szCs w:val="24"/>
              </w:rPr>
            </w:pPr>
            <w:r w:rsidRPr="00E4351F">
              <w:rPr>
                <w:rFonts w:ascii="Calibri" w:hAnsi="Calibri" w:cs="Calibri"/>
                <w:b/>
                <w:bCs/>
                <w:sz w:val="24"/>
                <w:szCs w:val="24"/>
              </w:rPr>
              <w:t>Do Procedimento Administrativo Contencioso Fiscal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0B8676" w14:textId="77777777" w:rsidR="00E31838" w:rsidRPr="0010524E" w:rsidRDefault="00E31838" w:rsidP="00A95720">
            <w:pPr>
              <w:pStyle w:val="PargrafodaLista"/>
              <w:tabs>
                <w:tab w:val="left" w:pos="993"/>
              </w:tabs>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w:t>
            </w:r>
          </w:p>
          <w:p w14:paraId="25322866" w14:textId="77777777" w:rsidR="00E31838" w:rsidRPr="0010524E" w:rsidRDefault="00E31838" w:rsidP="00A95720">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Procedimento Administrativo Contencioso Fiscal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448821"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6DBB126B" w14:textId="06309C5B"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824DE68"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Art. 28. Compete à Diretoria Colegiada da Previc apreciar e julgar, em primeira instância, as impugnações apresentadas pelo sujeito passivo, referentes às Notiﬁcações de Lançamento de Crédito da Taﬁc.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751BFD" w14:textId="0F1DBD41"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Art. 280.  Compete à Diretoria Colegiada da Previc apreciar e julgar, em primeira instância, as impugnações apresentadas pelo sujeito passivo, referentes às Notiﬁcações de Lançamento de Crédito da Taxa de Fiscalização e Controle da Previdência Complementar.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CBF9B71"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55988BCB" w14:textId="7EEFBD6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CBE80F1"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Parágrafo único. O prazo para impugnação do lançamento do crédito é de trinta dias úteis, contados do recebimento da respectiva Notiﬁcação de Lançamento de Crédito.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36570F1" w14:textId="1DA8ECFA"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Parágrafo único. O prazo para impugnação do lançamento do crédito é de trinta dias úteis, contados do recebimento da respectiva Notiﬁcação de Lançamento de Crédito.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5AAD420"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3FB863BA" w14:textId="4EB630A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837BF1D"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Art. 29. A decisão de primeira instância deve conter: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ABA99A" w14:textId="051CBB40"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Art. 281.  A decisão de primeira instância deve conter: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D9672A0"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39019887" w14:textId="4525CA0A"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1FD6BD4D"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lastRenderedPageBreak/>
              <w:t>I - relatório resumido do processo; II - os fundamentos legais;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28E793" w14:textId="7FB3280D"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relatório resumido do processo;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848B983"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2B053BCB" w14:textId="79C8A69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D4546E4"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II - os fundamentos legais;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BD561F" w14:textId="04D14979"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II - os fundamentos legais;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B9DAD11"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0173471B" w14:textId="31E6691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02D3B3B1"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III - a conclusão;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A131B8" w14:textId="4BB8BF66"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III - a conclusão;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8FD1DF6"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2AE63F21" w14:textId="1EA3EA8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E7B7707"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IV - a ordem de intimação.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192256E" w14:textId="7E7591FA"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IV - a ordem de intimação.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EB2C2C0"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59A06FD7" w14:textId="63FC084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5E10A6BC"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Parágrafo único. A decisão deve fazer referência expressa a todas as Notiﬁcações de Lançamento de Crédito emitidas, bem como às razões de defesa suscitadas pelo impugnante contra todas as exigências.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FD95AA8" w14:textId="3E82D646"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Parágrafo único.  A decisão deve fazer referência expressa a todas as Notiﬁcações de Lançamento de Crédito emitidas, bem como às razões de defesa suscitadas pelo impugnante contra todas as exigências.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077A923"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6AAABCD7" w14:textId="5736DA6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AEF79EC"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Art. 30. A impugnação apresentada deve conter: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0254560" w14:textId="3EDAD942"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Art. 282.  A impugnação apresentada deve conter: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0E34A6B"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34ABCB8A" w14:textId="742E932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31B795F"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 xml:space="preserve">I - a autoridade julgadora a quem é dirigida;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0BEF41" w14:textId="24D3F59E"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 - a autoridade julgadora a quem é dirigida;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4E65DDE"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0895CA1E" w14:textId="3444D21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DAC4852"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II - a qualiﬁcação do impugnante;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5F4DCE" w14:textId="12ABF51D"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II - a qualiﬁcação do impugnante;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4388D6A"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3792FF73" w14:textId="6257EDF7"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7577939F"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III - os motivos de fato e de direito em que se fundamenta a peça contestatória, os pontos de discordância e as provas que possuir.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76739D8" w14:textId="61CDE808" w:rsidR="00E31838" w:rsidRPr="0010524E" w:rsidRDefault="00E31838" w:rsidP="000F7568">
            <w:pPr>
              <w:spacing w:after="120"/>
              <w:jc w:val="both"/>
              <w:rPr>
                <w:rFonts w:ascii="Calibri" w:eastAsia="Calibri" w:hAnsi="Calibri" w:cs="Calibri"/>
                <w:sz w:val="24"/>
                <w:szCs w:val="24"/>
              </w:rPr>
            </w:pPr>
            <w:r w:rsidRPr="0010524E">
              <w:rPr>
                <w:rFonts w:ascii="Calibri" w:eastAsia="Calibri" w:hAnsi="Calibri" w:cs="Calibri"/>
                <w:sz w:val="24"/>
                <w:szCs w:val="24"/>
              </w:rPr>
              <w:t>III - os motivos de fato e de direito em que se fundamenta a peça contestatória, os pontos de discordância e as provas que possuir.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E22C958"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2B24CACC" w14:textId="579CEA5F"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1D5EA763" w14:textId="77777777" w:rsidR="00E31838" w:rsidRPr="0010524E" w:rsidRDefault="00E31838" w:rsidP="00A95720">
            <w:pPr>
              <w:spacing w:after="0"/>
              <w:jc w:val="center"/>
              <w:rPr>
                <w:rFonts w:ascii="Calibri" w:hAnsi="Calibri" w:cs="Calibri"/>
                <w:sz w:val="24"/>
                <w:szCs w:val="24"/>
              </w:rPr>
            </w:pPr>
            <w:r w:rsidRPr="0010524E">
              <w:rPr>
                <w:rFonts w:ascii="Calibri" w:hAnsi="Calibri" w:cs="Calibri"/>
                <w:sz w:val="24"/>
                <w:szCs w:val="24"/>
              </w:rPr>
              <w:t>CAPÍTULO V</w:t>
            </w:r>
          </w:p>
          <w:p w14:paraId="534834D0" w14:textId="77777777" w:rsidR="00E31838" w:rsidRPr="0010524E" w:rsidRDefault="00E31838" w:rsidP="00A95720">
            <w:pPr>
              <w:spacing w:after="0"/>
              <w:jc w:val="center"/>
              <w:rPr>
                <w:rFonts w:ascii="Calibri" w:hAnsi="Calibri" w:cs="Calibri"/>
                <w:sz w:val="24"/>
                <w:szCs w:val="24"/>
              </w:rPr>
            </w:pPr>
            <w:r w:rsidRPr="0010524E">
              <w:rPr>
                <w:rFonts w:ascii="Calibri" w:hAnsi="Calibri" w:cs="Calibri"/>
                <w:sz w:val="24"/>
                <w:szCs w:val="24"/>
              </w:rPr>
              <w:t>DAS DISPOSIÇÕES GERAIS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1F0414" w14:textId="77777777" w:rsidR="00E31838" w:rsidRPr="0010524E" w:rsidRDefault="00E31838" w:rsidP="00A95720">
            <w:pPr>
              <w:pStyle w:val="PargrafodaLista"/>
              <w:tabs>
                <w:tab w:val="left" w:pos="993"/>
              </w:tabs>
              <w:ind w:left="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Subseção VII</w:t>
            </w:r>
          </w:p>
          <w:p w14:paraId="04EC380E" w14:textId="77777777" w:rsidR="00E31838" w:rsidRPr="0010524E" w:rsidRDefault="00E31838" w:rsidP="00A95720">
            <w:pPr>
              <w:pStyle w:val="PargrafodaLista"/>
              <w:tabs>
                <w:tab w:val="left" w:pos="993"/>
              </w:tabs>
              <w:ind w:left="11"/>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Recolhimento, restituições e informações complementares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2F1AD1" w14:textId="77777777" w:rsidR="00E31838" w:rsidRPr="0010524E" w:rsidRDefault="00E31838" w:rsidP="00A95720">
            <w:pPr>
              <w:jc w:val="both"/>
              <w:rPr>
                <w:rFonts w:ascii="Calibri" w:eastAsia="Times New Roman" w:hAnsi="Calibri" w:cs="Calibri"/>
                <w:kern w:val="0"/>
                <w:sz w:val="24"/>
                <w:szCs w:val="24"/>
                <w:lang w:eastAsia="pt-BR"/>
                <w14:ligatures w14:val="none"/>
              </w:rPr>
            </w:pPr>
          </w:p>
        </w:tc>
      </w:tr>
      <w:tr w:rsidR="00E31838" w:rsidRPr="0010524E" w14:paraId="1ECC947B" w14:textId="3655766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D84CC27"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 xml:space="preserve">Art. 31. A operacionalização do recolhimento, as solicitações de restituições e as </w:t>
            </w:r>
            <w:r w:rsidRPr="0010524E">
              <w:rPr>
                <w:rFonts w:ascii="Calibri" w:hAnsi="Calibri" w:cs="Calibri"/>
                <w:sz w:val="24"/>
                <w:szCs w:val="24"/>
              </w:rPr>
              <w:lastRenderedPageBreak/>
              <w:t>informações complementares devem ser efetuadas de acordo com as instruções disponíveis no sítio eletrônico da Previc na internet.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A98B80E" w14:textId="21AC3C5E" w:rsidR="00E31838" w:rsidRPr="0010524E" w:rsidRDefault="00E31838" w:rsidP="000F7568">
            <w:pPr>
              <w:spacing w:after="12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lastRenderedPageBreak/>
              <w:t xml:space="preserve">Art. 283.  A operacionalização do recolhimento, as solicitações de restituições e as informações </w:t>
            </w:r>
            <w:r w:rsidRPr="0010524E">
              <w:rPr>
                <w:rFonts w:ascii="Calibri" w:eastAsia="Calibri" w:hAnsi="Calibri" w:cs="Calibri"/>
                <w:sz w:val="24"/>
                <w:szCs w:val="24"/>
              </w:rPr>
              <w:lastRenderedPageBreak/>
              <w:t>complementares devem ser efetuadas de acordo com as instruções disponíveis no sítio eletrônico da Previc na internet.</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FD9BA4B"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p>
        </w:tc>
      </w:tr>
      <w:tr w:rsidR="00E31838" w:rsidRPr="0010524E" w14:paraId="3C6AD92F" w14:textId="5C324095"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2969063B"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Art. 32. Ficam revogadas: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D20CD37" w14:textId="4018A388" w:rsidR="00E31838" w:rsidRPr="0010524E" w:rsidRDefault="00E31838" w:rsidP="000F7568">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E6D9145"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E31838" w:rsidRPr="0010524E" w14:paraId="4246D0DC" w14:textId="6FAB8E9D"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A1AC719"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w:t>
            </w:r>
            <w:r w:rsidRPr="0010524E">
              <w:rPr>
                <w:rFonts w:ascii="Calibri" w:hAnsi="Calibri" w:cs="Calibri"/>
                <w:sz w:val="24"/>
                <w:szCs w:val="24"/>
              </w:rPr>
              <w:tab/>
              <w:t>- a Instrução Previc nº 3, de 10 de outubro de 2012;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05500EC" w14:textId="0C4675FF" w:rsidR="00E31838" w:rsidRPr="0010524E" w:rsidRDefault="00E31838" w:rsidP="000F7568">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811145B"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E31838" w:rsidRPr="0010524E" w14:paraId="57478611" w14:textId="26E58D43"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31C74DAE"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II</w:t>
            </w:r>
            <w:r w:rsidRPr="0010524E">
              <w:rPr>
                <w:rFonts w:ascii="Calibri" w:hAnsi="Calibri" w:cs="Calibri"/>
                <w:sz w:val="24"/>
                <w:szCs w:val="24"/>
              </w:rPr>
              <w:tab/>
              <w:t>- a Instrução Normativa SPC nº 33, de 15 de setembro de 2009; e III - a Resolução Previc nº 3, de 22 de junho de 2021.</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5FBEA2C" w14:textId="06296619" w:rsidR="00E31838" w:rsidRPr="0010524E" w:rsidRDefault="00E31838" w:rsidP="000F7568">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C536B47"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E31838" w:rsidRPr="0010524E" w14:paraId="7E9317C0" w14:textId="0BFEFD00"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24"/>
        </w:trPr>
        <w:tc>
          <w:tcPr>
            <w:tcW w:w="4598" w:type="dxa"/>
            <w:tcBorders>
              <w:top w:val="single" w:sz="4" w:space="0" w:color="auto"/>
              <w:left w:val="single" w:sz="4" w:space="0" w:color="auto"/>
              <w:bottom w:val="single" w:sz="4" w:space="0" w:color="auto"/>
              <w:right w:val="single" w:sz="4" w:space="0" w:color="auto"/>
            </w:tcBorders>
          </w:tcPr>
          <w:p w14:paraId="6DEF1D01"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Art. 33. Esta Resolução entra em vigor em 2 de janeiro de 2023.</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389F9C" w14:textId="7D3E71DE" w:rsidR="00E31838" w:rsidRPr="0010524E" w:rsidRDefault="00E31838" w:rsidP="000F7568">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C4FDB0B"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E31838" w:rsidRPr="0010524E" w14:paraId="0EF5AD16" w14:textId="43ACFF11"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tcPr>
          <w:p w14:paraId="6C030A06"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JOSÉ ROBERTO FERREIRA SAVOIA</w:t>
            </w:r>
          </w:p>
          <w:p w14:paraId="4BA469F6" w14:textId="77777777" w:rsidR="00E31838" w:rsidRPr="0010524E" w:rsidRDefault="00E31838" w:rsidP="000F7568">
            <w:pPr>
              <w:spacing w:after="120"/>
              <w:jc w:val="both"/>
              <w:rPr>
                <w:rFonts w:ascii="Calibri" w:hAnsi="Calibri" w:cs="Calibri"/>
                <w:sz w:val="24"/>
                <w:szCs w:val="24"/>
              </w:rPr>
            </w:pPr>
            <w:r w:rsidRPr="0010524E">
              <w:rPr>
                <w:rFonts w:ascii="Calibri" w:hAnsi="Calibri" w:cs="Calibri"/>
                <w:sz w:val="24"/>
                <w:szCs w:val="24"/>
              </w:rPr>
              <w:t>Diretor-Superintendente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81DDDA" w14:textId="5FA358F8" w:rsidR="00E31838" w:rsidRPr="0010524E" w:rsidRDefault="00E31838" w:rsidP="000F7568">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A28EC14" w14:textId="77777777" w:rsidR="00E31838" w:rsidRPr="0010524E" w:rsidRDefault="00E31838" w:rsidP="000F7568">
            <w:pPr>
              <w:spacing w:after="120"/>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Excluído considerando o processo de consolidação normativa.</w:t>
            </w:r>
          </w:p>
        </w:tc>
      </w:tr>
      <w:tr w:rsidR="00E31838" w:rsidRPr="0010524E" w14:paraId="4D7796B9" w14:textId="52E3E704" w:rsidTr="00E3183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8" w:type="dxa"/>
            <w:tcBorders>
              <w:top w:val="single" w:sz="4" w:space="0" w:color="auto"/>
              <w:left w:val="single" w:sz="4" w:space="0" w:color="auto"/>
              <w:bottom w:val="single" w:sz="4" w:space="0" w:color="auto"/>
              <w:right w:val="single" w:sz="4" w:space="0" w:color="auto"/>
            </w:tcBorders>
            <w:vAlign w:val="center"/>
          </w:tcPr>
          <w:p w14:paraId="01FDD52D" w14:textId="77777777" w:rsidR="00E31838" w:rsidRPr="0010524E" w:rsidRDefault="00E31838" w:rsidP="00A95720">
            <w:pPr>
              <w:jc w:val="both"/>
              <w:rPr>
                <w:rFonts w:ascii="Calibri" w:hAnsi="Calibri" w:cs="Calibri"/>
                <w:sz w:val="24"/>
                <w:szCs w:val="24"/>
              </w:rPr>
            </w:pPr>
            <w:r w:rsidRPr="0010524E">
              <w:rPr>
                <w:rFonts w:ascii="Calibri" w:hAnsi="Calibri" w:cs="Calibri"/>
                <w:sz w:val="24"/>
                <w:szCs w:val="24"/>
              </w:rPr>
              <w:t>ANEXO</w:t>
            </w:r>
          </w:p>
          <w:p w14:paraId="01E7CAF6" w14:textId="3108FB19" w:rsidR="00E31838" w:rsidRPr="0010524E" w:rsidRDefault="00E31838" w:rsidP="00A95720">
            <w:pPr>
              <w:jc w:val="both"/>
              <w:rPr>
                <w:rFonts w:ascii="Calibri" w:hAnsi="Calibri" w:cs="Calibri"/>
                <w:sz w:val="24"/>
                <w:szCs w:val="24"/>
              </w:rPr>
            </w:pPr>
            <w:r w:rsidRPr="0010524E">
              <w:rPr>
                <w:rFonts w:ascii="Calibri" w:hAnsi="Calibri" w:cs="Calibri"/>
                <w:sz w:val="24"/>
                <w:szCs w:val="24"/>
              </w:rPr>
              <w:t xml:space="preserve">Faixas de valor dos recursos garantidores de plano de benefícios de caráter previdencial administrado pelas entidades fechadas de previdência complementar, a serem utilizadas na base de cálculo da Taxa de Fiscalização e </w:t>
            </w:r>
            <w:r w:rsidRPr="0010524E">
              <w:rPr>
                <w:rFonts w:ascii="Calibri" w:hAnsi="Calibri" w:cs="Calibri"/>
                <w:sz w:val="24"/>
                <w:szCs w:val="24"/>
              </w:rPr>
              <w:lastRenderedPageBreak/>
              <w:t>Controle da Previdência Complementar (Taﬁc):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61E7E8" w14:textId="3F0B56AD" w:rsidR="00E31838" w:rsidRPr="0010524E" w:rsidRDefault="00E31838" w:rsidP="00A95720">
            <w:pPr>
              <w:pStyle w:val="PargrafodaLista"/>
              <w:tabs>
                <w:tab w:val="left" w:pos="993"/>
              </w:tabs>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0A8406" w14:textId="14855B8D" w:rsidR="00E31838" w:rsidRPr="0010524E" w:rsidRDefault="00E31838" w:rsidP="00A95720">
            <w:pPr>
              <w:jc w:val="both"/>
              <w:rPr>
                <w:rFonts w:ascii="Calibri" w:eastAsia="Times New Roman" w:hAnsi="Calibri" w:cs="Calibri"/>
                <w:kern w:val="0"/>
                <w:sz w:val="24"/>
                <w:szCs w:val="24"/>
                <w:lang w:eastAsia="pt-BR"/>
                <w14:ligatures w14:val="none"/>
              </w:rPr>
            </w:pPr>
            <w:r w:rsidRPr="0010524E">
              <w:rPr>
                <w:rFonts w:ascii="Calibri" w:eastAsia="Times New Roman" w:hAnsi="Calibri" w:cs="Calibri"/>
                <w:kern w:val="0"/>
                <w:sz w:val="24"/>
                <w:szCs w:val="24"/>
                <w:lang w:eastAsia="pt-BR"/>
                <w14:ligatures w14:val="none"/>
              </w:rPr>
              <w:t>Realoca</w:t>
            </w:r>
            <w:r>
              <w:rPr>
                <w:rFonts w:ascii="Calibri" w:eastAsia="Times New Roman" w:hAnsi="Calibri" w:cs="Calibri"/>
                <w:kern w:val="0"/>
                <w:sz w:val="24"/>
                <w:szCs w:val="24"/>
                <w:lang w:eastAsia="pt-BR"/>
                <w14:ligatures w14:val="none"/>
              </w:rPr>
              <w:t>do p</w:t>
            </w:r>
            <w:r w:rsidRPr="0010524E">
              <w:rPr>
                <w:rFonts w:ascii="Calibri" w:eastAsia="Times New Roman" w:hAnsi="Calibri" w:cs="Calibri"/>
                <w:kern w:val="0"/>
                <w:sz w:val="24"/>
                <w:szCs w:val="24"/>
                <w:lang w:eastAsia="pt-BR"/>
                <w14:ligatures w14:val="none"/>
              </w:rPr>
              <w:t>ara o anexo da Resolução.</w:t>
            </w:r>
            <w:r>
              <w:rPr>
                <w:rFonts w:ascii="Calibri" w:eastAsia="Times New Roman" w:hAnsi="Calibri" w:cs="Calibri"/>
                <w:kern w:val="0"/>
                <w:sz w:val="24"/>
                <w:szCs w:val="24"/>
                <w:lang w:eastAsia="pt-BR"/>
                <w14:ligatures w14:val="none"/>
              </w:rPr>
              <w:t>cc</w:t>
            </w:r>
          </w:p>
        </w:tc>
      </w:tr>
    </w:tbl>
    <w:tbl>
      <w:tblPr>
        <w:tblStyle w:val="Tabelacomgrade"/>
        <w:tblW w:w="14029" w:type="dxa"/>
        <w:tblLook w:val="04A0" w:firstRow="1" w:lastRow="0" w:firstColumn="1" w:lastColumn="0" w:noHBand="0" w:noVBand="1"/>
      </w:tblPr>
      <w:tblGrid>
        <w:gridCol w:w="2602"/>
        <w:gridCol w:w="2450"/>
        <w:gridCol w:w="4877"/>
        <w:gridCol w:w="4100"/>
      </w:tblGrid>
      <w:tr w:rsidR="009B1987" w:rsidRPr="0010524E" w14:paraId="6623ED25" w14:textId="77777777" w:rsidTr="000F7568">
        <w:trPr>
          <w:trHeight w:val="1124"/>
        </w:trPr>
        <w:tc>
          <w:tcPr>
            <w:tcW w:w="2602" w:type="dxa"/>
          </w:tcPr>
          <w:p w14:paraId="7FDE080D"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 xml:space="preserve">Valor em reais dos recursos garantidores por plano de benefícios de caráter previdencial </w:t>
            </w:r>
          </w:p>
        </w:tc>
        <w:tc>
          <w:tcPr>
            <w:tcW w:w="2450" w:type="dxa"/>
          </w:tcPr>
          <w:p w14:paraId="03E7DA8E" w14:textId="77777777" w:rsidR="009B1987" w:rsidRPr="0010524E" w:rsidRDefault="009B1987" w:rsidP="00E162D4">
            <w:pPr>
              <w:tabs>
                <w:tab w:val="left" w:pos="1515"/>
              </w:tabs>
              <w:spacing w:before="120" w:after="120"/>
              <w:jc w:val="center"/>
              <w:rPr>
                <w:rFonts w:cstheme="minorHAnsi"/>
                <w:sz w:val="24"/>
                <w:szCs w:val="24"/>
              </w:rPr>
            </w:pPr>
            <w:r w:rsidRPr="0010524E">
              <w:rPr>
                <w:rFonts w:cstheme="minorHAnsi"/>
                <w:sz w:val="24"/>
                <w:szCs w:val="24"/>
              </w:rPr>
              <w:t>Taxa quadrimestral (R$)</w:t>
            </w:r>
          </w:p>
        </w:tc>
        <w:tc>
          <w:tcPr>
            <w:tcW w:w="4877" w:type="dxa"/>
          </w:tcPr>
          <w:p w14:paraId="70B82890" w14:textId="54AE1F40" w:rsidR="009B1987" w:rsidRPr="0010524E" w:rsidRDefault="00E4351F" w:rsidP="00E162D4">
            <w:pPr>
              <w:spacing w:before="120" w:after="120"/>
              <w:jc w:val="both"/>
              <w:rPr>
                <w:rFonts w:cstheme="minorHAnsi"/>
                <w:color w:val="FF0000"/>
                <w:sz w:val="24"/>
                <w:szCs w:val="24"/>
              </w:rPr>
            </w:pPr>
            <w:r w:rsidRPr="0010524E">
              <w:rPr>
                <w:rFonts w:ascii="Calibri" w:eastAsia="Times New Roman" w:hAnsi="Calibri" w:cs="Calibri"/>
                <w:kern w:val="0"/>
                <w:sz w:val="24"/>
                <w:szCs w:val="24"/>
                <w:lang w:eastAsia="pt-BR"/>
                <w14:ligatures w14:val="none"/>
              </w:rPr>
              <w:t>Realoca</w:t>
            </w:r>
            <w:r>
              <w:rPr>
                <w:rFonts w:ascii="Calibri" w:eastAsia="Times New Roman" w:hAnsi="Calibri" w:cs="Calibri"/>
                <w:kern w:val="0"/>
                <w:sz w:val="24"/>
                <w:szCs w:val="24"/>
                <w:lang w:eastAsia="pt-BR"/>
                <w14:ligatures w14:val="none"/>
              </w:rPr>
              <w:t>do p</w:t>
            </w:r>
            <w:r w:rsidRPr="0010524E">
              <w:rPr>
                <w:rFonts w:ascii="Calibri" w:eastAsia="Times New Roman" w:hAnsi="Calibri" w:cs="Calibri"/>
                <w:kern w:val="0"/>
                <w:sz w:val="24"/>
                <w:szCs w:val="24"/>
                <w:lang w:eastAsia="pt-BR"/>
                <w14:ligatures w14:val="none"/>
              </w:rPr>
              <w:t>ara o anexo da Resolução.</w:t>
            </w:r>
          </w:p>
        </w:tc>
        <w:tc>
          <w:tcPr>
            <w:tcW w:w="4100" w:type="dxa"/>
          </w:tcPr>
          <w:p w14:paraId="63F9183E" w14:textId="5384878E" w:rsidR="009B1987" w:rsidRPr="0010524E" w:rsidRDefault="009B1987" w:rsidP="00E162D4">
            <w:pPr>
              <w:spacing w:before="120" w:after="120"/>
              <w:jc w:val="both"/>
              <w:rPr>
                <w:rFonts w:cstheme="minorHAnsi"/>
                <w:color w:val="FF0000"/>
                <w:sz w:val="24"/>
                <w:szCs w:val="24"/>
              </w:rPr>
            </w:pPr>
          </w:p>
        </w:tc>
      </w:tr>
      <w:tr w:rsidR="009B1987" w:rsidRPr="0010524E" w14:paraId="0013CE26" w14:textId="77777777" w:rsidTr="000F7568">
        <w:trPr>
          <w:trHeight w:val="652"/>
        </w:trPr>
        <w:tc>
          <w:tcPr>
            <w:tcW w:w="2602" w:type="dxa"/>
          </w:tcPr>
          <w:p w14:paraId="0B4D907E"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De 0,01 até 5.000.000,00</w:t>
            </w:r>
          </w:p>
        </w:tc>
        <w:tc>
          <w:tcPr>
            <w:tcW w:w="2450" w:type="dxa"/>
          </w:tcPr>
          <w:p w14:paraId="39ACE267"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15,00</w:t>
            </w:r>
          </w:p>
        </w:tc>
        <w:tc>
          <w:tcPr>
            <w:tcW w:w="4877" w:type="dxa"/>
          </w:tcPr>
          <w:p w14:paraId="38765ED6" w14:textId="36F1AD7F" w:rsidR="009B1987" w:rsidRPr="0010524E" w:rsidRDefault="00E4351F" w:rsidP="00E162D4">
            <w:pPr>
              <w:spacing w:before="120" w:after="120"/>
              <w:jc w:val="both"/>
              <w:rPr>
                <w:rFonts w:cstheme="minorHAnsi"/>
                <w:color w:val="FF0000"/>
                <w:sz w:val="24"/>
                <w:szCs w:val="24"/>
              </w:rPr>
            </w:pPr>
            <w:r w:rsidRPr="0010524E">
              <w:rPr>
                <w:rFonts w:ascii="Calibri" w:eastAsia="Times New Roman" w:hAnsi="Calibri" w:cs="Calibri"/>
                <w:kern w:val="0"/>
                <w:sz w:val="24"/>
                <w:szCs w:val="24"/>
                <w:lang w:eastAsia="pt-BR"/>
                <w14:ligatures w14:val="none"/>
              </w:rPr>
              <w:t>Realoca</w:t>
            </w:r>
            <w:r>
              <w:rPr>
                <w:rFonts w:ascii="Calibri" w:eastAsia="Times New Roman" w:hAnsi="Calibri" w:cs="Calibri"/>
                <w:kern w:val="0"/>
                <w:sz w:val="24"/>
                <w:szCs w:val="24"/>
                <w:lang w:eastAsia="pt-BR"/>
                <w14:ligatures w14:val="none"/>
              </w:rPr>
              <w:t>do p</w:t>
            </w:r>
            <w:r w:rsidRPr="0010524E">
              <w:rPr>
                <w:rFonts w:ascii="Calibri" w:eastAsia="Times New Roman" w:hAnsi="Calibri" w:cs="Calibri"/>
                <w:kern w:val="0"/>
                <w:sz w:val="24"/>
                <w:szCs w:val="24"/>
                <w:lang w:eastAsia="pt-BR"/>
                <w14:ligatures w14:val="none"/>
              </w:rPr>
              <w:t>ara o anexo da Resolução.</w:t>
            </w:r>
          </w:p>
        </w:tc>
        <w:tc>
          <w:tcPr>
            <w:tcW w:w="4100" w:type="dxa"/>
          </w:tcPr>
          <w:p w14:paraId="30211448" w14:textId="1E512649" w:rsidR="009B1987" w:rsidRPr="0010524E" w:rsidRDefault="009B1987" w:rsidP="00E162D4">
            <w:pPr>
              <w:spacing w:before="120" w:after="120"/>
              <w:jc w:val="both"/>
              <w:rPr>
                <w:rFonts w:cstheme="minorHAnsi"/>
                <w:color w:val="FF0000"/>
                <w:sz w:val="24"/>
                <w:szCs w:val="24"/>
              </w:rPr>
            </w:pPr>
          </w:p>
        </w:tc>
      </w:tr>
      <w:tr w:rsidR="009B1987" w:rsidRPr="0010524E" w14:paraId="6C4BB7E9" w14:textId="77777777" w:rsidTr="000F7568">
        <w:trPr>
          <w:trHeight w:val="649"/>
        </w:trPr>
        <w:tc>
          <w:tcPr>
            <w:tcW w:w="2602" w:type="dxa"/>
          </w:tcPr>
          <w:p w14:paraId="12D83FEE"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De 5.000.000,01 até 9.000,000,00</w:t>
            </w:r>
          </w:p>
        </w:tc>
        <w:tc>
          <w:tcPr>
            <w:tcW w:w="2450" w:type="dxa"/>
          </w:tcPr>
          <w:p w14:paraId="0D1942D1"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125,00</w:t>
            </w:r>
          </w:p>
        </w:tc>
        <w:tc>
          <w:tcPr>
            <w:tcW w:w="4877" w:type="dxa"/>
          </w:tcPr>
          <w:p w14:paraId="1D24F349" w14:textId="7099B368" w:rsidR="009B1987" w:rsidRPr="0010524E" w:rsidRDefault="00E4351F" w:rsidP="00E162D4">
            <w:pPr>
              <w:spacing w:before="120" w:after="120"/>
              <w:jc w:val="both"/>
              <w:rPr>
                <w:rFonts w:cstheme="minorHAnsi"/>
                <w:color w:val="FF0000"/>
                <w:sz w:val="24"/>
                <w:szCs w:val="24"/>
              </w:rPr>
            </w:pPr>
            <w:r w:rsidRPr="0010524E">
              <w:rPr>
                <w:rFonts w:ascii="Calibri" w:eastAsia="Times New Roman" w:hAnsi="Calibri" w:cs="Calibri"/>
                <w:kern w:val="0"/>
                <w:sz w:val="24"/>
                <w:szCs w:val="24"/>
                <w:lang w:eastAsia="pt-BR"/>
                <w14:ligatures w14:val="none"/>
              </w:rPr>
              <w:t>Realoca</w:t>
            </w:r>
            <w:r>
              <w:rPr>
                <w:rFonts w:ascii="Calibri" w:eastAsia="Times New Roman" w:hAnsi="Calibri" w:cs="Calibri"/>
                <w:kern w:val="0"/>
                <w:sz w:val="24"/>
                <w:szCs w:val="24"/>
                <w:lang w:eastAsia="pt-BR"/>
                <w14:ligatures w14:val="none"/>
              </w:rPr>
              <w:t>do p</w:t>
            </w:r>
            <w:r w:rsidRPr="0010524E">
              <w:rPr>
                <w:rFonts w:ascii="Calibri" w:eastAsia="Times New Roman" w:hAnsi="Calibri" w:cs="Calibri"/>
                <w:kern w:val="0"/>
                <w:sz w:val="24"/>
                <w:szCs w:val="24"/>
                <w:lang w:eastAsia="pt-BR"/>
                <w14:ligatures w14:val="none"/>
              </w:rPr>
              <w:t>ara o anexo da Resolução.</w:t>
            </w:r>
          </w:p>
        </w:tc>
        <w:tc>
          <w:tcPr>
            <w:tcW w:w="4100" w:type="dxa"/>
          </w:tcPr>
          <w:p w14:paraId="2D95F102" w14:textId="2A366DE0" w:rsidR="009B1987" w:rsidRPr="0010524E" w:rsidRDefault="009B1987" w:rsidP="00E162D4">
            <w:pPr>
              <w:spacing w:before="120" w:after="120"/>
              <w:jc w:val="both"/>
              <w:rPr>
                <w:rFonts w:cstheme="minorHAnsi"/>
                <w:color w:val="FF0000"/>
                <w:sz w:val="24"/>
                <w:szCs w:val="24"/>
              </w:rPr>
            </w:pPr>
          </w:p>
        </w:tc>
      </w:tr>
      <w:tr w:rsidR="009B1987" w:rsidRPr="0010524E" w14:paraId="7C08D6D0" w14:textId="77777777" w:rsidTr="000F7568">
        <w:trPr>
          <w:trHeight w:val="649"/>
        </w:trPr>
        <w:tc>
          <w:tcPr>
            <w:tcW w:w="2602" w:type="dxa"/>
          </w:tcPr>
          <w:p w14:paraId="2FDB4BD9"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De 9.000.000,01 até 16.000.000,00</w:t>
            </w:r>
          </w:p>
        </w:tc>
        <w:tc>
          <w:tcPr>
            <w:tcW w:w="2450" w:type="dxa"/>
          </w:tcPr>
          <w:p w14:paraId="0AF99462"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325,00</w:t>
            </w:r>
          </w:p>
        </w:tc>
        <w:tc>
          <w:tcPr>
            <w:tcW w:w="4877" w:type="dxa"/>
          </w:tcPr>
          <w:p w14:paraId="23BE3132" w14:textId="77777777" w:rsidR="009B1987" w:rsidRPr="0010524E" w:rsidRDefault="009B1987" w:rsidP="00E162D4">
            <w:pPr>
              <w:spacing w:before="120" w:after="120"/>
              <w:jc w:val="both"/>
              <w:rPr>
                <w:rFonts w:cstheme="minorHAnsi"/>
                <w:color w:val="FF0000"/>
                <w:sz w:val="24"/>
                <w:szCs w:val="24"/>
              </w:rPr>
            </w:pPr>
          </w:p>
        </w:tc>
        <w:tc>
          <w:tcPr>
            <w:tcW w:w="4100" w:type="dxa"/>
          </w:tcPr>
          <w:p w14:paraId="52720A7A" w14:textId="0521FC6D" w:rsidR="009B1987" w:rsidRPr="0010524E" w:rsidRDefault="009B1987" w:rsidP="00E162D4">
            <w:pPr>
              <w:spacing w:before="120" w:after="120"/>
              <w:jc w:val="both"/>
              <w:rPr>
                <w:rFonts w:cstheme="minorHAnsi"/>
                <w:color w:val="FF0000"/>
                <w:sz w:val="24"/>
                <w:szCs w:val="24"/>
              </w:rPr>
            </w:pPr>
          </w:p>
        </w:tc>
      </w:tr>
      <w:tr w:rsidR="009B1987" w:rsidRPr="0010524E" w14:paraId="3B6F78C2" w14:textId="77777777" w:rsidTr="000F7568">
        <w:trPr>
          <w:trHeight w:val="649"/>
        </w:trPr>
        <w:tc>
          <w:tcPr>
            <w:tcW w:w="2602" w:type="dxa"/>
          </w:tcPr>
          <w:p w14:paraId="7A25EA5C"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De 16.000.000,01 até 40.000.000,00</w:t>
            </w:r>
          </w:p>
        </w:tc>
        <w:tc>
          <w:tcPr>
            <w:tcW w:w="2450" w:type="dxa"/>
          </w:tcPr>
          <w:p w14:paraId="1B9CD4EB"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625,00</w:t>
            </w:r>
          </w:p>
        </w:tc>
        <w:tc>
          <w:tcPr>
            <w:tcW w:w="4877" w:type="dxa"/>
          </w:tcPr>
          <w:p w14:paraId="6AA0FAD5" w14:textId="77777777" w:rsidR="009B1987" w:rsidRPr="0010524E" w:rsidRDefault="009B1987" w:rsidP="00E162D4">
            <w:pPr>
              <w:spacing w:before="120" w:after="120"/>
              <w:jc w:val="both"/>
              <w:rPr>
                <w:rFonts w:cstheme="minorHAnsi"/>
                <w:color w:val="FF0000"/>
                <w:sz w:val="24"/>
                <w:szCs w:val="24"/>
              </w:rPr>
            </w:pPr>
          </w:p>
        </w:tc>
        <w:tc>
          <w:tcPr>
            <w:tcW w:w="4100" w:type="dxa"/>
          </w:tcPr>
          <w:p w14:paraId="3CC3B7D0" w14:textId="03DD911B" w:rsidR="009B1987" w:rsidRPr="0010524E" w:rsidRDefault="009B1987" w:rsidP="00E162D4">
            <w:pPr>
              <w:spacing w:before="120" w:after="120"/>
              <w:jc w:val="both"/>
              <w:rPr>
                <w:rFonts w:cstheme="minorHAnsi"/>
                <w:color w:val="FF0000"/>
                <w:sz w:val="24"/>
                <w:szCs w:val="24"/>
              </w:rPr>
            </w:pPr>
          </w:p>
        </w:tc>
      </w:tr>
      <w:tr w:rsidR="009B1987" w:rsidRPr="0010524E" w14:paraId="5A24CFFA" w14:textId="77777777" w:rsidTr="000F7568">
        <w:trPr>
          <w:trHeight w:val="649"/>
        </w:trPr>
        <w:tc>
          <w:tcPr>
            <w:tcW w:w="2602" w:type="dxa"/>
          </w:tcPr>
          <w:p w14:paraId="3E788E48"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De 40.000.000,01 até 90.000.000,00</w:t>
            </w:r>
          </w:p>
        </w:tc>
        <w:tc>
          <w:tcPr>
            <w:tcW w:w="2450" w:type="dxa"/>
          </w:tcPr>
          <w:p w14:paraId="31F737E6"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1.625,00</w:t>
            </w:r>
          </w:p>
        </w:tc>
        <w:tc>
          <w:tcPr>
            <w:tcW w:w="4877" w:type="dxa"/>
          </w:tcPr>
          <w:p w14:paraId="742840ED" w14:textId="77777777" w:rsidR="009B1987" w:rsidRPr="0010524E" w:rsidRDefault="009B1987" w:rsidP="00E162D4">
            <w:pPr>
              <w:spacing w:before="120" w:after="120"/>
              <w:jc w:val="both"/>
              <w:rPr>
                <w:rFonts w:cstheme="minorHAnsi"/>
                <w:color w:val="FF0000"/>
                <w:sz w:val="24"/>
                <w:szCs w:val="24"/>
              </w:rPr>
            </w:pPr>
          </w:p>
        </w:tc>
        <w:tc>
          <w:tcPr>
            <w:tcW w:w="4100" w:type="dxa"/>
          </w:tcPr>
          <w:p w14:paraId="474FC426" w14:textId="6614726D" w:rsidR="009B1987" w:rsidRPr="0010524E" w:rsidRDefault="009B1987" w:rsidP="00E162D4">
            <w:pPr>
              <w:spacing w:before="120" w:after="120"/>
              <w:jc w:val="both"/>
              <w:rPr>
                <w:rFonts w:cstheme="minorHAnsi"/>
                <w:color w:val="FF0000"/>
                <w:sz w:val="24"/>
                <w:szCs w:val="24"/>
              </w:rPr>
            </w:pPr>
          </w:p>
        </w:tc>
      </w:tr>
      <w:tr w:rsidR="009B1987" w:rsidRPr="0010524E" w14:paraId="1C59865D" w14:textId="77777777" w:rsidTr="000F7568">
        <w:trPr>
          <w:trHeight w:val="649"/>
        </w:trPr>
        <w:tc>
          <w:tcPr>
            <w:tcW w:w="2602" w:type="dxa"/>
          </w:tcPr>
          <w:p w14:paraId="514B926B"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De 90.000.000,01 até 200.000.000,00</w:t>
            </w:r>
          </w:p>
        </w:tc>
        <w:tc>
          <w:tcPr>
            <w:tcW w:w="2450" w:type="dxa"/>
          </w:tcPr>
          <w:p w14:paraId="5B3D0296"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3.500,00</w:t>
            </w:r>
          </w:p>
        </w:tc>
        <w:tc>
          <w:tcPr>
            <w:tcW w:w="4877" w:type="dxa"/>
          </w:tcPr>
          <w:p w14:paraId="4E992E06" w14:textId="77777777" w:rsidR="009B1987" w:rsidRPr="0010524E" w:rsidRDefault="009B1987" w:rsidP="00E162D4">
            <w:pPr>
              <w:spacing w:before="120" w:after="120"/>
              <w:jc w:val="both"/>
              <w:rPr>
                <w:rFonts w:cstheme="minorHAnsi"/>
                <w:color w:val="FF0000"/>
                <w:sz w:val="24"/>
                <w:szCs w:val="24"/>
              </w:rPr>
            </w:pPr>
          </w:p>
        </w:tc>
        <w:tc>
          <w:tcPr>
            <w:tcW w:w="4100" w:type="dxa"/>
          </w:tcPr>
          <w:p w14:paraId="65878DD8" w14:textId="3976B396" w:rsidR="009B1987" w:rsidRPr="0010524E" w:rsidRDefault="009B1987" w:rsidP="00E162D4">
            <w:pPr>
              <w:spacing w:before="120" w:after="120"/>
              <w:jc w:val="both"/>
              <w:rPr>
                <w:rFonts w:cstheme="minorHAnsi"/>
                <w:color w:val="FF0000"/>
                <w:sz w:val="24"/>
                <w:szCs w:val="24"/>
              </w:rPr>
            </w:pPr>
          </w:p>
        </w:tc>
      </w:tr>
      <w:tr w:rsidR="009B1987" w:rsidRPr="0010524E" w14:paraId="56514FDA" w14:textId="77777777" w:rsidTr="000F7568">
        <w:trPr>
          <w:trHeight w:val="649"/>
        </w:trPr>
        <w:tc>
          <w:tcPr>
            <w:tcW w:w="2602" w:type="dxa"/>
          </w:tcPr>
          <w:p w14:paraId="31847108"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De 200.000.000,01 até 300.000.000,00</w:t>
            </w:r>
          </w:p>
        </w:tc>
        <w:tc>
          <w:tcPr>
            <w:tcW w:w="2450" w:type="dxa"/>
          </w:tcPr>
          <w:p w14:paraId="40F1122E"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8.000,00</w:t>
            </w:r>
          </w:p>
        </w:tc>
        <w:tc>
          <w:tcPr>
            <w:tcW w:w="4877" w:type="dxa"/>
          </w:tcPr>
          <w:p w14:paraId="7B53331E" w14:textId="77777777" w:rsidR="009B1987" w:rsidRPr="0010524E" w:rsidRDefault="009B1987" w:rsidP="00E162D4">
            <w:pPr>
              <w:spacing w:before="120" w:after="120"/>
              <w:jc w:val="both"/>
              <w:rPr>
                <w:rFonts w:cstheme="minorHAnsi"/>
                <w:color w:val="FF0000"/>
                <w:sz w:val="24"/>
                <w:szCs w:val="24"/>
              </w:rPr>
            </w:pPr>
          </w:p>
        </w:tc>
        <w:tc>
          <w:tcPr>
            <w:tcW w:w="4100" w:type="dxa"/>
          </w:tcPr>
          <w:p w14:paraId="41DCFFE2" w14:textId="19D4623A" w:rsidR="009B1987" w:rsidRPr="0010524E" w:rsidRDefault="009B1987" w:rsidP="00E162D4">
            <w:pPr>
              <w:spacing w:before="120" w:after="120"/>
              <w:jc w:val="both"/>
              <w:rPr>
                <w:rFonts w:cstheme="minorHAnsi"/>
                <w:color w:val="FF0000"/>
                <w:sz w:val="24"/>
                <w:szCs w:val="24"/>
              </w:rPr>
            </w:pPr>
          </w:p>
        </w:tc>
      </w:tr>
      <w:tr w:rsidR="009B1987" w:rsidRPr="0010524E" w14:paraId="2B25740B" w14:textId="77777777" w:rsidTr="000F7568">
        <w:trPr>
          <w:trHeight w:val="649"/>
        </w:trPr>
        <w:tc>
          <w:tcPr>
            <w:tcW w:w="2602" w:type="dxa"/>
          </w:tcPr>
          <w:p w14:paraId="0871345E"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lastRenderedPageBreak/>
              <w:t>De 300.000.000,01 até 500.000.000,00</w:t>
            </w:r>
          </w:p>
        </w:tc>
        <w:tc>
          <w:tcPr>
            <w:tcW w:w="2450" w:type="dxa"/>
          </w:tcPr>
          <w:p w14:paraId="79F2A946"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12.000,00</w:t>
            </w:r>
          </w:p>
        </w:tc>
        <w:tc>
          <w:tcPr>
            <w:tcW w:w="4877" w:type="dxa"/>
          </w:tcPr>
          <w:p w14:paraId="6D54EC4C" w14:textId="77777777" w:rsidR="009B1987" w:rsidRPr="0010524E" w:rsidRDefault="009B1987" w:rsidP="00E162D4">
            <w:pPr>
              <w:spacing w:before="120" w:after="120"/>
              <w:jc w:val="both"/>
              <w:rPr>
                <w:rFonts w:cstheme="minorHAnsi"/>
                <w:color w:val="FF0000"/>
                <w:sz w:val="24"/>
                <w:szCs w:val="24"/>
              </w:rPr>
            </w:pPr>
          </w:p>
        </w:tc>
        <w:tc>
          <w:tcPr>
            <w:tcW w:w="4100" w:type="dxa"/>
          </w:tcPr>
          <w:p w14:paraId="6DFA01D7" w14:textId="03C911A8" w:rsidR="009B1987" w:rsidRPr="0010524E" w:rsidRDefault="009B1987" w:rsidP="00E162D4">
            <w:pPr>
              <w:spacing w:before="120" w:after="120"/>
              <w:jc w:val="both"/>
              <w:rPr>
                <w:rFonts w:cstheme="minorHAnsi"/>
                <w:color w:val="FF0000"/>
                <w:sz w:val="24"/>
                <w:szCs w:val="24"/>
              </w:rPr>
            </w:pPr>
          </w:p>
        </w:tc>
      </w:tr>
      <w:tr w:rsidR="009B1987" w:rsidRPr="0010524E" w14:paraId="68C4000C" w14:textId="77777777" w:rsidTr="000F7568">
        <w:trPr>
          <w:trHeight w:val="649"/>
        </w:trPr>
        <w:tc>
          <w:tcPr>
            <w:tcW w:w="2602" w:type="dxa"/>
          </w:tcPr>
          <w:p w14:paraId="56E182DE"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De 500.000.000,01 até 1.000.000.000,00</w:t>
            </w:r>
          </w:p>
        </w:tc>
        <w:tc>
          <w:tcPr>
            <w:tcW w:w="2450" w:type="dxa"/>
          </w:tcPr>
          <w:p w14:paraId="24665352"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20.000,00</w:t>
            </w:r>
          </w:p>
        </w:tc>
        <w:tc>
          <w:tcPr>
            <w:tcW w:w="4877" w:type="dxa"/>
          </w:tcPr>
          <w:p w14:paraId="04972E02" w14:textId="77777777" w:rsidR="009B1987" w:rsidRPr="0010524E" w:rsidRDefault="009B1987" w:rsidP="00E162D4">
            <w:pPr>
              <w:spacing w:before="120" w:after="120"/>
              <w:jc w:val="both"/>
              <w:rPr>
                <w:rFonts w:cstheme="minorHAnsi"/>
                <w:color w:val="FF0000"/>
                <w:sz w:val="24"/>
                <w:szCs w:val="24"/>
              </w:rPr>
            </w:pPr>
          </w:p>
        </w:tc>
        <w:tc>
          <w:tcPr>
            <w:tcW w:w="4100" w:type="dxa"/>
          </w:tcPr>
          <w:p w14:paraId="36CCC590" w14:textId="53B7118D" w:rsidR="009B1987" w:rsidRPr="0010524E" w:rsidRDefault="009B1987" w:rsidP="00E162D4">
            <w:pPr>
              <w:spacing w:before="120" w:after="120"/>
              <w:jc w:val="both"/>
              <w:rPr>
                <w:rFonts w:cstheme="minorHAnsi"/>
                <w:color w:val="FF0000"/>
                <w:sz w:val="24"/>
                <w:szCs w:val="24"/>
              </w:rPr>
            </w:pPr>
          </w:p>
        </w:tc>
      </w:tr>
      <w:tr w:rsidR="009B1987" w:rsidRPr="0010524E" w14:paraId="027CF2FE" w14:textId="77777777" w:rsidTr="000F7568">
        <w:trPr>
          <w:trHeight w:val="649"/>
        </w:trPr>
        <w:tc>
          <w:tcPr>
            <w:tcW w:w="2602" w:type="dxa"/>
          </w:tcPr>
          <w:p w14:paraId="4242CB4A"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De 1.000.000.000,01 até 2.000.000.000,00</w:t>
            </w:r>
          </w:p>
        </w:tc>
        <w:tc>
          <w:tcPr>
            <w:tcW w:w="2450" w:type="dxa"/>
          </w:tcPr>
          <w:p w14:paraId="177DA430"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40.000,00</w:t>
            </w:r>
          </w:p>
        </w:tc>
        <w:tc>
          <w:tcPr>
            <w:tcW w:w="4877" w:type="dxa"/>
          </w:tcPr>
          <w:p w14:paraId="4A1071CB" w14:textId="77777777" w:rsidR="009B1987" w:rsidRPr="0010524E" w:rsidRDefault="009B1987" w:rsidP="00E162D4">
            <w:pPr>
              <w:spacing w:before="120" w:after="120"/>
              <w:jc w:val="both"/>
              <w:rPr>
                <w:rFonts w:cstheme="minorHAnsi"/>
                <w:color w:val="FF0000"/>
                <w:sz w:val="24"/>
                <w:szCs w:val="24"/>
              </w:rPr>
            </w:pPr>
          </w:p>
        </w:tc>
        <w:tc>
          <w:tcPr>
            <w:tcW w:w="4100" w:type="dxa"/>
          </w:tcPr>
          <w:p w14:paraId="73EA66F6" w14:textId="31293EEB" w:rsidR="009B1987" w:rsidRPr="0010524E" w:rsidRDefault="009B1987" w:rsidP="00E162D4">
            <w:pPr>
              <w:spacing w:before="120" w:after="120"/>
              <w:jc w:val="both"/>
              <w:rPr>
                <w:rFonts w:cstheme="minorHAnsi"/>
                <w:color w:val="FF0000"/>
                <w:sz w:val="24"/>
                <w:szCs w:val="24"/>
              </w:rPr>
            </w:pPr>
          </w:p>
        </w:tc>
      </w:tr>
      <w:tr w:rsidR="009B1987" w:rsidRPr="0010524E" w14:paraId="627BCE13" w14:textId="77777777" w:rsidTr="000F7568">
        <w:trPr>
          <w:trHeight w:val="649"/>
        </w:trPr>
        <w:tc>
          <w:tcPr>
            <w:tcW w:w="2602" w:type="dxa"/>
          </w:tcPr>
          <w:p w14:paraId="0E82A510"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De 2.000.000.000,01 até 5.000.000.000,00</w:t>
            </w:r>
          </w:p>
        </w:tc>
        <w:tc>
          <w:tcPr>
            <w:tcW w:w="2450" w:type="dxa"/>
          </w:tcPr>
          <w:p w14:paraId="4502FF6D"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80.000,00</w:t>
            </w:r>
          </w:p>
        </w:tc>
        <w:tc>
          <w:tcPr>
            <w:tcW w:w="4877" w:type="dxa"/>
          </w:tcPr>
          <w:p w14:paraId="1F0DD450" w14:textId="77777777" w:rsidR="009B1987" w:rsidRPr="0010524E" w:rsidRDefault="009B1987" w:rsidP="00E162D4">
            <w:pPr>
              <w:spacing w:before="120" w:after="120"/>
              <w:jc w:val="both"/>
              <w:rPr>
                <w:rFonts w:cstheme="minorHAnsi"/>
                <w:color w:val="FF0000"/>
                <w:sz w:val="24"/>
                <w:szCs w:val="24"/>
              </w:rPr>
            </w:pPr>
          </w:p>
        </w:tc>
        <w:tc>
          <w:tcPr>
            <w:tcW w:w="4100" w:type="dxa"/>
          </w:tcPr>
          <w:p w14:paraId="7096C120" w14:textId="165F780B" w:rsidR="009B1987" w:rsidRPr="0010524E" w:rsidRDefault="009B1987" w:rsidP="00E162D4">
            <w:pPr>
              <w:spacing w:before="120" w:after="120"/>
              <w:jc w:val="both"/>
              <w:rPr>
                <w:rFonts w:cstheme="minorHAnsi"/>
                <w:color w:val="FF0000"/>
                <w:sz w:val="24"/>
                <w:szCs w:val="24"/>
              </w:rPr>
            </w:pPr>
          </w:p>
        </w:tc>
      </w:tr>
      <w:tr w:rsidR="009B1987" w:rsidRPr="0010524E" w14:paraId="33CC9269" w14:textId="77777777" w:rsidTr="000F7568">
        <w:trPr>
          <w:trHeight w:val="649"/>
        </w:trPr>
        <w:tc>
          <w:tcPr>
            <w:tcW w:w="2602" w:type="dxa"/>
          </w:tcPr>
          <w:p w14:paraId="429DAD02"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De 5.000.000.000,01 até 11.000.000.000,00</w:t>
            </w:r>
          </w:p>
        </w:tc>
        <w:tc>
          <w:tcPr>
            <w:tcW w:w="2450" w:type="dxa"/>
          </w:tcPr>
          <w:p w14:paraId="3602F41A"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200.000,00</w:t>
            </w:r>
          </w:p>
        </w:tc>
        <w:tc>
          <w:tcPr>
            <w:tcW w:w="4877" w:type="dxa"/>
          </w:tcPr>
          <w:p w14:paraId="2A5B6323" w14:textId="77777777" w:rsidR="009B1987" w:rsidRPr="0010524E" w:rsidRDefault="009B1987" w:rsidP="00E162D4">
            <w:pPr>
              <w:spacing w:before="120" w:after="120"/>
              <w:jc w:val="both"/>
              <w:rPr>
                <w:rFonts w:cstheme="minorHAnsi"/>
                <w:color w:val="FF0000"/>
                <w:sz w:val="24"/>
                <w:szCs w:val="24"/>
              </w:rPr>
            </w:pPr>
          </w:p>
        </w:tc>
        <w:tc>
          <w:tcPr>
            <w:tcW w:w="4100" w:type="dxa"/>
          </w:tcPr>
          <w:p w14:paraId="0EF6F974" w14:textId="678CFA16" w:rsidR="009B1987" w:rsidRPr="0010524E" w:rsidRDefault="009B1987" w:rsidP="00E162D4">
            <w:pPr>
              <w:spacing w:before="120" w:after="120"/>
              <w:jc w:val="both"/>
              <w:rPr>
                <w:rFonts w:cstheme="minorHAnsi"/>
                <w:color w:val="FF0000"/>
                <w:sz w:val="24"/>
                <w:szCs w:val="24"/>
              </w:rPr>
            </w:pPr>
          </w:p>
        </w:tc>
      </w:tr>
      <w:tr w:rsidR="009B1987" w:rsidRPr="0010524E" w14:paraId="46737F8C" w14:textId="77777777" w:rsidTr="000F7568">
        <w:trPr>
          <w:trHeight w:val="649"/>
        </w:trPr>
        <w:tc>
          <w:tcPr>
            <w:tcW w:w="2602" w:type="dxa"/>
          </w:tcPr>
          <w:p w14:paraId="4A19939F"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De 11.000.000.000,01 até 19.000.000.000,00</w:t>
            </w:r>
          </w:p>
        </w:tc>
        <w:tc>
          <w:tcPr>
            <w:tcW w:w="2450" w:type="dxa"/>
          </w:tcPr>
          <w:p w14:paraId="52410D8F"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425.000,00</w:t>
            </w:r>
          </w:p>
        </w:tc>
        <w:tc>
          <w:tcPr>
            <w:tcW w:w="4877" w:type="dxa"/>
          </w:tcPr>
          <w:p w14:paraId="24B1F5C7" w14:textId="77777777" w:rsidR="009B1987" w:rsidRPr="0010524E" w:rsidRDefault="009B1987" w:rsidP="00E162D4">
            <w:pPr>
              <w:spacing w:before="120" w:after="120"/>
              <w:jc w:val="both"/>
              <w:rPr>
                <w:rFonts w:cstheme="minorHAnsi"/>
                <w:color w:val="FF0000"/>
                <w:sz w:val="24"/>
                <w:szCs w:val="24"/>
              </w:rPr>
            </w:pPr>
          </w:p>
        </w:tc>
        <w:tc>
          <w:tcPr>
            <w:tcW w:w="4100" w:type="dxa"/>
          </w:tcPr>
          <w:p w14:paraId="5A2E8A10" w14:textId="266311C2" w:rsidR="009B1987" w:rsidRPr="0010524E" w:rsidRDefault="009B1987" w:rsidP="00E162D4">
            <w:pPr>
              <w:spacing w:before="120" w:after="120"/>
              <w:jc w:val="both"/>
              <w:rPr>
                <w:rFonts w:cstheme="minorHAnsi"/>
                <w:color w:val="FF0000"/>
                <w:sz w:val="24"/>
                <w:szCs w:val="24"/>
              </w:rPr>
            </w:pPr>
          </w:p>
        </w:tc>
      </w:tr>
      <w:tr w:rsidR="009B1987" w:rsidRPr="0010524E" w14:paraId="6FC84847" w14:textId="77777777" w:rsidTr="000F7568">
        <w:trPr>
          <w:trHeight w:val="649"/>
        </w:trPr>
        <w:tc>
          <w:tcPr>
            <w:tcW w:w="2602" w:type="dxa"/>
          </w:tcPr>
          <w:p w14:paraId="57F101BD"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De 19.000.000.000,01 até 26.000.000.000,00</w:t>
            </w:r>
          </w:p>
        </w:tc>
        <w:tc>
          <w:tcPr>
            <w:tcW w:w="2450" w:type="dxa"/>
          </w:tcPr>
          <w:p w14:paraId="53DC8E5E"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750.000,00</w:t>
            </w:r>
          </w:p>
        </w:tc>
        <w:tc>
          <w:tcPr>
            <w:tcW w:w="4877" w:type="dxa"/>
          </w:tcPr>
          <w:p w14:paraId="4F4E9CC4" w14:textId="77777777" w:rsidR="009B1987" w:rsidRPr="0010524E" w:rsidRDefault="009B1987" w:rsidP="00E162D4">
            <w:pPr>
              <w:spacing w:before="120" w:after="120"/>
              <w:jc w:val="both"/>
              <w:rPr>
                <w:rFonts w:cstheme="minorHAnsi"/>
                <w:color w:val="FF0000"/>
                <w:sz w:val="24"/>
                <w:szCs w:val="24"/>
              </w:rPr>
            </w:pPr>
          </w:p>
        </w:tc>
        <w:tc>
          <w:tcPr>
            <w:tcW w:w="4100" w:type="dxa"/>
          </w:tcPr>
          <w:p w14:paraId="15E0E545" w14:textId="41AD0B4E" w:rsidR="009B1987" w:rsidRPr="0010524E" w:rsidRDefault="009B1987" w:rsidP="00E162D4">
            <w:pPr>
              <w:spacing w:before="120" w:after="120"/>
              <w:jc w:val="both"/>
              <w:rPr>
                <w:rFonts w:cstheme="minorHAnsi"/>
                <w:color w:val="FF0000"/>
                <w:sz w:val="24"/>
                <w:szCs w:val="24"/>
              </w:rPr>
            </w:pPr>
          </w:p>
        </w:tc>
      </w:tr>
      <w:tr w:rsidR="009B1987" w:rsidRPr="0010524E" w14:paraId="2B1E00AD" w14:textId="77777777" w:rsidTr="000F7568">
        <w:trPr>
          <w:trHeight w:val="649"/>
        </w:trPr>
        <w:tc>
          <w:tcPr>
            <w:tcW w:w="2602" w:type="dxa"/>
          </w:tcPr>
          <w:p w14:paraId="7189BF2E"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De 26.000.000.000,01 até 35.000.000.000,00</w:t>
            </w:r>
          </w:p>
        </w:tc>
        <w:tc>
          <w:tcPr>
            <w:tcW w:w="2450" w:type="dxa"/>
          </w:tcPr>
          <w:p w14:paraId="4C783D6C"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1.025.000,00</w:t>
            </w:r>
          </w:p>
        </w:tc>
        <w:tc>
          <w:tcPr>
            <w:tcW w:w="4877" w:type="dxa"/>
          </w:tcPr>
          <w:p w14:paraId="3BD93FDC" w14:textId="77777777" w:rsidR="009B1987" w:rsidRPr="0010524E" w:rsidRDefault="009B1987" w:rsidP="00E162D4">
            <w:pPr>
              <w:spacing w:before="120" w:after="120"/>
              <w:jc w:val="both"/>
              <w:rPr>
                <w:rFonts w:cstheme="minorHAnsi"/>
                <w:color w:val="FF0000"/>
                <w:sz w:val="24"/>
                <w:szCs w:val="24"/>
              </w:rPr>
            </w:pPr>
          </w:p>
        </w:tc>
        <w:tc>
          <w:tcPr>
            <w:tcW w:w="4100" w:type="dxa"/>
          </w:tcPr>
          <w:p w14:paraId="1873BCC8" w14:textId="26978249" w:rsidR="009B1987" w:rsidRPr="0010524E" w:rsidRDefault="009B1987" w:rsidP="00E162D4">
            <w:pPr>
              <w:spacing w:before="120" w:after="120"/>
              <w:jc w:val="both"/>
              <w:rPr>
                <w:rFonts w:cstheme="minorHAnsi"/>
                <w:color w:val="FF0000"/>
                <w:sz w:val="24"/>
                <w:szCs w:val="24"/>
              </w:rPr>
            </w:pPr>
          </w:p>
        </w:tc>
      </w:tr>
      <w:tr w:rsidR="009B1987" w:rsidRPr="0010524E" w14:paraId="50F96FD1" w14:textId="77777777" w:rsidTr="000F7568">
        <w:trPr>
          <w:trHeight w:val="649"/>
        </w:trPr>
        <w:tc>
          <w:tcPr>
            <w:tcW w:w="2602" w:type="dxa"/>
          </w:tcPr>
          <w:p w14:paraId="390CB348"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De 35.000.000.000,01 até 45.000.000.000,00</w:t>
            </w:r>
          </w:p>
        </w:tc>
        <w:tc>
          <w:tcPr>
            <w:tcW w:w="2450" w:type="dxa"/>
          </w:tcPr>
          <w:p w14:paraId="3746A11B"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1.375.000,00</w:t>
            </w:r>
          </w:p>
        </w:tc>
        <w:tc>
          <w:tcPr>
            <w:tcW w:w="4877" w:type="dxa"/>
          </w:tcPr>
          <w:p w14:paraId="2B9F5B62" w14:textId="77777777" w:rsidR="009B1987" w:rsidRPr="0010524E" w:rsidRDefault="009B1987" w:rsidP="00E162D4">
            <w:pPr>
              <w:spacing w:before="120" w:after="120"/>
              <w:jc w:val="both"/>
              <w:rPr>
                <w:rFonts w:cstheme="minorHAnsi"/>
                <w:color w:val="FF0000"/>
                <w:sz w:val="24"/>
                <w:szCs w:val="24"/>
              </w:rPr>
            </w:pPr>
          </w:p>
        </w:tc>
        <w:tc>
          <w:tcPr>
            <w:tcW w:w="4100" w:type="dxa"/>
          </w:tcPr>
          <w:p w14:paraId="1B817886" w14:textId="1D6DE0EB" w:rsidR="009B1987" w:rsidRPr="0010524E" w:rsidRDefault="009B1987" w:rsidP="00E162D4">
            <w:pPr>
              <w:spacing w:before="120" w:after="120"/>
              <w:jc w:val="both"/>
              <w:rPr>
                <w:rFonts w:cstheme="minorHAnsi"/>
                <w:color w:val="FF0000"/>
                <w:sz w:val="24"/>
                <w:szCs w:val="24"/>
              </w:rPr>
            </w:pPr>
          </w:p>
        </w:tc>
      </w:tr>
      <w:tr w:rsidR="009B1987" w:rsidRPr="0010524E" w14:paraId="1583F97C" w14:textId="77777777" w:rsidTr="000F7568">
        <w:trPr>
          <w:trHeight w:val="649"/>
        </w:trPr>
        <w:tc>
          <w:tcPr>
            <w:tcW w:w="2602" w:type="dxa"/>
          </w:tcPr>
          <w:p w14:paraId="0C43752D"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De 45.000.000.000,01 até 60.000.000.000,00</w:t>
            </w:r>
          </w:p>
        </w:tc>
        <w:tc>
          <w:tcPr>
            <w:tcW w:w="2450" w:type="dxa"/>
          </w:tcPr>
          <w:p w14:paraId="12F3076F"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1.750.000,00</w:t>
            </w:r>
          </w:p>
        </w:tc>
        <w:tc>
          <w:tcPr>
            <w:tcW w:w="4877" w:type="dxa"/>
          </w:tcPr>
          <w:p w14:paraId="1070D6C3" w14:textId="77777777" w:rsidR="009B1987" w:rsidRPr="0010524E" w:rsidRDefault="009B1987" w:rsidP="00E162D4">
            <w:pPr>
              <w:spacing w:before="120" w:after="120"/>
              <w:jc w:val="both"/>
              <w:rPr>
                <w:rFonts w:cstheme="minorHAnsi"/>
                <w:color w:val="FF0000"/>
                <w:sz w:val="24"/>
                <w:szCs w:val="24"/>
              </w:rPr>
            </w:pPr>
          </w:p>
        </w:tc>
        <w:tc>
          <w:tcPr>
            <w:tcW w:w="4100" w:type="dxa"/>
          </w:tcPr>
          <w:p w14:paraId="53EBBB79" w14:textId="1B5A6C44" w:rsidR="009B1987" w:rsidRPr="0010524E" w:rsidRDefault="009B1987" w:rsidP="00E162D4">
            <w:pPr>
              <w:spacing w:before="120" w:after="120"/>
              <w:jc w:val="both"/>
              <w:rPr>
                <w:rFonts w:cstheme="minorHAnsi"/>
                <w:color w:val="FF0000"/>
                <w:sz w:val="24"/>
                <w:szCs w:val="24"/>
              </w:rPr>
            </w:pPr>
          </w:p>
        </w:tc>
      </w:tr>
      <w:tr w:rsidR="009B1987" w:rsidRPr="0010524E" w14:paraId="7D4FD5F8" w14:textId="77777777" w:rsidTr="000F7568">
        <w:trPr>
          <w:trHeight w:val="649"/>
        </w:trPr>
        <w:tc>
          <w:tcPr>
            <w:tcW w:w="2602" w:type="dxa"/>
          </w:tcPr>
          <w:p w14:paraId="0306CC70"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lastRenderedPageBreak/>
              <w:t>Acima de 60.000.000.000,01</w:t>
            </w:r>
          </w:p>
        </w:tc>
        <w:tc>
          <w:tcPr>
            <w:tcW w:w="2450" w:type="dxa"/>
          </w:tcPr>
          <w:p w14:paraId="36DD959E"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2.225.000,00</w:t>
            </w:r>
          </w:p>
        </w:tc>
        <w:tc>
          <w:tcPr>
            <w:tcW w:w="4877" w:type="dxa"/>
          </w:tcPr>
          <w:p w14:paraId="6DC19954" w14:textId="77777777" w:rsidR="009B1987" w:rsidRPr="0010524E" w:rsidRDefault="009B1987" w:rsidP="00E162D4">
            <w:pPr>
              <w:spacing w:before="120" w:after="120"/>
              <w:jc w:val="both"/>
              <w:rPr>
                <w:rFonts w:cstheme="minorHAnsi"/>
                <w:color w:val="FF0000"/>
                <w:sz w:val="24"/>
                <w:szCs w:val="24"/>
              </w:rPr>
            </w:pPr>
          </w:p>
        </w:tc>
        <w:tc>
          <w:tcPr>
            <w:tcW w:w="4100" w:type="dxa"/>
          </w:tcPr>
          <w:p w14:paraId="37240E92" w14:textId="76F83ED2" w:rsidR="009B1987" w:rsidRPr="0010524E" w:rsidRDefault="009B1987" w:rsidP="00E162D4">
            <w:pPr>
              <w:spacing w:before="120" w:after="120"/>
              <w:jc w:val="both"/>
              <w:rPr>
                <w:rFonts w:cstheme="minorHAnsi"/>
                <w:color w:val="FF0000"/>
                <w:sz w:val="24"/>
                <w:szCs w:val="24"/>
              </w:rPr>
            </w:pPr>
          </w:p>
        </w:tc>
      </w:tr>
      <w:tr w:rsidR="009B1987" w:rsidRPr="0010524E" w14:paraId="4F714622" w14:textId="77777777" w:rsidTr="000F7568">
        <w:tc>
          <w:tcPr>
            <w:tcW w:w="5052" w:type="dxa"/>
            <w:gridSpan w:val="2"/>
          </w:tcPr>
          <w:p w14:paraId="7AD0909D" w14:textId="77777777" w:rsidR="009B1987" w:rsidRPr="0010524E" w:rsidRDefault="009B1987" w:rsidP="00E162D4">
            <w:pPr>
              <w:tabs>
                <w:tab w:val="left" w:pos="1515"/>
              </w:tabs>
              <w:spacing w:before="120" w:after="120"/>
              <w:jc w:val="both"/>
              <w:rPr>
                <w:rFonts w:cstheme="minorHAnsi"/>
                <w:sz w:val="24"/>
                <w:szCs w:val="24"/>
              </w:rPr>
            </w:pPr>
            <w:r w:rsidRPr="0010524E">
              <w:rPr>
                <w:rFonts w:cstheme="minorHAnsi"/>
                <w:sz w:val="24"/>
                <w:szCs w:val="24"/>
              </w:rPr>
              <w:t>Republicação da Resolução Previc nº 20, de 22 de dezembro de 2022, por ter constado incorreção, quanto ao original, na Edição do Diário Oﬁcial da União de 23 de dezembro de 2022, Seção 1.</w:t>
            </w:r>
          </w:p>
        </w:tc>
        <w:tc>
          <w:tcPr>
            <w:tcW w:w="4877" w:type="dxa"/>
          </w:tcPr>
          <w:p w14:paraId="2E48CB40" w14:textId="77777777" w:rsidR="009B1987" w:rsidRPr="0010524E" w:rsidRDefault="009B1987" w:rsidP="00E162D4">
            <w:pPr>
              <w:spacing w:before="120" w:after="120"/>
              <w:jc w:val="center"/>
              <w:rPr>
                <w:rFonts w:cstheme="minorHAnsi"/>
                <w:sz w:val="24"/>
                <w:szCs w:val="24"/>
              </w:rPr>
            </w:pPr>
          </w:p>
        </w:tc>
        <w:tc>
          <w:tcPr>
            <w:tcW w:w="4100" w:type="dxa"/>
          </w:tcPr>
          <w:p w14:paraId="39AA259A" w14:textId="77777777" w:rsidR="009B1987" w:rsidRPr="0010524E" w:rsidRDefault="009B1987" w:rsidP="00E162D4">
            <w:pPr>
              <w:spacing w:before="120" w:after="120"/>
              <w:jc w:val="both"/>
              <w:rPr>
                <w:rFonts w:cstheme="minorHAnsi"/>
                <w:color w:val="FF0000"/>
                <w:sz w:val="24"/>
                <w:szCs w:val="24"/>
              </w:rPr>
            </w:pPr>
            <w:r w:rsidRPr="0010524E">
              <w:rPr>
                <w:rFonts w:cstheme="minorHAnsi"/>
                <w:sz w:val="24"/>
                <w:szCs w:val="24"/>
              </w:rPr>
              <w:t>Excluído considerando o processo de consolidação normativa.</w:t>
            </w:r>
          </w:p>
        </w:tc>
      </w:tr>
    </w:tbl>
    <w:p w14:paraId="6D256B59" w14:textId="77777777" w:rsidR="00A36EE3" w:rsidRDefault="00A36EE3">
      <w:r>
        <w:br w:type="page"/>
      </w:r>
    </w:p>
    <w:tbl>
      <w:tblPr>
        <w:tblStyle w:val="Tabelacomgrade"/>
        <w:tblW w:w="14312" w:type="dxa"/>
        <w:tblLayout w:type="fixed"/>
        <w:tblLook w:val="04A0" w:firstRow="1" w:lastRow="0" w:firstColumn="1" w:lastColumn="0" w:noHBand="0" w:noVBand="1"/>
      </w:tblPr>
      <w:tblGrid>
        <w:gridCol w:w="4815"/>
        <w:gridCol w:w="4849"/>
        <w:gridCol w:w="4648"/>
      </w:tblGrid>
      <w:tr w:rsidR="00E86BE2" w:rsidRPr="0010524E" w14:paraId="51BD675D" w14:textId="77777777" w:rsidTr="00E86BE2">
        <w:tc>
          <w:tcPr>
            <w:tcW w:w="4815" w:type="dxa"/>
            <w:shd w:val="clear" w:color="auto" w:fill="D0CECE" w:themeFill="background2" w:themeFillShade="E6"/>
            <w:vAlign w:val="center"/>
          </w:tcPr>
          <w:p w14:paraId="66AC66DE" w14:textId="16A71301" w:rsidR="00E86BE2" w:rsidRPr="0010524E" w:rsidRDefault="00E86BE2" w:rsidP="00E86BE2">
            <w:pPr>
              <w:pStyle w:val="Normal1"/>
              <w:pBdr>
                <w:top w:val="nil"/>
                <w:left w:val="nil"/>
                <w:bottom w:val="nil"/>
                <w:right w:val="nil"/>
                <w:between w:val="nil"/>
              </w:pBdr>
              <w:jc w:val="center"/>
              <w:rPr>
                <w:b/>
                <w:color w:val="000000"/>
                <w:sz w:val="24"/>
                <w:szCs w:val="24"/>
              </w:rPr>
            </w:pPr>
            <w:r w:rsidRPr="0010524E">
              <w:rPr>
                <w:rFonts w:eastAsia="Times New Roman"/>
                <w:b/>
                <w:bCs/>
                <w:sz w:val="24"/>
                <w:szCs w:val="24"/>
                <w:lang w:eastAsia="pt-BR"/>
              </w:rPr>
              <w:lastRenderedPageBreak/>
              <w:t>DE</w:t>
            </w:r>
          </w:p>
        </w:tc>
        <w:tc>
          <w:tcPr>
            <w:tcW w:w="4849" w:type="dxa"/>
            <w:shd w:val="clear" w:color="auto" w:fill="D0CECE" w:themeFill="background2" w:themeFillShade="E6"/>
            <w:vAlign w:val="center"/>
          </w:tcPr>
          <w:p w14:paraId="7EF32E82" w14:textId="2290D2F9" w:rsidR="00E86BE2" w:rsidRPr="0010524E" w:rsidRDefault="00E86BE2" w:rsidP="00E86BE2">
            <w:pPr>
              <w:pStyle w:val="Normal1"/>
              <w:pBdr>
                <w:top w:val="nil"/>
                <w:left w:val="nil"/>
                <w:bottom w:val="nil"/>
                <w:right w:val="nil"/>
                <w:between w:val="nil"/>
              </w:pBdr>
              <w:jc w:val="center"/>
              <w:rPr>
                <w:b/>
                <w:color w:val="000000"/>
                <w:sz w:val="24"/>
                <w:szCs w:val="24"/>
              </w:rPr>
            </w:pPr>
            <w:r w:rsidRPr="0010524E">
              <w:rPr>
                <w:rFonts w:eastAsia="Times New Roman"/>
                <w:b/>
                <w:bCs/>
                <w:sz w:val="24"/>
                <w:szCs w:val="24"/>
                <w:lang w:eastAsia="pt-BR"/>
              </w:rPr>
              <w:t>PARA</w:t>
            </w:r>
          </w:p>
        </w:tc>
        <w:tc>
          <w:tcPr>
            <w:tcW w:w="4648" w:type="dxa"/>
            <w:shd w:val="clear" w:color="auto" w:fill="D0CECE" w:themeFill="background2" w:themeFillShade="E6"/>
            <w:vAlign w:val="center"/>
          </w:tcPr>
          <w:p w14:paraId="524C3C98" w14:textId="28FA6A7B" w:rsidR="00E86BE2" w:rsidRPr="0010524E" w:rsidRDefault="00E86BE2" w:rsidP="00E86BE2">
            <w:pPr>
              <w:pStyle w:val="Normal1"/>
              <w:pBdr>
                <w:top w:val="nil"/>
                <w:left w:val="nil"/>
                <w:bottom w:val="nil"/>
                <w:right w:val="nil"/>
                <w:between w:val="nil"/>
              </w:pBdr>
              <w:jc w:val="center"/>
              <w:rPr>
                <w:b/>
                <w:color w:val="000000"/>
                <w:sz w:val="24"/>
                <w:szCs w:val="24"/>
              </w:rPr>
            </w:pPr>
            <w:r w:rsidRPr="0010524E">
              <w:rPr>
                <w:rFonts w:eastAsia="Times New Roman"/>
                <w:b/>
                <w:bCs/>
                <w:sz w:val="24"/>
                <w:szCs w:val="24"/>
                <w:lang w:eastAsia="pt-BR"/>
              </w:rPr>
              <w:t>JUSTIFICATIVA</w:t>
            </w:r>
          </w:p>
        </w:tc>
      </w:tr>
      <w:tr w:rsidR="00E86BE2" w:rsidRPr="0010524E" w14:paraId="151E54DF" w14:textId="45C24C66" w:rsidTr="00E86BE2">
        <w:tc>
          <w:tcPr>
            <w:tcW w:w="4815" w:type="dxa"/>
            <w:shd w:val="clear" w:color="auto" w:fill="FFFFFF" w:themeFill="background1"/>
          </w:tcPr>
          <w:p w14:paraId="479C613D" w14:textId="1EC0FFE3" w:rsidR="00E86BE2" w:rsidRPr="0010524E" w:rsidRDefault="00E86BE2" w:rsidP="00E86BE2">
            <w:pPr>
              <w:pStyle w:val="Normal1"/>
              <w:pBdr>
                <w:top w:val="nil"/>
                <w:left w:val="nil"/>
                <w:bottom w:val="nil"/>
                <w:right w:val="nil"/>
                <w:between w:val="nil"/>
              </w:pBdr>
              <w:jc w:val="center"/>
              <w:rPr>
                <w:b/>
                <w:color w:val="000000"/>
                <w:sz w:val="24"/>
                <w:szCs w:val="24"/>
              </w:rPr>
            </w:pPr>
            <w:r w:rsidRPr="0010524E">
              <w:rPr>
                <w:b/>
                <w:color w:val="000000"/>
                <w:sz w:val="24"/>
                <w:szCs w:val="24"/>
              </w:rPr>
              <w:t>Instrução SPC nº 16 de 23 de março de 2007</w:t>
            </w:r>
          </w:p>
        </w:tc>
        <w:tc>
          <w:tcPr>
            <w:tcW w:w="4849" w:type="dxa"/>
            <w:shd w:val="clear" w:color="auto" w:fill="FFFFFF" w:themeFill="background1"/>
          </w:tcPr>
          <w:p w14:paraId="554B47A9" w14:textId="77777777" w:rsidR="00E86BE2" w:rsidRPr="0010524E" w:rsidRDefault="00E86BE2" w:rsidP="00E86BE2">
            <w:pPr>
              <w:pStyle w:val="Normal1"/>
              <w:pBdr>
                <w:top w:val="nil"/>
                <w:left w:val="nil"/>
                <w:bottom w:val="nil"/>
                <w:right w:val="nil"/>
                <w:between w:val="nil"/>
              </w:pBdr>
              <w:jc w:val="center"/>
              <w:rPr>
                <w:b/>
                <w:color w:val="000000"/>
                <w:sz w:val="24"/>
                <w:szCs w:val="24"/>
              </w:rPr>
            </w:pPr>
          </w:p>
          <w:p w14:paraId="44090AD1" w14:textId="77777777" w:rsidR="00E86BE2" w:rsidRPr="0010524E" w:rsidRDefault="00E86BE2" w:rsidP="00E86BE2">
            <w:pPr>
              <w:pStyle w:val="Normal1"/>
              <w:pBdr>
                <w:top w:val="nil"/>
                <w:left w:val="nil"/>
                <w:bottom w:val="nil"/>
                <w:right w:val="nil"/>
                <w:between w:val="nil"/>
              </w:pBdr>
              <w:jc w:val="center"/>
              <w:rPr>
                <w:b/>
                <w:color w:val="000000"/>
                <w:sz w:val="24"/>
                <w:szCs w:val="24"/>
              </w:rPr>
            </w:pPr>
          </w:p>
        </w:tc>
        <w:tc>
          <w:tcPr>
            <w:tcW w:w="4648" w:type="dxa"/>
            <w:shd w:val="clear" w:color="auto" w:fill="FFFFFF" w:themeFill="background1"/>
          </w:tcPr>
          <w:p w14:paraId="29F0C766" w14:textId="77777777" w:rsidR="00E86BE2" w:rsidRPr="0010524E" w:rsidRDefault="00E86BE2" w:rsidP="00E86BE2">
            <w:pPr>
              <w:pStyle w:val="Normal1"/>
              <w:pBdr>
                <w:top w:val="nil"/>
                <w:left w:val="nil"/>
                <w:bottom w:val="nil"/>
                <w:right w:val="nil"/>
                <w:between w:val="nil"/>
              </w:pBdr>
              <w:jc w:val="center"/>
              <w:rPr>
                <w:b/>
                <w:color w:val="000000"/>
                <w:sz w:val="24"/>
                <w:szCs w:val="24"/>
              </w:rPr>
            </w:pPr>
          </w:p>
        </w:tc>
      </w:tr>
      <w:tr w:rsidR="00E86BE2" w:rsidRPr="0010524E" w14:paraId="1DAA2C90" w14:textId="0D0909C6" w:rsidTr="00E86BE2">
        <w:tc>
          <w:tcPr>
            <w:tcW w:w="4815" w:type="dxa"/>
          </w:tcPr>
          <w:p w14:paraId="47AAA70F" w14:textId="77777777" w:rsidR="00E86BE2" w:rsidRPr="0010524E" w:rsidRDefault="00E86BE2" w:rsidP="00E86BE2">
            <w:pPr>
              <w:pBdr>
                <w:top w:val="nil"/>
                <w:left w:val="nil"/>
                <w:bottom w:val="nil"/>
                <w:right w:val="nil"/>
                <w:between w:val="nil"/>
              </w:pBdr>
              <w:jc w:val="both"/>
              <w:rPr>
                <w:rFonts w:ascii="Calibri" w:eastAsia="Calibri" w:hAnsi="Calibri" w:cs="Calibri"/>
                <w:b/>
                <w:color w:val="000000"/>
                <w:sz w:val="24"/>
                <w:szCs w:val="24"/>
              </w:rPr>
            </w:pPr>
            <w:r w:rsidRPr="0010524E">
              <w:rPr>
                <w:rFonts w:ascii="Calibri" w:hAnsi="Calibri" w:cs="Calibri"/>
                <w:sz w:val="24"/>
                <w:szCs w:val="24"/>
              </w:rPr>
              <w:t>Dispõe acerca da classificação de que trata o art. 3° da Resolução CGPC n.° 24, de 26 de fevereiro de 2007, e estabelece limites para a indenização das despesas referentes à hospedagem, alimentação e deslocamento de administradores especiais, interventores e liquidantes nomeados pela Secretaria de Previdência Complementar, bem como limites para a remuneração e indenização das despesas de seus assistentes ou assessores.</w:t>
            </w:r>
          </w:p>
        </w:tc>
        <w:tc>
          <w:tcPr>
            <w:tcW w:w="4849" w:type="dxa"/>
          </w:tcPr>
          <w:p w14:paraId="78D7BF31" w14:textId="77777777" w:rsidR="00E86BE2" w:rsidRPr="0010524E" w:rsidRDefault="00E86BE2" w:rsidP="00E86BE2">
            <w:pPr>
              <w:ind w:left="38"/>
              <w:jc w:val="both"/>
              <w:rPr>
                <w:rFonts w:ascii="Calibri" w:hAnsi="Calibri" w:cs="Calibri"/>
                <w:sz w:val="24"/>
                <w:szCs w:val="24"/>
              </w:rPr>
            </w:pPr>
          </w:p>
        </w:tc>
        <w:tc>
          <w:tcPr>
            <w:tcW w:w="4648" w:type="dxa"/>
          </w:tcPr>
          <w:p w14:paraId="07CEA55A"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cstheme="minorHAnsi"/>
                <w:sz w:val="24"/>
                <w:szCs w:val="24"/>
              </w:rPr>
              <w:t>Excluído considerando o processo de consolidação normativa.</w:t>
            </w:r>
          </w:p>
        </w:tc>
      </w:tr>
      <w:tr w:rsidR="00E86BE2" w:rsidRPr="0010524E" w14:paraId="1691F7B6" w14:textId="60D9ACA7" w:rsidTr="00E86BE2">
        <w:tc>
          <w:tcPr>
            <w:tcW w:w="4815" w:type="dxa"/>
          </w:tcPr>
          <w:p w14:paraId="247C5300" w14:textId="77777777" w:rsidR="00E86BE2" w:rsidRPr="0010524E" w:rsidRDefault="00E86BE2" w:rsidP="00E86BE2">
            <w:pPr>
              <w:jc w:val="both"/>
              <w:rPr>
                <w:rFonts w:ascii="Calibri" w:hAnsi="Calibri" w:cs="Calibri"/>
                <w:i/>
                <w:sz w:val="24"/>
                <w:szCs w:val="24"/>
              </w:rPr>
            </w:pPr>
            <w:r w:rsidRPr="0010524E">
              <w:rPr>
                <w:rFonts w:ascii="Calibri" w:hAnsi="Calibri" w:cs="Calibri"/>
                <w:sz w:val="24"/>
                <w:szCs w:val="24"/>
              </w:rPr>
              <w:t>O SECRETÁRIO DE PREVIDÊNCIA COMPLEMENTAR DO MINISTÉRIO DA PREVIDÊNCIA SOCIAL, no uso das atribuições que lhe conferem os arts. 5º e 74 da Lei Complementar n o 109, de 29 de maio de 2001, e os arts. 3º e 4º da Resolução CGPC nº 24, de 26 de fevereiro de 2007, resolve:</w:t>
            </w:r>
          </w:p>
        </w:tc>
        <w:tc>
          <w:tcPr>
            <w:tcW w:w="4849" w:type="dxa"/>
          </w:tcPr>
          <w:p w14:paraId="5088F3CD" w14:textId="77777777" w:rsidR="00E86BE2" w:rsidRPr="0010524E" w:rsidRDefault="00E86BE2" w:rsidP="00E86BE2">
            <w:pPr>
              <w:pBdr>
                <w:top w:val="nil"/>
                <w:left w:val="nil"/>
                <w:bottom w:val="nil"/>
                <w:right w:val="nil"/>
                <w:between w:val="nil"/>
              </w:pBdr>
              <w:jc w:val="both"/>
              <w:rPr>
                <w:rFonts w:ascii="Calibri" w:eastAsia="Calibri" w:hAnsi="Calibri" w:cs="Calibri"/>
                <w:i/>
                <w:color w:val="000000"/>
                <w:sz w:val="24"/>
                <w:szCs w:val="24"/>
                <w:highlight w:val="white"/>
              </w:rPr>
            </w:pPr>
          </w:p>
        </w:tc>
        <w:tc>
          <w:tcPr>
            <w:tcW w:w="4648" w:type="dxa"/>
          </w:tcPr>
          <w:p w14:paraId="30FDE048"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cstheme="minorHAnsi"/>
                <w:sz w:val="24"/>
                <w:szCs w:val="24"/>
              </w:rPr>
              <w:t>Excluído considerando o processo de consolidação normativa.</w:t>
            </w:r>
          </w:p>
        </w:tc>
      </w:tr>
      <w:tr w:rsidR="00E86BE2" w:rsidRPr="0010524E" w14:paraId="74D0D317" w14:textId="2B9C06AA" w:rsidTr="00E86BE2">
        <w:tc>
          <w:tcPr>
            <w:tcW w:w="4815" w:type="dxa"/>
          </w:tcPr>
          <w:p w14:paraId="78D8B484" w14:textId="77777777" w:rsidR="00E86BE2" w:rsidRPr="0010524E" w:rsidRDefault="00E86BE2" w:rsidP="00E86BE2">
            <w:pPr>
              <w:jc w:val="both"/>
              <w:rPr>
                <w:rFonts w:ascii="Calibri" w:hAnsi="Calibri" w:cs="Calibri"/>
                <w:sz w:val="24"/>
                <w:szCs w:val="24"/>
              </w:rPr>
            </w:pPr>
          </w:p>
        </w:tc>
        <w:tc>
          <w:tcPr>
            <w:tcW w:w="4849" w:type="dxa"/>
          </w:tcPr>
          <w:p w14:paraId="2C921D05" w14:textId="0ED26D69" w:rsidR="00E86BE2" w:rsidRPr="00AF38B1" w:rsidRDefault="00E86BE2" w:rsidP="00E86BE2">
            <w:pPr>
              <w:jc w:val="center"/>
              <w:rPr>
                <w:rFonts w:cstheme="minorHAnsi"/>
                <w:b/>
                <w:bCs/>
                <w:color w:val="000000" w:themeColor="text1"/>
                <w:sz w:val="24"/>
                <w:szCs w:val="24"/>
              </w:rPr>
            </w:pPr>
            <w:r w:rsidRPr="00AF38B1">
              <w:rPr>
                <w:rFonts w:cstheme="minorHAnsi"/>
                <w:b/>
                <w:bCs/>
                <w:color w:val="000000" w:themeColor="text1"/>
                <w:sz w:val="24"/>
                <w:szCs w:val="24"/>
              </w:rPr>
              <w:t xml:space="preserve">Seção </w:t>
            </w:r>
            <w:r>
              <w:rPr>
                <w:rFonts w:cstheme="minorHAnsi"/>
                <w:b/>
                <w:bCs/>
                <w:color w:val="000000" w:themeColor="text1"/>
                <w:sz w:val="24"/>
                <w:szCs w:val="24"/>
              </w:rPr>
              <w:t>IV</w:t>
            </w:r>
          </w:p>
          <w:p w14:paraId="757E123C" w14:textId="39BC0C71" w:rsidR="00E86BE2" w:rsidRPr="0010524E" w:rsidRDefault="00E86BE2" w:rsidP="00E86BE2">
            <w:pPr>
              <w:pBdr>
                <w:top w:val="nil"/>
                <w:left w:val="nil"/>
                <w:bottom w:val="nil"/>
                <w:right w:val="nil"/>
                <w:between w:val="nil"/>
              </w:pBdr>
              <w:jc w:val="center"/>
              <w:rPr>
                <w:rFonts w:ascii="Calibri" w:eastAsia="Calibri" w:hAnsi="Calibri" w:cs="Calibri"/>
                <w:i/>
                <w:color w:val="000000"/>
                <w:sz w:val="24"/>
                <w:szCs w:val="24"/>
                <w:highlight w:val="white"/>
              </w:rPr>
            </w:pPr>
            <w:r w:rsidRPr="00AF38B1">
              <w:rPr>
                <w:rFonts w:cstheme="minorHAnsi"/>
                <w:b/>
                <w:bCs/>
                <w:color w:val="000000" w:themeColor="text1"/>
                <w:sz w:val="24"/>
                <w:szCs w:val="24"/>
              </w:rPr>
              <w:t>Regimes Especiais</w:t>
            </w:r>
          </w:p>
        </w:tc>
        <w:tc>
          <w:tcPr>
            <w:tcW w:w="4648" w:type="dxa"/>
          </w:tcPr>
          <w:p w14:paraId="008E7951" w14:textId="77777777" w:rsidR="00E86BE2" w:rsidRPr="0010524E" w:rsidRDefault="00E86BE2" w:rsidP="00E86BE2">
            <w:pPr>
              <w:pBdr>
                <w:top w:val="nil"/>
                <w:left w:val="nil"/>
                <w:bottom w:val="nil"/>
                <w:right w:val="nil"/>
                <w:between w:val="nil"/>
              </w:pBdr>
              <w:jc w:val="both"/>
              <w:rPr>
                <w:rFonts w:cstheme="minorHAnsi"/>
                <w:sz w:val="24"/>
                <w:szCs w:val="24"/>
              </w:rPr>
            </w:pPr>
          </w:p>
        </w:tc>
      </w:tr>
      <w:tr w:rsidR="00E86BE2" w:rsidRPr="0010524E" w14:paraId="6BE12DDF" w14:textId="0F67C6BC" w:rsidTr="00E86BE2">
        <w:tc>
          <w:tcPr>
            <w:tcW w:w="4815" w:type="dxa"/>
          </w:tcPr>
          <w:p w14:paraId="0A3F222E" w14:textId="77777777" w:rsidR="00E86BE2" w:rsidRPr="0010524E" w:rsidRDefault="00E86BE2" w:rsidP="00E86BE2">
            <w:pPr>
              <w:jc w:val="both"/>
              <w:rPr>
                <w:rFonts w:ascii="Calibri" w:hAnsi="Calibri" w:cs="Calibri"/>
                <w:i/>
                <w:sz w:val="24"/>
                <w:szCs w:val="24"/>
              </w:rPr>
            </w:pPr>
            <w:r w:rsidRPr="0010524E">
              <w:rPr>
                <w:rFonts w:ascii="Calibri" w:hAnsi="Calibri" w:cs="Calibri"/>
                <w:sz w:val="24"/>
                <w:szCs w:val="24"/>
              </w:rPr>
              <w:t xml:space="preserve">Art. 1° A classificação de que trata o art. 3° da Resolução CGPC n o 24, de 26 de fevereiro de 2007, bem como a indenização das despesas relativas à hospedagem, alimentação e transporte dos administradores especiais, interventores e liquidantes nomeados pela </w:t>
            </w:r>
            <w:r w:rsidRPr="0010524E">
              <w:rPr>
                <w:rFonts w:ascii="Calibri" w:hAnsi="Calibri" w:cs="Calibri"/>
                <w:sz w:val="24"/>
                <w:szCs w:val="24"/>
              </w:rPr>
              <w:lastRenderedPageBreak/>
              <w:t>Secretaria de Previdência Complementar e a remuneração e indenização de despesas de seus assistentes e assessores, observará os critérios e limites fixados pela presente Instrução</w:t>
            </w:r>
            <w:r w:rsidRPr="0010524E">
              <w:rPr>
                <w:rFonts w:ascii="Calibri" w:eastAsia="Calibri" w:hAnsi="Calibri" w:cs="Calibri"/>
                <w:sz w:val="24"/>
                <w:szCs w:val="24"/>
              </w:rPr>
              <w:t>.</w:t>
            </w:r>
          </w:p>
        </w:tc>
        <w:tc>
          <w:tcPr>
            <w:tcW w:w="4849" w:type="dxa"/>
          </w:tcPr>
          <w:p w14:paraId="330EF14A" w14:textId="05C77965" w:rsidR="00E86BE2" w:rsidRPr="0010524E" w:rsidRDefault="00E86BE2" w:rsidP="00E86BE2">
            <w:pPr>
              <w:jc w:val="both"/>
              <w:rPr>
                <w:rFonts w:ascii="Calibri" w:hAnsi="Calibri" w:cs="Calibri"/>
                <w:color w:val="FF0000"/>
                <w:sz w:val="24"/>
                <w:szCs w:val="24"/>
              </w:rPr>
            </w:pPr>
            <w:r w:rsidRPr="0010524E">
              <w:rPr>
                <w:rFonts w:ascii="Calibri" w:eastAsia="Calibri" w:hAnsi="Calibri" w:cs="Calibri"/>
                <w:sz w:val="24"/>
                <w:szCs w:val="24"/>
              </w:rPr>
              <w:lastRenderedPageBreak/>
              <w:t xml:space="preserve">Art. 284.  Esta Seção estabelece limites para a remuneração e a indenização das despesas referentes à hospedagem, alimentação e deslocamento dos administradores especiais, interventores e liquidantes nomeados pela </w:t>
            </w:r>
            <w:r w:rsidRPr="0010524E">
              <w:rPr>
                <w:rFonts w:ascii="Calibri" w:eastAsia="Calibri" w:hAnsi="Calibri" w:cs="Calibri"/>
                <w:sz w:val="24"/>
                <w:szCs w:val="24"/>
              </w:rPr>
              <w:lastRenderedPageBreak/>
              <w:t>Previc, nos termos da Resolução CNPC nº 52, de 10 de março de 2022.</w:t>
            </w:r>
          </w:p>
        </w:tc>
        <w:tc>
          <w:tcPr>
            <w:tcW w:w="4648" w:type="dxa"/>
          </w:tcPr>
          <w:p w14:paraId="5F4B6EA9"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ascii="Calibri" w:eastAsia="Calibri" w:hAnsi="Calibri" w:cs="Calibri"/>
                <w:color w:val="000000"/>
                <w:sz w:val="24"/>
                <w:szCs w:val="24"/>
              </w:rPr>
              <w:lastRenderedPageBreak/>
              <w:t>Ajuste redacional.</w:t>
            </w:r>
          </w:p>
        </w:tc>
      </w:tr>
      <w:tr w:rsidR="00E86BE2" w:rsidRPr="0010524E" w14:paraId="1B06AD15" w14:textId="77FCEB29" w:rsidTr="00E86BE2">
        <w:tc>
          <w:tcPr>
            <w:tcW w:w="4815" w:type="dxa"/>
          </w:tcPr>
          <w:p w14:paraId="38A9B41B" w14:textId="77777777" w:rsidR="00E86BE2" w:rsidRPr="0010524E" w:rsidRDefault="00E86BE2" w:rsidP="00E86BE2">
            <w:pPr>
              <w:jc w:val="both"/>
              <w:rPr>
                <w:rFonts w:ascii="Calibri" w:hAnsi="Calibri" w:cs="Calibri"/>
                <w:sz w:val="24"/>
                <w:szCs w:val="24"/>
              </w:rPr>
            </w:pPr>
          </w:p>
        </w:tc>
        <w:tc>
          <w:tcPr>
            <w:tcW w:w="4849" w:type="dxa"/>
          </w:tcPr>
          <w:p w14:paraId="616F3F75" w14:textId="2B42FE28" w:rsidR="00E86BE2" w:rsidRPr="0010524E" w:rsidRDefault="00E86BE2" w:rsidP="00E86BE2">
            <w:pPr>
              <w:jc w:val="both"/>
              <w:rPr>
                <w:rFonts w:ascii="Calibri" w:hAnsi="Calibri" w:cs="Calibri"/>
                <w:color w:val="0070C0"/>
                <w:sz w:val="24"/>
                <w:szCs w:val="24"/>
              </w:rPr>
            </w:pPr>
            <w:r w:rsidRPr="0010524E">
              <w:rPr>
                <w:rFonts w:ascii="Calibri" w:eastAsia="Calibri" w:hAnsi="Calibri" w:cs="Calibri"/>
                <w:sz w:val="24"/>
                <w:szCs w:val="24"/>
              </w:rPr>
              <w:t>Parágrafo único.  A remuneração e indenização de despesas dos assistentes e assessores, também devem observar os critérios e limites previstos nesta Seção.</w:t>
            </w:r>
          </w:p>
        </w:tc>
        <w:tc>
          <w:tcPr>
            <w:tcW w:w="4648" w:type="dxa"/>
          </w:tcPr>
          <w:p w14:paraId="03E24892"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ascii="Calibri" w:eastAsia="Calibri" w:hAnsi="Calibri" w:cs="Calibri"/>
                <w:color w:val="000000"/>
                <w:sz w:val="24"/>
                <w:szCs w:val="24"/>
              </w:rPr>
              <w:t xml:space="preserve"> Inclusão de parágrafo único para estender o disposto nesta Seção aos </w:t>
            </w:r>
            <w:r w:rsidRPr="0010524E">
              <w:rPr>
                <w:rFonts w:ascii="Calibri" w:hAnsi="Calibri" w:cs="Calibri"/>
                <w:sz w:val="24"/>
                <w:szCs w:val="24"/>
              </w:rPr>
              <w:t>assistentes e assessores</w:t>
            </w:r>
            <w:r w:rsidRPr="0010524E">
              <w:rPr>
                <w:rFonts w:ascii="Calibri" w:eastAsia="Calibri" w:hAnsi="Calibri" w:cs="Calibri"/>
                <w:sz w:val="24"/>
                <w:szCs w:val="24"/>
              </w:rPr>
              <w:t>.</w:t>
            </w:r>
            <w:r w:rsidRPr="0010524E">
              <w:rPr>
                <w:rFonts w:ascii="Calibri" w:eastAsia="Calibri" w:hAnsi="Calibri" w:cs="Calibri"/>
                <w:color w:val="000000"/>
                <w:sz w:val="24"/>
                <w:szCs w:val="24"/>
              </w:rPr>
              <w:t xml:space="preserve"> </w:t>
            </w:r>
          </w:p>
        </w:tc>
      </w:tr>
      <w:tr w:rsidR="00E86BE2" w:rsidRPr="0010524E" w14:paraId="66243731" w14:textId="0CFB2061" w:rsidTr="00E86BE2">
        <w:tc>
          <w:tcPr>
            <w:tcW w:w="4815" w:type="dxa"/>
          </w:tcPr>
          <w:p w14:paraId="6A2AC044"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t>Art. 2° A remuneração do administrador especial, interventor ou liquidante será fixada de acordo com o seu enquadramento nas seguintes classes:</w:t>
            </w:r>
          </w:p>
          <w:p w14:paraId="051ECF0B"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t>I - Classe I R$ 4.000,00 (quatro mil reais);</w:t>
            </w:r>
          </w:p>
          <w:p w14:paraId="09F98069"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t>II - Classe II R$ 6.500,00 (seis mil e quinhentos reais);</w:t>
            </w:r>
          </w:p>
          <w:p w14:paraId="43C00473"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t>III - Classe III R$ 9.000,00 (nove mil reais);</w:t>
            </w:r>
          </w:p>
          <w:p w14:paraId="3877947B"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t>IV - Classe IV R$ 11.500,00 (onze mil e quinhentos reais); e</w:t>
            </w:r>
          </w:p>
          <w:p w14:paraId="5E881151" w14:textId="77777777" w:rsidR="00E86BE2" w:rsidRPr="0010524E" w:rsidRDefault="00E86BE2" w:rsidP="00E86BE2">
            <w:pPr>
              <w:jc w:val="both"/>
              <w:rPr>
                <w:rFonts w:ascii="Calibri" w:hAnsi="Calibri" w:cs="Calibri"/>
                <w:i/>
                <w:sz w:val="24"/>
                <w:szCs w:val="24"/>
              </w:rPr>
            </w:pPr>
            <w:r w:rsidRPr="0010524E">
              <w:rPr>
                <w:rFonts w:ascii="Calibri" w:hAnsi="Calibri" w:cs="Calibri"/>
                <w:sz w:val="24"/>
                <w:szCs w:val="24"/>
              </w:rPr>
              <w:t>V - Classe V R$ 14.000,00 (quatorze mil reais).</w:t>
            </w:r>
          </w:p>
        </w:tc>
        <w:tc>
          <w:tcPr>
            <w:tcW w:w="4849" w:type="dxa"/>
          </w:tcPr>
          <w:p w14:paraId="250D3A14" w14:textId="298DD1EE" w:rsidR="00E86BE2" w:rsidRPr="0010524E" w:rsidRDefault="00E86BE2" w:rsidP="00E86BE2">
            <w:pPr>
              <w:jc w:val="both"/>
              <w:rPr>
                <w:rFonts w:ascii="Calibri" w:hAnsi="Calibri" w:cs="Calibri"/>
                <w:sz w:val="24"/>
                <w:szCs w:val="24"/>
              </w:rPr>
            </w:pPr>
            <w:r w:rsidRPr="0010524E">
              <w:rPr>
                <w:rFonts w:ascii="Calibri" w:eastAsia="Calibri" w:hAnsi="Calibri" w:cs="Calibri"/>
                <w:sz w:val="24"/>
                <w:szCs w:val="24"/>
              </w:rPr>
              <w:t xml:space="preserve">Art. 285.  A remuneração do administrador especial, interventor ou liquidante será fixada em classes de enquadramento de acordo com Portaria a ser editada pela </w:t>
            </w:r>
            <w:r w:rsidRPr="0036747C">
              <w:rPr>
                <w:rFonts w:ascii="Calibri" w:eastAsia="Calibri" w:hAnsi="Calibri" w:cs="Calibri"/>
                <w:sz w:val="24"/>
                <w:szCs w:val="24"/>
                <w:highlight w:val="yellow"/>
              </w:rPr>
              <w:t>Diretoria de Fiscalização e Monitoramento.</w:t>
            </w:r>
          </w:p>
        </w:tc>
        <w:tc>
          <w:tcPr>
            <w:tcW w:w="4648" w:type="dxa"/>
          </w:tcPr>
          <w:p w14:paraId="0779C917" w14:textId="56E3C0D5"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ascii="Calibri" w:eastAsia="Calibri" w:hAnsi="Calibri" w:cs="Calibri"/>
                <w:color w:val="000000"/>
                <w:sz w:val="24"/>
                <w:szCs w:val="24"/>
              </w:rPr>
              <w:t xml:space="preserve">Ajuste redacional. </w:t>
            </w:r>
          </w:p>
        </w:tc>
      </w:tr>
      <w:tr w:rsidR="00E86BE2" w:rsidRPr="0010524E" w14:paraId="521210CE" w14:textId="7A2822F7" w:rsidTr="00E86BE2">
        <w:trPr>
          <w:trHeight w:val="1760"/>
        </w:trPr>
        <w:tc>
          <w:tcPr>
            <w:tcW w:w="4815" w:type="dxa"/>
          </w:tcPr>
          <w:p w14:paraId="166649B7"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t xml:space="preserve">§1° A classificação de que trata o art. 1° considerará o porte do plano de benefício, quando se tratar do regime de administração especial, ou o porte da entidade fechada de previdência complementar, no conjunto de seus planos, quando tratar-se dos regimes de intervenção ou liquidação extrajudicial, de </w:t>
            </w:r>
            <w:r w:rsidRPr="0010524E">
              <w:rPr>
                <w:rFonts w:ascii="Calibri" w:hAnsi="Calibri" w:cs="Calibri"/>
                <w:sz w:val="24"/>
                <w:szCs w:val="24"/>
              </w:rPr>
              <w:lastRenderedPageBreak/>
              <w:t>acordo com a pontuação calculada na forma do Anexo Único desta Instrução, assim escalonada:</w:t>
            </w:r>
          </w:p>
          <w:p w14:paraId="6D26AF12" w14:textId="77777777" w:rsidR="00E86BE2" w:rsidRPr="0010524E" w:rsidRDefault="00E86BE2" w:rsidP="00E86BE2">
            <w:pPr>
              <w:jc w:val="both"/>
              <w:rPr>
                <w:rFonts w:ascii="Calibri" w:hAnsi="Calibri" w:cs="Calibri"/>
                <w:i/>
                <w:sz w:val="24"/>
                <w:szCs w:val="24"/>
              </w:rPr>
            </w:pPr>
          </w:p>
        </w:tc>
        <w:tc>
          <w:tcPr>
            <w:tcW w:w="4849" w:type="dxa"/>
          </w:tcPr>
          <w:p w14:paraId="57FE07A1" w14:textId="40BB659D" w:rsidR="00E86BE2" w:rsidRPr="0010524E" w:rsidRDefault="00E86BE2" w:rsidP="00E86BE2">
            <w:pPr>
              <w:jc w:val="both"/>
              <w:rPr>
                <w:rFonts w:ascii="Calibri" w:hAnsi="Calibri" w:cs="Calibri"/>
                <w:color w:val="0070C0"/>
                <w:sz w:val="24"/>
                <w:szCs w:val="24"/>
              </w:rPr>
            </w:pPr>
            <w:r w:rsidRPr="0010524E">
              <w:rPr>
                <w:rFonts w:ascii="Calibri" w:eastAsia="Calibri" w:hAnsi="Calibri" w:cs="Calibri"/>
                <w:sz w:val="24"/>
                <w:szCs w:val="24"/>
              </w:rPr>
              <w:lastRenderedPageBreak/>
              <w:t>Art. 286.  O enquadramento de que trata o art. 285 deve considerar:</w:t>
            </w:r>
          </w:p>
        </w:tc>
        <w:tc>
          <w:tcPr>
            <w:tcW w:w="4648" w:type="dxa"/>
          </w:tcPr>
          <w:p w14:paraId="47779814"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ascii="Calibri" w:eastAsia="Calibri" w:hAnsi="Calibri" w:cs="Calibri"/>
                <w:color w:val="000000"/>
                <w:sz w:val="24"/>
                <w:szCs w:val="24"/>
              </w:rPr>
              <w:t>Ajuste redacional.</w:t>
            </w:r>
          </w:p>
        </w:tc>
      </w:tr>
      <w:tr w:rsidR="00E86BE2" w:rsidRPr="0010524E" w14:paraId="7666935F" w14:textId="4E31709D" w:rsidTr="00E86BE2">
        <w:trPr>
          <w:trHeight w:val="1022"/>
        </w:trPr>
        <w:tc>
          <w:tcPr>
            <w:tcW w:w="4815" w:type="dxa"/>
          </w:tcPr>
          <w:p w14:paraId="1A1B8B00" w14:textId="77777777" w:rsidR="00E86BE2" w:rsidRPr="0010524E" w:rsidRDefault="00E86BE2" w:rsidP="00E86BE2">
            <w:pPr>
              <w:jc w:val="both"/>
              <w:rPr>
                <w:rFonts w:ascii="Calibri" w:hAnsi="Calibri" w:cs="Calibri"/>
                <w:sz w:val="24"/>
                <w:szCs w:val="24"/>
              </w:rPr>
            </w:pPr>
          </w:p>
        </w:tc>
        <w:tc>
          <w:tcPr>
            <w:tcW w:w="4849" w:type="dxa"/>
          </w:tcPr>
          <w:p w14:paraId="5DF46851" w14:textId="7035FCD1" w:rsidR="00E86BE2" w:rsidRPr="0010524E" w:rsidRDefault="00E86BE2" w:rsidP="00E86BE2">
            <w:pPr>
              <w:jc w:val="both"/>
              <w:rPr>
                <w:rFonts w:ascii="Calibri" w:hAnsi="Calibri" w:cs="Calibri"/>
                <w:color w:val="0070C0"/>
                <w:sz w:val="24"/>
                <w:szCs w:val="24"/>
              </w:rPr>
            </w:pPr>
            <w:r w:rsidRPr="0010524E">
              <w:rPr>
                <w:rFonts w:ascii="Calibri" w:eastAsia="Calibri" w:hAnsi="Calibri" w:cs="Calibri"/>
                <w:sz w:val="24"/>
                <w:szCs w:val="24"/>
              </w:rPr>
              <w:t>I - o porte do plano de benefícios, quando se tratar do regime de administração especial; ou</w:t>
            </w:r>
          </w:p>
        </w:tc>
        <w:tc>
          <w:tcPr>
            <w:tcW w:w="4648" w:type="dxa"/>
          </w:tcPr>
          <w:p w14:paraId="0452C545"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ascii="Calibri" w:eastAsia="Calibri" w:hAnsi="Calibri" w:cs="Calibri"/>
                <w:color w:val="000000"/>
                <w:sz w:val="24"/>
                <w:szCs w:val="24"/>
              </w:rPr>
              <w:t>Ajuste redacional.</w:t>
            </w:r>
          </w:p>
        </w:tc>
      </w:tr>
      <w:tr w:rsidR="00E86BE2" w:rsidRPr="0010524E" w14:paraId="07CFDC18" w14:textId="511DBEF2" w:rsidTr="00E86BE2">
        <w:trPr>
          <w:trHeight w:val="1405"/>
        </w:trPr>
        <w:tc>
          <w:tcPr>
            <w:tcW w:w="4815" w:type="dxa"/>
          </w:tcPr>
          <w:p w14:paraId="5830A343" w14:textId="77777777" w:rsidR="00E86BE2" w:rsidRPr="0010524E" w:rsidRDefault="00E86BE2" w:rsidP="00E86BE2">
            <w:pPr>
              <w:jc w:val="both"/>
              <w:rPr>
                <w:rFonts w:ascii="Calibri" w:hAnsi="Calibri" w:cs="Calibri"/>
                <w:sz w:val="24"/>
                <w:szCs w:val="24"/>
              </w:rPr>
            </w:pPr>
          </w:p>
        </w:tc>
        <w:tc>
          <w:tcPr>
            <w:tcW w:w="4849" w:type="dxa"/>
          </w:tcPr>
          <w:p w14:paraId="1FC89716" w14:textId="6230D463" w:rsidR="00E86BE2" w:rsidRPr="0010524E" w:rsidRDefault="00E86BE2" w:rsidP="00E86BE2">
            <w:pPr>
              <w:jc w:val="both"/>
              <w:rPr>
                <w:rFonts w:ascii="Calibri" w:hAnsi="Calibri" w:cs="Calibri"/>
                <w:color w:val="0070C0"/>
                <w:sz w:val="24"/>
                <w:szCs w:val="24"/>
              </w:rPr>
            </w:pPr>
            <w:r w:rsidRPr="0010524E">
              <w:rPr>
                <w:rFonts w:ascii="Calibri" w:eastAsia="Calibri" w:hAnsi="Calibri" w:cs="Calibri"/>
                <w:sz w:val="24"/>
                <w:szCs w:val="24"/>
              </w:rPr>
              <w:t>II - o porte da entidade fechada de previdência complementar, no conjunto de seus planos, quando se tratar dos regimes de intervenção ou liquidação extrajudicial.</w:t>
            </w:r>
          </w:p>
        </w:tc>
        <w:tc>
          <w:tcPr>
            <w:tcW w:w="4648" w:type="dxa"/>
          </w:tcPr>
          <w:p w14:paraId="6D58EED9"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ascii="Calibri" w:eastAsia="Calibri" w:hAnsi="Calibri" w:cs="Calibri"/>
                <w:color w:val="000000"/>
                <w:sz w:val="24"/>
                <w:szCs w:val="24"/>
              </w:rPr>
              <w:t>Ajuste redacional.</w:t>
            </w:r>
          </w:p>
        </w:tc>
      </w:tr>
      <w:tr w:rsidR="00E86BE2" w:rsidRPr="0010524E" w14:paraId="790E9C2B" w14:textId="2D31BD52" w:rsidTr="00E86BE2">
        <w:trPr>
          <w:trHeight w:val="1056"/>
        </w:trPr>
        <w:tc>
          <w:tcPr>
            <w:tcW w:w="4815" w:type="dxa"/>
          </w:tcPr>
          <w:p w14:paraId="4C3B2F81" w14:textId="77777777" w:rsidR="00E86BE2" w:rsidRPr="0010524E" w:rsidRDefault="00E86BE2" w:rsidP="00E86BE2">
            <w:pPr>
              <w:jc w:val="both"/>
              <w:rPr>
                <w:rFonts w:ascii="Calibri" w:hAnsi="Calibri" w:cs="Calibri"/>
                <w:sz w:val="24"/>
                <w:szCs w:val="24"/>
              </w:rPr>
            </w:pPr>
          </w:p>
        </w:tc>
        <w:tc>
          <w:tcPr>
            <w:tcW w:w="4849" w:type="dxa"/>
          </w:tcPr>
          <w:p w14:paraId="41DE0D0E" w14:textId="0650BA8D" w:rsidR="00E86BE2" w:rsidRPr="0010524E" w:rsidRDefault="00E86BE2" w:rsidP="00E86BE2">
            <w:pPr>
              <w:jc w:val="both"/>
              <w:rPr>
                <w:rFonts w:ascii="Calibri" w:hAnsi="Calibri" w:cs="Calibri"/>
                <w:sz w:val="24"/>
                <w:szCs w:val="24"/>
              </w:rPr>
            </w:pPr>
            <w:r w:rsidRPr="0010524E">
              <w:rPr>
                <w:rFonts w:ascii="Calibri" w:eastAsia="Calibri" w:hAnsi="Calibri" w:cs="Calibri"/>
                <w:sz w:val="24"/>
                <w:szCs w:val="24"/>
              </w:rPr>
              <w:t>Parágrafo único.  O enquadramento deve ser calculado na forma do Anexo XXV desta Resolução com o seguinte escalonamento:</w:t>
            </w:r>
          </w:p>
        </w:tc>
        <w:tc>
          <w:tcPr>
            <w:tcW w:w="4648" w:type="dxa"/>
          </w:tcPr>
          <w:p w14:paraId="7EA7B6B6"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ascii="Calibri" w:eastAsia="Calibri" w:hAnsi="Calibri" w:cs="Calibri"/>
                <w:color w:val="000000"/>
                <w:sz w:val="24"/>
                <w:szCs w:val="24"/>
              </w:rPr>
              <w:t>Incluído para ajustar a pontuação, pela inclusão da reserva matemática no cálculo.</w:t>
            </w:r>
          </w:p>
          <w:p w14:paraId="03196227" w14:textId="5043E211"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p>
          <w:p w14:paraId="7FD7135C" w14:textId="7A38B099"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p>
        </w:tc>
      </w:tr>
      <w:tr w:rsidR="00E86BE2" w:rsidRPr="0010524E" w14:paraId="116CB442" w14:textId="668208FC" w:rsidTr="00E86BE2">
        <w:trPr>
          <w:trHeight w:val="964"/>
        </w:trPr>
        <w:tc>
          <w:tcPr>
            <w:tcW w:w="4815" w:type="dxa"/>
          </w:tcPr>
          <w:p w14:paraId="408A162E"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t>I - Classe I – até 200 (duzentos) pontos;</w:t>
            </w:r>
          </w:p>
          <w:p w14:paraId="0C81C698" w14:textId="77777777" w:rsidR="00E86BE2" w:rsidRPr="0010524E" w:rsidRDefault="00E86BE2" w:rsidP="00E86BE2">
            <w:pPr>
              <w:jc w:val="both"/>
              <w:rPr>
                <w:rFonts w:ascii="Calibri" w:hAnsi="Calibri" w:cs="Calibri"/>
                <w:sz w:val="24"/>
                <w:szCs w:val="24"/>
              </w:rPr>
            </w:pPr>
          </w:p>
        </w:tc>
        <w:tc>
          <w:tcPr>
            <w:tcW w:w="4849" w:type="dxa"/>
          </w:tcPr>
          <w:p w14:paraId="16F41DEF" w14:textId="62116BDE" w:rsidR="00E86BE2" w:rsidRPr="0010524E" w:rsidRDefault="00E86BE2" w:rsidP="00E86BE2">
            <w:pPr>
              <w:jc w:val="both"/>
              <w:rPr>
                <w:rFonts w:ascii="Calibri" w:hAnsi="Calibri" w:cs="Calibri"/>
                <w:sz w:val="24"/>
                <w:szCs w:val="24"/>
              </w:rPr>
            </w:pPr>
            <w:r w:rsidRPr="0010524E">
              <w:rPr>
                <w:rFonts w:ascii="Calibri" w:eastAsia="Calibri" w:hAnsi="Calibri" w:cs="Calibri"/>
                <w:sz w:val="24"/>
                <w:szCs w:val="24"/>
              </w:rPr>
              <w:t>I - Classe I: até 200 (duzentos) pontos;</w:t>
            </w:r>
          </w:p>
        </w:tc>
        <w:tc>
          <w:tcPr>
            <w:tcW w:w="4648" w:type="dxa"/>
          </w:tcPr>
          <w:p w14:paraId="2E2D0D87"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highlight w:val="yellow"/>
              </w:rPr>
            </w:pPr>
          </w:p>
        </w:tc>
      </w:tr>
      <w:tr w:rsidR="00E86BE2" w:rsidRPr="0010524E" w14:paraId="676C0E7D" w14:textId="77C68ADA" w:rsidTr="00E86BE2">
        <w:trPr>
          <w:trHeight w:val="1077"/>
        </w:trPr>
        <w:tc>
          <w:tcPr>
            <w:tcW w:w="4815" w:type="dxa"/>
          </w:tcPr>
          <w:p w14:paraId="124C1502"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t>II - Classe II – de 201 (duzentos e um) a 300 (trezentos) pontos;</w:t>
            </w:r>
          </w:p>
          <w:p w14:paraId="0BCE96B7" w14:textId="77777777" w:rsidR="00E86BE2" w:rsidRPr="0010524E" w:rsidRDefault="00E86BE2" w:rsidP="00E86BE2">
            <w:pPr>
              <w:jc w:val="both"/>
              <w:rPr>
                <w:rFonts w:ascii="Calibri" w:hAnsi="Calibri" w:cs="Calibri"/>
                <w:sz w:val="24"/>
                <w:szCs w:val="24"/>
              </w:rPr>
            </w:pPr>
          </w:p>
        </w:tc>
        <w:tc>
          <w:tcPr>
            <w:tcW w:w="4849" w:type="dxa"/>
          </w:tcPr>
          <w:p w14:paraId="235E9A03" w14:textId="516409C6" w:rsidR="00E86BE2" w:rsidRPr="0010524E" w:rsidRDefault="00E86BE2" w:rsidP="00E86BE2">
            <w:pPr>
              <w:jc w:val="both"/>
              <w:rPr>
                <w:rFonts w:ascii="Calibri" w:hAnsi="Calibri" w:cs="Calibri"/>
                <w:sz w:val="24"/>
                <w:szCs w:val="24"/>
              </w:rPr>
            </w:pPr>
            <w:r w:rsidRPr="0010524E">
              <w:rPr>
                <w:rFonts w:ascii="Calibri" w:eastAsia="Calibri" w:hAnsi="Calibri" w:cs="Calibri"/>
                <w:sz w:val="24"/>
                <w:szCs w:val="24"/>
              </w:rPr>
              <w:t>II - Classe II: de 201 (duzentos e um) a 350 (trezentos) pontos;</w:t>
            </w:r>
          </w:p>
        </w:tc>
        <w:tc>
          <w:tcPr>
            <w:tcW w:w="4648" w:type="dxa"/>
          </w:tcPr>
          <w:p w14:paraId="7F47253A"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highlight w:val="yellow"/>
              </w:rPr>
            </w:pPr>
          </w:p>
        </w:tc>
      </w:tr>
      <w:tr w:rsidR="00E86BE2" w:rsidRPr="0010524E" w14:paraId="12995B37" w14:textId="56A01663" w:rsidTr="00E86BE2">
        <w:trPr>
          <w:trHeight w:val="1056"/>
        </w:trPr>
        <w:tc>
          <w:tcPr>
            <w:tcW w:w="4815" w:type="dxa"/>
          </w:tcPr>
          <w:p w14:paraId="3774CB52"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lastRenderedPageBreak/>
              <w:t>III - Classe III – de 301 (trezentos e um) a 400 (quatrocentos) pontos;</w:t>
            </w:r>
          </w:p>
          <w:p w14:paraId="16A8D093" w14:textId="77777777" w:rsidR="00E86BE2" w:rsidRPr="0010524E" w:rsidRDefault="00E86BE2" w:rsidP="00E86BE2">
            <w:pPr>
              <w:jc w:val="both"/>
              <w:rPr>
                <w:rFonts w:ascii="Calibri" w:hAnsi="Calibri" w:cs="Calibri"/>
                <w:sz w:val="24"/>
                <w:szCs w:val="24"/>
              </w:rPr>
            </w:pPr>
          </w:p>
        </w:tc>
        <w:tc>
          <w:tcPr>
            <w:tcW w:w="4849" w:type="dxa"/>
          </w:tcPr>
          <w:p w14:paraId="3A94AAA3" w14:textId="05D7E0E0" w:rsidR="00E86BE2" w:rsidRPr="0010524E" w:rsidRDefault="00E86BE2" w:rsidP="00E86BE2">
            <w:pPr>
              <w:jc w:val="both"/>
              <w:rPr>
                <w:rFonts w:ascii="Calibri" w:hAnsi="Calibri" w:cs="Calibri"/>
                <w:sz w:val="24"/>
                <w:szCs w:val="24"/>
              </w:rPr>
            </w:pPr>
            <w:r w:rsidRPr="0010524E">
              <w:rPr>
                <w:rFonts w:ascii="Calibri" w:eastAsia="Calibri" w:hAnsi="Calibri" w:cs="Calibri"/>
                <w:sz w:val="24"/>
                <w:szCs w:val="24"/>
              </w:rPr>
              <w:t>III - Classe III: de 351 (trezentos e um) a 500 (quatrocentos) pontos;</w:t>
            </w:r>
          </w:p>
        </w:tc>
        <w:tc>
          <w:tcPr>
            <w:tcW w:w="4648" w:type="dxa"/>
          </w:tcPr>
          <w:p w14:paraId="7462EFE0"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highlight w:val="yellow"/>
              </w:rPr>
            </w:pPr>
          </w:p>
        </w:tc>
      </w:tr>
      <w:tr w:rsidR="00E86BE2" w:rsidRPr="0010524E" w14:paraId="4714CD34" w14:textId="2FF8146E" w:rsidTr="00E86BE2">
        <w:trPr>
          <w:trHeight w:val="911"/>
        </w:trPr>
        <w:tc>
          <w:tcPr>
            <w:tcW w:w="4815" w:type="dxa"/>
          </w:tcPr>
          <w:p w14:paraId="204D03C1"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t>IV - Classe IV – de 401 (quatrocentos e um) a 500 (quinhentos) pontos; e</w:t>
            </w:r>
          </w:p>
          <w:p w14:paraId="4595D47C" w14:textId="77777777" w:rsidR="00E86BE2" w:rsidRPr="0010524E" w:rsidRDefault="00E86BE2" w:rsidP="00E86BE2">
            <w:pPr>
              <w:jc w:val="both"/>
              <w:rPr>
                <w:rFonts w:ascii="Calibri" w:hAnsi="Calibri" w:cs="Calibri"/>
                <w:sz w:val="24"/>
                <w:szCs w:val="24"/>
              </w:rPr>
            </w:pPr>
          </w:p>
        </w:tc>
        <w:tc>
          <w:tcPr>
            <w:tcW w:w="4849" w:type="dxa"/>
          </w:tcPr>
          <w:p w14:paraId="0D966ECF" w14:textId="45DAB316" w:rsidR="00E86BE2" w:rsidRPr="0010524E" w:rsidRDefault="00E86BE2" w:rsidP="00E86BE2">
            <w:pPr>
              <w:jc w:val="both"/>
              <w:rPr>
                <w:rFonts w:ascii="Calibri" w:hAnsi="Calibri" w:cs="Calibri"/>
                <w:sz w:val="24"/>
                <w:szCs w:val="24"/>
              </w:rPr>
            </w:pPr>
            <w:r w:rsidRPr="0010524E">
              <w:rPr>
                <w:rFonts w:ascii="Calibri" w:eastAsia="Calibri" w:hAnsi="Calibri" w:cs="Calibri"/>
                <w:sz w:val="24"/>
                <w:szCs w:val="24"/>
              </w:rPr>
              <w:t xml:space="preserve">IV - Classe IV: de 501 (quatrocentos e um) a 650 (quinhentos) pontos; </w:t>
            </w:r>
          </w:p>
        </w:tc>
        <w:tc>
          <w:tcPr>
            <w:tcW w:w="4648" w:type="dxa"/>
          </w:tcPr>
          <w:p w14:paraId="5F25C574"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highlight w:val="yellow"/>
              </w:rPr>
            </w:pPr>
          </w:p>
        </w:tc>
      </w:tr>
      <w:tr w:rsidR="00E86BE2" w:rsidRPr="0010524E" w14:paraId="58F2D618" w14:textId="08FDA1AE" w:rsidTr="00E86BE2">
        <w:trPr>
          <w:trHeight w:val="840"/>
        </w:trPr>
        <w:tc>
          <w:tcPr>
            <w:tcW w:w="4815" w:type="dxa"/>
          </w:tcPr>
          <w:p w14:paraId="04112A79"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t>V - Classe V – acima de 501 (quinhentos e um) pontos</w:t>
            </w:r>
          </w:p>
        </w:tc>
        <w:tc>
          <w:tcPr>
            <w:tcW w:w="4849" w:type="dxa"/>
          </w:tcPr>
          <w:p w14:paraId="3A7F451D" w14:textId="7215384B" w:rsidR="00E86BE2" w:rsidRPr="0010524E" w:rsidRDefault="00E86BE2" w:rsidP="00E86BE2">
            <w:pPr>
              <w:jc w:val="both"/>
              <w:rPr>
                <w:rFonts w:ascii="Calibri" w:hAnsi="Calibri" w:cs="Calibri"/>
                <w:sz w:val="24"/>
                <w:szCs w:val="24"/>
              </w:rPr>
            </w:pPr>
            <w:r w:rsidRPr="0010524E">
              <w:rPr>
                <w:rFonts w:ascii="Calibri" w:eastAsia="Calibri" w:hAnsi="Calibri" w:cs="Calibri"/>
                <w:sz w:val="24"/>
                <w:szCs w:val="24"/>
              </w:rPr>
              <w:t>V - Classe V: acima de 651 (quinhentos e um) pontos.</w:t>
            </w:r>
          </w:p>
        </w:tc>
        <w:tc>
          <w:tcPr>
            <w:tcW w:w="4648" w:type="dxa"/>
          </w:tcPr>
          <w:p w14:paraId="3F8B2AB9"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highlight w:val="yellow"/>
              </w:rPr>
            </w:pPr>
          </w:p>
        </w:tc>
      </w:tr>
      <w:tr w:rsidR="00E86BE2" w:rsidRPr="0010524E" w14:paraId="2916A7AF" w14:textId="25BBBE78" w:rsidTr="00E86BE2">
        <w:trPr>
          <w:trHeight w:val="1075"/>
        </w:trPr>
        <w:tc>
          <w:tcPr>
            <w:tcW w:w="4815" w:type="dxa"/>
          </w:tcPr>
          <w:p w14:paraId="770C3D38" w14:textId="77777777" w:rsidR="00E86BE2" w:rsidRPr="0010524E" w:rsidRDefault="00E86BE2" w:rsidP="00E86BE2">
            <w:pPr>
              <w:jc w:val="both"/>
              <w:rPr>
                <w:rFonts w:ascii="Calibri" w:eastAsia="Calibri" w:hAnsi="Calibri" w:cs="Calibri"/>
                <w:sz w:val="24"/>
                <w:szCs w:val="24"/>
              </w:rPr>
            </w:pPr>
            <w:r w:rsidRPr="0010524E">
              <w:rPr>
                <w:rFonts w:ascii="Calibri" w:hAnsi="Calibri" w:cs="Calibri"/>
                <w:sz w:val="24"/>
                <w:szCs w:val="24"/>
              </w:rPr>
              <w:t>§2° O Secretário de Previdência Complementar, diante de particularidades que caracterizem maior complexidade das atividades a serem desenvolvidas pelo administrador especial, interventor ou liquidante, poderá majorar em até 20% (vinte por cento) a remuneração obtida nos termos deste artigo, ou promover o enquadramento do administrador especial, interventor ou liquidante na classe imediatamente posterior.</w:t>
            </w:r>
          </w:p>
        </w:tc>
        <w:tc>
          <w:tcPr>
            <w:tcW w:w="4849" w:type="dxa"/>
          </w:tcPr>
          <w:p w14:paraId="48A613B2" w14:textId="331D8544" w:rsidR="00E86BE2" w:rsidRPr="0010524E" w:rsidRDefault="00E86BE2" w:rsidP="00E86BE2">
            <w:pPr>
              <w:jc w:val="both"/>
              <w:rPr>
                <w:rFonts w:ascii="Calibri" w:hAnsi="Calibri" w:cs="Calibri"/>
                <w:color w:val="FF0000"/>
                <w:sz w:val="24"/>
                <w:szCs w:val="24"/>
              </w:rPr>
            </w:pPr>
            <w:r w:rsidRPr="0010524E">
              <w:rPr>
                <w:rFonts w:ascii="Calibri" w:eastAsia="Calibri" w:hAnsi="Calibri" w:cs="Calibri"/>
                <w:sz w:val="24"/>
                <w:szCs w:val="24"/>
              </w:rPr>
              <w:t>Art. 287.  A Diretoria Colegiada da Previc pode:</w:t>
            </w:r>
          </w:p>
        </w:tc>
        <w:tc>
          <w:tcPr>
            <w:tcW w:w="4648" w:type="dxa"/>
          </w:tcPr>
          <w:p w14:paraId="264E68C9"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ascii="Calibri" w:eastAsia="Calibri" w:hAnsi="Calibri" w:cs="Calibri"/>
                <w:color w:val="000000"/>
                <w:sz w:val="24"/>
                <w:szCs w:val="24"/>
              </w:rPr>
              <w:t>Ajuste redacional.</w:t>
            </w:r>
          </w:p>
        </w:tc>
      </w:tr>
      <w:tr w:rsidR="00E86BE2" w:rsidRPr="0010524E" w14:paraId="085E401E" w14:textId="01AF1BC6" w:rsidTr="00E86BE2">
        <w:trPr>
          <w:trHeight w:val="1075"/>
        </w:trPr>
        <w:tc>
          <w:tcPr>
            <w:tcW w:w="4815" w:type="dxa"/>
          </w:tcPr>
          <w:p w14:paraId="652BB50C" w14:textId="77777777" w:rsidR="00E86BE2" w:rsidRPr="0010524E" w:rsidRDefault="00E86BE2" w:rsidP="00E86BE2">
            <w:pPr>
              <w:jc w:val="both"/>
              <w:rPr>
                <w:rFonts w:ascii="Calibri" w:hAnsi="Calibri" w:cs="Calibri"/>
                <w:sz w:val="24"/>
                <w:szCs w:val="24"/>
              </w:rPr>
            </w:pPr>
          </w:p>
        </w:tc>
        <w:tc>
          <w:tcPr>
            <w:tcW w:w="4849" w:type="dxa"/>
          </w:tcPr>
          <w:p w14:paraId="5B759BC4" w14:textId="0E8E4A76" w:rsidR="00E86BE2" w:rsidRPr="0010524E" w:rsidRDefault="00E86BE2" w:rsidP="00E86BE2">
            <w:pPr>
              <w:ind w:firstLine="708"/>
              <w:jc w:val="both"/>
              <w:rPr>
                <w:rFonts w:ascii="Calibri" w:hAnsi="Calibri" w:cs="Calibri"/>
                <w:sz w:val="24"/>
                <w:szCs w:val="24"/>
              </w:rPr>
            </w:pPr>
            <w:r w:rsidRPr="0010524E">
              <w:rPr>
                <w:rFonts w:ascii="Calibri" w:eastAsia="Calibri" w:hAnsi="Calibri" w:cs="Calibri"/>
                <w:sz w:val="24"/>
                <w:szCs w:val="24"/>
              </w:rPr>
              <w:t>I - majorar em até 20% (vinte por cento) a remuneração obtida nos termos deste artigo do art. 285; ou</w:t>
            </w:r>
          </w:p>
        </w:tc>
        <w:tc>
          <w:tcPr>
            <w:tcW w:w="4648" w:type="dxa"/>
          </w:tcPr>
          <w:p w14:paraId="49E59A53"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ascii="Calibri" w:eastAsia="Calibri" w:hAnsi="Calibri" w:cs="Calibri"/>
                <w:color w:val="000000"/>
                <w:sz w:val="24"/>
                <w:szCs w:val="24"/>
              </w:rPr>
              <w:t>Ajuste redacional</w:t>
            </w:r>
          </w:p>
        </w:tc>
      </w:tr>
      <w:tr w:rsidR="00E86BE2" w:rsidRPr="0010524E" w14:paraId="1AB4C05D" w14:textId="02DDB3C3" w:rsidTr="00E86BE2">
        <w:trPr>
          <w:trHeight w:val="1075"/>
        </w:trPr>
        <w:tc>
          <w:tcPr>
            <w:tcW w:w="4815" w:type="dxa"/>
          </w:tcPr>
          <w:p w14:paraId="22CE69D6" w14:textId="77777777" w:rsidR="00E86BE2" w:rsidRPr="0010524E" w:rsidRDefault="00E86BE2" w:rsidP="00E86BE2">
            <w:pPr>
              <w:jc w:val="both"/>
              <w:rPr>
                <w:rFonts w:ascii="Calibri" w:hAnsi="Calibri" w:cs="Calibri"/>
                <w:sz w:val="24"/>
                <w:szCs w:val="24"/>
              </w:rPr>
            </w:pPr>
          </w:p>
        </w:tc>
        <w:tc>
          <w:tcPr>
            <w:tcW w:w="4849" w:type="dxa"/>
          </w:tcPr>
          <w:p w14:paraId="63BEED4A" w14:textId="2A2EBCF1" w:rsidR="00E86BE2" w:rsidRPr="0010524E" w:rsidRDefault="00E86BE2" w:rsidP="00E86BE2">
            <w:pPr>
              <w:jc w:val="both"/>
              <w:rPr>
                <w:rFonts w:ascii="Calibri" w:hAnsi="Calibri" w:cs="Calibri"/>
                <w:sz w:val="24"/>
                <w:szCs w:val="24"/>
              </w:rPr>
            </w:pPr>
            <w:r w:rsidRPr="0010524E">
              <w:rPr>
                <w:rFonts w:ascii="Calibri" w:eastAsia="Calibri" w:hAnsi="Calibri" w:cs="Calibri"/>
                <w:sz w:val="24"/>
                <w:szCs w:val="24"/>
              </w:rPr>
              <w:t xml:space="preserve">II - promover o enquadramento do administrador especial, interventor ou liquidante na classe imediatamente posterior, desde que não ultrapassado o limite de que </w:t>
            </w:r>
            <w:r w:rsidRPr="0010524E">
              <w:rPr>
                <w:rFonts w:ascii="Calibri" w:eastAsia="Calibri" w:hAnsi="Calibri" w:cs="Calibri"/>
                <w:sz w:val="24"/>
                <w:szCs w:val="24"/>
              </w:rPr>
              <w:lastRenderedPageBreak/>
              <w:t>trata o art. 3º da Resolução CNPC nº 52, de 10 de março de 2022.</w:t>
            </w:r>
          </w:p>
        </w:tc>
        <w:tc>
          <w:tcPr>
            <w:tcW w:w="4648" w:type="dxa"/>
          </w:tcPr>
          <w:p w14:paraId="2EA212B7"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ascii="Calibri" w:eastAsia="Calibri" w:hAnsi="Calibri" w:cs="Calibri"/>
                <w:color w:val="000000"/>
                <w:sz w:val="24"/>
                <w:szCs w:val="24"/>
              </w:rPr>
              <w:lastRenderedPageBreak/>
              <w:t>Ajuste redacional.</w:t>
            </w:r>
          </w:p>
        </w:tc>
      </w:tr>
      <w:tr w:rsidR="00E86BE2" w:rsidRPr="0010524E" w14:paraId="0C635E00" w14:textId="29E25B24" w:rsidTr="00E86BE2">
        <w:tc>
          <w:tcPr>
            <w:tcW w:w="4815" w:type="dxa"/>
          </w:tcPr>
          <w:p w14:paraId="23446702" w14:textId="77777777" w:rsidR="00E86BE2" w:rsidRPr="0010524E" w:rsidRDefault="00E86BE2" w:rsidP="00E86BE2">
            <w:pPr>
              <w:jc w:val="both"/>
              <w:rPr>
                <w:rFonts w:ascii="Calibri" w:hAnsi="Calibri" w:cs="Calibri"/>
                <w:sz w:val="24"/>
                <w:szCs w:val="24"/>
              </w:rPr>
            </w:pPr>
          </w:p>
        </w:tc>
        <w:tc>
          <w:tcPr>
            <w:tcW w:w="4849" w:type="dxa"/>
          </w:tcPr>
          <w:p w14:paraId="6B8CA203" w14:textId="5E132F15" w:rsidR="00E86BE2" w:rsidRPr="0010524E" w:rsidRDefault="00E86BE2" w:rsidP="00E86BE2">
            <w:pPr>
              <w:jc w:val="both"/>
              <w:rPr>
                <w:rFonts w:ascii="Calibri" w:hAnsi="Calibri" w:cs="Calibri"/>
                <w:color w:val="FF0000"/>
                <w:sz w:val="24"/>
                <w:szCs w:val="24"/>
              </w:rPr>
            </w:pPr>
            <w:r w:rsidRPr="0010524E">
              <w:rPr>
                <w:rFonts w:ascii="Calibri" w:eastAsia="Calibri" w:hAnsi="Calibri" w:cs="Calibri"/>
                <w:sz w:val="24"/>
                <w:szCs w:val="24"/>
              </w:rPr>
              <w:t>§ 1º  A majoração ou reenquadramento previstos devem levar em consideração as particularidades que caracterizem maior complexidade das atividades a serem desenvolvidas pelo administrador especial, interventor ou liquidante com a devida fundamentação e justificativa.</w:t>
            </w:r>
          </w:p>
        </w:tc>
        <w:tc>
          <w:tcPr>
            <w:tcW w:w="4648" w:type="dxa"/>
          </w:tcPr>
          <w:p w14:paraId="0D302E0D"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ascii="Calibri" w:eastAsia="Calibri" w:hAnsi="Calibri" w:cs="Calibri"/>
                <w:color w:val="000000"/>
                <w:sz w:val="24"/>
                <w:szCs w:val="24"/>
              </w:rPr>
              <w:t xml:space="preserve">Ajuste redacional. </w:t>
            </w:r>
          </w:p>
        </w:tc>
      </w:tr>
      <w:tr w:rsidR="00E86BE2" w:rsidRPr="0010524E" w14:paraId="344E09FA" w14:textId="074C8BD2" w:rsidTr="00E86BE2">
        <w:tc>
          <w:tcPr>
            <w:tcW w:w="4815" w:type="dxa"/>
          </w:tcPr>
          <w:p w14:paraId="5B19DF18" w14:textId="77777777" w:rsidR="00E86BE2" w:rsidRPr="0010524E" w:rsidRDefault="00E86BE2" w:rsidP="00E86BE2">
            <w:pPr>
              <w:jc w:val="both"/>
              <w:rPr>
                <w:rFonts w:ascii="Calibri" w:eastAsia="Calibri" w:hAnsi="Calibri" w:cs="Calibri"/>
                <w:sz w:val="24"/>
                <w:szCs w:val="24"/>
              </w:rPr>
            </w:pPr>
            <w:r w:rsidRPr="0010524E">
              <w:rPr>
                <w:rFonts w:ascii="Calibri" w:hAnsi="Calibri" w:cs="Calibri"/>
                <w:sz w:val="24"/>
                <w:szCs w:val="24"/>
              </w:rPr>
              <w:t>§3° Na hipótese do administrador especial, interventor ou liquidante ser nomeado, concomitantemente, para mais de um regime especial, a soma das respectivas remunerações não poderá exceder o limite de que trata o art. 3° da Resolução CGPC n° 24, de 2007.</w:t>
            </w:r>
          </w:p>
        </w:tc>
        <w:tc>
          <w:tcPr>
            <w:tcW w:w="4849" w:type="dxa"/>
          </w:tcPr>
          <w:p w14:paraId="65566576" w14:textId="2102280D" w:rsidR="00E86BE2" w:rsidRPr="0010524E" w:rsidRDefault="00E86BE2" w:rsidP="00E86BE2">
            <w:pPr>
              <w:jc w:val="both"/>
              <w:rPr>
                <w:rFonts w:ascii="Calibri" w:hAnsi="Calibri" w:cs="Calibri"/>
                <w:color w:val="FF0000"/>
                <w:sz w:val="24"/>
                <w:szCs w:val="24"/>
              </w:rPr>
            </w:pPr>
            <w:r w:rsidRPr="0010524E">
              <w:rPr>
                <w:rFonts w:ascii="Calibri" w:eastAsia="Calibri" w:hAnsi="Calibri" w:cs="Calibri"/>
                <w:sz w:val="24"/>
                <w:szCs w:val="24"/>
              </w:rPr>
              <w:t>§ 2º  Na hipótese de o administrador especial, interventor ou liquidante ser nomeado, concomitantemente, para mais de um regime especial, a soma das respectivas remunerações não pode exceder o limite de que trata o art. 3º da Resolução CNPC nº 52, de 2022.</w:t>
            </w:r>
          </w:p>
        </w:tc>
        <w:tc>
          <w:tcPr>
            <w:tcW w:w="4648" w:type="dxa"/>
          </w:tcPr>
          <w:p w14:paraId="3E7F4A31"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ascii="Calibri" w:eastAsia="Calibri" w:hAnsi="Calibri" w:cs="Calibri"/>
                <w:color w:val="000000"/>
                <w:sz w:val="24"/>
                <w:szCs w:val="24"/>
              </w:rPr>
              <w:t>Ajuste redacional.</w:t>
            </w:r>
          </w:p>
        </w:tc>
      </w:tr>
      <w:tr w:rsidR="00E86BE2" w:rsidRPr="0010524E" w14:paraId="2200DCE7" w14:textId="79840790" w:rsidTr="00E86BE2">
        <w:tc>
          <w:tcPr>
            <w:tcW w:w="4815" w:type="dxa"/>
          </w:tcPr>
          <w:p w14:paraId="30E17CEF" w14:textId="77777777" w:rsidR="00E86BE2" w:rsidRPr="0010524E" w:rsidRDefault="00E86BE2" w:rsidP="00E86BE2">
            <w:pPr>
              <w:jc w:val="both"/>
              <w:rPr>
                <w:rFonts w:ascii="Calibri" w:eastAsia="Calibri" w:hAnsi="Calibri" w:cs="Calibri"/>
                <w:sz w:val="24"/>
                <w:szCs w:val="24"/>
              </w:rPr>
            </w:pPr>
          </w:p>
        </w:tc>
        <w:tc>
          <w:tcPr>
            <w:tcW w:w="4849" w:type="dxa"/>
          </w:tcPr>
          <w:p w14:paraId="11C353A6" w14:textId="6AC73204" w:rsidR="00E86BE2" w:rsidRPr="0010524E" w:rsidRDefault="00E86BE2" w:rsidP="00E86BE2">
            <w:pPr>
              <w:jc w:val="both"/>
              <w:rPr>
                <w:rFonts w:ascii="Calibri" w:hAnsi="Calibri" w:cs="Calibri"/>
                <w:color w:val="FF0000"/>
                <w:sz w:val="24"/>
                <w:szCs w:val="24"/>
              </w:rPr>
            </w:pPr>
            <w:r w:rsidRPr="0010524E">
              <w:rPr>
                <w:rFonts w:ascii="Calibri" w:eastAsia="Calibri" w:hAnsi="Calibri" w:cs="Calibri"/>
                <w:sz w:val="24"/>
                <w:szCs w:val="24"/>
              </w:rPr>
              <w:t>§ 3º  Na hipótese de o administrador especial, interventor ou liquidante ser servidor público ativo, a soma da remuneração do cargo efetivo ocupado com a remuneração prevista no art. 2º não pode exceder o limite de que trata o art. 3° da Resolução CNPC nº 52, de 2022.</w:t>
            </w:r>
          </w:p>
        </w:tc>
        <w:tc>
          <w:tcPr>
            <w:tcW w:w="4648" w:type="dxa"/>
          </w:tcPr>
          <w:p w14:paraId="0D6CCCFE"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ascii="Calibri" w:eastAsia="Calibri" w:hAnsi="Calibri" w:cs="Calibri"/>
                <w:color w:val="000000"/>
                <w:sz w:val="24"/>
                <w:szCs w:val="24"/>
              </w:rPr>
              <w:t>Incluído o servidor ativo e limita sua remuneração, adicionada do valor percebido no regime especial, ao teto estabelecido no art. 37 da Constituição Federal.</w:t>
            </w:r>
          </w:p>
        </w:tc>
      </w:tr>
      <w:tr w:rsidR="00E86BE2" w:rsidRPr="0010524E" w14:paraId="06990E99" w14:textId="347F9110" w:rsidTr="00E86BE2">
        <w:trPr>
          <w:trHeight w:val="1175"/>
        </w:trPr>
        <w:tc>
          <w:tcPr>
            <w:tcW w:w="4815" w:type="dxa"/>
          </w:tcPr>
          <w:p w14:paraId="16275F57"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t>Art. 3° A indenização das despesas do administrador especial, interventor ou liquidante, incorridas no estrito cumprimento de suas atribuições, referentes a hospedagem, alimentação e deslocamento, atenderá aos seguintes limites:</w:t>
            </w:r>
          </w:p>
          <w:p w14:paraId="7F8142C6" w14:textId="77777777" w:rsidR="00E86BE2" w:rsidRPr="0010524E" w:rsidRDefault="00E86BE2" w:rsidP="00E86BE2">
            <w:pPr>
              <w:jc w:val="both"/>
              <w:rPr>
                <w:rFonts w:ascii="Calibri" w:eastAsia="Calibri" w:hAnsi="Calibri" w:cs="Calibri"/>
                <w:sz w:val="24"/>
                <w:szCs w:val="24"/>
              </w:rPr>
            </w:pPr>
          </w:p>
        </w:tc>
        <w:tc>
          <w:tcPr>
            <w:tcW w:w="4849" w:type="dxa"/>
          </w:tcPr>
          <w:p w14:paraId="19314294" w14:textId="76D6C59A" w:rsidR="00E86BE2" w:rsidRPr="0010524E" w:rsidRDefault="00E86BE2" w:rsidP="00E86BE2">
            <w:pPr>
              <w:jc w:val="both"/>
              <w:rPr>
                <w:rFonts w:ascii="Calibri" w:hAnsi="Calibri" w:cs="Calibri"/>
                <w:color w:val="FF0000"/>
                <w:sz w:val="24"/>
                <w:szCs w:val="24"/>
              </w:rPr>
            </w:pPr>
            <w:r w:rsidRPr="0010524E">
              <w:rPr>
                <w:rFonts w:ascii="Calibri" w:eastAsia="Calibri" w:hAnsi="Calibri" w:cs="Calibri"/>
                <w:sz w:val="24"/>
                <w:szCs w:val="24"/>
              </w:rPr>
              <w:lastRenderedPageBreak/>
              <w:t xml:space="preserve">Art. 288.  A indenização das despesas do administrador especial, interventor ou liquidante, incorridas no estrito cumprimento de suas atribuições, referentes a hospedagem, alimentação e deslocamento, será fixada de </w:t>
            </w:r>
            <w:r w:rsidRPr="0010524E">
              <w:rPr>
                <w:rFonts w:ascii="Calibri" w:eastAsia="Calibri" w:hAnsi="Calibri" w:cs="Calibri"/>
                <w:sz w:val="24"/>
                <w:szCs w:val="24"/>
              </w:rPr>
              <w:lastRenderedPageBreak/>
              <w:t>acordo com Portaria a ser editada pela Diretoria de Fiscalização e Monitoramento.</w:t>
            </w:r>
          </w:p>
        </w:tc>
        <w:tc>
          <w:tcPr>
            <w:tcW w:w="4648" w:type="dxa"/>
          </w:tcPr>
          <w:p w14:paraId="6B53BD7B" w14:textId="77777777" w:rsidR="00E86BE2" w:rsidRPr="0010524E" w:rsidRDefault="00E86BE2" w:rsidP="00E86BE2">
            <w:pPr>
              <w:jc w:val="both"/>
              <w:rPr>
                <w:rFonts w:ascii="Calibri" w:eastAsia="Calibri" w:hAnsi="Calibri" w:cs="Calibri"/>
                <w:color w:val="000000"/>
                <w:sz w:val="24"/>
                <w:szCs w:val="24"/>
              </w:rPr>
            </w:pPr>
          </w:p>
        </w:tc>
      </w:tr>
      <w:tr w:rsidR="00E86BE2" w:rsidRPr="0010524E" w14:paraId="3B043521" w14:textId="45629551" w:rsidTr="00E86BE2">
        <w:trPr>
          <w:trHeight w:val="1172"/>
        </w:trPr>
        <w:tc>
          <w:tcPr>
            <w:tcW w:w="4815" w:type="dxa"/>
          </w:tcPr>
          <w:p w14:paraId="38D1C140"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t>I - despesas de hospedagem, assim entendidos os gastos com moradia devidamente comprovados, para o administrador especial, interventor ou liquidante cujas atribuições sejam desenvolvidas fora do município de seu domicílio: até R$ 1.800,00 (mil e oitocentos reais);</w:t>
            </w:r>
          </w:p>
          <w:p w14:paraId="61EF7A88" w14:textId="77777777" w:rsidR="00E86BE2" w:rsidRPr="0010524E" w:rsidRDefault="00E86BE2" w:rsidP="00E86BE2">
            <w:pPr>
              <w:jc w:val="both"/>
              <w:rPr>
                <w:rFonts w:ascii="Calibri" w:hAnsi="Calibri" w:cs="Calibri"/>
                <w:sz w:val="24"/>
                <w:szCs w:val="24"/>
              </w:rPr>
            </w:pPr>
          </w:p>
        </w:tc>
        <w:tc>
          <w:tcPr>
            <w:tcW w:w="4849" w:type="dxa"/>
          </w:tcPr>
          <w:p w14:paraId="3B3C9BC8" w14:textId="77777777" w:rsidR="00E86BE2" w:rsidRPr="0010524E" w:rsidRDefault="00E86BE2" w:rsidP="00E86BE2">
            <w:pPr>
              <w:jc w:val="both"/>
              <w:rPr>
                <w:rFonts w:ascii="Calibri" w:hAnsi="Calibri" w:cs="Calibri"/>
                <w:sz w:val="24"/>
                <w:szCs w:val="24"/>
              </w:rPr>
            </w:pPr>
          </w:p>
        </w:tc>
        <w:tc>
          <w:tcPr>
            <w:tcW w:w="4648" w:type="dxa"/>
          </w:tcPr>
          <w:p w14:paraId="1F312279" w14:textId="77777777" w:rsidR="00E86BE2" w:rsidRPr="0010524E" w:rsidRDefault="00E86BE2" w:rsidP="00E86BE2">
            <w:pPr>
              <w:rPr>
                <w:rFonts w:ascii="Calibri" w:eastAsia="Calibri" w:hAnsi="Calibri" w:cs="Calibri"/>
                <w:color w:val="000000"/>
                <w:sz w:val="24"/>
                <w:szCs w:val="24"/>
              </w:rPr>
            </w:pPr>
            <w:r w:rsidRPr="0010524E">
              <w:rPr>
                <w:rFonts w:ascii="Calibri" w:eastAsia="Calibri" w:hAnsi="Calibri" w:cs="Calibri"/>
                <w:color w:val="000000"/>
                <w:sz w:val="24"/>
                <w:szCs w:val="24"/>
              </w:rPr>
              <w:t>Excluído</w:t>
            </w:r>
          </w:p>
        </w:tc>
      </w:tr>
      <w:tr w:rsidR="00E86BE2" w:rsidRPr="0010524E" w14:paraId="7DDF3FA7" w14:textId="18516F29" w:rsidTr="00E86BE2">
        <w:trPr>
          <w:trHeight w:val="740"/>
        </w:trPr>
        <w:tc>
          <w:tcPr>
            <w:tcW w:w="4815" w:type="dxa"/>
          </w:tcPr>
          <w:p w14:paraId="0EDB2DB8" w14:textId="1DDBB052" w:rsidR="00E86BE2" w:rsidRPr="0010524E" w:rsidRDefault="00E86BE2" w:rsidP="00E86BE2">
            <w:pPr>
              <w:jc w:val="both"/>
              <w:rPr>
                <w:rFonts w:ascii="Calibri" w:hAnsi="Calibri" w:cs="Calibri"/>
                <w:sz w:val="24"/>
                <w:szCs w:val="24"/>
              </w:rPr>
            </w:pPr>
            <w:r w:rsidRPr="0010524E">
              <w:rPr>
                <w:rFonts w:ascii="Calibri" w:hAnsi="Calibri" w:cs="Calibri"/>
                <w:sz w:val="24"/>
                <w:szCs w:val="24"/>
              </w:rPr>
              <w:t>II - alimentação: R$ 350,00 (trezentos e cinqüenta reais), por mês;</w:t>
            </w:r>
          </w:p>
        </w:tc>
        <w:tc>
          <w:tcPr>
            <w:tcW w:w="4849" w:type="dxa"/>
          </w:tcPr>
          <w:p w14:paraId="0975B02F" w14:textId="77777777" w:rsidR="00E86BE2" w:rsidRPr="0010524E" w:rsidRDefault="00E86BE2" w:rsidP="00E86BE2">
            <w:pPr>
              <w:jc w:val="both"/>
              <w:rPr>
                <w:rFonts w:ascii="Calibri" w:hAnsi="Calibri" w:cs="Calibri"/>
                <w:sz w:val="24"/>
                <w:szCs w:val="24"/>
              </w:rPr>
            </w:pPr>
          </w:p>
        </w:tc>
        <w:tc>
          <w:tcPr>
            <w:tcW w:w="4648" w:type="dxa"/>
          </w:tcPr>
          <w:p w14:paraId="02F4A15E" w14:textId="77777777" w:rsidR="00E86BE2" w:rsidRPr="0010524E" w:rsidRDefault="00E86BE2" w:rsidP="00E86BE2">
            <w:pPr>
              <w:rPr>
                <w:rFonts w:ascii="Calibri" w:eastAsia="Calibri" w:hAnsi="Calibri" w:cs="Calibri"/>
                <w:color w:val="000000"/>
                <w:sz w:val="24"/>
                <w:szCs w:val="24"/>
              </w:rPr>
            </w:pPr>
            <w:r w:rsidRPr="0010524E">
              <w:rPr>
                <w:rFonts w:ascii="Calibri" w:eastAsia="Calibri" w:hAnsi="Calibri" w:cs="Calibri"/>
                <w:color w:val="000000"/>
                <w:sz w:val="24"/>
                <w:szCs w:val="24"/>
              </w:rPr>
              <w:t>Excluído</w:t>
            </w:r>
          </w:p>
        </w:tc>
      </w:tr>
      <w:tr w:rsidR="00E86BE2" w:rsidRPr="0010524E" w14:paraId="135220F9" w14:textId="4525EA57" w:rsidTr="00E86BE2">
        <w:trPr>
          <w:trHeight w:val="553"/>
        </w:trPr>
        <w:tc>
          <w:tcPr>
            <w:tcW w:w="4815" w:type="dxa"/>
          </w:tcPr>
          <w:p w14:paraId="7899E5D3"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t>III – deslocamento:</w:t>
            </w:r>
          </w:p>
          <w:p w14:paraId="4312BFAC" w14:textId="77777777" w:rsidR="00E86BE2" w:rsidRPr="0010524E" w:rsidRDefault="00E86BE2" w:rsidP="00E86BE2">
            <w:pPr>
              <w:jc w:val="both"/>
              <w:rPr>
                <w:rFonts w:ascii="Calibri" w:hAnsi="Calibri" w:cs="Calibri"/>
                <w:sz w:val="24"/>
                <w:szCs w:val="24"/>
              </w:rPr>
            </w:pPr>
          </w:p>
        </w:tc>
        <w:tc>
          <w:tcPr>
            <w:tcW w:w="4849" w:type="dxa"/>
          </w:tcPr>
          <w:p w14:paraId="414FF23D" w14:textId="77777777" w:rsidR="00E86BE2" w:rsidRPr="0010524E" w:rsidRDefault="00E86BE2" w:rsidP="00E86BE2">
            <w:pPr>
              <w:jc w:val="both"/>
              <w:rPr>
                <w:rFonts w:ascii="Calibri" w:hAnsi="Calibri" w:cs="Calibri"/>
                <w:sz w:val="24"/>
                <w:szCs w:val="24"/>
              </w:rPr>
            </w:pPr>
          </w:p>
        </w:tc>
        <w:tc>
          <w:tcPr>
            <w:tcW w:w="4648" w:type="dxa"/>
          </w:tcPr>
          <w:p w14:paraId="330CF650" w14:textId="77777777" w:rsidR="00E86BE2" w:rsidRPr="0010524E" w:rsidRDefault="00E86BE2" w:rsidP="00E86BE2">
            <w:pPr>
              <w:rPr>
                <w:rFonts w:ascii="Calibri" w:eastAsia="Calibri" w:hAnsi="Calibri" w:cs="Calibri"/>
                <w:color w:val="000000"/>
                <w:sz w:val="24"/>
                <w:szCs w:val="24"/>
              </w:rPr>
            </w:pPr>
            <w:r w:rsidRPr="0010524E">
              <w:rPr>
                <w:rFonts w:ascii="Calibri" w:eastAsia="Calibri" w:hAnsi="Calibri" w:cs="Calibri"/>
                <w:color w:val="000000"/>
                <w:sz w:val="24"/>
                <w:szCs w:val="24"/>
              </w:rPr>
              <w:t>Excluído</w:t>
            </w:r>
          </w:p>
        </w:tc>
      </w:tr>
      <w:tr w:rsidR="00E86BE2" w:rsidRPr="0010524E" w14:paraId="01110DD3" w14:textId="279630EB" w:rsidTr="00E86BE2">
        <w:trPr>
          <w:trHeight w:val="1172"/>
        </w:trPr>
        <w:tc>
          <w:tcPr>
            <w:tcW w:w="4815" w:type="dxa"/>
          </w:tcPr>
          <w:p w14:paraId="50C7B5FD"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t>a) no âmbito do próprio município onde instalada a sede da entidade fechada de previdência complementar: R$ 350,00 (trezentos e cinqüenta reais), por mês;</w:t>
            </w:r>
          </w:p>
          <w:p w14:paraId="189D9A55" w14:textId="77777777" w:rsidR="00E86BE2" w:rsidRPr="0010524E" w:rsidRDefault="00E86BE2" w:rsidP="00E86BE2">
            <w:pPr>
              <w:jc w:val="both"/>
              <w:rPr>
                <w:rFonts w:ascii="Calibri" w:hAnsi="Calibri" w:cs="Calibri"/>
                <w:sz w:val="24"/>
                <w:szCs w:val="24"/>
              </w:rPr>
            </w:pPr>
          </w:p>
        </w:tc>
        <w:tc>
          <w:tcPr>
            <w:tcW w:w="4849" w:type="dxa"/>
          </w:tcPr>
          <w:p w14:paraId="7136662C" w14:textId="77777777" w:rsidR="00E86BE2" w:rsidRPr="0010524E" w:rsidRDefault="00E86BE2" w:rsidP="00E86BE2">
            <w:pPr>
              <w:jc w:val="both"/>
              <w:rPr>
                <w:rFonts w:ascii="Calibri" w:hAnsi="Calibri" w:cs="Calibri"/>
                <w:sz w:val="24"/>
                <w:szCs w:val="24"/>
              </w:rPr>
            </w:pPr>
          </w:p>
        </w:tc>
        <w:tc>
          <w:tcPr>
            <w:tcW w:w="4648" w:type="dxa"/>
          </w:tcPr>
          <w:p w14:paraId="4EFAA822" w14:textId="77777777" w:rsidR="00E86BE2" w:rsidRPr="0010524E" w:rsidRDefault="00E86BE2" w:rsidP="00E86BE2">
            <w:pPr>
              <w:rPr>
                <w:rFonts w:ascii="Calibri" w:eastAsia="Calibri" w:hAnsi="Calibri" w:cs="Calibri"/>
                <w:color w:val="000000"/>
                <w:sz w:val="24"/>
                <w:szCs w:val="24"/>
              </w:rPr>
            </w:pPr>
            <w:r w:rsidRPr="0010524E">
              <w:rPr>
                <w:rFonts w:ascii="Calibri" w:eastAsia="Calibri" w:hAnsi="Calibri" w:cs="Calibri"/>
                <w:color w:val="000000"/>
                <w:sz w:val="24"/>
                <w:szCs w:val="24"/>
              </w:rPr>
              <w:t>Excluído</w:t>
            </w:r>
          </w:p>
        </w:tc>
      </w:tr>
      <w:tr w:rsidR="00E86BE2" w:rsidRPr="0010524E" w14:paraId="14CFC086" w14:textId="62339FE5" w:rsidTr="00E86BE2">
        <w:trPr>
          <w:trHeight w:val="1172"/>
        </w:trPr>
        <w:tc>
          <w:tcPr>
            <w:tcW w:w="4815" w:type="dxa"/>
          </w:tcPr>
          <w:p w14:paraId="064C1998"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t>b) para retorno ao seu domicílio de origem, quando diferente do município onde instalada a sede da entidade fechada de previdência complementar: uma passagem de ida e uma de volta, a cada duas semanas.</w:t>
            </w:r>
          </w:p>
        </w:tc>
        <w:tc>
          <w:tcPr>
            <w:tcW w:w="4849" w:type="dxa"/>
          </w:tcPr>
          <w:p w14:paraId="307E89B4" w14:textId="77777777" w:rsidR="00E86BE2" w:rsidRPr="0010524E" w:rsidRDefault="00E86BE2" w:rsidP="00E86BE2">
            <w:pPr>
              <w:jc w:val="both"/>
              <w:rPr>
                <w:rFonts w:ascii="Calibri" w:hAnsi="Calibri" w:cs="Calibri"/>
                <w:sz w:val="24"/>
                <w:szCs w:val="24"/>
              </w:rPr>
            </w:pPr>
          </w:p>
        </w:tc>
        <w:tc>
          <w:tcPr>
            <w:tcW w:w="4648" w:type="dxa"/>
          </w:tcPr>
          <w:p w14:paraId="0175872F" w14:textId="77777777" w:rsidR="00E86BE2" w:rsidRPr="0010524E" w:rsidRDefault="00E86BE2" w:rsidP="00E86BE2">
            <w:pPr>
              <w:rPr>
                <w:rFonts w:ascii="Calibri" w:eastAsia="Calibri" w:hAnsi="Calibri" w:cs="Calibri"/>
                <w:color w:val="000000"/>
                <w:sz w:val="24"/>
                <w:szCs w:val="24"/>
              </w:rPr>
            </w:pPr>
            <w:r w:rsidRPr="0010524E">
              <w:rPr>
                <w:rFonts w:ascii="Calibri" w:eastAsia="Calibri" w:hAnsi="Calibri" w:cs="Calibri"/>
                <w:color w:val="000000"/>
                <w:sz w:val="24"/>
                <w:szCs w:val="24"/>
              </w:rPr>
              <w:t>Excluído</w:t>
            </w:r>
          </w:p>
        </w:tc>
      </w:tr>
      <w:tr w:rsidR="00E86BE2" w:rsidRPr="0010524E" w14:paraId="2C6A7DA8" w14:textId="54F8E982" w:rsidTr="00E86BE2">
        <w:tc>
          <w:tcPr>
            <w:tcW w:w="4815" w:type="dxa"/>
          </w:tcPr>
          <w:p w14:paraId="0119977C" w14:textId="77777777" w:rsidR="00E86BE2" w:rsidRPr="0010524E" w:rsidRDefault="00E86BE2" w:rsidP="00E86BE2">
            <w:pPr>
              <w:jc w:val="both"/>
              <w:rPr>
                <w:rFonts w:ascii="Calibri" w:eastAsia="Calibri" w:hAnsi="Calibri" w:cs="Calibri"/>
                <w:sz w:val="24"/>
                <w:szCs w:val="24"/>
              </w:rPr>
            </w:pPr>
            <w:r w:rsidRPr="0010524E">
              <w:rPr>
                <w:rFonts w:ascii="Calibri" w:hAnsi="Calibri" w:cs="Calibri"/>
                <w:sz w:val="24"/>
                <w:szCs w:val="24"/>
              </w:rPr>
              <w:lastRenderedPageBreak/>
              <w:t>Parágrafo único. Sem prejuízo das indenizações de que trata este artigo, quando houver necessidade de deslocamento do administrador especial, interventor ou liquidante, no interesse do respectivo regime especial, para localidade distante mais de 100 (cem) quilômetros do município onde instalada a sede da entidade fechada de previdência complementar e diferente de seu domicílio pessoal, será devido o pagamento de diária, pelo período de sua permanência naquela localidade, cujo valor não poderá exceder R$ 200,00 (duzentos reais).</w:t>
            </w:r>
          </w:p>
        </w:tc>
        <w:tc>
          <w:tcPr>
            <w:tcW w:w="4849" w:type="dxa"/>
          </w:tcPr>
          <w:p w14:paraId="0336CF13" w14:textId="7272BD81" w:rsidR="00E86BE2" w:rsidRPr="0010524E" w:rsidRDefault="00E86BE2" w:rsidP="00E86BE2">
            <w:pPr>
              <w:jc w:val="both"/>
              <w:rPr>
                <w:rFonts w:ascii="Calibri" w:hAnsi="Calibri" w:cs="Calibri"/>
                <w:color w:val="FF0000"/>
                <w:sz w:val="24"/>
                <w:szCs w:val="24"/>
              </w:rPr>
            </w:pPr>
            <w:r w:rsidRPr="0010524E">
              <w:rPr>
                <w:rFonts w:ascii="Calibri" w:eastAsia="Calibri" w:hAnsi="Calibri" w:cs="Calibri"/>
                <w:sz w:val="24"/>
                <w:szCs w:val="24"/>
              </w:rPr>
              <w:t>Art. 289.  Quando houver necessidade de deslocamento do administrador especial, interventor ou liquidante, no interesse do respectivo regime especial, para localidade fora da região metropolitana onde instalada a sede da entidade fechada de previdência complementar e diferente de seu domicílio pessoal, é devido o pagamento de diária, pelo período de sua permanência naquela localidade.</w:t>
            </w:r>
          </w:p>
        </w:tc>
        <w:tc>
          <w:tcPr>
            <w:tcW w:w="4648" w:type="dxa"/>
          </w:tcPr>
          <w:p w14:paraId="68B2BF87" w14:textId="62B227BC"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ascii="Calibri" w:eastAsia="Calibri" w:hAnsi="Calibri" w:cs="Calibri"/>
                <w:color w:val="000000"/>
                <w:sz w:val="24"/>
                <w:szCs w:val="24"/>
              </w:rPr>
              <w:t xml:space="preserve">Ajuste de redação, substituindo o termo “mais de 100 quilometros” para “região metropolitana”. </w:t>
            </w:r>
          </w:p>
        </w:tc>
      </w:tr>
      <w:tr w:rsidR="00E86BE2" w:rsidRPr="0010524E" w14:paraId="43374F4F" w14:textId="13CC3C44" w:rsidTr="00E86BE2">
        <w:tc>
          <w:tcPr>
            <w:tcW w:w="4815" w:type="dxa"/>
          </w:tcPr>
          <w:p w14:paraId="0C6357D2" w14:textId="77777777" w:rsidR="00E86BE2" w:rsidRPr="0010524E" w:rsidRDefault="00E86BE2" w:rsidP="00E86BE2">
            <w:pPr>
              <w:jc w:val="both"/>
              <w:rPr>
                <w:rFonts w:ascii="Calibri" w:eastAsia="Calibri" w:hAnsi="Calibri" w:cs="Calibri"/>
                <w:sz w:val="24"/>
                <w:szCs w:val="24"/>
              </w:rPr>
            </w:pPr>
            <w:r w:rsidRPr="0010524E">
              <w:rPr>
                <w:rFonts w:ascii="Calibri" w:hAnsi="Calibri" w:cs="Calibri"/>
                <w:sz w:val="24"/>
                <w:szCs w:val="24"/>
              </w:rPr>
              <w:t>Art. 4° A contratação de assistentes ou assessores pelo administrador especial, interventor ou liquidante, dependerá de prévia autorização pelo Diretor do Departamento de Fiscalização da Secretaria de Previdência Complementar e sua remuneração será limitada a 80% (oitenta por cento) da remuneração fixada para o administrador especial, interventor ou liquidante nos termos desta Instrução.</w:t>
            </w:r>
          </w:p>
        </w:tc>
        <w:tc>
          <w:tcPr>
            <w:tcW w:w="4849" w:type="dxa"/>
          </w:tcPr>
          <w:p w14:paraId="05953F11" w14:textId="36DCE4BE" w:rsidR="00E86BE2" w:rsidRPr="0010524E" w:rsidRDefault="00E86BE2" w:rsidP="00E86BE2">
            <w:pPr>
              <w:jc w:val="both"/>
              <w:rPr>
                <w:rFonts w:ascii="Calibri" w:hAnsi="Calibri" w:cs="Calibri"/>
                <w:color w:val="FF0000"/>
                <w:sz w:val="24"/>
                <w:szCs w:val="24"/>
              </w:rPr>
            </w:pPr>
            <w:r w:rsidRPr="0010524E">
              <w:rPr>
                <w:rFonts w:ascii="Calibri" w:eastAsia="Calibri" w:hAnsi="Calibri" w:cs="Calibri"/>
                <w:sz w:val="24"/>
                <w:szCs w:val="24"/>
              </w:rPr>
              <w:t>Art. 290.  A contratação de assistentes ou assessores pelo administrador especial, interventor ou liquidante, depende de prévia autorização do Diretor de Fiscalização e Monitoramento da Previc e sua remuneração será limitada a 80% (oitenta por cento) da remuneração fixada para o administrador especial, interventor ou liquidante nos termos desta Resolução.</w:t>
            </w:r>
          </w:p>
        </w:tc>
        <w:tc>
          <w:tcPr>
            <w:tcW w:w="4648" w:type="dxa"/>
          </w:tcPr>
          <w:p w14:paraId="49A111DE" w14:textId="5682FF49" w:rsidR="00E86BE2" w:rsidRPr="0010524E" w:rsidRDefault="00E86BE2" w:rsidP="00E86BE2">
            <w:pPr>
              <w:pBdr>
                <w:top w:val="nil"/>
                <w:left w:val="nil"/>
                <w:bottom w:val="nil"/>
                <w:right w:val="nil"/>
                <w:between w:val="nil"/>
              </w:pBdr>
              <w:tabs>
                <w:tab w:val="left" w:pos="1418"/>
              </w:tabs>
              <w:spacing w:after="120"/>
              <w:ind w:right="-32"/>
              <w:jc w:val="both"/>
              <w:rPr>
                <w:rFonts w:ascii="Calibri" w:eastAsia="Calibri" w:hAnsi="Calibri" w:cs="Calibri"/>
                <w:smallCaps/>
                <w:color w:val="000000"/>
                <w:sz w:val="24"/>
                <w:szCs w:val="24"/>
              </w:rPr>
            </w:pPr>
          </w:p>
        </w:tc>
      </w:tr>
      <w:tr w:rsidR="00E86BE2" w:rsidRPr="0010524E" w14:paraId="2B51F7F5" w14:textId="71A41235" w:rsidTr="00E86BE2">
        <w:tc>
          <w:tcPr>
            <w:tcW w:w="4815" w:type="dxa"/>
          </w:tcPr>
          <w:p w14:paraId="3BEA657D" w14:textId="77777777" w:rsidR="00E86BE2" w:rsidRPr="0010524E" w:rsidRDefault="00E86BE2" w:rsidP="00E86BE2">
            <w:pPr>
              <w:jc w:val="both"/>
              <w:rPr>
                <w:rFonts w:ascii="Calibri" w:eastAsia="Calibri" w:hAnsi="Calibri" w:cs="Calibri"/>
                <w:sz w:val="24"/>
                <w:szCs w:val="24"/>
              </w:rPr>
            </w:pPr>
            <w:r w:rsidRPr="0010524E">
              <w:rPr>
                <w:rFonts w:ascii="Calibri" w:hAnsi="Calibri" w:cs="Calibri"/>
                <w:sz w:val="24"/>
                <w:szCs w:val="24"/>
              </w:rPr>
              <w:t xml:space="preserve">§1° Quando houver deslocamento do assistente ou assessor, no interesse do regime especial, mediante prévia determinação do administrador especial, interventor ou liquidante, para localidade distante mais de 100 </w:t>
            </w:r>
            <w:r w:rsidRPr="0010524E">
              <w:rPr>
                <w:rFonts w:ascii="Calibri" w:hAnsi="Calibri" w:cs="Calibri"/>
                <w:sz w:val="24"/>
                <w:szCs w:val="24"/>
              </w:rPr>
              <w:lastRenderedPageBreak/>
              <w:t>(cem) quilômetros do município onde instalada a sede da entidade fechada de previdência complementar e diferente de seu domicílio pessoal, além do fornecimento das passagens relativas ao deslocamento, poderá ser paga diária equivalente a até 70% (setenta por cento) do valor fixado para a diária do respectivo administrador especial, interventor ou liquidante.</w:t>
            </w:r>
          </w:p>
        </w:tc>
        <w:tc>
          <w:tcPr>
            <w:tcW w:w="4849" w:type="dxa"/>
          </w:tcPr>
          <w:p w14:paraId="15765763" w14:textId="53400FA2" w:rsidR="00E86BE2" w:rsidRPr="0010524E" w:rsidRDefault="00E86BE2" w:rsidP="00E86BE2">
            <w:pPr>
              <w:jc w:val="both"/>
              <w:rPr>
                <w:rFonts w:ascii="Calibri" w:hAnsi="Calibri" w:cs="Calibri"/>
                <w:color w:val="FF0000"/>
                <w:sz w:val="24"/>
                <w:szCs w:val="24"/>
              </w:rPr>
            </w:pPr>
            <w:r w:rsidRPr="0010524E">
              <w:rPr>
                <w:rFonts w:ascii="Calibri" w:eastAsia="Calibri" w:hAnsi="Calibri" w:cs="Calibri"/>
                <w:sz w:val="24"/>
                <w:szCs w:val="24"/>
              </w:rPr>
              <w:lastRenderedPageBreak/>
              <w:t xml:space="preserve">§ 1º  Quando houver deslocamento do assistente ou assessor, no interesse do regime especial, mediante prévia determinação do administrador especial, interventor ou liquidante, para localidade fora da região </w:t>
            </w:r>
            <w:r w:rsidRPr="0010524E">
              <w:rPr>
                <w:rFonts w:ascii="Calibri" w:eastAsia="Calibri" w:hAnsi="Calibri" w:cs="Calibri"/>
                <w:sz w:val="24"/>
                <w:szCs w:val="24"/>
              </w:rPr>
              <w:lastRenderedPageBreak/>
              <w:t>metropolitana onde instalada a sede da entidade fechada de previdência complementar e diferente de seu domicílio pessoal, além do fornecimento das passagens relativas ao deslocamento, pode ser paga diária equivalente a até 70% (setenta por cento) do valor fixado para a diária do respectivo administrador especial, interventor ou liquidante.</w:t>
            </w:r>
          </w:p>
        </w:tc>
        <w:tc>
          <w:tcPr>
            <w:tcW w:w="4648" w:type="dxa"/>
          </w:tcPr>
          <w:p w14:paraId="78032290" w14:textId="77777777" w:rsidR="00E86BE2" w:rsidRPr="0010524E" w:rsidRDefault="00E86BE2" w:rsidP="00E86BE2">
            <w:pPr>
              <w:pBdr>
                <w:top w:val="nil"/>
                <w:left w:val="nil"/>
                <w:bottom w:val="nil"/>
                <w:right w:val="nil"/>
                <w:between w:val="nil"/>
              </w:pBdr>
              <w:jc w:val="both"/>
              <w:rPr>
                <w:rFonts w:ascii="Calibri" w:eastAsia="Calibri" w:hAnsi="Calibri" w:cs="Calibri"/>
                <w:strike/>
                <w:color w:val="000000"/>
                <w:sz w:val="24"/>
                <w:szCs w:val="24"/>
              </w:rPr>
            </w:pPr>
            <w:r w:rsidRPr="0010524E">
              <w:rPr>
                <w:rFonts w:ascii="Calibri" w:eastAsia="Calibri" w:hAnsi="Calibri" w:cs="Calibri"/>
                <w:color w:val="000000"/>
                <w:sz w:val="24"/>
                <w:szCs w:val="24"/>
              </w:rPr>
              <w:lastRenderedPageBreak/>
              <w:t>Ajuste da redação, substituindo o termo “mais de 100 quilometros” para “região metropolitana”.</w:t>
            </w:r>
          </w:p>
        </w:tc>
      </w:tr>
      <w:tr w:rsidR="00E86BE2" w:rsidRPr="0010524E" w14:paraId="717EF315" w14:textId="522F7C34" w:rsidTr="00E86BE2">
        <w:tc>
          <w:tcPr>
            <w:tcW w:w="4815" w:type="dxa"/>
          </w:tcPr>
          <w:p w14:paraId="02A23F69" w14:textId="791E1490" w:rsidR="00E86BE2" w:rsidRPr="0010524E" w:rsidRDefault="00E86BE2" w:rsidP="00E86BE2">
            <w:pPr>
              <w:jc w:val="both"/>
              <w:rPr>
                <w:rFonts w:ascii="Calibri" w:eastAsia="Calibri" w:hAnsi="Calibri" w:cs="Calibri"/>
                <w:sz w:val="24"/>
                <w:szCs w:val="24"/>
              </w:rPr>
            </w:pPr>
            <w:r w:rsidRPr="0010524E">
              <w:rPr>
                <w:rFonts w:ascii="Calibri" w:hAnsi="Calibri" w:cs="Calibri"/>
                <w:sz w:val="24"/>
                <w:szCs w:val="24"/>
              </w:rPr>
              <w:t>§</w:t>
            </w:r>
            <w:r>
              <w:rPr>
                <w:rFonts w:ascii="Calibri" w:hAnsi="Calibri" w:cs="Calibri"/>
                <w:sz w:val="24"/>
                <w:szCs w:val="24"/>
              </w:rPr>
              <w:t xml:space="preserve"> </w:t>
            </w:r>
            <w:r w:rsidRPr="0010524E">
              <w:rPr>
                <w:rFonts w:ascii="Calibri" w:hAnsi="Calibri" w:cs="Calibri"/>
                <w:sz w:val="24"/>
                <w:szCs w:val="24"/>
              </w:rPr>
              <w:t>2° Ressalvado o disposto neste artigo, é vedado o pagamento de quaisquer outros valores, às expensas da entidade fechada de previdência complementar, aos assistentes ou assessores designados pelo administrador especial, interventor ou liquidante.</w:t>
            </w:r>
          </w:p>
        </w:tc>
        <w:tc>
          <w:tcPr>
            <w:tcW w:w="4849" w:type="dxa"/>
          </w:tcPr>
          <w:p w14:paraId="05BFE7A0" w14:textId="5BA4A60C" w:rsidR="00E86BE2" w:rsidRPr="0010524E" w:rsidRDefault="00E86BE2" w:rsidP="00E86BE2">
            <w:pPr>
              <w:jc w:val="both"/>
              <w:rPr>
                <w:rFonts w:ascii="Calibri" w:hAnsi="Calibri" w:cs="Calibri"/>
                <w:color w:val="FF0000"/>
                <w:sz w:val="24"/>
                <w:szCs w:val="24"/>
              </w:rPr>
            </w:pPr>
            <w:r w:rsidRPr="0010524E">
              <w:rPr>
                <w:rFonts w:ascii="Calibri" w:eastAsia="Calibri" w:hAnsi="Calibri" w:cs="Calibri"/>
                <w:sz w:val="24"/>
                <w:szCs w:val="24"/>
              </w:rPr>
              <w:t>§ 2º  Ressalvado o disposto neste artigo, é vedado o pagamento de quaisquer outros valores, às expensas da entidade fechada de previdência complementar, aos assistentes ou assessores designados pelo administrador especial, interventor ou liquidante.</w:t>
            </w:r>
          </w:p>
        </w:tc>
        <w:tc>
          <w:tcPr>
            <w:tcW w:w="4648" w:type="dxa"/>
          </w:tcPr>
          <w:p w14:paraId="2E258C2A" w14:textId="57447A8B"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p>
        </w:tc>
      </w:tr>
      <w:tr w:rsidR="00E86BE2" w:rsidRPr="0010524E" w14:paraId="00DE5B27" w14:textId="1EAC06E3" w:rsidTr="00E86BE2">
        <w:tc>
          <w:tcPr>
            <w:tcW w:w="4815" w:type="dxa"/>
          </w:tcPr>
          <w:p w14:paraId="2E4065F0" w14:textId="77777777" w:rsidR="00E86BE2" w:rsidRPr="0010524E" w:rsidRDefault="00E86BE2" w:rsidP="00E86BE2">
            <w:pPr>
              <w:jc w:val="both"/>
              <w:rPr>
                <w:rFonts w:ascii="Calibri" w:eastAsia="Calibri" w:hAnsi="Calibri" w:cs="Calibri"/>
                <w:sz w:val="24"/>
                <w:szCs w:val="24"/>
              </w:rPr>
            </w:pPr>
            <w:r w:rsidRPr="0010524E">
              <w:rPr>
                <w:rFonts w:ascii="Calibri" w:hAnsi="Calibri" w:cs="Calibri"/>
                <w:sz w:val="24"/>
                <w:szCs w:val="24"/>
              </w:rPr>
              <w:t>Art. 5° Esta Instrução entra em vigor na data de sua publicação.</w:t>
            </w:r>
          </w:p>
        </w:tc>
        <w:tc>
          <w:tcPr>
            <w:tcW w:w="4849" w:type="dxa"/>
          </w:tcPr>
          <w:p w14:paraId="77938505" w14:textId="77777777" w:rsidR="00E86BE2" w:rsidRPr="0010524E" w:rsidRDefault="00E86BE2" w:rsidP="00E86BE2">
            <w:pPr>
              <w:jc w:val="both"/>
              <w:rPr>
                <w:rFonts w:ascii="Calibri" w:hAnsi="Calibri" w:cs="Calibri"/>
                <w:color w:val="FF0000"/>
                <w:sz w:val="24"/>
                <w:szCs w:val="24"/>
              </w:rPr>
            </w:pPr>
          </w:p>
        </w:tc>
        <w:tc>
          <w:tcPr>
            <w:tcW w:w="4648" w:type="dxa"/>
          </w:tcPr>
          <w:p w14:paraId="7163130A" w14:textId="77777777" w:rsidR="00E86BE2" w:rsidRPr="0010524E" w:rsidRDefault="00E86BE2" w:rsidP="00E86BE2">
            <w:pPr>
              <w:pBdr>
                <w:top w:val="nil"/>
                <w:left w:val="nil"/>
                <w:bottom w:val="nil"/>
                <w:right w:val="nil"/>
                <w:between w:val="nil"/>
              </w:pBdr>
              <w:jc w:val="both"/>
              <w:rPr>
                <w:rFonts w:ascii="Calibri" w:eastAsia="Calibri" w:hAnsi="Calibri" w:cs="Calibri"/>
                <w:color w:val="000000"/>
                <w:sz w:val="24"/>
                <w:szCs w:val="24"/>
              </w:rPr>
            </w:pPr>
            <w:r w:rsidRPr="0010524E">
              <w:rPr>
                <w:rFonts w:ascii="Calibri" w:eastAsia="Calibri" w:hAnsi="Calibri" w:cs="Calibri"/>
                <w:color w:val="000000"/>
                <w:sz w:val="24"/>
                <w:szCs w:val="24"/>
              </w:rPr>
              <w:t>Excluído</w:t>
            </w:r>
          </w:p>
        </w:tc>
      </w:tr>
      <w:tr w:rsidR="00E86BE2" w:rsidRPr="0010524E" w14:paraId="220A1C36" w14:textId="7E7B218D" w:rsidTr="00E86BE2">
        <w:tc>
          <w:tcPr>
            <w:tcW w:w="4815" w:type="dxa"/>
            <w:shd w:val="clear" w:color="auto" w:fill="FFFFFF" w:themeFill="background1"/>
          </w:tcPr>
          <w:p w14:paraId="6D5B85A9" w14:textId="77777777" w:rsidR="00E86BE2" w:rsidRPr="0010524E" w:rsidRDefault="00E86BE2" w:rsidP="00E86BE2">
            <w:pPr>
              <w:pStyle w:val="Normal1"/>
              <w:jc w:val="center"/>
              <w:rPr>
                <w:sz w:val="24"/>
                <w:szCs w:val="24"/>
              </w:rPr>
            </w:pPr>
            <w:r w:rsidRPr="0010524E">
              <w:rPr>
                <w:b/>
                <w:color w:val="000000"/>
                <w:sz w:val="24"/>
                <w:szCs w:val="24"/>
              </w:rPr>
              <w:t>Resolução Previc nº 06, de 23 de março de 2022</w:t>
            </w:r>
          </w:p>
        </w:tc>
        <w:tc>
          <w:tcPr>
            <w:tcW w:w="4849" w:type="dxa"/>
            <w:shd w:val="clear" w:color="auto" w:fill="FFFFFF" w:themeFill="background1"/>
          </w:tcPr>
          <w:p w14:paraId="6B23A1D3" w14:textId="77777777" w:rsidR="00E86BE2" w:rsidRPr="0010524E" w:rsidRDefault="00E86BE2" w:rsidP="00E86BE2">
            <w:pPr>
              <w:pStyle w:val="Normal1"/>
              <w:pBdr>
                <w:top w:val="nil"/>
                <w:left w:val="nil"/>
                <w:bottom w:val="nil"/>
                <w:right w:val="nil"/>
                <w:between w:val="nil"/>
              </w:pBdr>
              <w:jc w:val="center"/>
              <w:rPr>
                <w:color w:val="000000"/>
                <w:sz w:val="24"/>
                <w:szCs w:val="24"/>
              </w:rPr>
            </w:pPr>
          </w:p>
        </w:tc>
        <w:tc>
          <w:tcPr>
            <w:tcW w:w="4648" w:type="dxa"/>
            <w:shd w:val="clear" w:color="auto" w:fill="FFFFFF" w:themeFill="background1"/>
          </w:tcPr>
          <w:p w14:paraId="51040394" w14:textId="77777777" w:rsidR="00E86BE2" w:rsidRPr="0010524E" w:rsidRDefault="00E86BE2" w:rsidP="00E86BE2">
            <w:pPr>
              <w:pStyle w:val="Normal1"/>
              <w:spacing w:before="120" w:after="120"/>
              <w:jc w:val="both"/>
              <w:rPr>
                <w:color w:val="000000"/>
                <w:sz w:val="24"/>
                <w:szCs w:val="24"/>
              </w:rPr>
            </w:pPr>
          </w:p>
        </w:tc>
      </w:tr>
      <w:tr w:rsidR="00E86BE2" w:rsidRPr="0010524E" w14:paraId="590C2B62" w14:textId="5D7001F6" w:rsidTr="00E86BE2">
        <w:tc>
          <w:tcPr>
            <w:tcW w:w="4815" w:type="dxa"/>
          </w:tcPr>
          <w:p w14:paraId="78E8F61E" w14:textId="77777777" w:rsidR="00E86BE2" w:rsidRPr="0010524E" w:rsidRDefault="00E86BE2" w:rsidP="00E86BE2">
            <w:pPr>
              <w:jc w:val="both"/>
              <w:rPr>
                <w:rFonts w:ascii="Calibri" w:hAnsi="Calibri" w:cs="Calibri"/>
                <w:sz w:val="24"/>
                <w:szCs w:val="24"/>
              </w:rPr>
            </w:pPr>
            <w:r w:rsidRPr="0010524E">
              <w:rPr>
                <w:rFonts w:ascii="Calibri" w:hAnsi="Calibri" w:cs="Calibri"/>
                <w:sz w:val="24"/>
                <w:szCs w:val="24"/>
              </w:rPr>
              <w:t>Dispõe sobre o Termo de Ajustamento de Conduta (TAC) no âmbito do regime de previdência complementar operado por entidades fechadas de previdência complementar.</w:t>
            </w:r>
          </w:p>
          <w:p w14:paraId="1C36C713" w14:textId="77777777" w:rsidR="00E86BE2" w:rsidRPr="0010524E" w:rsidRDefault="00E86BE2" w:rsidP="00E86BE2">
            <w:pPr>
              <w:pStyle w:val="Normal1"/>
              <w:jc w:val="center"/>
              <w:rPr>
                <w:b/>
                <w:color w:val="000000"/>
                <w:sz w:val="24"/>
                <w:szCs w:val="24"/>
              </w:rPr>
            </w:pPr>
          </w:p>
        </w:tc>
        <w:tc>
          <w:tcPr>
            <w:tcW w:w="4849" w:type="dxa"/>
          </w:tcPr>
          <w:p w14:paraId="7C7FE636" w14:textId="77777777" w:rsidR="00E86BE2" w:rsidRPr="0010524E" w:rsidRDefault="00E86BE2" w:rsidP="00E86BE2">
            <w:pPr>
              <w:pStyle w:val="Normal1"/>
              <w:pBdr>
                <w:top w:val="nil"/>
                <w:left w:val="nil"/>
                <w:bottom w:val="nil"/>
                <w:right w:val="nil"/>
                <w:between w:val="nil"/>
              </w:pBdr>
              <w:jc w:val="center"/>
              <w:rPr>
                <w:color w:val="000000"/>
                <w:sz w:val="24"/>
                <w:szCs w:val="24"/>
              </w:rPr>
            </w:pPr>
          </w:p>
        </w:tc>
        <w:tc>
          <w:tcPr>
            <w:tcW w:w="4648" w:type="dxa"/>
          </w:tcPr>
          <w:p w14:paraId="51AF9C4E" w14:textId="77777777" w:rsidR="00E86BE2" w:rsidRPr="0010524E" w:rsidRDefault="00E86BE2" w:rsidP="00E86BE2">
            <w:pPr>
              <w:pStyle w:val="Normal1"/>
              <w:spacing w:before="120" w:after="120"/>
              <w:jc w:val="both"/>
              <w:rPr>
                <w:color w:val="000000"/>
                <w:sz w:val="24"/>
                <w:szCs w:val="24"/>
              </w:rPr>
            </w:pPr>
            <w:r w:rsidRPr="0010524E">
              <w:rPr>
                <w:rFonts w:cstheme="minorHAnsi"/>
                <w:sz w:val="24"/>
                <w:szCs w:val="24"/>
              </w:rPr>
              <w:t>Excluído considerando o processo de consolidação normativa.</w:t>
            </w:r>
          </w:p>
        </w:tc>
      </w:tr>
      <w:tr w:rsidR="00E86BE2" w:rsidRPr="0010524E" w14:paraId="16BF7F4E" w14:textId="2E1AF777" w:rsidTr="00E86BE2">
        <w:tc>
          <w:tcPr>
            <w:tcW w:w="4815" w:type="dxa"/>
          </w:tcPr>
          <w:p w14:paraId="42E940A4" w14:textId="77777777" w:rsidR="00E86BE2" w:rsidRPr="0010524E" w:rsidRDefault="00E86BE2" w:rsidP="00E86BE2">
            <w:pPr>
              <w:jc w:val="both"/>
              <w:rPr>
                <w:b/>
                <w:color w:val="000000"/>
                <w:sz w:val="24"/>
                <w:szCs w:val="24"/>
              </w:rPr>
            </w:pPr>
            <w:r w:rsidRPr="0010524E">
              <w:rPr>
                <w:rFonts w:ascii="Calibri" w:hAnsi="Calibri" w:cs="Calibri"/>
                <w:sz w:val="24"/>
                <w:szCs w:val="24"/>
              </w:rPr>
              <w:t xml:space="preserve">A DIRETORIA COLEGIADA DA SUPERINTENDENCIA NACIONAL DE PREVIDENCIA COMPLEMENTAR (Previc), na </w:t>
            </w:r>
            <w:r w:rsidRPr="0010524E">
              <w:rPr>
                <w:rFonts w:ascii="Calibri" w:hAnsi="Calibri" w:cs="Calibri"/>
                <w:sz w:val="24"/>
                <w:szCs w:val="24"/>
              </w:rPr>
              <w:lastRenderedPageBreak/>
              <w:t>sessão 584a realizada em 23 de março de 2022, com fundamento no inciso III do art. 2º da Lei n° 12.154, de 23 de dezembro de 2009, no inciso III do art. 2º e no inciso VIII do art. 1O do Anexo I do Decreto n° 8.992, de 2O de fevereiro de 2017 e em conformidade com o art. 2º do Decreto n° 1O.139, de 28 de novembro de 2019, resolve:</w:t>
            </w:r>
          </w:p>
        </w:tc>
        <w:tc>
          <w:tcPr>
            <w:tcW w:w="4849" w:type="dxa"/>
          </w:tcPr>
          <w:p w14:paraId="0961BEF4" w14:textId="77777777" w:rsidR="00E86BE2" w:rsidRPr="0010524E" w:rsidRDefault="00E86BE2" w:rsidP="00E86BE2">
            <w:pPr>
              <w:pStyle w:val="Normal1"/>
              <w:pBdr>
                <w:top w:val="nil"/>
                <w:left w:val="nil"/>
                <w:bottom w:val="nil"/>
                <w:right w:val="nil"/>
                <w:between w:val="nil"/>
              </w:pBdr>
              <w:jc w:val="center"/>
              <w:rPr>
                <w:color w:val="000000"/>
                <w:sz w:val="24"/>
                <w:szCs w:val="24"/>
              </w:rPr>
            </w:pPr>
          </w:p>
        </w:tc>
        <w:tc>
          <w:tcPr>
            <w:tcW w:w="4648" w:type="dxa"/>
          </w:tcPr>
          <w:p w14:paraId="05E75549" w14:textId="77777777" w:rsidR="00E86BE2" w:rsidRPr="0010524E" w:rsidRDefault="00E86BE2" w:rsidP="00E86BE2">
            <w:pPr>
              <w:pStyle w:val="Normal1"/>
              <w:spacing w:before="120" w:after="120"/>
              <w:jc w:val="both"/>
              <w:rPr>
                <w:color w:val="000000"/>
                <w:sz w:val="24"/>
                <w:szCs w:val="24"/>
              </w:rPr>
            </w:pPr>
            <w:r w:rsidRPr="0010524E">
              <w:rPr>
                <w:rFonts w:cstheme="minorHAnsi"/>
                <w:sz w:val="24"/>
                <w:szCs w:val="24"/>
              </w:rPr>
              <w:t>Excluído considerando o processo de consolidação normativa.</w:t>
            </w:r>
          </w:p>
        </w:tc>
      </w:tr>
      <w:tr w:rsidR="00E86BE2" w:rsidRPr="0010524E" w14:paraId="384B7C44" w14:textId="6535030C" w:rsidTr="00E86BE2">
        <w:tc>
          <w:tcPr>
            <w:tcW w:w="4815" w:type="dxa"/>
          </w:tcPr>
          <w:p w14:paraId="4B838623" w14:textId="77777777" w:rsidR="00E86BE2" w:rsidRPr="0010524E" w:rsidRDefault="00E86BE2" w:rsidP="00E86BE2">
            <w:pPr>
              <w:pStyle w:val="Normal1"/>
              <w:jc w:val="center"/>
              <w:rPr>
                <w:b/>
                <w:color w:val="000000"/>
                <w:sz w:val="24"/>
                <w:szCs w:val="24"/>
              </w:rPr>
            </w:pPr>
          </w:p>
        </w:tc>
        <w:tc>
          <w:tcPr>
            <w:tcW w:w="4849" w:type="dxa"/>
          </w:tcPr>
          <w:p w14:paraId="0FBDCC67" w14:textId="7E7CCD22" w:rsidR="00E86BE2" w:rsidRPr="0010524E" w:rsidRDefault="00E86BE2" w:rsidP="00E86BE2">
            <w:pPr>
              <w:pStyle w:val="Normal1"/>
              <w:pBdr>
                <w:top w:val="nil"/>
                <w:left w:val="nil"/>
                <w:bottom w:val="nil"/>
                <w:right w:val="nil"/>
                <w:between w:val="nil"/>
              </w:pBdr>
              <w:jc w:val="center"/>
              <w:rPr>
                <w:b/>
                <w:color w:val="000000"/>
                <w:sz w:val="24"/>
                <w:szCs w:val="24"/>
              </w:rPr>
            </w:pPr>
            <w:r w:rsidRPr="0010524E">
              <w:rPr>
                <w:b/>
                <w:color w:val="000000"/>
                <w:sz w:val="24"/>
                <w:szCs w:val="24"/>
              </w:rPr>
              <w:t>Seção V</w:t>
            </w:r>
          </w:p>
          <w:p w14:paraId="7F573D2B" w14:textId="023F01CA" w:rsidR="00E86BE2" w:rsidRPr="0010524E" w:rsidRDefault="00E86BE2" w:rsidP="00E86BE2">
            <w:pPr>
              <w:pStyle w:val="Normal1"/>
              <w:pBdr>
                <w:top w:val="nil"/>
                <w:left w:val="nil"/>
                <w:bottom w:val="nil"/>
                <w:right w:val="nil"/>
                <w:between w:val="nil"/>
              </w:pBdr>
              <w:jc w:val="center"/>
              <w:rPr>
                <w:b/>
                <w:color w:val="000000"/>
                <w:sz w:val="24"/>
                <w:szCs w:val="24"/>
              </w:rPr>
            </w:pPr>
            <w:r w:rsidRPr="0010524E">
              <w:rPr>
                <w:b/>
                <w:color w:val="000000"/>
                <w:sz w:val="24"/>
                <w:szCs w:val="24"/>
              </w:rPr>
              <w:t xml:space="preserve">Termo de Ajustamento de Conduta </w:t>
            </w:r>
          </w:p>
        </w:tc>
        <w:tc>
          <w:tcPr>
            <w:tcW w:w="4648" w:type="dxa"/>
          </w:tcPr>
          <w:p w14:paraId="50D28BD6" w14:textId="77777777" w:rsidR="00E86BE2" w:rsidRPr="0010524E" w:rsidRDefault="00E86BE2" w:rsidP="00E86BE2">
            <w:pPr>
              <w:pStyle w:val="Normal1"/>
              <w:spacing w:before="120" w:after="120"/>
              <w:jc w:val="both"/>
              <w:rPr>
                <w:color w:val="000000"/>
                <w:sz w:val="24"/>
                <w:szCs w:val="24"/>
              </w:rPr>
            </w:pPr>
          </w:p>
        </w:tc>
      </w:tr>
      <w:tr w:rsidR="00E86BE2" w:rsidRPr="0010524E" w14:paraId="1F2ED06D" w14:textId="784D80BB" w:rsidTr="00E86BE2">
        <w:tc>
          <w:tcPr>
            <w:tcW w:w="4815" w:type="dxa"/>
          </w:tcPr>
          <w:p w14:paraId="42EB0948" w14:textId="77777777" w:rsidR="00E86BE2" w:rsidRPr="0010524E" w:rsidRDefault="00E86BE2" w:rsidP="00E86BE2">
            <w:pPr>
              <w:pStyle w:val="Normal1"/>
              <w:spacing w:after="120"/>
              <w:jc w:val="both"/>
              <w:rPr>
                <w:sz w:val="24"/>
                <w:szCs w:val="24"/>
              </w:rPr>
            </w:pPr>
            <w:r w:rsidRPr="0010524E">
              <w:rPr>
                <w:color w:val="000000"/>
                <w:sz w:val="24"/>
                <w:szCs w:val="24"/>
              </w:rPr>
              <w:t>Art. 1º A celebração de Termo de Ajustamento de Conduta (TAC), com vistas à correção de irregularidades e à adequação de condutas à legislação aplicável ao regime de previdência complementar operado por entidades fechadas de previdência complementar, deve observar o disposto nesta Resolução.</w:t>
            </w:r>
          </w:p>
        </w:tc>
        <w:tc>
          <w:tcPr>
            <w:tcW w:w="4849" w:type="dxa"/>
          </w:tcPr>
          <w:p w14:paraId="4DCFDB0F" w14:textId="0CA3962E" w:rsidR="00E86BE2" w:rsidRPr="0010524E" w:rsidRDefault="00E86BE2" w:rsidP="00E86BE2">
            <w:pPr>
              <w:pStyle w:val="Normal1"/>
              <w:pBdr>
                <w:top w:val="nil"/>
                <w:left w:val="nil"/>
                <w:bottom w:val="nil"/>
                <w:right w:val="nil"/>
                <w:between w:val="nil"/>
              </w:pBdr>
              <w:spacing w:after="120"/>
              <w:jc w:val="both"/>
              <w:rPr>
                <w:color w:val="000000"/>
                <w:sz w:val="24"/>
                <w:szCs w:val="24"/>
              </w:rPr>
            </w:pPr>
            <w:r w:rsidRPr="0010524E">
              <w:rPr>
                <w:sz w:val="24"/>
                <w:szCs w:val="24"/>
              </w:rPr>
              <w:t>Art. 291.  A celebração de Termo de Ajustamento de Conduta, com vistas à correção de irregularidades e à adequação de condutas à legislação aplicável ao regime de previdência complementar operado por EFPC, deve observar o disposto nesta Seção.</w:t>
            </w:r>
          </w:p>
        </w:tc>
        <w:tc>
          <w:tcPr>
            <w:tcW w:w="4648" w:type="dxa"/>
          </w:tcPr>
          <w:p w14:paraId="3A13A85D" w14:textId="77777777" w:rsidR="00E86BE2" w:rsidRPr="0010524E" w:rsidRDefault="00E86BE2" w:rsidP="00E86BE2">
            <w:pPr>
              <w:pStyle w:val="Normal1"/>
              <w:spacing w:after="120"/>
              <w:jc w:val="both"/>
              <w:rPr>
                <w:color w:val="000000"/>
                <w:sz w:val="24"/>
                <w:szCs w:val="24"/>
              </w:rPr>
            </w:pPr>
          </w:p>
        </w:tc>
      </w:tr>
      <w:tr w:rsidR="00E86BE2" w:rsidRPr="0010524E" w14:paraId="05D75C6C" w14:textId="3CCF1788" w:rsidTr="00E86BE2">
        <w:tc>
          <w:tcPr>
            <w:tcW w:w="4815" w:type="dxa"/>
          </w:tcPr>
          <w:p w14:paraId="61FEBADD" w14:textId="77777777" w:rsidR="00E86BE2" w:rsidRPr="0010524E" w:rsidRDefault="00E86BE2" w:rsidP="00E86BE2">
            <w:pPr>
              <w:pStyle w:val="Normal1"/>
              <w:spacing w:after="120"/>
              <w:jc w:val="both"/>
              <w:rPr>
                <w:color w:val="000000"/>
                <w:sz w:val="24"/>
                <w:szCs w:val="24"/>
              </w:rPr>
            </w:pPr>
            <w:r w:rsidRPr="0010524E">
              <w:rPr>
                <w:color w:val="000000"/>
                <w:sz w:val="24"/>
                <w:szCs w:val="24"/>
              </w:rPr>
              <w:t>Art. 2º A propositura do TAC é prerrogativa do interessado em corrigir determinada conduta passível de autuação pela Previc e constituirá título executivo extrajudicial, nos termos do § 6º do art. 5º da Lei nº 7.347, de 24 de julho de 1985 , e do inciso IV do art. 784 do Código de Processo Civil .</w:t>
            </w:r>
          </w:p>
        </w:tc>
        <w:tc>
          <w:tcPr>
            <w:tcW w:w="4849" w:type="dxa"/>
          </w:tcPr>
          <w:p w14:paraId="0453A541" w14:textId="75EE213C" w:rsidR="00E86BE2" w:rsidRPr="0010524E" w:rsidRDefault="00E86BE2" w:rsidP="00E86BE2">
            <w:pPr>
              <w:pStyle w:val="Normal1"/>
              <w:pBdr>
                <w:top w:val="nil"/>
                <w:left w:val="nil"/>
                <w:bottom w:val="nil"/>
                <w:right w:val="nil"/>
                <w:between w:val="nil"/>
              </w:pBdr>
              <w:spacing w:after="120"/>
              <w:jc w:val="both"/>
              <w:rPr>
                <w:color w:val="000000"/>
                <w:sz w:val="24"/>
                <w:szCs w:val="24"/>
              </w:rPr>
            </w:pPr>
            <w:r w:rsidRPr="0010524E">
              <w:rPr>
                <w:sz w:val="24"/>
                <w:szCs w:val="24"/>
              </w:rPr>
              <w:t>Art. 292.  A propositura do Termo de Ajustamento de Conduta é prerrogativa do interessado em corrigir determinada conduta passível de autuação pela Previc e constitui título executivo extrajudicial, nos termos do § 6º do art. 5º da Lei nº 7.347, de 24 de julho de 1985, e do inciso IV do art. 784 do Código de Processo Civil.</w:t>
            </w:r>
          </w:p>
        </w:tc>
        <w:tc>
          <w:tcPr>
            <w:tcW w:w="4648" w:type="dxa"/>
          </w:tcPr>
          <w:p w14:paraId="17F7507C" w14:textId="77777777" w:rsidR="00E86BE2" w:rsidRPr="0010524E" w:rsidRDefault="00E86BE2" w:rsidP="00E86BE2">
            <w:pPr>
              <w:pStyle w:val="Normal1"/>
              <w:spacing w:after="120"/>
              <w:jc w:val="both"/>
              <w:rPr>
                <w:color w:val="000000"/>
                <w:sz w:val="24"/>
                <w:szCs w:val="24"/>
              </w:rPr>
            </w:pPr>
          </w:p>
        </w:tc>
      </w:tr>
      <w:tr w:rsidR="00E86BE2" w:rsidRPr="0010524E" w14:paraId="462D3D49" w14:textId="3230CD08" w:rsidTr="00E86BE2">
        <w:tc>
          <w:tcPr>
            <w:tcW w:w="4815" w:type="dxa"/>
          </w:tcPr>
          <w:p w14:paraId="320157A1" w14:textId="77777777" w:rsidR="00E86BE2" w:rsidRPr="0010524E" w:rsidRDefault="00E86BE2" w:rsidP="00E86BE2">
            <w:pPr>
              <w:pStyle w:val="Normal1"/>
              <w:spacing w:after="120"/>
              <w:jc w:val="both"/>
              <w:rPr>
                <w:color w:val="000000"/>
                <w:sz w:val="24"/>
                <w:szCs w:val="24"/>
              </w:rPr>
            </w:pPr>
            <w:r w:rsidRPr="0010524E">
              <w:rPr>
                <w:color w:val="000000"/>
                <w:sz w:val="24"/>
                <w:szCs w:val="24"/>
              </w:rPr>
              <w:t xml:space="preserve">§ 1º A celebração do TAC não importa confissão do compromissário quanto à matéria de fato, </w:t>
            </w:r>
            <w:r w:rsidRPr="0010524E">
              <w:rPr>
                <w:color w:val="000000"/>
                <w:sz w:val="24"/>
                <w:szCs w:val="24"/>
              </w:rPr>
              <w:lastRenderedPageBreak/>
              <w:t>nem reconhecimento de ilicitude da conduta analisada.</w:t>
            </w:r>
          </w:p>
        </w:tc>
        <w:tc>
          <w:tcPr>
            <w:tcW w:w="4849" w:type="dxa"/>
          </w:tcPr>
          <w:p w14:paraId="788B7E65" w14:textId="3BA2BA48"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lastRenderedPageBreak/>
              <w:t xml:space="preserve">§ 1º  A celebração do Termo de Ajustamento de Conduta não importa confissão do compromissário quanto à matéria de fato, nem </w:t>
            </w:r>
            <w:r w:rsidRPr="0010524E">
              <w:rPr>
                <w:sz w:val="24"/>
                <w:szCs w:val="24"/>
              </w:rPr>
              <w:lastRenderedPageBreak/>
              <w:t>reconhecimento de ilicitude da conduta analisada.</w:t>
            </w:r>
          </w:p>
        </w:tc>
        <w:tc>
          <w:tcPr>
            <w:tcW w:w="4648" w:type="dxa"/>
          </w:tcPr>
          <w:p w14:paraId="1A7CF0C4" w14:textId="77777777" w:rsidR="00E86BE2" w:rsidRPr="0010524E" w:rsidRDefault="00E86BE2" w:rsidP="00E86BE2">
            <w:pPr>
              <w:pStyle w:val="Normal1"/>
              <w:spacing w:after="120"/>
              <w:jc w:val="both"/>
              <w:rPr>
                <w:color w:val="000000"/>
                <w:sz w:val="24"/>
                <w:szCs w:val="24"/>
              </w:rPr>
            </w:pPr>
          </w:p>
        </w:tc>
      </w:tr>
      <w:tr w:rsidR="00E86BE2" w:rsidRPr="0010524E" w14:paraId="409F2E2F" w14:textId="66629151" w:rsidTr="00E86BE2">
        <w:tc>
          <w:tcPr>
            <w:tcW w:w="4815" w:type="dxa"/>
          </w:tcPr>
          <w:p w14:paraId="5094E832" w14:textId="77777777" w:rsidR="00E86BE2" w:rsidRPr="0010524E" w:rsidRDefault="00E86BE2" w:rsidP="00E86BE2">
            <w:pPr>
              <w:pStyle w:val="Normal1"/>
              <w:spacing w:after="120"/>
              <w:jc w:val="both"/>
              <w:rPr>
                <w:color w:val="000000"/>
                <w:sz w:val="24"/>
                <w:szCs w:val="24"/>
              </w:rPr>
            </w:pPr>
            <w:r w:rsidRPr="0010524E">
              <w:rPr>
                <w:color w:val="000000"/>
                <w:sz w:val="24"/>
                <w:szCs w:val="24"/>
              </w:rPr>
              <w:t>§ 2º O TAC pode ter por objeto mais de uma conduta passível de correção.</w:t>
            </w:r>
          </w:p>
        </w:tc>
        <w:tc>
          <w:tcPr>
            <w:tcW w:w="4849" w:type="dxa"/>
          </w:tcPr>
          <w:p w14:paraId="7B9C955C" w14:textId="2FE936A1" w:rsidR="00E86BE2" w:rsidRPr="0010524E" w:rsidRDefault="00E86BE2" w:rsidP="00E86BE2">
            <w:pPr>
              <w:pStyle w:val="Normal1"/>
              <w:pBdr>
                <w:top w:val="nil"/>
                <w:left w:val="nil"/>
                <w:bottom w:val="nil"/>
                <w:right w:val="nil"/>
                <w:between w:val="nil"/>
              </w:pBdr>
              <w:spacing w:after="120"/>
              <w:jc w:val="both"/>
              <w:rPr>
                <w:color w:val="000000"/>
                <w:sz w:val="24"/>
                <w:szCs w:val="24"/>
              </w:rPr>
            </w:pPr>
            <w:r w:rsidRPr="0010524E">
              <w:rPr>
                <w:sz w:val="24"/>
                <w:szCs w:val="24"/>
              </w:rPr>
              <w:t>§ 2º  O Termo de Ajustamento de Conduta pode ter por objeto mais de uma conduta passível de correção.</w:t>
            </w:r>
          </w:p>
        </w:tc>
        <w:tc>
          <w:tcPr>
            <w:tcW w:w="4648" w:type="dxa"/>
          </w:tcPr>
          <w:p w14:paraId="411AEA66" w14:textId="77777777" w:rsidR="00E86BE2" w:rsidRPr="0010524E" w:rsidRDefault="00E86BE2" w:rsidP="00E86BE2">
            <w:pPr>
              <w:pStyle w:val="Normal1"/>
              <w:spacing w:after="120"/>
              <w:jc w:val="both"/>
              <w:rPr>
                <w:color w:val="000000"/>
                <w:sz w:val="24"/>
                <w:szCs w:val="24"/>
              </w:rPr>
            </w:pPr>
          </w:p>
        </w:tc>
      </w:tr>
      <w:tr w:rsidR="00E86BE2" w:rsidRPr="0010524E" w14:paraId="2721E26A" w14:textId="03FB1868" w:rsidTr="00E86BE2">
        <w:tc>
          <w:tcPr>
            <w:tcW w:w="4815" w:type="dxa"/>
          </w:tcPr>
          <w:p w14:paraId="35BBA6D4" w14:textId="77777777" w:rsidR="00E86BE2" w:rsidRPr="0010524E" w:rsidRDefault="00E86BE2" w:rsidP="00E86BE2">
            <w:pPr>
              <w:pStyle w:val="Normal1"/>
              <w:spacing w:after="120"/>
              <w:jc w:val="both"/>
              <w:rPr>
                <w:color w:val="000000"/>
                <w:sz w:val="24"/>
                <w:szCs w:val="24"/>
              </w:rPr>
            </w:pPr>
            <w:r w:rsidRPr="0010524E">
              <w:rPr>
                <w:color w:val="000000"/>
                <w:sz w:val="24"/>
                <w:szCs w:val="24"/>
              </w:rPr>
              <w:t>§ 3º A celebração do TAC não obsta a lavratura de auto de infração pela prática de condutas não abrangidas no referido termo.</w:t>
            </w:r>
          </w:p>
        </w:tc>
        <w:tc>
          <w:tcPr>
            <w:tcW w:w="4849" w:type="dxa"/>
          </w:tcPr>
          <w:p w14:paraId="7AFBE01D" w14:textId="09EE1C92" w:rsidR="00E86BE2" w:rsidRPr="0010524E" w:rsidRDefault="00E86BE2" w:rsidP="00E86BE2">
            <w:pPr>
              <w:pStyle w:val="Normal1"/>
              <w:pBdr>
                <w:top w:val="nil"/>
                <w:left w:val="nil"/>
                <w:bottom w:val="nil"/>
                <w:right w:val="nil"/>
                <w:between w:val="nil"/>
              </w:pBdr>
              <w:spacing w:after="120"/>
              <w:jc w:val="both"/>
              <w:rPr>
                <w:color w:val="000000"/>
                <w:sz w:val="24"/>
                <w:szCs w:val="24"/>
              </w:rPr>
            </w:pPr>
            <w:r w:rsidRPr="0010524E">
              <w:rPr>
                <w:sz w:val="24"/>
                <w:szCs w:val="24"/>
              </w:rPr>
              <w:t>§ 3º  A celebração do Termo de Ajustamento de Conduta não obsta a lavratura de auto de infração pela prática de condutas não abrangidas no referido termo.</w:t>
            </w:r>
          </w:p>
        </w:tc>
        <w:tc>
          <w:tcPr>
            <w:tcW w:w="4648" w:type="dxa"/>
          </w:tcPr>
          <w:p w14:paraId="2BD1B538" w14:textId="77777777" w:rsidR="00E86BE2" w:rsidRPr="0010524E" w:rsidRDefault="00E86BE2" w:rsidP="00E86BE2">
            <w:pPr>
              <w:pStyle w:val="Normal1"/>
              <w:spacing w:after="120"/>
              <w:jc w:val="both"/>
              <w:rPr>
                <w:color w:val="000000"/>
                <w:sz w:val="24"/>
                <w:szCs w:val="24"/>
              </w:rPr>
            </w:pPr>
          </w:p>
        </w:tc>
      </w:tr>
      <w:tr w:rsidR="00E86BE2" w:rsidRPr="0010524E" w14:paraId="34DE7F60" w14:textId="12C2F39D" w:rsidTr="00E86BE2">
        <w:tc>
          <w:tcPr>
            <w:tcW w:w="4815" w:type="dxa"/>
          </w:tcPr>
          <w:p w14:paraId="59F7B168" w14:textId="77777777" w:rsidR="00E86BE2" w:rsidRPr="0010524E" w:rsidRDefault="00E86BE2" w:rsidP="00E86BE2">
            <w:pPr>
              <w:pStyle w:val="Normal1"/>
              <w:pBdr>
                <w:top w:val="nil"/>
                <w:left w:val="nil"/>
                <w:bottom w:val="nil"/>
                <w:right w:val="nil"/>
                <w:between w:val="nil"/>
              </w:pBdr>
              <w:spacing w:after="120"/>
              <w:jc w:val="both"/>
              <w:rPr>
                <w:b/>
                <w:color w:val="000000"/>
                <w:sz w:val="24"/>
                <w:szCs w:val="24"/>
              </w:rPr>
            </w:pPr>
            <w:r w:rsidRPr="0010524E">
              <w:rPr>
                <w:color w:val="000000"/>
                <w:sz w:val="24"/>
                <w:szCs w:val="24"/>
              </w:rPr>
              <w:t>Art. 3º Além da EFPC, podem figurar como compromissários do TAC:</w:t>
            </w:r>
          </w:p>
        </w:tc>
        <w:tc>
          <w:tcPr>
            <w:tcW w:w="4849" w:type="dxa"/>
          </w:tcPr>
          <w:p w14:paraId="0E5DC5C4" w14:textId="132B9AEC" w:rsidR="00E86BE2" w:rsidRPr="0010524E" w:rsidRDefault="00E86BE2" w:rsidP="00E86BE2">
            <w:pPr>
              <w:pStyle w:val="Normal1"/>
              <w:widowControl w:val="0"/>
              <w:pBdr>
                <w:top w:val="nil"/>
                <w:left w:val="nil"/>
                <w:bottom w:val="nil"/>
                <w:right w:val="nil"/>
                <w:between w:val="nil"/>
              </w:pBdr>
              <w:spacing w:after="120"/>
              <w:ind w:right="3"/>
              <w:jc w:val="both"/>
              <w:rPr>
                <w:b/>
                <w:color w:val="000000"/>
                <w:sz w:val="24"/>
                <w:szCs w:val="24"/>
              </w:rPr>
            </w:pPr>
            <w:r w:rsidRPr="0010524E">
              <w:rPr>
                <w:sz w:val="24"/>
                <w:szCs w:val="24"/>
              </w:rPr>
              <w:t>Art. 293.  Além da EFPC, podem figurar como compromissários do Termo de Ajustamento de Conduta:</w:t>
            </w:r>
          </w:p>
        </w:tc>
        <w:tc>
          <w:tcPr>
            <w:tcW w:w="4648" w:type="dxa"/>
          </w:tcPr>
          <w:p w14:paraId="3E78A1A8" w14:textId="77777777" w:rsidR="00E86BE2" w:rsidRPr="0010524E" w:rsidRDefault="00E86BE2" w:rsidP="00E86BE2">
            <w:pPr>
              <w:pStyle w:val="Normal1"/>
              <w:spacing w:after="120"/>
              <w:jc w:val="both"/>
              <w:rPr>
                <w:color w:val="000000"/>
                <w:sz w:val="24"/>
                <w:szCs w:val="24"/>
              </w:rPr>
            </w:pPr>
          </w:p>
        </w:tc>
      </w:tr>
      <w:tr w:rsidR="00E86BE2" w:rsidRPr="0010524E" w14:paraId="16BA369F" w14:textId="4E8E028D" w:rsidTr="00E86BE2">
        <w:tc>
          <w:tcPr>
            <w:tcW w:w="4815" w:type="dxa"/>
          </w:tcPr>
          <w:p w14:paraId="56C95B71" w14:textId="77777777" w:rsidR="00E86BE2" w:rsidRPr="0010524E" w:rsidRDefault="00E86BE2" w:rsidP="00E86BE2">
            <w:pPr>
              <w:pStyle w:val="Normal1"/>
              <w:spacing w:after="120"/>
              <w:jc w:val="both"/>
              <w:rPr>
                <w:color w:val="000000"/>
                <w:sz w:val="24"/>
                <w:szCs w:val="24"/>
              </w:rPr>
            </w:pPr>
            <w:r w:rsidRPr="0010524E">
              <w:rPr>
                <w:color w:val="000000"/>
                <w:sz w:val="24"/>
                <w:szCs w:val="24"/>
              </w:rPr>
              <w:t>I - membros de diretoria-executiva, conselho fiscal ou conselho deliberativo da EFPC;</w:t>
            </w:r>
          </w:p>
        </w:tc>
        <w:tc>
          <w:tcPr>
            <w:tcW w:w="4849" w:type="dxa"/>
          </w:tcPr>
          <w:p w14:paraId="05C5E887" w14:textId="425AFC27"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 xml:space="preserve">I - membros de diretoria-executiva, conselho fiscal ou conselho deliberativo da EFPC; </w:t>
            </w:r>
          </w:p>
        </w:tc>
        <w:tc>
          <w:tcPr>
            <w:tcW w:w="4648" w:type="dxa"/>
          </w:tcPr>
          <w:p w14:paraId="14763ACB" w14:textId="77777777" w:rsidR="00E86BE2" w:rsidRPr="0010524E" w:rsidRDefault="00E86BE2" w:rsidP="00E86BE2">
            <w:pPr>
              <w:pStyle w:val="Normal1"/>
              <w:spacing w:after="120"/>
              <w:jc w:val="both"/>
              <w:rPr>
                <w:color w:val="000000"/>
                <w:sz w:val="24"/>
                <w:szCs w:val="24"/>
              </w:rPr>
            </w:pPr>
          </w:p>
        </w:tc>
      </w:tr>
      <w:tr w:rsidR="00E86BE2" w:rsidRPr="0010524E" w14:paraId="11010B58" w14:textId="081850A8" w:rsidTr="00E86BE2">
        <w:tc>
          <w:tcPr>
            <w:tcW w:w="4815" w:type="dxa"/>
          </w:tcPr>
          <w:p w14:paraId="00CE2012" w14:textId="77777777" w:rsidR="00E86BE2" w:rsidRPr="0010524E" w:rsidRDefault="00E86BE2" w:rsidP="00E86BE2">
            <w:pPr>
              <w:pStyle w:val="Normal1"/>
              <w:spacing w:after="120"/>
              <w:jc w:val="both"/>
              <w:rPr>
                <w:color w:val="000000"/>
                <w:sz w:val="24"/>
                <w:szCs w:val="24"/>
              </w:rPr>
            </w:pPr>
            <w:r w:rsidRPr="0010524E">
              <w:rPr>
                <w:color w:val="000000"/>
                <w:sz w:val="24"/>
                <w:szCs w:val="24"/>
              </w:rPr>
              <w:t>II - administradores dos patrocinadores ou instituidores; ou</w:t>
            </w:r>
          </w:p>
        </w:tc>
        <w:tc>
          <w:tcPr>
            <w:tcW w:w="4849" w:type="dxa"/>
          </w:tcPr>
          <w:p w14:paraId="7EB10FC1" w14:textId="7E2A8224"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II - administradores dos patrocinadores ou instituidores; ou</w:t>
            </w:r>
          </w:p>
        </w:tc>
        <w:tc>
          <w:tcPr>
            <w:tcW w:w="4648" w:type="dxa"/>
          </w:tcPr>
          <w:p w14:paraId="69B64850" w14:textId="77777777" w:rsidR="00E86BE2" w:rsidRPr="0010524E" w:rsidRDefault="00E86BE2" w:rsidP="00E86BE2">
            <w:pPr>
              <w:pStyle w:val="Normal1"/>
              <w:spacing w:after="120"/>
              <w:jc w:val="both"/>
              <w:rPr>
                <w:color w:val="000000"/>
                <w:sz w:val="24"/>
                <w:szCs w:val="24"/>
              </w:rPr>
            </w:pPr>
          </w:p>
        </w:tc>
      </w:tr>
      <w:tr w:rsidR="00E86BE2" w:rsidRPr="0010524E" w14:paraId="2D61E16A" w14:textId="14B9C35E" w:rsidTr="00E86BE2">
        <w:tc>
          <w:tcPr>
            <w:tcW w:w="4815" w:type="dxa"/>
          </w:tcPr>
          <w:p w14:paraId="701CE01E" w14:textId="77777777" w:rsidR="00E86BE2" w:rsidRPr="0010524E" w:rsidRDefault="00E86BE2" w:rsidP="00E86BE2">
            <w:pPr>
              <w:pStyle w:val="Normal1"/>
              <w:spacing w:after="120"/>
              <w:jc w:val="both"/>
              <w:rPr>
                <w:color w:val="000000"/>
                <w:sz w:val="24"/>
                <w:szCs w:val="24"/>
              </w:rPr>
            </w:pPr>
            <w:r w:rsidRPr="0010524E">
              <w:rPr>
                <w:color w:val="000000"/>
                <w:sz w:val="24"/>
                <w:szCs w:val="24"/>
              </w:rPr>
              <w:t>III - interventor, liquidante e administrador especial.</w:t>
            </w:r>
          </w:p>
        </w:tc>
        <w:tc>
          <w:tcPr>
            <w:tcW w:w="4849" w:type="dxa"/>
          </w:tcPr>
          <w:p w14:paraId="1ECEE519" w14:textId="195DF315"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III - interventor, liquidante e administrador especial.</w:t>
            </w:r>
          </w:p>
        </w:tc>
        <w:tc>
          <w:tcPr>
            <w:tcW w:w="4648" w:type="dxa"/>
          </w:tcPr>
          <w:p w14:paraId="0237AFDA" w14:textId="77777777" w:rsidR="00E86BE2" w:rsidRPr="0010524E" w:rsidRDefault="00E86BE2" w:rsidP="00E86BE2">
            <w:pPr>
              <w:pStyle w:val="Normal1"/>
              <w:spacing w:after="120"/>
              <w:jc w:val="both"/>
              <w:rPr>
                <w:color w:val="000000"/>
                <w:sz w:val="24"/>
                <w:szCs w:val="24"/>
              </w:rPr>
            </w:pPr>
          </w:p>
        </w:tc>
      </w:tr>
      <w:tr w:rsidR="00E86BE2" w:rsidRPr="0010524E" w14:paraId="61213DA1" w14:textId="5797D400" w:rsidTr="00E86BE2">
        <w:tc>
          <w:tcPr>
            <w:tcW w:w="4815" w:type="dxa"/>
          </w:tcPr>
          <w:p w14:paraId="1F116139" w14:textId="77777777" w:rsidR="00E86BE2" w:rsidRPr="0010524E" w:rsidRDefault="00E86BE2" w:rsidP="00E86BE2">
            <w:pPr>
              <w:pStyle w:val="Normal1"/>
              <w:spacing w:after="120"/>
              <w:jc w:val="both"/>
              <w:rPr>
                <w:color w:val="000000"/>
                <w:sz w:val="24"/>
                <w:szCs w:val="24"/>
              </w:rPr>
            </w:pPr>
            <w:r w:rsidRPr="0010524E">
              <w:rPr>
                <w:color w:val="000000"/>
                <w:sz w:val="24"/>
                <w:szCs w:val="24"/>
              </w:rPr>
              <w:t>§ 1º A EFPC deve figurar como interveniente anuente no TAC, quando não for compromissária.</w:t>
            </w:r>
          </w:p>
        </w:tc>
        <w:tc>
          <w:tcPr>
            <w:tcW w:w="4849" w:type="dxa"/>
          </w:tcPr>
          <w:p w14:paraId="78CB9DA6" w14:textId="5DC92244"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 1º  A EFPC deve figurar como interveniente anuente no Termo de Ajustamento de Conduta, quando não for compromissária.</w:t>
            </w:r>
          </w:p>
        </w:tc>
        <w:tc>
          <w:tcPr>
            <w:tcW w:w="4648" w:type="dxa"/>
          </w:tcPr>
          <w:p w14:paraId="366BD042" w14:textId="77777777" w:rsidR="00E86BE2" w:rsidRPr="0010524E" w:rsidRDefault="00E86BE2" w:rsidP="00E86BE2">
            <w:pPr>
              <w:pStyle w:val="Normal1"/>
              <w:spacing w:after="120"/>
              <w:jc w:val="both"/>
              <w:rPr>
                <w:color w:val="000000"/>
                <w:sz w:val="24"/>
                <w:szCs w:val="24"/>
              </w:rPr>
            </w:pPr>
          </w:p>
        </w:tc>
      </w:tr>
      <w:tr w:rsidR="00E86BE2" w:rsidRPr="0010524E" w14:paraId="75BE359F" w14:textId="620F0408" w:rsidTr="00E86BE2">
        <w:tc>
          <w:tcPr>
            <w:tcW w:w="4815" w:type="dxa"/>
          </w:tcPr>
          <w:p w14:paraId="53463888" w14:textId="77777777" w:rsidR="00E86BE2" w:rsidRPr="0010524E" w:rsidRDefault="00E86BE2" w:rsidP="00E86BE2">
            <w:pPr>
              <w:pStyle w:val="Normal1"/>
              <w:spacing w:after="120"/>
              <w:jc w:val="both"/>
              <w:rPr>
                <w:color w:val="000000"/>
                <w:sz w:val="24"/>
                <w:szCs w:val="24"/>
              </w:rPr>
            </w:pPr>
            <w:r w:rsidRPr="0010524E">
              <w:rPr>
                <w:color w:val="000000"/>
                <w:sz w:val="24"/>
                <w:szCs w:val="24"/>
              </w:rPr>
              <w:t xml:space="preserve">§ 2º A celebração do compromisso de ajustamento de conduta com a Previc não afasta a eventual responsabilidade administrativa ou penal pelo mesmo fato, nem </w:t>
            </w:r>
            <w:r w:rsidRPr="0010524E">
              <w:rPr>
                <w:color w:val="000000"/>
                <w:sz w:val="24"/>
                <w:szCs w:val="24"/>
              </w:rPr>
              <w:lastRenderedPageBreak/>
              <w:t>importa reconhecimento de responsabilidade para outros fins que não os estabelecidos expressamente no compromisso.</w:t>
            </w:r>
          </w:p>
        </w:tc>
        <w:tc>
          <w:tcPr>
            <w:tcW w:w="4849" w:type="dxa"/>
          </w:tcPr>
          <w:p w14:paraId="47F39A97" w14:textId="5CCB5CA0"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lastRenderedPageBreak/>
              <w:t xml:space="preserve">§ 2º  A celebração do compromisso de ajustamento de conduta com a Previc não afasta a eventual responsabilidade administrativa ou penal pelo mesmo fato, nem </w:t>
            </w:r>
            <w:r w:rsidRPr="0010524E">
              <w:rPr>
                <w:sz w:val="24"/>
                <w:szCs w:val="24"/>
              </w:rPr>
              <w:lastRenderedPageBreak/>
              <w:t xml:space="preserve">importa reconhecimento de responsabilidade para outros fins que não os estabelecidos expressamente no compromisso. </w:t>
            </w:r>
          </w:p>
        </w:tc>
        <w:tc>
          <w:tcPr>
            <w:tcW w:w="4648" w:type="dxa"/>
          </w:tcPr>
          <w:p w14:paraId="677E5CE2" w14:textId="77777777" w:rsidR="00E86BE2" w:rsidRPr="0010524E" w:rsidRDefault="00E86BE2" w:rsidP="00E86BE2">
            <w:pPr>
              <w:pStyle w:val="Normal1"/>
              <w:spacing w:after="120"/>
              <w:jc w:val="both"/>
              <w:rPr>
                <w:color w:val="000000"/>
                <w:sz w:val="24"/>
                <w:szCs w:val="24"/>
              </w:rPr>
            </w:pPr>
          </w:p>
        </w:tc>
      </w:tr>
      <w:tr w:rsidR="00E86BE2" w:rsidRPr="0010524E" w14:paraId="4878FC51" w14:textId="190E3FEB" w:rsidTr="00E86BE2">
        <w:tc>
          <w:tcPr>
            <w:tcW w:w="4815" w:type="dxa"/>
          </w:tcPr>
          <w:p w14:paraId="1D1C07B4" w14:textId="77777777" w:rsidR="00E86BE2" w:rsidRPr="0010524E" w:rsidRDefault="00E86BE2" w:rsidP="00E86BE2">
            <w:pPr>
              <w:pStyle w:val="Normal1"/>
              <w:spacing w:after="120"/>
              <w:jc w:val="both"/>
              <w:rPr>
                <w:color w:val="000000"/>
                <w:sz w:val="24"/>
                <w:szCs w:val="24"/>
              </w:rPr>
            </w:pPr>
            <w:r w:rsidRPr="0010524E">
              <w:rPr>
                <w:color w:val="000000"/>
                <w:sz w:val="24"/>
                <w:szCs w:val="24"/>
              </w:rPr>
              <w:t>Art. 4º O TAC somente pode ser celebrado quando:</w:t>
            </w:r>
          </w:p>
        </w:tc>
        <w:tc>
          <w:tcPr>
            <w:tcW w:w="4849" w:type="dxa"/>
          </w:tcPr>
          <w:p w14:paraId="57605071" w14:textId="11A6D677"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Art. 294.  O Termo de Ajustamento de Conduta somente pode ser celebrado quando:</w:t>
            </w:r>
          </w:p>
        </w:tc>
        <w:tc>
          <w:tcPr>
            <w:tcW w:w="4648" w:type="dxa"/>
          </w:tcPr>
          <w:p w14:paraId="24FAE6E7" w14:textId="77777777" w:rsidR="00E86BE2" w:rsidRPr="0010524E" w:rsidRDefault="00E86BE2" w:rsidP="00E86BE2">
            <w:pPr>
              <w:pStyle w:val="Normal1"/>
              <w:spacing w:after="120"/>
              <w:jc w:val="both"/>
              <w:rPr>
                <w:color w:val="000000"/>
                <w:sz w:val="24"/>
                <w:szCs w:val="24"/>
              </w:rPr>
            </w:pPr>
          </w:p>
        </w:tc>
      </w:tr>
      <w:tr w:rsidR="00E86BE2" w:rsidRPr="0010524E" w14:paraId="02890F97" w14:textId="4B00C41F" w:rsidTr="00E86BE2">
        <w:tc>
          <w:tcPr>
            <w:tcW w:w="4815" w:type="dxa"/>
          </w:tcPr>
          <w:p w14:paraId="64748571" w14:textId="77777777" w:rsidR="00E86BE2" w:rsidRPr="0010524E" w:rsidRDefault="00E86BE2" w:rsidP="00E86BE2">
            <w:pPr>
              <w:pStyle w:val="Normal1"/>
              <w:spacing w:after="120"/>
              <w:jc w:val="both"/>
              <w:rPr>
                <w:color w:val="000000"/>
                <w:sz w:val="24"/>
                <w:szCs w:val="24"/>
              </w:rPr>
            </w:pPr>
            <w:r w:rsidRPr="0010524E">
              <w:rPr>
                <w:color w:val="000000"/>
                <w:sz w:val="24"/>
                <w:szCs w:val="24"/>
              </w:rPr>
              <w:t>I - não tiver havido prejuízo financeiro à EFPC ou a plano de benefícios por ela administrado, salvo se a proposta abranger o ressarcimento integral desse prejuízo;</w:t>
            </w:r>
          </w:p>
        </w:tc>
        <w:tc>
          <w:tcPr>
            <w:tcW w:w="4849" w:type="dxa"/>
          </w:tcPr>
          <w:p w14:paraId="65302DF8" w14:textId="319631F8" w:rsidR="00E86BE2" w:rsidRPr="0010524E" w:rsidRDefault="00E86BE2" w:rsidP="00E86BE2">
            <w:pPr>
              <w:pStyle w:val="Normal1"/>
              <w:pBdr>
                <w:top w:val="nil"/>
                <w:left w:val="nil"/>
                <w:bottom w:val="nil"/>
                <w:right w:val="nil"/>
                <w:between w:val="nil"/>
              </w:pBdr>
              <w:shd w:val="clear" w:color="auto" w:fill="FFFFFF"/>
              <w:tabs>
                <w:tab w:val="left" w:pos="284"/>
              </w:tabs>
              <w:spacing w:after="120"/>
              <w:ind w:right="3"/>
              <w:jc w:val="both"/>
              <w:rPr>
                <w:color w:val="000000"/>
                <w:sz w:val="24"/>
                <w:szCs w:val="24"/>
              </w:rPr>
            </w:pPr>
            <w:r w:rsidRPr="0010524E">
              <w:rPr>
                <w:sz w:val="24"/>
                <w:szCs w:val="24"/>
              </w:rPr>
              <w:t>I - não tiver havido prejuízo financeiro à EFPC ou a plano de benefícios por ela administrado, salvo se a proposta abranger o ressarcimento integral desse prejuízo;</w:t>
            </w:r>
          </w:p>
        </w:tc>
        <w:tc>
          <w:tcPr>
            <w:tcW w:w="4648" w:type="dxa"/>
          </w:tcPr>
          <w:p w14:paraId="04606ED8" w14:textId="77777777" w:rsidR="00E86BE2" w:rsidRPr="0010524E" w:rsidRDefault="00E86BE2" w:rsidP="00E86BE2">
            <w:pPr>
              <w:pStyle w:val="Normal1"/>
              <w:spacing w:after="120"/>
              <w:jc w:val="both"/>
              <w:rPr>
                <w:color w:val="000000"/>
                <w:sz w:val="24"/>
                <w:szCs w:val="24"/>
              </w:rPr>
            </w:pPr>
          </w:p>
        </w:tc>
      </w:tr>
      <w:tr w:rsidR="00E86BE2" w:rsidRPr="0010524E" w14:paraId="232E7134" w14:textId="3CA75AAF" w:rsidTr="00E86BE2">
        <w:tc>
          <w:tcPr>
            <w:tcW w:w="4815" w:type="dxa"/>
          </w:tcPr>
          <w:p w14:paraId="5F27D365" w14:textId="77777777" w:rsidR="00E86BE2" w:rsidRPr="0010524E" w:rsidRDefault="00E86BE2" w:rsidP="00E86BE2">
            <w:pPr>
              <w:pStyle w:val="Normal1"/>
              <w:spacing w:after="120"/>
              <w:jc w:val="both"/>
              <w:rPr>
                <w:color w:val="000000"/>
                <w:sz w:val="24"/>
                <w:szCs w:val="24"/>
              </w:rPr>
            </w:pPr>
            <w:r w:rsidRPr="0010524E">
              <w:rPr>
                <w:color w:val="000000"/>
                <w:sz w:val="24"/>
                <w:szCs w:val="24"/>
              </w:rPr>
              <w:t>II - for possível corrigir a irregularidade, mediante a adequação de determinadas práticas à legislação em vigor; e</w:t>
            </w:r>
          </w:p>
        </w:tc>
        <w:tc>
          <w:tcPr>
            <w:tcW w:w="4849" w:type="dxa"/>
          </w:tcPr>
          <w:p w14:paraId="15E5A4BC" w14:textId="46D36A6C" w:rsidR="00E86BE2" w:rsidRPr="0010524E" w:rsidRDefault="00E86BE2" w:rsidP="00E86BE2">
            <w:pPr>
              <w:pStyle w:val="Normal1"/>
              <w:pBdr>
                <w:top w:val="nil"/>
                <w:left w:val="nil"/>
                <w:bottom w:val="nil"/>
                <w:right w:val="nil"/>
                <w:between w:val="nil"/>
              </w:pBdr>
              <w:shd w:val="clear" w:color="auto" w:fill="FFFFFF"/>
              <w:tabs>
                <w:tab w:val="left" w:pos="284"/>
              </w:tabs>
              <w:spacing w:after="120"/>
              <w:ind w:right="3"/>
              <w:jc w:val="both"/>
              <w:rPr>
                <w:color w:val="000000"/>
                <w:sz w:val="24"/>
                <w:szCs w:val="24"/>
              </w:rPr>
            </w:pPr>
            <w:r w:rsidRPr="0010524E">
              <w:rPr>
                <w:sz w:val="24"/>
                <w:szCs w:val="24"/>
              </w:rPr>
              <w:t>II - for possível corrigir a irregularidade, mediante a adequação de determinadas práticas à legislação em vigor; e</w:t>
            </w:r>
          </w:p>
        </w:tc>
        <w:tc>
          <w:tcPr>
            <w:tcW w:w="4648" w:type="dxa"/>
          </w:tcPr>
          <w:p w14:paraId="25ED7F04" w14:textId="77777777" w:rsidR="00E86BE2" w:rsidRPr="0010524E" w:rsidRDefault="00E86BE2" w:rsidP="00E86BE2">
            <w:pPr>
              <w:pStyle w:val="Normal1"/>
              <w:spacing w:after="120"/>
              <w:jc w:val="both"/>
              <w:rPr>
                <w:color w:val="000000"/>
                <w:sz w:val="24"/>
                <w:szCs w:val="24"/>
              </w:rPr>
            </w:pPr>
          </w:p>
        </w:tc>
      </w:tr>
      <w:tr w:rsidR="00E86BE2" w:rsidRPr="0010524E" w14:paraId="3DB4BF47" w14:textId="1568E2AB" w:rsidTr="00E86BE2">
        <w:tc>
          <w:tcPr>
            <w:tcW w:w="4815" w:type="dxa"/>
          </w:tcPr>
          <w:p w14:paraId="47B9ACEF" w14:textId="77777777" w:rsidR="00E86BE2" w:rsidRPr="0010524E" w:rsidRDefault="00E86BE2" w:rsidP="00E86BE2">
            <w:pPr>
              <w:pStyle w:val="Normal1"/>
              <w:spacing w:after="120"/>
              <w:jc w:val="both"/>
              <w:rPr>
                <w:color w:val="000000"/>
                <w:sz w:val="24"/>
                <w:szCs w:val="24"/>
              </w:rPr>
            </w:pPr>
            <w:r w:rsidRPr="0010524E">
              <w:rPr>
                <w:color w:val="000000"/>
                <w:sz w:val="24"/>
                <w:szCs w:val="24"/>
              </w:rPr>
              <w:t>III - não ter havido, nos últimos cinco anos, o descumprimento de outro TAC firmado pelo mesmo compromissário.</w:t>
            </w:r>
          </w:p>
        </w:tc>
        <w:tc>
          <w:tcPr>
            <w:tcW w:w="4849" w:type="dxa"/>
          </w:tcPr>
          <w:p w14:paraId="392C2CE2" w14:textId="0A6612C3" w:rsidR="00E86BE2" w:rsidRPr="0010524E" w:rsidRDefault="00E86BE2" w:rsidP="00E86BE2">
            <w:pPr>
              <w:pStyle w:val="Normal1"/>
              <w:pBdr>
                <w:top w:val="nil"/>
                <w:left w:val="nil"/>
                <w:bottom w:val="nil"/>
                <w:right w:val="nil"/>
                <w:between w:val="nil"/>
              </w:pBdr>
              <w:shd w:val="clear" w:color="auto" w:fill="FFFFFF"/>
              <w:tabs>
                <w:tab w:val="left" w:pos="284"/>
              </w:tabs>
              <w:spacing w:after="120"/>
              <w:ind w:right="3"/>
              <w:jc w:val="both"/>
              <w:rPr>
                <w:color w:val="000000"/>
                <w:sz w:val="24"/>
                <w:szCs w:val="24"/>
              </w:rPr>
            </w:pPr>
            <w:r w:rsidRPr="0010524E">
              <w:rPr>
                <w:sz w:val="24"/>
                <w:szCs w:val="24"/>
              </w:rPr>
              <w:t>III - não ter havido, nos últimos cinco anos, o descumprimento de outro Termo de Ajustamento de Conduta firmado pelo mesmo compromissário.</w:t>
            </w:r>
          </w:p>
        </w:tc>
        <w:tc>
          <w:tcPr>
            <w:tcW w:w="4648" w:type="dxa"/>
          </w:tcPr>
          <w:p w14:paraId="6EC2AEB1" w14:textId="77777777" w:rsidR="00E86BE2" w:rsidRPr="0010524E" w:rsidRDefault="00E86BE2" w:rsidP="00E86BE2">
            <w:pPr>
              <w:pStyle w:val="Normal1"/>
              <w:spacing w:after="120"/>
              <w:jc w:val="both"/>
              <w:rPr>
                <w:color w:val="000000"/>
                <w:sz w:val="24"/>
                <w:szCs w:val="24"/>
              </w:rPr>
            </w:pPr>
          </w:p>
        </w:tc>
      </w:tr>
      <w:tr w:rsidR="00E86BE2" w:rsidRPr="0010524E" w14:paraId="16993BAB" w14:textId="075E382F" w:rsidTr="00E86BE2">
        <w:tc>
          <w:tcPr>
            <w:tcW w:w="4815" w:type="dxa"/>
          </w:tcPr>
          <w:p w14:paraId="5A1ACDC0" w14:textId="77777777" w:rsidR="00E86BE2" w:rsidRPr="0010524E" w:rsidRDefault="00E86BE2" w:rsidP="00E86BE2">
            <w:pPr>
              <w:pStyle w:val="Normal1"/>
              <w:spacing w:after="120"/>
              <w:jc w:val="both"/>
              <w:rPr>
                <w:color w:val="000000"/>
                <w:sz w:val="24"/>
                <w:szCs w:val="24"/>
              </w:rPr>
            </w:pPr>
            <w:r w:rsidRPr="0010524E">
              <w:rPr>
                <w:color w:val="000000"/>
                <w:sz w:val="24"/>
                <w:szCs w:val="24"/>
              </w:rPr>
              <w:t>Art. 5º A proposta de TAC deve ser apresentada pelo interessado à unidade regional da Previc antes da lavratura de auto de infração em razão da conduta em análise ou antes do fim do prazo fixado para correção da irregularidade.</w:t>
            </w:r>
          </w:p>
        </w:tc>
        <w:tc>
          <w:tcPr>
            <w:tcW w:w="4849" w:type="dxa"/>
          </w:tcPr>
          <w:p w14:paraId="5154191D" w14:textId="23938C94" w:rsidR="00E86BE2" w:rsidRPr="0010524E" w:rsidRDefault="00E86BE2" w:rsidP="00E86BE2">
            <w:pPr>
              <w:pStyle w:val="Normal1"/>
              <w:pBdr>
                <w:top w:val="nil"/>
                <w:left w:val="nil"/>
                <w:bottom w:val="nil"/>
                <w:right w:val="nil"/>
                <w:between w:val="nil"/>
              </w:pBdr>
              <w:shd w:val="clear" w:color="auto" w:fill="FFFFFF"/>
              <w:tabs>
                <w:tab w:val="left" w:pos="284"/>
              </w:tabs>
              <w:spacing w:after="120"/>
              <w:ind w:right="3"/>
              <w:jc w:val="both"/>
              <w:rPr>
                <w:color w:val="000000"/>
                <w:sz w:val="24"/>
                <w:szCs w:val="24"/>
              </w:rPr>
            </w:pPr>
            <w:r w:rsidRPr="0010524E">
              <w:rPr>
                <w:sz w:val="24"/>
                <w:szCs w:val="24"/>
              </w:rPr>
              <w:t>Art. 295.  A proposta de Termo de Ajustamento de Conduta deve ser apresentada pelo interessado à unidade regional da Previc antes da lavratura de auto de infração em razão da conduta em análise ou antes do fim do prazo fixado para correção da irregularidade.</w:t>
            </w:r>
          </w:p>
        </w:tc>
        <w:tc>
          <w:tcPr>
            <w:tcW w:w="4648" w:type="dxa"/>
          </w:tcPr>
          <w:p w14:paraId="225449A0" w14:textId="77777777" w:rsidR="00E86BE2" w:rsidRPr="0010524E" w:rsidRDefault="00E86BE2" w:rsidP="00E86BE2">
            <w:pPr>
              <w:pStyle w:val="Normal1"/>
              <w:spacing w:after="120"/>
              <w:jc w:val="both"/>
              <w:rPr>
                <w:color w:val="000000"/>
                <w:sz w:val="24"/>
                <w:szCs w:val="24"/>
              </w:rPr>
            </w:pPr>
          </w:p>
        </w:tc>
      </w:tr>
      <w:tr w:rsidR="00E86BE2" w:rsidRPr="0010524E" w14:paraId="69086012" w14:textId="01D9599F" w:rsidTr="00E86BE2">
        <w:tc>
          <w:tcPr>
            <w:tcW w:w="4815" w:type="dxa"/>
          </w:tcPr>
          <w:p w14:paraId="0F92DFF9" w14:textId="77777777" w:rsidR="00E86BE2" w:rsidRPr="0010524E" w:rsidRDefault="00E86BE2" w:rsidP="00E86BE2">
            <w:pPr>
              <w:pStyle w:val="Normal1"/>
              <w:spacing w:after="120"/>
              <w:jc w:val="both"/>
              <w:rPr>
                <w:color w:val="000000"/>
                <w:sz w:val="24"/>
                <w:szCs w:val="24"/>
              </w:rPr>
            </w:pPr>
            <w:r w:rsidRPr="0010524E">
              <w:rPr>
                <w:color w:val="000000"/>
                <w:sz w:val="24"/>
                <w:szCs w:val="24"/>
              </w:rPr>
              <w:t xml:space="preserve">§ 1º A unidade regional, mediante manifestação fundamentada quanto à conveniência e à oportunidade da celebração, </w:t>
            </w:r>
            <w:r w:rsidRPr="0010524E">
              <w:rPr>
                <w:color w:val="000000"/>
                <w:sz w:val="24"/>
                <w:szCs w:val="24"/>
              </w:rPr>
              <w:lastRenderedPageBreak/>
              <w:t>deve submeter a proposta de TAC à Diretoria de Fiscalização e Monitoramento.</w:t>
            </w:r>
          </w:p>
        </w:tc>
        <w:tc>
          <w:tcPr>
            <w:tcW w:w="4849" w:type="dxa"/>
          </w:tcPr>
          <w:p w14:paraId="10A70690" w14:textId="763A1B3C" w:rsidR="00E86BE2" w:rsidRPr="0010524E" w:rsidRDefault="00E86BE2" w:rsidP="00E86BE2">
            <w:pPr>
              <w:pStyle w:val="Normal1"/>
              <w:widowControl w:val="0"/>
              <w:pBdr>
                <w:top w:val="nil"/>
                <w:left w:val="nil"/>
                <w:bottom w:val="nil"/>
                <w:right w:val="nil"/>
                <w:between w:val="nil"/>
              </w:pBdr>
              <w:spacing w:after="120"/>
              <w:jc w:val="both"/>
              <w:rPr>
                <w:color w:val="000000"/>
                <w:sz w:val="24"/>
                <w:szCs w:val="24"/>
              </w:rPr>
            </w:pPr>
            <w:r w:rsidRPr="0010524E">
              <w:rPr>
                <w:sz w:val="24"/>
                <w:szCs w:val="24"/>
              </w:rPr>
              <w:lastRenderedPageBreak/>
              <w:t xml:space="preserve">§ 1º  A unidade regional, mediante manifestação fundamentada quanto à conveniência e à oportunidade da celebração, deve submeter a proposta de Termo de </w:t>
            </w:r>
            <w:r w:rsidRPr="0010524E">
              <w:rPr>
                <w:sz w:val="24"/>
                <w:szCs w:val="24"/>
              </w:rPr>
              <w:lastRenderedPageBreak/>
              <w:t>Ajustamento de Conduta à Diretoria de Fiscalização e Monitoramento da Previc.</w:t>
            </w:r>
          </w:p>
        </w:tc>
        <w:tc>
          <w:tcPr>
            <w:tcW w:w="4648" w:type="dxa"/>
          </w:tcPr>
          <w:p w14:paraId="72B37124" w14:textId="77777777" w:rsidR="00E86BE2" w:rsidRPr="0010524E" w:rsidRDefault="00E86BE2" w:rsidP="00E86BE2">
            <w:pPr>
              <w:pStyle w:val="Normal1"/>
              <w:spacing w:after="120"/>
              <w:jc w:val="both"/>
              <w:rPr>
                <w:color w:val="000000"/>
                <w:sz w:val="24"/>
                <w:szCs w:val="24"/>
              </w:rPr>
            </w:pPr>
          </w:p>
        </w:tc>
      </w:tr>
      <w:tr w:rsidR="00E86BE2" w:rsidRPr="0010524E" w14:paraId="28883051" w14:textId="32C138DB" w:rsidTr="00E86BE2">
        <w:tc>
          <w:tcPr>
            <w:tcW w:w="4815" w:type="dxa"/>
          </w:tcPr>
          <w:p w14:paraId="015A8542" w14:textId="77777777" w:rsidR="00E86BE2" w:rsidRPr="0010524E" w:rsidRDefault="00E86BE2" w:rsidP="00E86BE2">
            <w:pPr>
              <w:pStyle w:val="Normal1"/>
              <w:spacing w:after="120"/>
              <w:jc w:val="both"/>
              <w:rPr>
                <w:color w:val="000000"/>
                <w:sz w:val="24"/>
                <w:szCs w:val="24"/>
              </w:rPr>
            </w:pPr>
            <w:r w:rsidRPr="0010524E">
              <w:rPr>
                <w:color w:val="000000"/>
                <w:sz w:val="24"/>
                <w:szCs w:val="24"/>
              </w:rPr>
              <w:t>§ 2º A Diretoria de Fiscalização e Monitoramento deve apresentar a proposta à Diretoria Colegiada, para discussão e deliberação, após o pronunciamento da Procuradoria Federal junto à Previc quanto aos aspectos relacionados à juridicidade.</w:t>
            </w:r>
          </w:p>
        </w:tc>
        <w:tc>
          <w:tcPr>
            <w:tcW w:w="4849" w:type="dxa"/>
          </w:tcPr>
          <w:p w14:paraId="08B6EBFA" w14:textId="12AE5D5F"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 2º  A Diretoria de Fiscalização e Monitoramento deve apresentar a proposta à Diretoria Colegiada da Previc, para discussão e deliberação, após o pronunciamento da Procuradoria Federal junto à Previc quanto aos aspectos relacionados à juridicidade.</w:t>
            </w:r>
          </w:p>
        </w:tc>
        <w:tc>
          <w:tcPr>
            <w:tcW w:w="4648" w:type="dxa"/>
          </w:tcPr>
          <w:p w14:paraId="6C8795BC" w14:textId="77777777" w:rsidR="00E86BE2" w:rsidRPr="0010524E" w:rsidRDefault="00E86BE2" w:rsidP="00E86BE2">
            <w:pPr>
              <w:pStyle w:val="Normal1"/>
              <w:spacing w:after="120"/>
              <w:jc w:val="both"/>
              <w:rPr>
                <w:color w:val="000000"/>
                <w:sz w:val="24"/>
                <w:szCs w:val="24"/>
              </w:rPr>
            </w:pPr>
          </w:p>
        </w:tc>
      </w:tr>
      <w:tr w:rsidR="00E86BE2" w:rsidRPr="0010524E" w14:paraId="2AB88E14" w14:textId="08758906" w:rsidTr="00E86BE2">
        <w:tc>
          <w:tcPr>
            <w:tcW w:w="4815" w:type="dxa"/>
          </w:tcPr>
          <w:p w14:paraId="0BB25B96" w14:textId="77777777" w:rsidR="00E86BE2" w:rsidRPr="0010524E" w:rsidRDefault="00E86BE2" w:rsidP="00E86BE2">
            <w:pPr>
              <w:pStyle w:val="Normal1"/>
              <w:spacing w:after="120"/>
              <w:jc w:val="both"/>
              <w:rPr>
                <w:color w:val="000000"/>
                <w:sz w:val="24"/>
                <w:szCs w:val="24"/>
              </w:rPr>
            </w:pPr>
            <w:r w:rsidRPr="0010524E">
              <w:rPr>
                <w:color w:val="000000"/>
                <w:sz w:val="24"/>
                <w:szCs w:val="24"/>
              </w:rPr>
              <w:t>§ 3º Aprovada a proposta pela Diretoria Colegiada, o TAC deve ser autorizado pelo Procurador-Chefe.</w:t>
            </w:r>
          </w:p>
        </w:tc>
        <w:tc>
          <w:tcPr>
            <w:tcW w:w="4849" w:type="dxa"/>
          </w:tcPr>
          <w:p w14:paraId="547039E5" w14:textId="3FB1894B" w:rsidR="00E86BE2" w:rsidRPr="0010524E" w:rsidRDefault="00E86BE2" w:rsidP="00E86BE2">
            <w:pPr>
              <w:pStyle w:val="Normal1"/>
              <w:widowControl w:val="0"/>
              <w:pBdr>
                <w:top w:val="nil"/>
                <w:left w:val="nil"/>
                <w:bottom w:val="nil"/>
                <w:right w:val="nil"/>
                <w:between w:val="nil"/>
              </w:pBdr>
              <w:tabs>
                <w:tab w:val="left" w:pos="284"/>
              </w:tabs>
              <w:spacing w:after="120"/>
              <w:ind w:right="3"/>
              <w:jc w:val="both"/>
              <w:rPr>
                <w:color w:val="000000"/>
                <w:sz w:val="24"/>
                <w:szCs w:val="24"/>
              </w:rPr>
            </w:pPr>
            <w:r w:rsidRPr="0010524E">
              <w:rPr>
                <w:sz w:val="24"/>
                <w:szCs w:val="24"/>
              </w:rPr>
              <w:t>§ 3º  Aprovada a proposta pela Diretoria Colegiada da Previc, o Termo de Ajustamento de Conduta deve ser autorizado pelo Procurador-Chefe.</w:t>
            </w:r>
          </w:p>
        </w:tc>
        <w:tc>
          <w:tcPr>
            <w:tcW w:w="4648" w:type="dxa"/>
          </w:tcPr>
          <w:p w14:paraId="7069ED11" w14:textId="77777777" w:rsidR="00E86BE2" w:rsidRPr="0010524E" w:rsidRDefault="00E86BE2" w:rsidP="00E86BE2">
            <w:pPr>
              <w:pStyle w:val="Normal1"/>
              <w:spacing w:after="120"/>
              <w:jc w:val="both"/>
              <w:rPr>
                <w:color w:val="000000"/>
                <w:sz w:val="24"/>
                <w:szCs w:val="24"/>
              </w:rPr>
            </w:pPr>
          </w:p>
        </w:tc>
      </w:tr>
      <w:tr w:rsidR="00E86BE2" w:rsidRPr="0010524E" w14:paraId="32D7B622" w14:textId="184521A9" w:rsidTr="00E86BE2">
        <w:tc>
          <w:tcPr>
            <w:tcW w:w="4815" w:type="dxa"/>
          </w:tcPr>
          <w:p w14:paraId="052F5422" w14:textId="77777777" w:rsidR="00E86BE2" w:rsidRPr="0010524E" w:rsidRDefault="00E86BE2" w:rsidP="00E86BE2">
            <w:pPr>
              <w:pStyle w:val="Normal1"/>
              <w:spacing w:after="120"/>
              <w:jc w:val="both"/>
              <w:rPr>
                <w:color w:val="000000"/>
                <w:sz w:val="24"/>
                <w:szCs w:val="24"/>
              </w:rPr>
            </w:pPr>
            <w:r w:rsidRPr="0010524E">
              <w:rPr>
                <w:color w:val="000000"/>
                <w:sz w:val="24"/>
                <w:szCs w:val="24"/>
              </w:rPr>
              <w:t>§ 4º Após a autorização pelo Procurador-Chefe, o TAC deve ser firmado pelo compromissário, pelo Diretor-Superintendente e eventual interveniente-anuente.</w:t>
            </w:r>
          </w:p>
        </w:tc>
        <w:tc>
          <w:tcPr>
            <w:tcW w:w="4849" w:type="dxa"/>
          </w:tcPr>
          <w:p w14:paraId="03BB5F0B" w14:textId="50F7F2D8" w:rsidR="00E86BE2" w:rsidRPr="0010524E" w:rsidRDefault="00E86BE2" w:rsidP="00E86BE2">
            <w:pPr>
              <w:pStyle w:val="Normal1"/>
              <w:tabs>
                <w:tab w:val="left" w:pos="311"/>
              </w:tabs>
              <w:spacing w:after="120"/>
              <w:ind w:right="3"/>
              <w:jc w:val="both"/>
              <w:rPr>
                <w:sz w:val="24"/>
                <w:szCs w:val="24"/>
              </w:rPr>
            </w:pPr>
            <w:r w:rsidRPr="0010524E">
              <w:rPr>
                <w:sz w:val="24"/>
                <w:szCs w:val="24"/>
              </w:rPr>
              <w:t>§ 4º  Após a autorização pelo Procurador-Chefe, o Termo de Ajustamento de Conduta deve ser firmado pelo compromissário, pelo Diretor-Superintendente e eventual interveniente-anuente.</w:t>
            </w:r>
          </w:p>
        </w:tc>
        <w:tc>
          <w:tcPr>
            <w:tcW w:w="4648" w:type="dxa"/>
          </w:tcPr>
          <w:p w14:paraId="4639CF6F" w14:textId="77777777" w:rsidR="00E86BE2" w:rsidRPr="0010524E" w:rsidRDefault="00E86BE2" w:rsidP="00E86BE2">
            <w:pPr>
              <w:pStyle w:val="Normal1"/>
              <w:spacing w:after="120"/>
              <w:jc w:val="both"/>
              <w:rPr>
                <w:color w:val="000000"/>
                <w:sz w:val="24"/>
                <w:szCs w:val="24"/>
              </w:rPr>
            </w:pPr>
          </w:p>
        </w:tc>
      </w:tr>
      <w:tr w:rsidR="00E86BE2" w:rsidRPr="0010524E" w14:paraId="3C92734E" w14:textId="52D13BD5" w:rsidTr="00E86BE2">
        <w:tc>
          <w:tcPr>
            <w:tcW w:w="4815" w:type="dxa"/>
          </w:tcPr>
          <w:p w14:paraId="187303E8" w14:textId="77777777" w:rsidR="00E86BE2" w:rsidRPr="0010524E" w:rsidRDefault="00E86BE2" w:rsidP="00E86BE2">
            <w:pPr>
              <w:pStyle w:val="Normal1"/>
              <w:spacing w:after="120"/>
              <w:jc w:val="both"/>
              <w:rPr>
                <w:color w:val="000000"/>
                <w:sz w:val="24"/>
                <w:szCs w:val="24"/>
              </w:rPr>
            </w:pPr>
            <w:r w:rsidRPr="0010524E">
              <w:rPr>
                <w:color w:val="000000"/>
                <w:sz w:val="24"/>
                <w:szCs w:val="24"/>
              </w:rPr>
              <w:t>§ 5º O extrato do TAC deve ser publicado no Diário Oficial da União.</w:t>
            </w:r>
          </w:p>
        </w:tc>
        <w:tc>
          <w:tcPr>
            <w:tcW w:w="4849" w:type="dxa"/>
          </w:tcPr>
          <w:p w14:paraId="0F698EAF" w14:textId="62B679A2" w:rsidR="00E86BE2" w:rsidRPr="0010524E" w:rsidRDefault="00E86BE2" w:rsidP="00E86BE2">
            <w:pPr>
              <w:pStyle w:val="Normal1"/>
              <w:tabs>
                <w:tab w:val="left" w:pos="284"/>
              </w:tabs>
              <w:spacing w:after="120"/>
              <w:ind w:right="3"/>
              <w:jc w:val="both"/>
              <w:rPr>
                <w:sz w:val="24"/>
                <w:szCs w:val="24"/>
              </w:rPr>
            </w:pPr>
            <w:r w:rsidRPr="0010524E">
              <w:rPr>
                <w:sz w:val="24"/>
                <w:szCs w:val="24"/>
              </w:rPr>
              <w:t>§ 5º  O extrato do Termo de Ajustamento de Conduta deve ser publicado no Diário Oficial da União.</w:t>
            </w:r>
          </w:p>
        </w:tc>
        <w:tc>
          <w:tcPr>
            <w:tcW w:w="4648" w:type="dxa"/>
          </w:tcPr>
          <w:p w14:paraId="5F939A47" w14:textId="77777777" w:rsidR="00E86BE2" w:rsidRPr="0010524E" w:rsidRDefault="00E86BE2" w:rsidP="00E86BE2">
            <w:pPr>
              <w:pStyle w:val="Normal1"/>
              <w:spacing w:after="120"/>
              <w:jc w:val="both"/>
              <w:rPr>
                <w:color w:val="000000"/>
                <w:sz w:val="24"/>
                <w:szCs w:val="24"/>
              </w:rPr>
            </w:pPr>
          </w:p>
        </w:tc>
      </w:tr>
      <w:tr w:rsidR="00E86BE2" w:rsidRPr="0010524E" w14:paraId="38D4D90A" w14:textId="2205CA2F" w:rsidTr="00E86BE2">
        <w:tc>
          <w:tcPr>
            <w:tcW w:w="4815" w:type="dxa"/>
          </w:tcPr>
          <w:p w14:paraId="595E452F" w14:textId="77777777" w:rsidR="00E86BE2" w:rsidRPr="0010524E" w:rsidRDefault="00E86BE2" w:rsidP="00E86BE2">
            <w:pPr>
              <w:pStyle w:val="Normal1"/>
              <w:spacing w:after="120"/>
              <w:jc w:val="both"/>
              <w:rPr>
                <w:color w:val="000000"/>
                <w:sz w:val="24"/>
                <w:szCs w:val="24"/>
              </w:rPr>
            </w:pPr>
            <w:r w:rsidRPr="0010524E">
              <w:rPr>
                <w:color w:val="000000"/>
                <w:sz w:val="24"/>
                <w:szCs w:val="24"/>
              </w:rPr>
              <w:t>§ 6º O controle e o acompanhamento da execução do TAC devem ser efetuados pela unidade regional.</w:t>
            </w:r>
          </w:p>
        </w:tc>
        <w:tc>
          <w:tcPr>
            <w:tcW w:w="4849" w:type="dxa"/>
          </w:tcPr>
          <w:p w14:paraId="109111B7" w14:textId="7ADB4F03"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 6º  O controle e o acompanhamento da execução do Termo de Ajustamento de Conduta devem ser efetuados pela unidade regional.</w:t>
            </w:r>
          </w:p>
        </w:tc>
        <w:tc>
          <w:tcPr>
            <w:tcW w:w="4648" w:type="dxa"/>
          </w:tcPr>
          <w:p w14:paraId="286153B4" w14:textId="77777777" w:rsidR="00E86BE2" w:rsidRPr="0010524E" w:rsidRDefault="00E86BE2" w:rsidP="00E86BE2">
            <w:pPr>
              <w:pStyle w:val="Normal1"/>
              <w:spacing w:after="120"/>
              <w:jc w:val="both"/>
              <w:rPr>
                <w:color w:val="000000"/>
                <w:sz w:val="24"/>
                <w:szCs w:val="24"/>
              </w:rPr>
            </w:pPr>
          </w:p>
        </w:tc>
      </w:tr>
      <w:tr w:rsidR="00E86BE2" w:rsidRPr="0010524E" w14:paraId="2B6DA567" w14:textId="1493D75A" w:rsidTr="00E86BE2">
        <w:tc>
          <w:tcPr>
            <w:tcW w:w="4815" w:type="dxa"/>
          </w:tcPr>
          <w:p w14:paraId="58971465" w14:textId="77777777" w:rsidR="00E86BE2" w:rsidRPr="0010524E" w:rsidRDefault="00E86BE2" w:rsidP="00E86BE2">
            <w:pPr>
              <w:pStyle w:val="Normal1"/>
              <w:spacing w:after="120"/>
              <w:jc w:val="both"/>
              <w:rPr>
                <w:color w:val="000000"/>
                <w:sz w:val="24"/>
                <w:szCs w:val="24"/>
              </w:rPr>
            </w:pPr>
            <w:r w:rsidRPr="0010524E">
              <w:rPr>
                <w:color w:val="000000"/>
                <w:sz w:val="24"/>
                <w:szCs w:val="24"/>
              </w:rPr>
              <w:t xml:space="preserve">Art. 6º Na avaliação de conveniência e oportunidade deve ser verificado se a proposta de TAC é o meio adequado e próprio para </w:t>
            </w:r>
            <w:r w:rsidRPr="0010524E">
              <w:rPr>
                <w:color w:val="000000"/>
                <w:sz w:val="24"/>
                <w:szCs w:val="24"/>
              </w:rPr>
              <w:lastRenderedPageBreak/>
              <w:t>alcançar de forma eficiente e eficaz o interesse público, ponderando-se, no mínimo, os seguintes fatores:</w:t>
            </w:r>
          </w:p>
        </w:tc>
        <w:tc>
          <w:tcPr>
            <w:tcW w:w="4849" w:type="dxa"/>
          </w:tcPr>
          <w:p w14:paraId="36F656A3" w14:textId="25290C26"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lastRenderedPageBreak/>
              <w:t xml:space="preserve">Art. 296.  Na avaliação de conveniência e oportunidade deve ser verificado se a proposta de Termo de Ajustamento de Conduta é o meio </w:t>
            </w:r>
            <w:r w:rsidRPr="0010524E">
              <w:rPr>
                <w:sz w:val="24"/>
                <w:szCs w:val="24"/>
              </w:rPr>
              <w:lastRenderedPageBreak/>
              <w:t>adequado e próprio para alcançar de forma eficaz e eficiente o interesse público, ponderando-se, no mínimo, os seguintes fatores:</w:t>
            </w:r>
          </w:p>
        </w:tc>
        <w:tc>
          <w:tcPr>
            <w:tcW w:w="4648" w:type="dxa"/>
          </w:tcPr>
          <w:p w14:paraId="23666CEE" w14:textId="77777777" w:rsidR="00E86BE2" w:rsidRPr="0010524E" w:rsidRDefault="00E86BE2" w:rsidP="00E86BE2">
            <w:pPr>
              <w:pStyle w:val="Normal1"/>
              <w:spacing w:after="120"/>
              <w:jc w:val="both"/>
              <w:rPr>
                <w:color w:val="000000"/>
                <w:sz w:val="24"/>
                <w:szCs w:val="24"/>
              </w:rPr>
            </w:pPr>
          </w:p>
        </w:tc>
      </w:tr>
      <w:tr w:rsidR="00E86BE2" w:rsidRPr="0010524E" w14:paraId="59DF4317" w14:textId="0E23C18C" w:rsidTr="00E86BE2">
        <w:tc>
          <w:tcPr>
            <w:tcW w:w="4815" w:type="dxa"/>
          </w:tcPr>
          <w:p w14:paraId="286F2A13" w14:textId="77777777" w:rsidR="00E86BE2" w:rsidRPr="0010524E" w:rsidRDefault="00E86BE2" w:rsidP="00E86BE2">
            <w:pPr>
              <w:pStyle w:val="Normal1"/>
              <w:spacing w:after="120"/>
              <w:jc w:val="both"/>
              <w:rPr>
                <w:color w:val="000000"/>
                <w:sz w:val="24"/>
                <w:szCs w:val="24"/>
              </w:rPr>
            </w:pPr>
            <w:r w:rsidRPr="0010524E">
              <w:rPr>
                <w:color w:val="000000"/>
                <w:sz w:val="24"/>
                <w:szCs w:val="24"/>
              </w:rPr>
              <w:t>I - a proporcionalidade da proposta em relação à gravidade da conduta em análise;</w:t>
            </w:r>
          </w:p>
        </w:tc>
        <w:tc>
          <w:tcPr>
            <w:tcW w:w="4849" w:type="dxa"/>
          </w:tcPr>
          <w:p w14:paraId="4BADE395" w14:textId="1DBA97B9"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I - a proporcionalidade da proposta em relação à gravidade da conduta em análise;</w:t>
            </w:r>
          </w:p>
        </w:tc>
        <w:tc>
          <w:tcPr>
            <w:tcW w:w="4648" w:type="dxa"/>
          </w:tcPr>
          <w:p w14:paraId="6900AC4F" w14:textId="77777777" w:rsidR="00E86BE2" w:rsidRPr="0010524E" w:rsidRDefault="00E86BE2" w:rsidP="00E86BE2">
            <w:pPr>
              <w:pStyle w:val="Normal1"/>
              <w:spacing w:after="120"/>
              <w:jc w:val="both"/>
              <w:rPr>
                <w:color w:val="000000"/>
                <w:sz w:val="24"/>
                <w:szCs w:val="24"/>
              </w:rPr>
            </w:pPr>
          </w:p>
        </w:tc>
      </w:tr>
      <w:tr w:rsidR="00E86BE2" w:rsidRPr="0010524E" w14:paraId="5BD06B6E" w14:textId="752F4E9C" w:rsidTr="00E86BE2">
        <w:tc>
          <w:tcPr>
            <w:tcW w:w="4815" w:type="dxa"/>
          </w:tcPr>
          <w:p w14:paraId="651DB4E0" w14:textId="77777777" w:rsidR="00E86BE2" w:rsidRPr="0010524E" w:rsidRDefault="00E86BE2" w:rsidP="00E86BE2">
            <w:pPr>
              <w:pStyle w:val="Normal1"/>
              <w:spacing w:after="120"/>
              <w:jc w:val="both"/>
              <w:rPr>
                <w:color w:val="000000"/>
                <w:sz w:val="24"/>
                <w:szCs w:val="24"/>
              </w:rPr>
            </w:pPr>
            <w:r w:rsidRPr="0010524E">
              <w:rPr>
                <w:color w:val="000000"/>
                <w:sz w:val="24"/>
                <w:szCs w:val="24"/>
              </w:rPr>
              <w:t>II - a existência de motivos que recomendem o ajustamento de determinada prática reputada irregular; e</w:t>
            </w:r>
          </w:p>
        </w:tc>
        <w:tc>
          <w:tcPr>
            <w:tcW w:w="4849" w:type="dxa"/>
          </w:tcPr>
          <w:p w14:paraId="3FB0E851" w14:textId="3DA875EA"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II - a existência de motivos que recomendem o ajustamento de determinada prática reputada irregular; e</w:t>
            </w:r>
          </w:p>
        </w:tc>
        <w:tc>
          <w:tcPr>
            <w:tcW w:w="4648" w:type="dxa"/>
          </w:tcPr>
          <w:p w14:paraId="00CD3755" w14:textId="77777777" w:rsidR="00E86BE2" w:rsidRPr="0010524E" w:rsidRDefault="00E86BE2" w:rsidP="00E86BE2">
            <w:pPr>
              <w:pStyle w:val="Normal1"/>
              <w:spacing w:after="120"/>
              <w:jc w:val="both"/>
              <w:rPr>
                <w:color w:val="000000"/>
                <w:sz w:val="24"/>
                <w:szCs w:val="24"/>
              </w:rPr>
            </w:pPr>
          </w:p>
        </w:tc>
      </w:tr>
      <w:tr w:rsidR="00E86BE2" w:rsidRPr="0010524E" w14:paraId="0043B1A3" w14:textId="7BFB3CBD" w:rsidTr="00E86BE2">
        <w:tc>
          <w:tcPr>
            <w:tcW w:w="4815" w:type="dxa"/>
          </w:tcPr>
          <w:p w14:paraId="65B6339A" w14:textId="77777777" w:rsidR="00E86BE2" w:rsidRPr="0010524E" w:rsidRDefault="00E86BE2" w:rsidP="00E86BE2">
            <w:pPr>
              <w:pStyle w:val="Normal1"/>
              <w:spacing w:after="120"/>
              <w:jc w:val="both"/>
              <w:rPr>
                <w:color w:val="000000"/>
                <w:sz w:val="24"/>
                <w:szCs w:val="24"/>
              </w:rPr>
            </w:pPr>
            <w:r w:rsidRPr="0010524E">
              <w:rPr>
                <w:color w:val="000000"/>
                <w:sz w:val="24"/>
                <w:szCs w:val="24"/>
              </w:rPr>
              <w:t>III - a capacidade de desestimular a prática de novas condutas semelhantes pelo próprio compromissário e por terceiros que se encontrem em situação análoga.</w:t>
            </w:r>
          </w:p>
        </w:tc>
        <w:tc>
          <w:tcPr>
            <w:tcW w:w="4849" w:type="dxa"/>
          </w:tcPr>
          <w:p w14:paraId="19E67BAE" w14:textId="2BB9ACB6"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III - a capacidade de desestimular a prática de novas condutas semelhantes pelo próprio compromissário e por terceiros que se encontrem em situação análoga.</w:t>
            </w:r>
          </w:p>
        </w:tc>
        <w:tc>
          <w:tcPr>
            <w:tcW w:w="4648" w:type="dxa"/>
          </w:tcPr>
          <w:p w14:paraId="3A2388CB" w14:textId="77777777" w:rsidR="00E86BE2" w:rsidRPr="0010524E" w:rsidRDefault="00E86BE2" w:rsidP="00E86BE2">
            <w:pPr>
              <w:pStyle w:val="Normal1"/>
              <w:spacing w:after="120"/>
              <w:jc w:val="both"/>
              <w:rPr>
                <w:color w:val="000000"/>
                <w:sz w:val="24"/>
                <w:szCs w:val="24"/>
              </w:rPr>
            </w:pPr>
          </w:p>
        </w:tc>
      </w:tr>
      <w:tr w:rsidR="00E86BE2" w:rsidRPr="0010524E" w14:paraId="0841B542" w14:textId="3440E6B8" w:rsidTr="00E86BE2">
        <w:tc>
          <w:tcPr>
            <w:tcW w:w="4815" w:type="dxa"/>
          </w:tcPr>
          <w:p w14:paraId="40025E2E" w14:textId="77777777" w:rsidR="00E86BE2" w:rsidRPr="0010524E" w:rsidRDefault="00E86BE2" w:rsidP="00E86BE2">
            <w:pPr>
              <w:pStyle w:val="Normal1"/>
              <w:spacing w:after="120"/>
              <w:jc w:val="both"/>
              <w:rPr>
                <w:color w:val="000000"/>
                <w:sz w:val="24"/>
                <w:szCs w:val="24"/>
              </w:rPr>
            </w:pPr>
            <w:r w:rsidRPr="0010524E">
              <w:rPr>
                <w:color w:val="000000"/>
                <w:sz w:val="24"/>
                <w:szCs w:val="24"/>
              </w:rPr>
              <w:t>Art. 7º Devem constar do TAC, no mínimo, os seguintes elementos:</w:t>
            </w:r>
          </w:p>
        </w:tc>
        <w:tc>
          <w:tcPr>
            <w:tcW w:w="4849" w:type="dxa"/>
          </w:tcPr>
          <w:p w14:paraId="35E3EBBF" w14:textId="285143A2"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Art. 297.  Devem constar do Termo de Ajustamento de Conduta, no mínimo, os seguintes elementos:</w:t>
            </w:r>
          </w:p>
        </w:tc>
        <w:tc>
          <w:tcPr>
            <w:tcW w:w="4648" w:type="dxa"/>
          </w:tcPr>
          <w:p w14:paraId="03D7C8DF" w14:textId="77777777" w:rsidR="00E86BE2" w:rsidRPr="0010524E" w:rsidRDefault="00E86BE2" w:rsidP="00E86BE2">
            <w:pPr>
              <w:pStyle w:val="Normal1"/>
              <w:spacing w:after="120"/>
              <w:jc w:val="both"/>
              <w:rPr>
                <w:color w:val="000000"/>
                <w:sz w:val="24"/>
                <w:szCs w:val="24"/>
              </w:rPr>
            </w:pPr>
          </w:p>
        </w:tc>
      </w:tr>
      <w:tr w:rsidR="00E86BE2" w:rsidRPr="0010524E" w14:paraId="268226E2" w14:textId="012879B4" w:rsidTr="00E86BE2">
        <w:tc>
          <w:tcPr>
            <w:tcW w:w="4815" w:type="dxa"/>
          </w:tcPr>
          <w:p w14:paraId="5BD358D3" w14:textId="77777777" w:rsidR="00E86BE2" w:rsidRPr="0010524E" w:rsidRDefault="00E86BE2" w:rsidP="00E86BE2">
            <w:pPr>
              <w:pStyle w:val="Normal1"/>
              <w:spacing w:after="120"/>
              <w:jc w:val="both"/>
              <w:rPr>
                <w:color w:val="000000"/>
                <w:sz w:val="24"/>
                <w:szCs w:val="24"/>
              </w:rPr>
            </w:pPr>
            <w:r w:rsidRPr="0010524E">
              <w:rPr>
                <w:color w:val="000000"/>
                <w:sz w:val="24"/>
                <w:szCs w:val="24"/>
              </w:rPr>
              <w:t>I - a descrição detalhada dos fatos ou das condutas que motivaram a sua proposição;</w:t>
            </w:r>
          </w:p>
        </w:tc>
        <w:tc>
          <w:tcPr>
            <w:tcW w:w="4849" w:type="dxa"/>
          </w:tcPr>
          <w:p w14:paraId="56038B2A" w14:textId="18CBEAF9"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I - a descrição detalhada dos fatos ou das condutas que motivaram a sua proposição;</w:t>
            </w:r>
          </w:p>
        </w:tc>
        <w:tc>
          <w:tcPr>
            <w:tcW w:w="4648" w:type="dxa"/>
          </w:tcPr>
          <w:p w14:paraId="60FEB567" w14:textId="77777777" w:rsidR="00E86BE2" w:rsidRPr="0010524E" w:rsidRDefault="00E86BE2" w:rsidP="00E86BE2">
            <w:pPr>
              <w:pStyle w:val="Normal1"/>
              <w:spacing w:after="120"/>
              <w:jc w:val="both"/>
              <w:rPr>
                <w:color w:val="000000"/>
                <w:sz w:val="24"/>
                <w:szCs w:val="24"/>
              </w:rPr>
            </w:pPr>
          </w:p>
        </w:tc>
      </w:tr>
      <w:tr w:rsidR="00E86BE2" w:rsidRPr="0010524E" w14:paraId="5FE09B89" w14:textId="6B0DEC69" w:rsidTr="00E86BE2">
        <w:tc>
          <w:tcPr>
            <w:tcW w:w="4815" w:type="dxa"/>
          </w:tcPr>
          <w:p w14:paraId="6A1A663E" w14:textId="77777777" w:rsidR="00E86BE2" w:rsidRPr="0010524E" w:rsidRDefault="00E86BE2" w:rsidP="00E86BE2">
            <w:pPr>
              <w:pStyle w:val="Normal1"/>
              <w:spacing w:after="120"/>
              <w:jc w:val="both"/>
              <w:rPr>
                <w:color w:val="000000"/>
                <w:sz w:val="24"/>
                <w:szCs w:val="24"/>
              </w:rPr>
            </w:pPr>
            <w:r w:rsidRPr="0010524E">
              <w:rPr>
                <w:color w:val="000000"/>
                <w:sz w:val="24"/>
                <w:szCs w:val="24"/>
              </w:rPr>
              <w:t>II - a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tc>
        <w:tc>
          <w:tcPr>
            <w:tcW w:w="4849" w:type="dxa"/>
          </w:tcPr>
          <w:p w14:paraId="11D156EE" w14:textId="058D3243"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II - a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tc>
        <w:tc>
          <w:tcPr>
            <w:tcW w:w="4648" w:type="dxa"/>
          </w:tcPr>
          <w:p w14:paraId="2700AC59" w14:textId="77777777" w:rsidR="00E86BE2" w:rsidRPr="0010524E" w:rsidRDefault="00E86BE2" w:rsidP="00E86BE2">
            <w:pPr>
              <w:pStyle w:val="Normal1"/>
              <w:spacing w:after="120"/>
              <w:jc w:val="both"/>
              <w:rPr>
                <w:color w:val="000000"/>
                <w:sz w:val="24"/>
                <w:szCs w:val="24"/>
              </w:rPr>
            </w:pPr>
          </w:p>
        </w:tc>
      </w:tr>
      <w:tr w:rsidR="00E86BE2" w:rsidRPr="0010524E" w14:paraId="480BCEB4" w14:textId="1C9949DD" w:rsidTr="00E86BE2">
        <w:tc>
          <w:tcPr>
            <w:tcW w:w="4815" w:type="dxa"/>
          </w:tcPr>
          <w:p w14:paraId="46BBC25E" w14:textId="77777777" w:rsidR="00E86BE2" w:rsidRPr="0010524E" w:rsidRDefault="00E86BE2" w:rsidP="00E86BE2">
            <w:pPr>
              <w:pStyle w:val="Normal1"/>
              <w:spacing w:after="120"/>
              <w:jc w:val="both"/>
              <w:rPr>
                <w:color w:val="000000"/>
                <w:sz w:val="24"/>
                <w:szCs w:val="24"/>
              </w:rPr>
            </w:pPr>
            <w:r w:rsidRPr="0010524E">
              <w:rPr>
                <w:color w:val="000000"/>
                <w:sz w:val="24"/>
                <w:szCs w:val="24"/>
              </w:rPr>
              <w:lastRenderedPageBreak/>
              <w:t>III - o cronograma de execução e de implementação das medidas propostas, com metas a serem atingidas;</w:t>
            </w:r>
          </w:p>
        </w:tc>
        <w:tc>
          <w:tcPr>
            <w:tcW w:w="4849" w:type="dxa"/>
          </w:tcPr>
          <w:p w14:paraId="2C1C63B2" w14:textId="3C739561" w:rsidR="00E86BE2" w:rsidRPr="0010524E" w:rsidRDefault="00E86BE2" w:rsidP="00E86BE2">
            <w:pPr>
              <w:pStyle w:val="Normal1"/>
              <w:widowControl w:val="0"/>
              <w:pBdr>
                <w:top w:val="nil"/>
                <w:left w:val="nil"/>
                <w:bottom w:val="nil"/>
                <w:right w:val="nil"/>
                <w:between w:val="nil"/>
              </w:pBdr>
              <w:tabs>
                <w:tab w:val="left" w:pos="284"/>
              </w:tabs>
              <w:spacing w:after="120"/>
              <w:ind w:right="6"/>
              <w:jc w:val="both"/>
              <w:rPr>
                <w:color w:val="000000"/>
                <w:sz w:val="24"/>
                <w:szCs w:val="24"/>
              </w:rPr>
            </w:pPr>
            <w:r w:rsidRPr="0010524E">
              <w:rPr>
                <w:sz w:val="24"/>
                <w:szCs w:val="24"/>
              </w:rPr>
              <w:t>III - o cronograma de execução e de implementação das medidas propostas, com metas a serem atingidas;</w:t>
            </w:r>
          </w:p>
        </w:tc>
        <w:tc>
          <w:tcPr>
            <w:tcW w:w="4648" w:type="dxa"/>
          </w:tcPr>
          <w:p w14:paraId="58296B72" w14:textId="77777777" w:rsidR="00E86BE2" w:rsidRPr="0010524E" w:rsidRDefault="00E86BE2" w:rsidP="00E86BE2">
            <w:pPr>
              <w:pStyle w:val="Normal1"/>
              <w:spacing w:after="120"/>
              <w:jc w:val="both"/>
              <w:rPr>
                <w:color w:val="000000"/>
                <w:sz w:val="24"/>
                <w:szCs w:val="24"/>
              </w:rPr>
            </w:pPr>
          </w:p>
        </w:tc>
      </w:tr>
      <w:tr w:rsidR="00E86BE2" w:rsidRPr="0010524E" w14:paraId="5A58E4FA" w14:textId="5F5ED9A3" w:rsidTr="00E86BE2">
        <w:tc>
          <w:tcPr>
            <w:tcW w:w="4815" w:type="dxa"/>
          </w:tcPr>
          <w:p w14:paraId="0805A483" w14:textId="77777777" w:rsidR="00E86BE2" w:rsidRPr="0010524E" w:rsidRDefault="00E86BE2" w:rsidP="00E86BE2">
            <w:pPr>
              <w:pStyle w:val="Normal1"/>
              <w:spacing w:after="120"/>
              <w:jc w:val="both"/>
              <w:rPr>
                <w:color w:val="000000"/>
                <w:sz w:val="24"/>
                <w:szCs w:val="24"/>
              </w:rPr>
            </w:pPr>
            <w:r w:rsidRPr="0010524E">
              <w:rPr>
                <w:color w:val="000000"/>
                <w:sz w:val="24"/>
                <w:szCs w:val="24"/>
              </w:rPr>
              <w:t>IV - a suspensão, no âmbito da Previc, dos procedimentos ou processos administrativos que tiverem sido iniciados relacionados à conduta;</w:t>
            </w:r>
          </w:p>
        </w:tc>
        <w:tc>
          <w:tcPr>
            <w:tcW w:w="4849" w:type="dxa"/>
          </w:tcPr>
          <w:p w14:paraId="5B84F640" w14:textId="7BB22238" w:rsidR="00E86BE2" w:rsidRPr="0010524E" w:rsidRDefault="00E86BE2" w:rsidP="00E86BE2">
            <w:pPr>
              <w:pStyle w:val="Normal1"/>
              <w:widowControl w:val="0"/>
              <w:pBdr>
                <w:top w:val="nil"/>
                <w:left w:val="nil"/>
                <w:bottom w:val="nil"/>
                <w:right w:val="nil"/>
                <w:between w:val="nil"/>
              </w:pBdr>
              <w:tabs>
                <w:tab w:val="left" w:pos="284"/>
              </w:tabs>
              <w:spacing w:after="120"/>
              <w:ind w:right="6"/>
              <w:jc w:val="both"/>
              <w:rPr>
                <w:color w:val="000000"/>
                <w:sz w:val="24"/>
                <w:szCs w:val="24"/>
              </w:rPr>
            </w:pPr>
            <w:r w:rsidRPr="0010524E">
              <w:rPr>
                <w:sz w:val="24"/>
                <w:szCs w:val="24"/>
              </w:rPr>
              <w:t>IV - a suspensão, no âmbito da Previc, dos procedimentos ou processos administrativos que tiverem sido iniciados relacionados à conduta;</w:t>
            </w:r>
          </w:p>
        </w:tc>
        <w:tc>
          <w:tcPr>
            <w:tcW w:w="4648" w:type="dxa"/>
          </w:tcPr>
          <w:p w14:paraId="16E7EC17" w14:textId="77777777" w:rsidR="00E86BE2" w:rsidRPr="0010524E" w:rsidRDefault="00E86BE2" w:rsidP="00E86BE2">
            <w:pPr>
              <w:pStyle w:val="Normal1"/>
              <w:spacing w:after="120"/>
              <w:jc w:val="both"/>
              <w:rPr>
                <w:color w:val="000000"/>
                <w:sz w:val="24"/>
                <w:szCs w:val="24"/>
              </w:rPr>
            </w:pPr>
          </w:p>
        </w:tc>
      </w:tr>
      <w:tr w:rsidR="00E86BE2" w:rsidRPr="0010524E" w14:paraId="5944B617" w14:textId="52774CBA" w:rsidTr="00E86BE2">
        <w:tc>
          <w:tcPr>
            <w:tcW w:w="4815" w:type="dxa"/>
          </w:tcPr>
          <w:p w14:paraId="1F55349F" w14:textId="77777777" w:rsidR="00E86BE2" w:rsidRPr="0010524E" w:rsidRDefault="00E86BE2" w:rsidP="00E86BE2">
            <w:pPr>
              <w:pStyle w:val="Normal1"/>
              <w:spacing w:after="120"/>
              <w:jc w:val="both"/>
              <w:rPr>
                <w:color w:val="000000"/>
                <w:sz w:val="24"/>
                <w:szCs w:val="24"/>
              </w:rPr>
            </w:pPr>
            <w:r w:rsidRPr="0010524E">
              <w:rPr>
                <w:color w:val="000000"/>
                <w:sz w:val="24"/>
                <w:szCs w:val="24"/>
              </w:rPr>
              <w:t>V - a penalidade a ser aplicada pelo descumprimento total ou parcial do T AC;</w:t>
            </w:r>
          </w:p>
        </w:tc>
        <w:tc>
          <w:tcPr>
            <w:tcW w:w="4849" w:type="dxa"/>
          </w:tcPr>
          <w:p w14:paraId="22D07D86" w14:textId="1D2C0467" w:rsidR="00E86BE2" w:rsidRPr="0010524E" w:rsidRDefault="00E86BE2" w:rsidP="00E86BE2">
            <w:pPr>
              <w:pStyle w:val="Normal1"/>
              <w:widowControl w:val="0"/>
              <w:pBdr>
                <w:top w:val="nil"/>
                <w:left w:val="nil"/>
                <w:bottom w:val="nil"/>
                <w:right w:val="nil"/>
                <w:between w:val="nil"/>
              </w:pBdr>
              <w:tabs>
                <w:tab w:val="left" w:pos="284"/>
              </w:tabs>
              <w:spacing w:after="120"/>
              <w:ind w:right="6"/>
              <w:jc w:val="both"/>
              <w:rPr>
                <w:color w:val="000000"/>
                <w:sz w:val="24"/>
                <w:szCs w:val="24"/>
              </w:rPr>
            </w:pPr>
            <w:r w:rsidRPr="0010524E">
              <w:rPr>
                <w:sz w:val="24"/>
                <w:szCs w:val="24"/>
              </w:rPr>
              <w:t>V - a penalidade a ser aplicada pelo descumprimento total ou parcial do Termo de Ajustamento de Conduta;</w:t>
            </w:r>
          </w:p>
        </w:tc>
        <w:tc>
          <w:tcPr>
            <w:tcW w:w="4648" w:type="dxa"/>
          </w:tcPr>
          <w:p w14:paraId="336C3547" w14:textId="77777777" w:rsidR="00E86BE2" w:rsidRPr="0010524E" w:rsidRDefault="00E86BE2" w:rsidP="00E86BE2">
            <w:pPr>
              <w:pStyle w:val="Normal1"/>
              <w:spacing w:after="120"/>
              <w:jc w:val="both"/>
              <w:rPr>
                <w:color w:val="000000"/>
                <w:sz w:val="24"/>
                <w:szCs w:val="24"/>
              </w:rPr>
            </w:pPr>
          </w:p>
        </w:tc>
      </w:tr>
      <w:tr w:rsidR="00E86BE2" w:rsidRPr="0010524E" w14:paraId="0BC7370B" w14:textId="0B9489C7" w:rsidTr="00E86BE2">
        <w:tc>
          <w:tcPr>
            <w:tcW w:w="4815" w:type="dxa"/>
          </w:tcPr>
          <w:p w14:paraId="3C0A6D44" w14:textId="77777777" w:rsidR="00E86BE2" w:rsidRPr="0010524E" w:rsidRDefault="00E86BE2" w:rsidP="00E86BE2">
            <w:pPr>
              <w:pStyle w:val="Normal1"/>
              <w:spacing w:after="120"/>
              <w:jc w:val="both"/>
              <w:rPr>
                <w:color w:val="000000"/>
                <w:sz w:val="24"/>
                <w:szCs w:val="24"/>
              </w:rPr>
            </w:pPr>
            <w:r w:rsidRPr="0010524E">
              <w:rPr>
                <w:color w:val="000000"/>
                <w:sz w:val="24"/>
                <w:szCs w:val="24"/>
              </w:rPr>
              <w:t>VI - o prazo de vigência;</w:t>
            </w:r>
          </w:p>
        </w:tc>
        <w:tc>
          <w:tcPr>
            <w:tcW w:w="4849" w:type="dxa"/>
          </w:tcPr>
          <w:p w14:paraId="770EAC88" w14:textId="045E1C36"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VI - o prazo de vigência;</w:t>
            </w:r>
          </w:p>
        </w:tc>
        <w:tc>
          <w:tcPr>
            <w:tcW w:w="4648" w:type="dxa"/>
          </w:tcPr>
          <w:p w14:paraId="08FDCDA7" w14:textId="77777777" w:rsidR="00E86BE2" w:rsidRPr="0010524E" w:rsidRDefault="00E86BE2" w:rsidP="00E86BE2">
            <w:pPr>
              <w:pStyle w:val="Normal1"/>
              <w:spacing w:after="120"/>
              <w:jc w:val="both"/>
              <w:rPr>
                <w:color w:val="000000"/>
                <w:sz w:val="24"/>
                <w:szCs w:val="24"/>
              </w:rPr>
            </w:pPr>
          </w:p>
        </w:tc>
      </w:tr>
      <w:tr w:rsidR="00E86BE2" w:rsidRPr="0010524E" w14:paraId="2B57920A" w14:textId="3FF7268F" w:rsidTr="00E86BE2">
        <w:tc>
          <w:tcPr>
            <w:tcW w:w="4815" w:type="dxa"/>
          </w:tcPr>
          <w:p w14:paraId="74975D63" w14:textId="77777777" w:rsidR="00E86BE2" w:rsidRPr="0010524E" w:rsidRDefault="00E86BE2" w:rsidP="00E86BE2">
            <w:pPr>
              <w:pStyle w:val="Normal1"/>
              <w:spacing w:after="120"/>
              <w:jc w:val="both"/>
              <w:rPr>
                <w:color w:val="000000"/>
                <w:sz w:val="24"/>
                <w:szCs w:val="24"/>
              </w:rPr>
            </w:pPr>
            <w:r w:rsidRPr="0010524E">
              <w:rPr>
                <w:color w:val="000000"/>
                <w:sz w:val="24"/>
                <w:szCs w:val="24"/>
              </w:rPr>
              <w:t>VII - a qualificação e assinatura das partes;</w:t>
            </w:r>
          </w:p>
        </w:tc>
        <w:tc>
          <w:tcPr>
            <w:tcW w:w="4849" w:type="dxa"/>
          </w:tcPr>
          <w:p w14:paraId="6DE6883D" w14:textId="55025D5F" w:rsidR="00E86BE2" w:rsidRPr="0010524E" w:rsidRDefault="00E86BE2" w:rsidP="00E86BE2">
            <w:pPr>
              <w:pStyle w:val="Normal1"/>
              <w:spacing w:after="120"/>
              <w:jc w:val="both"/>
              <w:rPr>
                <w:color w:val="000000"/>
                <w:sz w:val="24"/>
                <w:szCs w:val="24"/>
              </w:rPr>
            </w:pPr>
            <w:r w:rsidRPr="0010524E">
              <w:rPr>
                <w:sz w:val="24"/>
                <w:szCs w:val="24"/>
              </w:rPr>
              <w:t xml:space="preserve">VII - a qualificação e assinatura das partes; </w:t>
            </w:r>
          </w:p>
        </w:tc>
        <w:tc>
          <w:tcPr>
            <w:tcW w:w="4648" w:type="dxa"/>
          </w:tcPr>
          <w:p w14:paraId="40056DF1" w14:textId="77777777" w:rsidR="00E86BE2" w:rsidRPr="0010524E" w:rsidRDefault="00E86BE2" w:rsidP="00E86BE2">
            <w:pPr>
              <w:pStyle w:val="Normal1"/>
              <w:spacing w:after="120"/>
              <w:jc w:val="both"/>
              <w:rPr>
                <w:color w:val="000000"/>
                <w:sz w:val="24"/>
                <w:szCs w:val="24"/>
              </w:rPr>
            </w:pPr>
          </w:p>
        </w:tc>
      </w:tr>
      <w:tr w:rsidR="00E86BE2" w:rsidRPr="0010524E" w14:paraId="6E3BEE74" w14:textId="17915491" w:rsidTr="00E86BE2">
        <w:tc>
          <w:tcPr>
            <w:tcW w:w="4815" w:type="dxa"/>
          </w:tcPr>
          <w:p w14:paraId="598A5B27" w14:textId="77777777" w:rsidR="00E86BE2" w:rsidRPr="0010524E" w:rsidRDefault="00E86BE2" w:rsidP="00E86BE2">
            <w:pPr>
              <w:pStyle w:val="Normal1"/>
              <w:spacing w:after="120"/>
              <w:jc w:val="both"/>
              <w:rPr>
                <w:color w:val="000000"/>
                <w:sz w:val="24"/>
                <w:szCs w:val="24"/>
              </w:rPr>
            </w:pPr>
            <w:r w:rsidRPr="0010524E">
              <w:rPr>
                <w:color w:val="000000"/>
                <w:sz w:val="24"/>
                <w:szCs w:val="24"/>
              </w:rPr>
              <w:t>VIII - a previsão da responsabilidade dos sucessores pelo cumprimento do TAC; e</w:t>
            </w:r>
          </w:p>
        </w:tc>
        <w:tc>
          <w:tcPr>
            <w:tcW w:w="4849" w:type="dxa"/>
          </w:tcPr>
          <w:p w14:paraId="2BD7D8FC" w14:textId="5B9C3BA4" w:rsidR="00E86BE2" w:rsidRPr="0010524E" w:rsidRDefault="00E86BE2" w:rsidP="00E86BE2">
            <w:pPr>
              <w:pStyle w:val="Normal1"/>
              <w:widowControl w:val="0"/>
              <w:pBdr>
                <w:top w:val="nil"/>
                <w:left w:val="nil"/>
                <w:bottom w:val="nil"/>
                <w:right w:val="nil"/>
                <w:between w:val="nil"/>
              </w:pBdr>
              <w:tabs>
                <w:tab w:val="left" w:pos="337"/>
              </w:tabs>
              <w:spacing w:after="120"/>
              <w:ind w:right="3"/>
              <w:jc w:val="both"/>
              <w:rPr>
                <w:color w:val="000000"/>
                <w:sz w:val="24"/>
                <w:szCs w:val="24"/>
              </w:rPr>
            </w:pPr>
            <w:r w:rsidRPr="0010524E">
              <w:rPr>
                <w:sz w:val="24"/>
                <w:szCs w:val="24"/>
              </w:rPr>
              <w:t>VIII - a previsão da responsabilidade dos sucessores pelo cumprimento do Termo de Ajustamento de Conduta; e</w:t>
            </w:r>
          </w:p>
        </w:tc>
        <w:tc>
          <w:tcPr>
            <w:tcW w:w="4648" w:type="dxa"/>
          </w:tcPr>
          <w:p w14:paraId="12AC1204" w14:textId="77777777" w:rsidR="00E86BE2" w:rsidRPr="0010524E" w:rsidRDefault="00E86BE2" w:rsidP="00E86BE2">
            <w:pPr>
              <w:pStyle w:val="Normal1"/>
              <w:spacing w:after="120"/>
              <w:jc w:val="both"/>
              <w:rPr>
                <w:color w:val="000000"/>
                <w:sz w:val="24"/>
                <w:szCs w:val="24"/>
              </w:rPr>
            </w:pPr>
          </w:p>
        </w:tc>
      </w:tr>
      <w:tr w:rsidR="00E86BE2" w:rsidRPr="0010524E" w14:paraId="78B0B2DD" w14:textId="0B88EE06" w:rsidTr="00E86BE2">
        <w:tc>
          <w:tcPr>
            <w:tcW w:w="4815" w:type="dxa"/>
          </w:tcPr>
          <w:p w14:paraId="0C37D187" w14:textId="77777777" w:rsidR="00E86BE2" w:rsidRPr="0010524E" w:rsidRDefault="00E86BE2" w:rsidP="00E86BE2">
            <w:pPr>
              <w:pStyle w:val="Normal1"/>
              <w:spacing w:after="120"/>
              <w:jc w:val="both"/>
              <w:rPr>
                <w:color w:val="000000"/>
                <w:sz w:val="24"/>
                <w:szCs w:val="24"/>
              </w:rPr>
            </w:pPr>
            <w:r w:rsidRPr="0010524E">
              <w:rPr>
                <w:color w:val="000000"/>
                <w:sz w:val="24"/>
                <w:szCs w:val="24"/>
              </w:rPr>
              <w:t>IX - o foro competente para dirimir eventuais litígios entre as partes.</w:t>
            </w:r>
          </w:p>
        </w:tc>
        <w:tc>
          <w:tcPr>
            <w:tcW w:w="4849" w:type="dxa"/>
          </w:tcPr>
          <w:p w14:paraId="546DE569" w14:textId="4FC68A6C" w:rsidR="00E86BE2" w:rsidRPr="0010524E" w:rsidRDefault="00E86BE2" w:rsidP="00E86BE2">
            <w:pPr>
              <w:pStyle w:val="Normal1"/>
              <w:widowControl w:val="0"/>
              <w:pBdr>
                <w:top w:val="nil"/>
                <w:left w:val="nil"/>
                <w:bottom w:val="nil"/>
                <w:right w:val="nil"/>
                <w:between w:val="nil"/>
              </w:pBdr>
              <w:tabs>
                <w:tab w:val="left" w:pos="337"/>
              </w:tabs>
              <w:spacing w:after="120"/>
              <w:ind w:right="3"/>
              <w:jc w:val="both"/>
              <w:rPr>
                <w:color w:val="000000"/>
                <w:sz w:val="24"/>
                <w:szCs w:val="24"/>
              </w:rPr>
            </w:pPr>
            <w:r w:rsidRPr="0010524E">
              <w:rPr>
                <w:sz w:val="24"/>
                <w:szCs w:val="24"/>
              </w:rPr>
              <w:t>IX - o foro competente para dirimir eventuais litígios entre as partes.</w:t>
            </w:r>
          </w:p>
        </w:tc>
        <w:tc>
          <w:tcPr>
            <w:tcW w:w="4648" w:type="dxa"/>
          </w:tcPr>
          <w:p w14:paraId="1706BDEC" w14:textId="77777777" w:rsidR="00E86BE2" w:rsidRPr="0010524E" w:rsidRDefault="00E86BE2" w:rsidP="00E86BE2">
            <w:pPr>
              <w:pStyle w:val="Normal1"/>
              <w:spacing w:after="120"/>
              <w:jc w:val="both"/>
              <w:rPr>
                <w:color w:val="000000"/>
                <w:sz w:val="24"/>
                <w:szCs w:val="24"/>
              </w:rPr>
            </w:pPr>
          </w:p>
        </w:tc>
      </w:tr>
      <w:tr w:rsidR="00E86BE2" w:rsidRPr="0010524E" w14:paraId="2BB59CA0" w14:textId="2CE8877D" w:rsidTr="00E86BE2">
        <w:tc>
          <w:tcPr>
            <w:tcW w:w="4815" w:type="dxa"/>
          </w:tcPr>
          <w:p w14:paraId="2DCAC7F7" w14:textId="77777777" w:rsidR="00E86BE2" w:rsidRPr="0010524E" w:rsidRDefault="00E86BE2" w:rsidP="00E86BE2">
            <w:pPr>
              <w:pStyle w:val="Normal1"/>
              <w:spacing w:after="120"/>
              <w:jc w:val="both"/>
              <w:rPr>
                <w:color w:val="000000"/>
                <w:sz w:val="24"/>
                <w:szCs w:val="24"/>
              </w:rPr>
            </w:pPr>
            <w:r w:rsidRPr="0010524E">
              <w:rPr>
                <w:color w:val="000000"/>
                <w:sz w:val="24"/>
                <w:szCs w:val="24"/>
              </w:rPr>
              <w:t>Art. 8º A EFPC deve disponibilizar, em local de fácil acesso em seu sítio eletrônico na internet, informações relativas à celebração do TAC.</w:t>
            </w:r>
          </w:p>
        </w:tc>
        <w:tc>
          <w:tcPr>
            <w:tcW w:w="4849" w:type="dxa"/>
          </w:tcPr>
          <w:p w14:paraId="576615FC" w14:textId="53887D35" w:rsidR="00E86BE2" w:rsidRPr="0010524E" w:rsidRDefault="00E86BE2" w:rsidP="00E86BE2">
            <w:pPr>
              <w:pStyle w:val="Normal1"/>
              <w:widowControl w:val="0"/>
              <w:pBdr>
                <w:top w:val="nil"/>
                <w:left w:val="nil"/>
                <w:bottom w:val="nil"/>
                <w:right w:val="nil"/>
                <w:between w:val="nil"/>
              </w:pBdr>
              <w:tabs>
                <w:tab w:val="left" w:pos="337"/>
              </w:tabs>
              <w:spacing w:after="120"/>
              <w:ind w:right="3"/>
              <w:jc w:val="both"/>
              <w:rPr>
                <w:color w:val="000000"/>
                <w:sz w:val="24"/>
                <w:szCs w:val="24"/>
              </w:rPr>
            </w:pPr>
            <w:r w:rsidRPr="0010524E">
              <w:rPr>
                <w:sz w:val="24"/>
                <w:szCs w:val="24"/>
              </w:rPr>
              <w:t>Art. 298.  A EFPC deve disponibilizar, em local de fácil acesso em seu sítio eletrônico na internet, informações relativas à celebração do Termo de Ajustamento de Conduta.</w:t>
            </w:r>
          </w:p>
        </w:tc>
        <w:tc>
          <w:tcPr>
            <w:tcW w:w="4648" w:type="dxa"/>
          </w:tcPr>
          <w:p w14:paraId="02665ACA" w14:textId="77777777" w:rsidR="00E86BE2" w:rsidRPr="0010524E" w:rsidRDefault="00E86BE2" w:rsidP="00E86BE2">
            <w:pPr>
              <w:pStyle w:val="Normal1"/>
              <w:spacing w:after="120"/>
              <w:jc w:val="both"/>
              <w:rPr>
                <w:color w:val="000000"/>
                <w:sz w:val="24"/>
                <w:szCs w:val="24"/>
              </w:rPr>
            </w:pPr>
          </w:p>
        </w:tc>
      </w:tr>
      <w:tr w:rsidR="00E86BE2" w:rsidRPr="0010524E" w14:paraId="23FA3460" w14:textId="4A0D89E6" w:rsidTr="00E86BE2">
        <w:tc>
          <w:tcPr>
            <w:tcW w:w="4815" w:type="dxa"/>
          </w:tcPr>
          <w:p w14:paraId="7146642A" w14:textId="77777777" w:rsidR="00E86BE2" w:rsidRPr="0010524E" w:rsidRDefault="00E86BE2" w:rsidP="00E86BE2">
            <w:pPr>
              <w:pStyle w:val="Normal1"/>
              <w:spacing w:after="120"/>
              <w:jc w:val="both"/>
              <w:rPr>
                <w:color w:val="000000"/>
                <w:sz w:val="24"/>
                <w:szCs w:val="24"/>
              </w:rPr>
            </w:pPr>
            <w:r w:rsidRPr="0010524E">
              <w:rPr>
                <w:color w:val="000000"/>
                <w:sz w:val="24"/>
                <w:szCs w:val="24"/>
              </w:rPr>
              <w:t xml:space="preserve">Art. 9º O procedimento ou processo administrativo em curso que tiver por objeto </w:t>
            </w:r>
            <w:r w:rsidRPr="0010524E">
              <w:rPr>
                <w:color w:val="000000"/>
                <w:sz w:val="24"/>
                <w:szCs w:val="24"/>
              </w:rPr>
              <w:lastRenderedPageBreak/>
              <w:t>apurar a conduta abrangida pelo TAC deve ser suspenso durante a sua vigência.</w:t>
            </w:r>
          </w:p>
        </w:tc>
        <w:tc>
          <w:tcPr>
            <w:tcW w:w="4849" w:type="dxa"/>
          </w:tcPr>
          <w:p w14:paraId="347D9F63" w14:textId="26F979F5" w:rsidR="00E86BE2" w:rsidRPr="0010524E" w:rsidRDefault="00E86BE2" w:rsidP="00E86BE2">
            <w:pPr>
              <w:pStyle w:val="Normal1"/>
              <w:widowControl w:val="0"/>
              <w:pBdr>
                <w:top w:val="nil"/>
                <w:left w:val="nil"/>
                <w:bottom w:val="nil"/>
                <w:right w:val="nil"/>
                <w:between w:val="nil"/>
              </w:pBdr>
              <w:tabs>
                <w:tab w:val="left" w:pos="337"/>
              </w:tabs>
              <w:spacing w:after="120"/>
              <w:ind w:right="3"/>
              <w:jc w:val="both"/>
              <w:rPr>
                <w:color w:val="000000"/>
                <w:sz w:val="24"/>
                <w:szCs w:val="24"/>
              </w:rPr>
            </w:pPr>
            <w:r w:rsidRPr="0010524E">
              <w:rPr>
                <w:sz w:val="24"/>
                <w:szCs w:val="24"/>
              </w:rPr>
              <w:lastRenderedPageBreak/>
              <w:t xml:space="preserve">Art. 299.  O procedimento ou processo administrativo em curso que tiver por objeto apurar a conduta abrangida pelo Termo de Ajustamento de Conduta deve ser suspenso </w:t>
            </w:r>
            <w:r w:rsidRPr="0010524E">
              <w:rPr>
                <w:sz w:val="24"/>
                <w:szCs w:val="24"/>
              </w:rPr>
              <w:lastRenderedPageBreak/>
              <w:t>durante a sua vigência.</w:t>
            </w:r>
          </w:p>
        </w:tc>
        <w:tc>
          <w:tcPr>
            <w:tcW w:w="4648" w:type="dxa"/>
          </w:tcPr>
          <w:p w14:paraId="525863D1" w14:textId="77777777" w:rsidR="00E86BE2" w:rsidRPr="0010524E" w:rsidRDefault="00E86BE2" w:rsidP="00E86BE2">
            <w:pPr>
              <w:pStyle w:val="Normal1"/>
              <w:spacing w:after="120"/>
              <w:jc w:val="both"/>
              <w:rPr>
                <w:color w:val="000000"/>
                <w:sz w:val="24"/>
                <w:szCs w:val="24"/>
              </w:rPr>
            </w:pPr>
          </w:p>
        </w:tc>
      </w:tr>
      <w:tr w:rsidR="00E86BE2" w:rsidRPr="0010524E" w14:paraId="53AD406D" w14:textId="5D4B5904" w:rsidTr="00E86BE2">
        <w:tc>
          <w:tcPr>
            <w:tcW w:w="4815" w:type="dxa"/>
          </w:tcPr>
          <w:p w14:paraId="50B80C7C" w14:textId="77777777" w:rsidR="00E86BE2" w:rsidRPr="0010524E" w:rsidRDefault="00E86BE2" w:rsidP="00E86BE2">
            <w:pPr>
              <w:pStyle w:val="Normal1"/>
              <w:spacing w:after="120"/>
              <w:jc w:val="both"/>
              <w:rPr>
                <w:color w:val="000000"/>
                <w:sz w:val="24"/>
                <w:szCs w:val="24"/>
              </w:rPr>
            </w:pPr>
            <w:r w:rsidRPr="0010524E">
              <w:rPr>
                <w:color w:val="000000"/>
                <w:sz w:val="24"/>
                <w:szCs w:val="24"/>
              </w:rPr>
              <w:t>§ 1º A suspensão do procedimento ou processo administrativo deve ocorrer somente em relação aos compromissários.</w:t>
            </w:r>
          </w:p>
        </w:tc>
        <w:tc>
          <w:tcPr>
            <w:tcW w:w="4849" w:type="dxa"/>
          </w:tcPr>
          <w:p w14:paraId="3FC3C112" w14:textId="66DA801B" w:rsidR="00E86BE2" w:rsidRPr="0010524E" w:rsidRDefault="00E86BE2" w:rsidP="00E86BE2">
            <w:pPr>
              <w:pStyle w:val="Normal1"/>
              <w:widowControl w:val="0"/>
              <w:pBdr>
                <w:top w:val="nil"/>
                <w:left w:val="nil"/>
                <w:bottom w:val="nil"/>
                <w:right w:val="nil"/>
                <w:between w:val="nil"/>
              </w:pBdr>
              <w:tabs>
                <w:tab w:val="left" w:pos="337"/>
              </w:tabs>
              <w:spacing w:after="120"/>
              <w:ind w:right="3"/>
              <w:jc w:val="both"/>
              <w:rPr>
                <w:color w:val="000000"/>
                <w:sz w:val="24"/>
                <w:szCs w:val="24"/>
              </w:rPr>
            </w:pPr>
            <w:r w:rsidRPr="0010524E">
              <w:rPr>
                <w:sz w:val="24"/>
                <w:szCs w:val="24"/>
              </w:rPr>
              <w:t>§ 1º  A suspensão do procedimento ou processo administrativo deve ocorrer somente em relação aos compromissários.</w:t>
            </w:r>
          </w:p>
        </w:tc>
        <w:tc>
          <w:tcPr>
            <w:tcW w:w="4648" w:type="dxa"/>
          </w:tcPr>
          <w:p w14:paraId="53D2A914" w14:textId="77777777" w:rsidR="00E86BE2" w:rsidRPr="0010524E" w:rsidRDefault="00E86BE2" w:rsidP="00E86BE2">
            <w:pPr>
              <w:pStyle w:val="Normal1"/>
              <w:spacing w:after="120"/>
              <w:jc w:val="both"/>
              <w:rPr>
                <w:color w:val="000000"/>
                <w:sz w:val="24"/>
                <w:szCs w:val="24"/>
              </w:rPr>
            </w:pPr>
          </w:p>
        </w:tc>
      </w:tr>
      <w:tr w:rsidR="00E86BE2" w:rsidRPr="0010524E" w14:paraId="4B1AF42E" w14:textId="3588FB51" w:rsidTr="00E86BE2">
        <w:tc>
          <w:tcPr>
            <w:tcW w:w="4815" w:type="dxa"/>
          </w:tcPr>
          <w:p w14:paraId="388D7F79" w14:textId="77777777" w:rsidR="00E86BE2" w:rsidRPr="0010524E" w:rsidRDefault="00E86BE2" w:rsidP="00E86BE2">
            <w:pPr>
              <w:pStyle w:val="Normal1"/>
              <w:spacing w:after="120"/>
              <w:jc w:val="both"/>
              <w:rPr>
                <w:color w:val="000000"/>
                <w:sz w:val="24"/>
                <w:szCs w:val="24"/>
              </w:rPr>
            </w:pPr>
            <w:r w:rsidRPr="0010524E">
              <w:rPr>
                <w:color w:val="000000"/>
                <w:sz w:val="24"/>
                <w:szCs w:val="24"/>
              </w:rPr>
              <w:t>§ 2º A celebração do TAC interrompe a prescrição administrativa na data de sua assinatura, nos termos do inciso IV, do art. 2º da Lei nº 9.873, de 23 de novembro de 1999 .</w:t>
            </w:r>
          </w:p>
        </w:tc>
        <w:tc>
          <w:tcPr>
            <w:tcW w:w="4849" w:type="dxa"/>
          </w:tcPr>
          <w:p w14:paraId="276011AF" w14:textId="05131A72" w:rsidR="00E86BE2" w:rsidRPr="0010524E" w:rsidRDefault="00E86BE2" w:rsidP="00E86BE2">
            <w:pPr>
              <w:pStyle w:val="Normal1"/>
              <w:spacing w:after="120"/>
              <w:jc w:val="both"/>
              <w:rPr>
                <w:sz w:val="24"/>
                <w:szCs w:val="24"/>
              </w:rPr>
            </w:pPr>
            <w:r w:rsidRPr="0010524E">
              <w:rPr>
                <w:sz w:val="24"/>
                <w:szCs w:val="24"/>
              </w:rPr>
              <w:t>§ 2º  A celebração do Termo de Ajustamento de Conduta interrompe a prescrição administrativa na data de sua assinatura, nos termos do inciso IV, do art. 2º da Lei nº 9.873, de 23 de novembro de 1999.</w:t>
            </w:r>
          </w:p>
        </w:tc>
        <w:tc>
          <w:tcPr>
            <w:tcW w:w="4648" w:type="dxa"/>
          </w:tcPr>
          <w:p w14:paraId="2B93406A" w14:textId="77777777" w:rsidR="00E86BE2" w:rsidRPr="0010524E" w:rsidRDefault="00E86BE2" w:rsidP="00E86BE2">
            <w:pPr>
              <w:pStyle w:val="Normal1"/>
              <w:spacing w:after="120"/>
              <w:jc w:val="both"/>
              <w:rPr>
                <w:color w:val="000000"/>
                <w:sz w:val="24"/>
                <w:szCs w:val="24"/>
              </w:rPr>
            </w:pPr>
          </w:p>
        </w:tc>
      </w:tr>
      <w:tr w:rsidR="00E86BE2" w:rsidRPr="0010524E" w14:paraId="0A086F24" w14:textId="1584162D" w:rsidTr="00E86BE2">
        <w:tc>
          <w:tcPr>
            <w:tcW w:w="4815" w:type="dxa"/>
          </w:tcPr>
          <w:p w14:paraId="64166219" w14:textId="77777777" w:rsidR="00E86BE2" w:rsidRPr="0010524E" w:rsidRDefault="00E86BE2" w:rsidP="00E86BE2">
            <w:pPr>
              <w:pStyle w:val="Normal1"/>
              <w:spacing w:after="120"/>
              <w:jc w:val="both"/>
              <w:rPr>
                <w:color w:val="000000"/>
                <w:sz w:val="24"/>
                <w:szCs w:val="24"/>
              </w:rPr>
            </w:pPr>
            <w:r w:rsidRPr="0010524E">
              <w:rPr>
                <w:color w:val="000000"/>
                <w:sz w:val="24"/>
                <w:szCs w:val="24"/>
              </w:rPr>
              <w:t>Art. 10. O compromissário deve enviar, na periodicidade estipulada no TAC, relatório circunstanciado à Previc sobre as providências adotadas.</w:t>
            </w:r>
          </w:p>
        </w:tc>
        <w:tc>
          <w:tcPr>
            <w:tcW w:w="4849" w:type="dxa"/>
          </w:tcPr>
          <w:p w14:paraId="49BE4DAC" w14:textId="5C4C9539" w:rsidR="00E86BE2" w:rsidRPr="0010524E" w:rsidRDefault="00E86BE2" w:rsidP="00E86BE2">
            <w:pPr>
              <w:pStyle w:val="Normal1"/>
              <w:spacing w:after="120"/>
              <w:jc w:val="both"/>
              <w:rPr>
                <w:sz w:val="24"/>
                <w:szCs w:val="24"/>
              </w:rPr>
            </w:pPr>
            <w:r w:rsidRPr="0010524E">
              <w:rPr>
                <w:sz w:val="24"/>
                <w:szCs w:val="24"/>
              </w:rPr>
              <w:t>Art. 300.  O compromissário deve enviar, na periodicidade estipulada no Termo de Ajustamento de Conduta, relatório circunstanciado à Previc sobre as providências adotadas.</w:t>
            </w:r>
          </w:p>
        </w:tc>
        <w:tc>
          <w:tcPr>
            <w:tcW w:w="4648" w:type="dxa"/>
          </w:tcPr>
          <w:p w14:paraId="24B68B3D" w14:textId="77777777" w:rsidR="00E86BE2" w:rsidRPr="0010524E" w:rsidRDefault="00E86BE2" w:rsidP="00E86BE2">
            <w:pPr>
              <w:pStyle w:val="Normal1"/>
              <w:spacing w:after="120"/>
              <w:jc w:val="both"/>
              <w:rPr>
                <w:color w:val="000000"/>
                <w:sz w:val="24"/>
                <w:szCs w:val="24"/>
              </w:rPr>
            </w:pPr>
          </w:p>
        </w:tc>
      </w:tr>
      <w:tr w:rsidR="00E86BE2" w:rsidRPr="0010524E" w14:paraId="1151C3F0" w14:textId="258B939F" w:rsidTr="00E86BE2">
        <w:tc>
          <w:tcPr>
            <w:tcW w:w="4815" w:type="dxa"/>
          </w:tcPr>
          <w:p w14:paraId="009C729A" w14:textId="77777777" w:rsidR="00E86BE2" w:rsidRPr="0010524E" w:rsidRDefault="00E86BE2" w:rsidP="00E86BE2">
            <w:pPr>
              <w:pStyle w:val="Normal1"/>
              <w:spacing w:after="120"/>
              <w:jc w:val="both"/>
              <w:rPr>
                <w:color w:val="000000"/>
                <w:sz w:val="24"/>
                <w:szCs w:val="24"/>
              </w:rPr>
            </w:pPr>
            <w:r w:rsidRPr="0010524E">
              <w:rPr>
                <w:color w:val="000000"/>
                <w:sz w:val="24"/>
                <w:szCs w:val="24"/>
              </w:rPr>
              <w:t>Art. 11. A penalidade pecuniária pelo descumprimento total ou parcial do TAC,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w:t>
            </w:r>
          </w:p>
        </w:tc>
        <w:tc>
          <w:tcPr>
            <w:tcW w:w="4849" w:type="dxa"/>
          </w:tcPr>
          <w:p w14:paraId="0CE52C1B" w14:textId="4F2E3782"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 xml:space="preserve">Art. 301.  A penalidade pecuniária pelo descumprimento total ou parcial do Termo de Ajustamento de Conduta,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w:t>
            </w:r>
            <w:r w:rsidRPr="0010524E">
              <w:rPr>
                <w:sz w:val="24"/>
                <w:szCs w:val="24"/>
              </w:rPr>
              <w:lastRenderedPageBreak/>
              <w:t>ocorrência.</w:t>
            </w:r>
          </w:p>
        </w:tc>
        <w:tc>
          <w:tcPr>
            <w:tcW w:w="4648" w:type="dxa"/>
          </w:tcPr>
          <w:p w14:paraId="4ED9B717" w14:textId="77777777" w:rsidR="00E86BE2" w:rsidRPr="0010524E" w:rsidRDefault="00E86BE2" w:rsidP="00E86BE2">
            <w:pPr>
              <w:pStyle w:val="Normal1"/>
              <w:spacing w:after="120"/>
              <w:jc w:val="both"/>
              <w:rPr>
                <w:color w:val="000000"/>
                <w:sz w:val="24"/>
                <w:szCs w:val="24"/>
              </w:rPr>
            </w:pPr>
          </w:p>
        </w:tc>
      </w:tr>
      <w:tr w:rsidR="00E86BE2" w:rsidRPr="0010524E" w14:paraId="78824BDD" w14:textId="1984C92D" w:rsidTr="00E86BE2">
        <w:tc>
          <w:tcPr>
            <w:tcW w:w="4815" w:type="dxa"/>
          </w:tcPr>
          <w:p w14:paraId="08D6906E" w14:textId="77777777" w:rsidR="00E86BE2" w:rsidRPr="0010524E" w:rsidRDefault="00E86BE2" w:rsidP="00E86BE2">
            <w:pPr>
              <w:pStyle w:val="Normal1"/>
              <w:spacing w:after="120"/>
              <w:jc w:val="both"/>
              <w:rPr>
                <w:color w:val="000000"/>
                <w:sz w:val="24"/>
                <w:szCs w:val="24"/>
              </w:rPr>
            </w:pPr>
            <w:r w:rsidRPr="0010524E">
              <w:rPr>
                <w:color w:val="000000"/>
                <w:sz w:val="24"/>
                <w:szCs w:val="24"/>
              </w:rPr>
              <w:t>§ 1º A penalidade pecuniária a que se refere o caput não exclui a possibilidade de serem previstas no TAC, isolada ou cumulativamente, outras obrigações.</w:t>
            </w:r>
          </w:p>
        </w:tc>
        <w:tc>
          <w:tcPr>
            <w:tcW w:w="4849" w:type="dxa"/>
          </w:tcPr>
          <w:p w14:paraId="2A6F6EF4" w14:textId="17A65E6A"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 1º  A penalidade pecuniária a que se refere o caput não exclui a possibilidade de serem previstas no Termo de Ajustamento de Conduta, isolada ou cumulativamente, outras obrigações de pagar, de fazer ou de não fazer.</w:t>
            </w:r>
          </w:p>
        </w:tc>
        <w:tc>
          <w:tcPr>
            <w:tcW w:w="4648" w:type="dxa"/>
          </w:tcPr>
          <w:p w14:paraId="100059D0" w14:textId="77777777" w:rsidR="00E86BE2" w:rsidRPr="0010524E" w:rsidRDefault="00E86BE2" w:rsidP="00E86BE2">
            <w:pPr>
              <w:pStyle w:val="Normal1"/>
              <w:spacing w:after="120"/>
              <w:jc w:val="both"/>
              <w:rPr>
                <w:color w:val="000000"/>
                <w:sz w:val="24"/>
                <w:szCs w:val="24"/>
              </w:rPr>
            </w:pPr>
          </w:p>
        </w:tc>
      </w:tr>
      <w:tr w:rsidR="00E86BE2" w:rsidRPr="0010524E" w14:paraId="179C5835" w14:textId="5DD440DF" w:rsidTr="00E86BE2">
        <w:tc>
          <w:tcPr>
            <w:tcW w:w="4815" w:type="dxa"/>
          </w:tcPr>
          <w:p w14:paraId="39A54C2E" w14:textId="77777777" w:rsidR="00E86BE2" w:rsidRPr="0010524E" w:rsidRDefault="00E86BE2" w:rsidP="00E86BE2">
            <w:pPr>
              <w:pStyle w:val="Normal1"/>
              <w:spacing w:after="120"/>
              <w:jc w:val="both"/>
              <w:rPr>
                <w:color w:val="000000"/>
                <w:sz w:val="24"/>
                <w:szCs w:val="24"/>
              </w:rPr>
            </w:pPr>
            <w:r w:rsidRPr="0010524E">
              <w:rPr>
                <w:color w:val="000000"/>
                <w:sz w:val="24"/>
                <w:szCs w:val="24"/>
              </w:rPr>
              <w:t>§ 2º Os valores previstos no caput devem ser reajustados anualmente pelo Índice Nacional de Preços ao Consumidor, apurado pela Fundação Instituto Brasileiro de Geografia e Estatística (INPC/IBGE), ou por índice que vier a substituí-lo.</w:t>
            </w:r>
          </w:p>
        </w:tc>
        <w:tc>
          <w:tcPr>
            <w:tcW w:w="4849" w:type="dxa"/>
          </w:tcPr>
          <w:p w14:paraId="156853F6" w14:textId="0E38E84E" w:rsidR="00E86BE2" w:rsidRPr="0010524E" w:rsidRDefault="00E86BE2" w:rsidP="00E86BE2">
            <w:pPr>
              <w:spacing w:after="120"/>
              <w:jc w:val="both"/>
              <w:rPr>
                <w:color w:val="000000"/>
                <w:sz w:val="24"/>
                <w:szCs w:val="24"/>
              </w:rPr>
            </w:pPr>
            <w:r w:rsidRPr="0010524E">
              <w:rPr>
                <w:rFonts w:ascii="Calibri" w:eastAsia="Calibri" w:hAnsi="Calibri" w:cs="Calibri"/>
                <w:sz w:val="24"/>
                <w:szCs w:val="24"/>
              </w:rPr>
              <w:t>§ 2º  Os valores previstos no caput devem ser reajustados anualmente pelo Índice Nacional de Preços ao Consumidor, apurado pela Fundação Instituto Brasileiro de Geografia e Estatística, ou por índice que vier a substituí-lo.</w:t>
            </w:r>
          </w:p>
        </w:tc>
        <w:tc>
          <w:tcPr>
            <w:tcW w:w="4648" w:type="dxa"/>
          </w:tcPr>
          <w:p w14:paraId="5E69B046" w14:textId="77777777" w:rsidR="00E86BE2" w:rsidRPr="0010524E" w:rsidRDefault="00E86BE2" w:rsidP="00E86BE2">
            <w:pPr>
              <w:pStyle w:val="Normal1"/>
              <w:spacing w:after="120"/>
              <w:jc w:val="both"/>
              <w:rPr>
                <w:color w:val="000000"/>
                <w:sz w:val="24"/>
                <w:szCs w:val="24"/>
              </w:rPr>
            </w:pPr>
          </w:p>
        </w:tc>
      </w:tr>
      <w:tr w:rsidR="00E86BE2" w:rsidRPr="0010524E" w14:paraId="24B5626D" w14:textId="7CABFACE" w:rsidTr="00E86BE2">
        <w:tc>
          <w:tcPr>
            <w:tcW w:w="4815" w:type="dxa"/>
          </w:tcPr>
          <w:p w14:paraId="63F09682" w14:textId="77777777" w:rsidR="00E86BE2" w:rsidRPr="0010524E" w:rsidRDefault="00E86BE2" w:rsidP="00E86BE2">
            <w:pPr>
              <w:pStyle w:val="Normal1"/>
              <w:spacing w:after="120"/>
              <w:jc w:val="both"/>
              <w:rPr>
                <w:color w:val="000000"/>
                <w:sz w:val="24"/>
                <w:szCs w:val="24"/>
              </w:rPr>
            </w:pPr>
            <w:r w:rsidRPr="0010524E">
              <w:rPr>
                <w:color w:val="000000"/>
                <w:sz w:val="24"/>
                <w:szCs w:val="24"/>
              </w:rPr>
              <w:t>§ 3º Os valores previstos no caput são devidos por cada compromissário do T AC.</w:t>
            </w:r>
          </w:p>
        </w:tc>
        <w:tc>
          <w:tcPr>
            <w:tcW w:w="4849" w:type="dxa"/>
          </w:tcPr>
          <w:p w14:paraId="1FCAEE57" w14:textId="07BA3967" w:rsidR="00E86BE2" w:rsidRPr="0010524E" w:rsidRDefault="00E86BE2" w:rsidP="00E86BE2">
            <w:pPr>
              <w:spacing w:after="120"/>
              <w:jc w:val="both"/>
              <w:rPr>
                <w:color w:val="000000"/>
                <w:sz w:val="24"/>
                <w:szCs w:val="24"/>
              </w:rPr>
            </w:pPr>
            <w:r w:rsidRPr="0010524E">
              <w:rPr>
                <w:rFonts w:ascii="Calibri" w:eastAsia="Calibri" w:hAnsi="Calibri" w:cs="Calibri"/>
                <w:sz w:val="24"/>
                <w:szCs w:val="24"/>
              </w:rPr>
              <w:t>§ 3º  Os valores previstos no caput são devidos por cada compromissário do Termo de Ajustamento de Conduta.</w:t>
            </w:r>
          </w:p>
        </w:tc>
        <w:tc>
          <w:tcPr>
            <w:tcW w:w="4648" w:type="dxa"/>
          </w:tcPr>
          <w:p w14:paraId="472655C6" w14:textId="77777777" w:rsidR="00E86BE2" w:rsidRPr="0010524E" w:rsidRDefault="00E86BE2" w:rsidP="00E86BE2">
            <w:pPr>
              <w:pStyle w:val="Normal1"/>
              <w:spacing w:after="120"/>
              <w:jc w:val="both"/>
              <w:rPr>
                <w:color w:val="000000"/>
                <w:sz w:val="24"/>
                <w:szCs w:val="24"/>
              </w:rPr>
            </w:pPr>
          </w:p>
        </w:tc>
      </w:tr>
      <w:tr w:rsidR="00E86BE2" w:rsidRPr="0010524E" w14:paraId="087F9CE3" w14:textId="5E3018B0" w:rsidTr="00E86BE2">
        <w:tc>
          <w:tcPr>
            <w:tcW w:w="4815" w:type="dxa"/>
          </w:tcPr>
          <w:p w14:paraId="5D8DACBD" w14:textId="77777777" w:rsidR="00E86BE2" w:rsidRPr="0010524E" w:rsidRDefault="00E86BE2" w:rsidP="00E86BE2">
            <w:pPr>
              <w:pStyle w:val="Normal1"/>
              <w:spacing w:after="120"/>
              <w:jc w:val="both"/>
              <w:rPr>
                <w:color w:val="000000"/>
                <w:sz w:val="24"/>
                <w:szCs w:val="24"/>
              </w:rPr>
            </w:pPr>
          </w:p>
        </w:tc>
        <w:tc>
          <w:tcPr>
            <w:tcW w:w="4849" w:type="dxa"/>
          </w:tcPr>
          <w:p w14:paraId="1F28B0E5" w14:textId="14D6990D" w:rsidR="00E86BE2" w:rsidRPr="0010524E" w:rsidRDefault="00E86BE2" w:rsidP="00E86BE2">
            <w:pPr>
              <w:spacing w:after="120"/>
              <w:jc w:val="both"/>
              <w:rPr>
                <w:color w:val="000000"/>
                <w:sz w:val="24"/>
                <w:szCs w:val="24"/>
              </w:rPr>
            </w:pPr>
            <w:r w:rsidRPr="0010524E">
              <w:rPr>
                <w:rFonts w:ascii="Calibri" w:eastAsia="Calibri" w:hAnsi="Calibri" w:cs="Calibri"/>
                <w:sz w:val="24"/>
                <w:szCs w:val="24"/>
              </w:rPr>
              <w:t>Art. 302.  A decisão sobre o cumprimento ou descumprimento do Termo de Ajustamento de Conduta é de competência da Diretoria Colegiada da Previc.</w:t>
            </w:r>
          </w:p>
        </w:tc>
        <w:tc>
          <w:tcPr>
            <w:tcW w:w="4648" w:type="dxa"/>
          </w:tcPr>
          <w:p w14:paraId="7716F9AF" w14:textId="77777777" w:rsidR="00E86BE2" w:rsidRPr="0010524E" w:rsidRDefault="00E86BE2" w:rsidP="00E86BE2">
            <w:pPr>
              <w:pStyle w:val="Normal1"/>
              <w:pBdr>
                <w:top w:val="nil"/>
                <w:left w:val="nil"/>
                <w:bottom w:val="nil"/>
                <w:right w:val="nil"/>
                <w:between w:val="nil"/>
              </w:pBdr>
              <w:spacing w:after="120"/>
              <w:jc w:val="both"/>
              <w:rPr>
                <w:color w:val="000000"/>
                <w:sz w:val="24"/>
                <w:szCs w:val="24"/>
              </w:rPr>
            </w:pPr>
            <w:r w:rsidRPr="0010524E">
              <w:rPr>
                <w:color w:val="000000"/>
                <w:sz w:val="24"/>
                <w:szCs w:val="24"/>
              </w:rPr>
              <w:t>Realocado – antigo caput do art. 13 da Resolução Previc nº 06, de 23 de março de 2022.</w:t>
            </w:r>
          </w:p>
          <w:p w14:paraId="4775AD21" w14:textId="77777777" w:rsidR="00E86BE2" w:rsidRPr="0010524E" w:rsidRDefault="00E86BE2" w:rsidP="00E86BE2">
            <w:pPr>
              <w:pStyle w:val="Normal1"/>
              <w:spacing w:after="120"/>
              <w:jc w:val="both"/>
              <w:rPr>
                <w:color w:val="000000"/>
                <w:sz w:val="24"/>
                <w:szCs w:val="24"/>
              </w:rPr>
            </w:pPr>
          </w:p>
        </w:tc>
      </w:tr>
      <w:tr w:rsidR="00E86BE2" w:rsidRPr="0010524E" w14:paraId="11C1FEAA" w14:textId="2AEA937B" w:rsidTr="00E86BE2">
        <w:tc>
          <w:tcPr>
            <w:tcW w:w="4815" w:type="dxa"/>
          </w:tcPr>
          <w:p w14:paraId="22B27866" w14:textId="77777777" w:rsidR="00E86BE2" w:rsidRPr="0010524E" w:rsidRDefault="00E86BE2" w:rsidP="00E86BE2">
            <w:pPr>
              <w:pStyle w:val="Normal1"/>
              <w:spacing w:after="120"/>
              <w:jc w:val="both"/>
              <w:rPr>
                <w:color w:val="000000"/>
                <w:sz w:val="24"/>
                <w:szCs w:val="24"/>
              </w:rPr>
            </w:pPr>
            <w:r w:rsidRPr="0010524E">
              <w:rPr>
                <w:color w:val="000000"/>
                <w:sz w:val="24"/>
                <w:szCs w:val="24"/>
              </w:rPr>
              <w:t>Art. 12.  A unidade regional responsável pelo controle e acompanhamento da execução do TAC, quando constatar descumprimento dos compromissos assumidos, deve submeter o fato à Diretoria Colegiada.</w:t>
            </w:r>
          </w:p>
        </w:tc>
        <w:tc>
          <w:tcPr>
            <w:tcW w:w="4849" w:type="dxa"/>
          </w:tcPr>
          <w:p w14:paraId="33C1A2EB" w14:textId="28138C52"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 1º  A unidade regional responsável pelo controle e acompanhamento da execução do Termo de Ajustamento de Conduta, quando constatar descumprimento dos compromissos assumidos, deve submeter manifestação à Diretoria Colegiada da Previc.</w:t>
            </w:r>
          </w:p>
        </w:tc>
        <w:tc>
          <w:tcPr>
            <w:tcW w:w="4648" w:type="dxa"/>
          </w:tcPr>
          <w:p w14:paraId="2693DE40" w14:textId="77777777" w:rsidR="00E86BE2" w:rsidRPr="0010524E" w:rsidRDefault="00E86BE2" w:rsidP="00E86BE2">
            <w:pPr>
              <w:pStyle w:val="Normal1"/>
              <w:spacing w:after="120"/>
              <w:jc w:val="both"/>
              <w:rPr>
                <w:color w:val="000000"/>
                <w:sz w:val="24"/>
                <w:szCs w:val="24"/>
              </w:rPr>
            </w:pPr>
            <w:r w:rsidRPr="0010524E">
              <w:rPr>
                <w:color w:val="000000"/>
                <w:sz w:val="24"/>
                <w:szCs w:val="24"/>
              </w:rPr>
              <w:t>Realocado e renumerado.</w:t>
            </w:r>
          </w:p>
        </w:tc>
      </w:tr>
      <w:tr w:rsidR="00E86BE2" w:rsidRPr="0010524E" w14:paraId="5CA1272E" w14:textId="25029A76" w:rsidTr="00E86BE2">
        <w:tc>
          <w:tcPr>
            <w:tcW w:w="4815" w:type="dxa"/>
          </w:tcPr>
          <w:p w14:paraId="5A538930" w14:textId="77777777" w:rsidR="00E86BE2" w:rsidRPr="0010524E" w:rsidRDefault="00E86BE2" w:rsidP="00E86BE2">
            <w:pPr>
              <w:pStyle w:val="Normal1"/>
              <w:spacing w:after="120"/>
              <w:jc w:val="both"/>
              <w:rPr>
                <w:color w:val="000000"/>
                <w:sz w:val="24"/>
                <w:szCs w:val="24"/>
              </w:rPr>
            </w:pPr>
          </w:p>
        </w:tc>
        <w:tc>
          <w:tcPr>
            <w:tcW w:w="4849" w:type="dxa"/>
          </w:tcPr>
          <w:p w14:paraId="51C2D093" w14:textId="058173F2" w:rsidR="00E86BE2" w:rsidRPr="0010524E" w:rsidRDefault="00E86BE2" w:rsidP="00E86BE2">
            <w:pPr>
              <w:pStyle w:val="Normal1"/>
              <w:spacing w:after="120"/>
              <w:jc w:val="both"/>
              <w:rPr>
                <w:color w:val="000000"/>
                <w:sz w:val="24"/>
                <w:szCs w:val="24"/>
              </w:rPr>
            </w:pPr>
            <w:r w:rsidRPr="0010524E">
              <w:rPr>
                <w:sz w:val="24"/>
                <w:szCs w:val="24"/>
              </w:rPr>
              <w:t>§ 2º  A unidade regional responsável pelo controle e acompanhamento da execução do Termo de Ajustamento de Conduta deve analisar o cumprimento dos compromissos assumidos, submetendo manifestação à Diretoria Colegiada da Previc.</w:t>
            </w:r>
          </w:p>
        </w:tc>
        <w:tc>
          <w:tcPr>
            <w:tcW w:w="4648" w:type="dxa"/>
          </w:tcPr>
          <w:p w14:paraId="39C884F3" w14:textId="77777777" w:rsidR="00E86BE2" w:rsidRPr="0010524E" w:rsidRDefault="00E86BE2" w:rsidP="00E86BE2">
            <w:pPr>
              <w:pStyle w:val="Normal1"/>
              <w:spacing w:after="120"/>
              <w:jc w:val="both"/>
              <w:rPr>
                <w:color w:val="000000"/>
                <w:sz w:val="24"/>
                <w:szCs w:val="24"/>
              </w:rPr>
            </w:pPr>
            <w:r w:rsidRPr="0010524E">
              <w:rPr>
                <w:color w:val="000000"/>
                <w:sz w:val="24"/>
                <w:szCs w:val="24"/>
              </w:rPr>
              <w:t>Inserido para definir as responsabilidades.</w:t>
            </w:r>
          </w:p>
        </w:tc>
      </w:tr>
      <w:tr w:rsidR="00E86BE2" w:rsidRPr="0010524E" w14:paraId="26490FCD" w14:textId="5B3B254F" w:rsidTr="00E86BE2">
        <w:tc>
          <w:tcPr>
            <w:tcW w:w="4815" w:type="dxa"/>
          </w:tcPr>
          <w:p w14:paraId="2D6905CD" w14:textId="77777777" w:rsidR="00E86BE2" w:rsidRPr="0010524E" w:rsidRDefault="00E86BE2" w:rsidP="00E86BE2">
            <w:pPr>
              <w:pStyle w:val="Normal1"/>
              <w:spacing w:after="120"/>
              <w:jc w:val="both"/>
              <w:rPr>
                <w:color w:val="000000"/>
                <w:sz w:val="24"/>
                <w:szCs w:val="24"/>
              </w:rPr>
            </w:pPr>
          </w:p>
        </w:tc>
        <w:tc>
          <w:tcPr>
            <w:tcW w:w="4849" w:type="dxa"/>
          </w:tcPr>
          <w:p w14:paraId="31104724" w14:textId="6F8A717C"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 3º  Cabe pedido de reconsideração da decisão da Diretoria Colegiada da Previc, no prazo de quinze dias a contar da data da notificação do compromissário, com efeito suspensivo.</w:t>
            </w:r>
          </w:p>
        </w:tc>
        <w:tc>
          <w:tcPr>
            <w:tcW w:w="4648" w:type="dxa"/>
          </w:tcPr>
          <w:p w14:paraId="5885F65C" w14:textId="77777777" w:rsidR="00E86BE2" w:rsidRPr="0010524E" w:rsidRDefault="00E86BE2" w:rsidP="00E86BE2">
            <w:pPr>
              <w:pStyle w:val="Normal1"/>
              <w:spacing w:after="120"/>
              <w:jc w:val="both"/>
              <w:rPr>
                <w:color w:val="000000"/>
                <w:sz w:val="24"/>
                <w:szCs w:val="24"/>
              </w:rPr>
            </w:pPr>
            <w:r w:rsidRPr="0010524E">
              <w:rPr>
                <w:color w:val="000000"/>
                <w:sz w:val="24"/>
                <w:szCs w:val="24"/>
              </w:rPr>
              <w:t>Realocado – do parágrafo único do art. 13 da Resolução Previc nº 06, de 23 de março de 2022.</w:t>
            </w:r>
          </w:p>
        </w:tc>
      </w:tr>
      <w:tr w:rsidR="00E86BE2" w:rsidRPr="0010524E" w14:paraId="593380FB" w14:textId="04BDF404" w:rsidTr="00E86BE2">
        <w:tc>
          <w:tcPr>
            <w:tcW w:w="4815" w:type="dxa"/>
          </w:tcPr>
          <w:p w14:paraId="5BEFDFEC" w14:textId="77777777" w:rsidR="00E86BE2" w:rsidRPr="0010524E" w:rsidRDefault="00E86BE2" w:rsidP="00E86BE2">
            <w:pPr>
              <w:pStyle w:val="Normal1"/>
              <w:spacing w:after="120"/>
              <w:jc w:val="both"/>
              <w:rPr>
                <w:color w:val="000000"/>
                <w:sz w:val="24"/>
                <w:szCs w:val="24"/>
              </w:rPr>
            </w:pPr>
            <w:r w:rsidRPr="0010524E">
              <w:rPr>
                <w:color w:val="000000"/>
                <w:sz w:val="24"/>
                <w:szCs w:val="24"/>
              </w:rPr>
              <w:t>Art. 13.  A decisão sobre o descumprimento do TAC é de competência da Diretoria Colegiada.</w:t>
            </w:r>
          </w:p>
        </w:tc>
        <w:tc>
          <w:tcPr>
            <w:tcW w:w="4849" w:type="dxa"/>
          </w:tcPr>
          <w:p w14:paraId="1C6E4045" w14:textId="77777777"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p>
        </w:tc>
        <w:tc>
          <w:tcPr>
            <w:tcW w:w="4648" w:type="dxa"/>
          </w:tcPr>
          <w:p w14:paraId="4CA4613F" w14:textId="77777777" w:rsidR="00E86BE2" w:rsidRPr="0010524E" w:rsidRDefault="00E86BE2" w:rsidP="00E86BE2">
            <w:pPr>
              <w:pStyle w:val="Normal1"/>
              <w:spacing w:after="120"/>
              <w:jc w:val="both"/>
              <w:rPr>
                <w:color w:val="000000"/>
                <w:sz w:val="24"/>
                <w:szCs w:val="24"/>
              </w:rPr>
            </w:pPr>
            <w:r w:rsidRPr="0010524E">
              <w:rPr>
                <w:color w:val="000000"/>
                <w:sz w:val="24"/>
                <w:szCs w:val="24"/>
              </w:rPr>
              <w:t>Realocado – novo art. 490</w:t>
            </w:r>
          </w:p>
        </w:tc>
      </w:tr>
      <w:tr w:rsidR="00E86BE2" w:rsidRPr="0010524E" w14:paraId="1EB63C58" w14:textId="68C40115" w:rsidTr="00E86BE2">
        <w:tc>
          <w:tcPr>
            <w:tcW w:w="4815" w:type="dxa"/>
          </w:tcPr>
          <w:p w14:paraId="27E807E2" w14:textId="77777777" w:rsidR="00E86BE2" w:rsidRPr="0010524E" w:rsidRDefault="00E86BE2" w:rsidP="00E86BE2">
            <w:pPr>
              <w:pStyle w:val="Normal1"/>
              <w:spacing w:after="120"/>
              <w:jc w:val="both"/>
              <w:rPr>
                <w:color w:val="000000"/>
                <w:sz w:val="24"/>
                <w:szCs w:val="24"/>
              </w:rPr>
            </w:pPr>
            <w:r w:rsidRPr="0010524E">
              <w:rPr>
                <w:color w:val="000000"/>
                <w:sz w:val="24"/>
                <w:szCs w:val="24"/>
              </w:rPr>
              <w:t>Parágrafo único. Cabe pedido de reconsideração da decisão da Diretoria Colegiada, no prazo de quinze dias a contar da data da notificação do compromissário, com efeito suspensivo.</w:t>
            </w:r>
          </w:p>
        </w:tc>
        <w:tc>
          <w:tcPr>
            <w:tcW w:w="4849" w:type="dxa"/>
          </w:tcPr>
          <w:p w14:paraId="0B8335C2" w14:textId="77777777" w:rsidR="00E86BE2" w:rsidRPr="0010524E" w:rsidRDefault="00E86BE2" w:rsidP="00E86BE2">
            <w:pPr>
              <w:pStyle w:val="Normal1"/>
              <w:spacing w:after="120"/>
              <w:jc w:val="both"/>
              <w:rPr>
                <w:sz w:val="24"/>
                <w:szCs w:val="24"/>
              </w:rPr>
            </w:pPr>
          </w:p>
        </w:tc>
        <w:tc>
          <w:tcPr>
            <w:tcW w:w="4648" w:type="dxa"/>
          </w:tcPr>
          <w:p w14:paraId="43B1FFFC" w14:textId="77777777" w:rsidR="00E86BE2" w:rsidRPr="0010524E" w:rsidRDefault="00E86BE2" w:rsidP="00E86BE2">
            <w:pPr>
              <w:pStyle w:val="Normal1"/>
              <w:spacing w:after="120"/>
              <w:jc w:val="both"/>
              <w:rPr>
                <w:color w:val="000000"/>
                <w:sz w:val="24"/>
                <w:szCs w:val="24"/>
              </w:rPr>
            </w:pPr>
            <w:r w:rsidRPr="0010524E">
              <w:rPr>
                <w:color w:val="000000"/>
                <w:sz w:val="24"/>
                <w:szCs w:val="24"/>
              </w:rPr>
              <w:t xml:space="preserve">Realocado – novo </w:t>
            </w:r>
            <w:r w:rsidRPr="0010524E">
              <w:rPr>
                <w:sz w:val="24"/>
                <w:szCs w:val="24"/>
              </w:rPr>
              <w:t xml:space="preserve">§ 3º </w:t>
            </w:r>
            <w:r w:rsidRPr="0010524E">
              <w:rPr>
                <w:color w:val="000000" w:themeColor="text1"/>
                <w:sz w:val="24"/>
                <w:szCs w:val="24"/>
              </w:rPr>
              <w:t>do art. 490.</w:t>
            </w:r>
          </w:p>
        </w:tc>
      </w:tr>
      <w:tr w:rsidR="00E86BE2" w:rsidRPr="0010524E" w14:paraId="26F94699" w14:textId="07A91F67" w:rsidTr="00E86BE2">
        <w:tc>
          <w:tcPr>
            <w:tcW w:w="4815" w:type="dxa"/>
          </w:tcPr>
          <w:p w14:paraId="5035AE9F" w14:textId="77777777" w:rsidR="00E86BE2" w:rsidRPr="0010524E" w:rsidRDefault="00E86BE2" w:rsidP="00E86BE2">
            <w:pPr>
              <w:pStyle w:val="Normal1"/>
              <w:spacing w:after="120"/>
              <w:jc w:val="both"/>
              <w:rPr>
                <w:color w:val="000000"/>
                <w:sz w:val="24"/>
                <w:szCs w:val="24"/>
              </w:rPr>
            </w:pPr>
            <w:r w:rsidRPr="0010524E">
              <w:rPr>
                <w:color w:val="000000"/>
                <w:sz w:val="24"/>
                <w:szCs w:val="24"/>
              </w:rPr>
              <w:t>Art. 14.  Os compromissários devem ser notificados do descumprimento do TAC:</w:t>
            </w:r>
          </w:p>
        </w:tc>
        <w:tc>
          <w:tcPr>
            <w:tcW w:w="4849" w:type="dxa"/>
          </w:tcPr>
          <w:p w14:paraId="3678DB82" w14:textId="132FCAA0"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Art. 303.  Os compromissários devem ser notificados do cumprimento ou descumprimento do Termo de Ajustamento de Conduta:</w:t>
            </w:r>
          </w:p>
        </w:tc>
        <w:tc>
          <w:tcPr>
            <w:tcW w:w="4648" w:type="dxa"/>
          </w:tcPr>
          <w:p w14:paraId="5589EA95" w14:textId="77777777" w:rsidR="00E86BE2" w:rsidRPr="0010524E" w:rsidRDefault="00E86BE2" w:rsidP="00E86BE2">
            <w:pPr>
              <w:pStyle w:val="Normal1"/>
              <w:spacing w:after="120"/>
              <w:jc w:val="both"/>
              <w:rPr>
                <w:color w:val="000000"/>
                <w:sz w:val="24"/>
                <w:szCs w:val="24"/>
              </w:rPr>
            </w:pPr>
          </w:p>
        </w:tc>
      </w:tr>
      <w:tr w:rsidR="00E86BE2" w:rsidRPr="0010524E" w14:paraId="40CF519B" w14:textId="25057280" w:rsidTr="00E86BE2">
        <w:tc>
          <w:tcPr>
            <w:tcW w:w="4815" w:type="dxa"/>
          </w:tcPr>
          <w:p w14:paraId="441627B6" w14:textId="77777777" w:rsidR="00E86BE2" w:rsidRPr="0010524E" w:rsidRDefault="00E86BE2" w:rsidP="00E86BE2">
            <w:pPr>
              <w:pStyle w:val="Normal1"/>
              <w:spacing w:after="120"/>
              <w:jc w:val="both"/>
              <w:rPr>
                <w:color w:val="000000"/>
                <w:sz w:val="24"/>
                <w:szCs w:val="24"/>
              </w:rPr>
            </w:pPr>
            <w:r w:rsidRPr="0010524E">
              <w:rPr>
                <w:color w:val="000000"/>
                <w:sz w:val="24"/>
                <w:szCs w:val="24"/>
              </w:rPr>
              <w:t>I - preferencialmente por meio eletrônico, na forma do Decreto nº 8.539, de 8 de outubro de 2015;</w:t>
            </w:r>
          </w:p>
        </w:tc>
        <w:tc>
          <w:tcPr>
            <w:tcW w:w="4849" w:type="dxa"/>
          </w:tcPr>
          <w:p w14:paraId="20FE3993" w14:textId="7792DB33"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I - preferencialmente por meio eletrônico, na forma do Decreto nº 8.539, de 8 de outubro de 2015;</w:t>
            </w:r>
          </w:p>
        </w:tc>
        <w:tc>
          <w:tcPr>
            <w:tcW w:w="4648" w:type="dxa"/>
          </w:tcPr>
          <w:p w14:paraId="53F388AE" w14:textId="77777777" w:rsidR="00E86BE2" w:rsidRPr="0010524E" w:rsidRDefault="00E86BE2" w:rsidP="00E86BE2">
            <w:pPr>
              <w:pStyle w:val="Normal1"/>
              <w:spacing w:after="120"/>
              <w:jc w:val="both"/>
              <w:rPr>
                <w:color w:val="000000"/>
                <w:sz w:val="24"/>
                <w:szCs w:val="24"/>
              </w:rPr>
            </w:pPr>
          </w:p>
        </w:tc>
      </w:tr>
      <w:tr w:rsidR="00E86BE2" w:rsidRPr="0010524E" w14:paraId="240D2636" w14:textId="572FF563" w:rsidTr="00E86BE2">
        <w:tc>
          <w:tcPr>
            <w:tcW w:w="4815" w:type="dxa"/>
          </w:tcPr>
          <w:p w14:paraId="6C7A6B57" w14:textId="77777777" w:rsidR="00E86BE2" w:rsidRPr="0010524E" w:rsidRDefault="00E86BE2" w:rsidP="00E86BE2">
            <w:pPr>
              <w:pStyle w:val="Normal1"/>
              <w:spacing w:after="120"/>
              <w:jc w:val="both"/>
              <w:rPr>
                <w:color w:val="000000"/>
                <w:sz w:val="24"/>
                <w:szCs w:val="24"/>
              </w:rPr>
            </w:pPr>
            <w:r w:rsidRPr="0010524E">
              <w:rPr>
                <w:color w:val="000000"/>
                <w:sz w:val="24"/>
                <w:szCs w:val="24"/>
              </w:rPr>
              <w:t xml:space="preserve">II - por via postal, comprovando-se sua entrega pelo aviso de recebimento ou documento </w:t>
            </w:r>
            <w:r w:rsidRPr="0010524E">
              <w:rPr>
                <w:color w:val="000000"/>
                <w:sz w:val="24"/>
                <w:szCs w:val="24"/>
              </w:rPr>
              <w:lastRenderedPageBreak/>
              <w:t>similar com mesma finalidade, emitido pelo serviço postal;</w:t>
            </w:r>
          </w:p>
        </w:tc>
        <w:tc>
          <w:tcPr>
            <w:tcW w:w="4849" w:type="dxa"/>
          </w:tcPr>
          <w:p w14:paraId="2F74E61D" w14:textId="35C695A1"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lastRenderedPageBreak/>
              <w:t xml:space="preserve">II - por via postal, comprovando-se sua entrega pelo aviso de recebimento ou documento </w:t>
            </w:r>
            <w:r w:rsidRPr="0010524E">
              <w:rPr>
                <w:sz w:val="24"/>
                <w:szCs w:val="24"/>
              </w:rPr>
              <w:lastRenderedPageBreak/>
              <w:t xml:space="preserve">similar com mesma finalidade, emitido pelo serviço postal; </w:t>
            </w:r>
          </w:p>
        </w:tc>
        <w:tc>
          <w:tcPr>
            <w:tcW w:w="4648" w:type="dxa"/>
          </w:tcPr>
          <w:p w14:paraId="32ACA39A" w14:textId="77777777" w:rsidR="00E86BE2" w:rsidRPr="0010524E" w:rsidRDefault="00E86BE2" w:rsidP="00E86BE2">
            <w:pPr>
              <w:pStyle w:val="Normal1"/>
              <w:spacing w:after="120"/>
              <w:jc w:val="both"/>
              <w:rPr>
                <w:color w:val="000000"/>
                <w:sz w:val="24"/>
                <w:szCs w:val="24"/>
              </w:rPr>
            </w:pPr>
          </w:p>
        </w:tc>
      </w:tr>
      <w:tr w:rsidR="00E86BE2" w:rsidRPr="0010524E" w14:paraId="2C6C31CF" w14:textId="3771E3DF" w:rsidTr="00E86BE2">
        <w:tc>
          <w:tcPr>
            <w:tcW w:w="4815" w:type="dxa"/>
          </w:tcPr>
          <w:p w14:paraId="277FA23C" w14:textId="77777777" w:rsidR="00E86BE2" w:rsidRPr="0010524E" w:rsidRDefault="00E86BE2" w:rsidP="00E86BE2">
            <w:pPr>
              <w:pStyle w:val="Normal1"/>
              <w:spacing w:after="120"/>
              <w:jc w:val="both"/>
              <w:rPr>
                <w:color w:val="000000"/>
                <w:sz w:val="24"/>
                <w:szCs w:val="24"/>
              </w:rPr>
            </w:pPr>
            <w:r w:rsidRPr="0010524E">
              <w:rPr>
                <w:color w:val="000000"/>
                <w:sz w:val="24"/>
                <w:szCs w:val="24"/>
              </w:rPr>
              <w:t>III - mediante ciência do autuado ou do seu procurador, efetivada por servidor designado, ou, no caso de recusa daquele, de aposição de assinatura desse em declaração expressa; ou</w:t>
            </w:r>
          </w:p>
        </w:tc>
        <w:tc>
          <w:tcPr>
            <w:tcW w:w="4849" w:type="dxa"/>
          </w:tcPr>
          <w:p w14:paraId="667FAF9C" w14:textId="728DAE56"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III - mediante ciência do autuado ou do seu procurador, efetivada por servidor designado, ou, no caso de recusa daquele, de aposição de assinatura desse em declaração expressa; ou</w:t>
            </w:r>
          </w:p>
        </w:tc>
        <w:tc>
          <w:tcPr>
            <w:tcW w:w="4648" w:type="dxa"/>
          </w:tcPr>
          <w:p w14:paraId="4B80EF61" w14:textId="77777777" w:rsidR="00E86BE2" w:rsidRPr="0010524E" w:rsidRDefault="00E86BE2" w:rsidP="00E86BE2">
            <w:pPr>
              <w:pStyle w:val="Normal1"/>
              <w:pBdr>
                <w:top w:val="nil"/>
                <w:left w:val="nil"/>
                <w:bottom w:val="nil"/>
                <w:right w:val="nil"/>
                <w:between w:val="nil"/>
              </w:pBdr>
              <w:spacing w:after="120"/>
              <w:jc w:val="both"/>
              <w:rPr>
                <w:color w:val="000000"/>
                <w:sz w:val="24"/>
                <w:szCs w:val="24"/>
              </w:rPr>
            </w:pPr>
          </w:p>
        </w:tc>
      </w:tr>
      <w:tr w:rsidR="00E86BE2" w:rsidRPr="0010524E" w14:paraId="211E8CFF" w14:textId="51D47A5A" w:rsidTr="00E86BE2">
        <w:tc>
          <w:tcPr>
            <w:tcW w:w="4815" w:type="dxa"/>
          </w:tcPr>
          <w:p w14:paraId="4DBF964F" w14:textId="77777777" w:rsidR="00E86BE2" w:rsidRPr="0010524E" w:rsidRDefault="00E86BE2" w:rsidP="00E86BE2">
            <w:pPr>
              <w:pStyle w:val="Normal1"/>
              <w:spacing w:after="120"/>
              <w:jc w:val="both"/>
              <w:rPr>
                <w:color w:val="000000"/>
                <w:sz w:val="24"/>
                <w:szCs w:val="24"/>
              </w:rPr>
            </w:pPr>
            <w:r w:rsidRPr="0010524E">
              <w:rPr>
                <w:color w:val="000000"/>
                <w:sz w:val="24"/>
                <w:szCs w:val="24"/>
              </w:rPr>
              <w:t>IV - por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tc>
        <w:tc>
          <w:tcPr>
            <w:tcW w:w="4849" w:type="dxa"/>
          </w:tcPr>
          <w:p w14:paraId="49F632CF" w14:textId="236A5019" w:rsidR="00E86BE2" w:rsidRPr="0010524E" w:rsidRDefault="00E86BE2" w:rsidP="00E86BE2">
            <w:pPr>
              <w:pStyle w:val="Normal1"/>
              <w:spacing w:after="120"/>
              <w:jc w:val="both"/>
              <w:rPr>
                <w:color w:val="000000"/>
                <w:sz w:val="24"/>
                <w:szCs w:val="24"/>
              </w:rPr>
            </w:pPr>
            <w:r w:rsidRPr="0010524E">
              <w:rPr>
                <w:sz w:val="24"/>
                <w:szCs w:val="24"/>
              </w:rPr>
              <w:t>IV - por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tc>
        <w:tc>
          <w:tcPr>
            <w:tcW w:w="4648" w:type="dxa"/>
          </w:tcPr>
          <w:p w14:paraId="05080E70" w14:textId="77777777" w:rsidR="00E86BE2" w:rsidRPr="0010524E" w:rsidRDefault="00E86BE2" w:rsidP="00E86BE2">
            <w:pPr>
              <w:pStyle w:val="Normal1"/>
              <w:spacing w:after="120"/>
              <w:jc w:val="both"/>
              <w:rPr>
                <w:color w:val="000000"/>
                <w:sz w:val="24"/>
                <w:szCs w:val="24"/>
              </w:rPr>
            </w:pPr>
          </w:p>
        </w:tc>
      </w:tr>
      <w:tr w:rsidR="00E86BE2" w:rsidRPr="0010524E" w14:paraId="77FE7C86" w14:textId="00792027" w:rsidTr="00E86BE2">
        <w:tc>
          <w:tcPr>
            <w:tcW w:w="4815" w:type="dxa"/>
          </w:tcPr>
          <w:p w14:paraId="2C13CFDB" w14:textId="77777777" w:rsidR="00E86BE2" w:rsidRPr="0010524E" w:rsidRDefault="00E86BE2" w:rsidP="00E86BE2">
            <w:pPr>
              <w:pStyle w:val="Normal1"/>
              <w:spacing w:after="120"/>
              <w:jc w:val="both"/>
              <w:rPr>
                <w:color w:val="000000"/>
                <w:sz w:val="24"/>
                <w:szCs w:val="24"/>
              </w:rPr>
            </w:pPr>
            <w:r w:rsidRPr="0010524E">
              <w:rPr>
                <w:color w:val="000000"/>
                <w:sz w:val="24"/>
                <w:szCs w:val="24"/>
              </w:rPr>
              <w:t>Parágrafo único.  O compromissário deve manter atualizado seu endereço completo junto à Previc.</w:t>
            </w:r>
          </w:p>
        </w:tc>
        <w:tc>
          <w:tcPr>
            <w:tcW w:w="4849" w:type="dxa"/>
          </w:tcPr>
          <w:p w14:paraId="0F19C766" w14:textId="5F05FD4C" w:rsidR="00E86BE2" w:rsidRPr="0010524E" w:rsidRDefault="00E86BE2" w:rsidP="00E86BE2">
            <w:pPr>
              <w:pStyle w:val="Normal1"/>
              <w:spacing w:after="120"/>
              <w:jc w:val="both"/>
              <w:rPr>
                <w:color w:val="000000"/>
                <w:sz w:val="24"/>
                <w:szCs w:val="24"/>
              </w:rPr>
            </w:pPr>
            <w:r w:rsidRPr="0010524E">
              <w:rPr>
                <w:sz w:val="24"/>
                <w:szCs w:val="24"/>
              </w:rPr>
              <w:t>Parágrafo único.  O compromissário deve manter atualizado seu endereço completo junto à Previc.</w:t>
            </w:r>
          </w:p>
        </w:tc>
        <w:tc>
          <w:tcPr>
            <w:tcW w:w="4648" w:type="dxa"/>
          </w:tcPr>
          <w:p w14:paraId="6B03486D" w14:textId="77777777" w:rsidR="00E86BE2" w:rsidRPr="0010524E" w:rsidRDefault="00E86BE2" w:rsidP="00E86BE2">
            <w:pPr>
              <w:pStyle w:val="Normal1"/>
              <w:spacing w:after="120"/>
              <w:jc w:val="both"/>
              <w:rPr>
                <w:color w:val="000000"/>
                <w:sz w:val="24"/>
                <w:szCs w:val="24"/>
              </w:rPr>
            </w:pPr>
          </w:p>
        </w:tc>
      </w:tr>
      <w:tr w:rsidR="00E86BE2" w:rsidRPr="0010524E" w14:paraId="580A1B07" w14:textId="5CBFB04E" w:rsidTr="00E86BE2">
        <w:tc>
          <w:tcPr>
            <w:tcW w:w="4815" w:type="dxa"/>
          </w:tcPr>
          <w:p w14:paraId="78FC157D" w14:textId="77777777" w:rsidR="00E86BE2" w:rsidRPr="0010524E" w:rsidRDefault="00E86BE2" w:rsidP="00E86BE2">
            <w:pPr>
              <w:pStyle w:val="Normal1"/>
              <w:spacing w:after="120"/>
              <w:jc w:val="both"/>
              <w:rPr>
                <w:color w:val="000000"/>
                <w:sz w:val="24"/>
                <w:szCs w:val="24"/>
              </w:rPr>
            </w:pPr>
            <w:r w:rsidRPr="0010524E">
              <w:rPr>
                <w:color w:val="000000"/>
                <w:sz w:val="24"/>
                <w:szCs w:val="24"/>
              </w:rPr>
              <w:t>Art. 15.  A penalidade pecuniária prevista no art. 11 deve ser recolhida conforme o que for disposto no TAC, no prazo máximo de quinze dias contados da notificação da decisão definitiva.</w:t>
            </w:r>
          </w:p>
        </w:tc>
        <w:tc>
          <w:tcPr>
            <w:tcW w:w="4849" w:type="dxa"/>
          </w:tcPr>
          <w:p w14:paraId="79D16381" w14:textId="454AE516"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Art. 304.  A penalidade pecuniária prevista no art. 301 deve ser recolhida conforme o que for disposto no Termo de Ajustamento de Conduta, no prazo máximo de quinze dias contados da notificação da decisão definitiva.</w:t>
            </w:r>
          </w:p>
        </w:tc>
        <w:tc>
          <w:tcPr>
            <w:tcW w:w="4648" w:type="dxa"/>
          </w:tcPr>
          <w:p w14:paraId="70E338E2" w14:textId="77777777" w:rsidR="00E86BE2" w:rsidRPr="0010524E" w:rsidRDefault="00E86BE2" w:rsidP="00E86BE2">
            <w:pPr>
              <w:pStyle w:val="Normal1"/>
              <w:spacing w:after="120"/>
              <w:jc w:val="both"/>
              <w:rPr>
                <w:color w:val="000000"/>
                <w:sz w:val="24"/>
                <w:szCs w:val="24"/>
              </w:rPr>
            </w:pPr>
          </w:p>
        </w:tc>
      </w:tr>
      <w:tr w:rsidR="00E86BE2" w:rsidRPr="0010524E" w14:paraId="73DE1C43" w14:textId="3EFF011D" w:rsidTr="00E86BE2">
        <w:tc>
          <w:tcPr>
            <w:tcW w:w="4815" w:type="dxa"/>
          </w:tcPr>
          <w:p w14:paraId="16BBCF29" w14:textId="77777777" w:rsidR="00E86BE2" w:rsidRPr="0010524E" w:rsidRDefault="00E86BE2" w:rsidP="00E86BE2">
            <w:pPr>
              <w:pStyle w:val="Normal1"/>
              <w:spacing w:after="120"/>
              <w:jc w:val="both"/>
              <w:rPr>
                <w:color w:val="000000"/>
                <w:sz w:val="24"/>
                <w:szCs w:val="24"/>
              </w:rPr>
            </w:pPr>
            <w:r w:rsidRPr="0010524E">
              <w:rPr>
                <w:color w:val="000000"/>
                <w:sz w:val="24"/>
                <w:szCs w:val="24"/>
              </w:rPr>
              <w:t xml:space="preserve">§ 1º  Se recolhida fora do prazo, o valor da penalidade pecuniária deve ser corrigido pela taxa referencial do Sistema Especial de Liquidação e Custódia (Selic), acumulada </w:t>
            </w:r>
            <w:r w:rsidRPr="0010524E">
              <w:rPr>
                <w:color w:val="000000"/>
                <w:sz w:val="24"/>
                <w:szCs w:val="24"/>
              </w:rPr>
              <w:lastRenderedPageBreak/>
              <w:t>mensalmente, calculada a partir do primeiro dia do mês subsequente ao do vencimento do prazo, até o mês anterior ao do pagamento, acrescido de juros de mora de um por cento ao mês.</w:t>
            </w:r>
          </w:p>
        </w:tc>
        <w:tc>
          <w:tcPr>
            <w:tcW w:w="4849" w:type="dxa"/>
          </w:tcPr>
          <w:p w14:paraId="3E0715C9" w14:textId="64193308"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lastRenderedPageBreak/>
              <w:t xml:space="preserve">§ 1º  Se recolhida fora do prazo, o valor da penalidade pecuniária deve ser corrigido pela taxa referencial do Sistema Especial de Liquidação e Custódia, acumulada </w:t>
            </w:r>
            <w:r w:rsidRPr="0010524E">
              <w:rPr>
                <w:sz w:val="24"/>
                <w:szCs w:val="24"/>
              </w:rPr>
              <w:lastRenderedPageBreak/>
              <w:t>mensalmente, calculada a partir do primeiro dia do mês subsequente ao do vencimento do prazo, até o mês anterior ao do pagamento, acrescido de juros de mora de um por cento ao mês.</w:t>
            </w:r>
          </w:p>
        </w:tc>
        <w:tc>
          <w:tcPr>
            <w:tcW w:w="4648" w:type="dxa"/>
          </w:tcPr>
          <w:p w14:paraId="30DB9B35" w14:textId="77777777" w:rsidR="00E86BE2" w:rsidRPr="0010524E" w:rsidRDefault="00E86BE2" w:rsidP="00E86BE2">
            <w:pPr>
              <w:pStyle w:val="Normal1"/>
              <w:spacing w:after="120"/>
              <w:jc w:val="both"/>
              <w:rPr>
                <w:color w:val="000000"/>
                <w:sz w:val="24"/>
                <w:szCs w:val="24"/>
              </w:rPr>
            </w:pPr>
          </w:p>
        </w:tc>
      </w:tr>
      <w:tr w:rsidR="00E86BE2" w:rsidRPr="0010524E" w14:paraId="52A613E2" w14:textId="7816F7E5" w:rsidTr="00E86BE2">
        <w:tc>
          <w:tcPr>
            <w:tcW w:w="4815" w:type="dxa"/>
          </w:tcPr>
          <w:p w14:paraId="2AEF38A4" w14:textId="77777777" w:rsidR="00E86BE2" w:rsidRPr="0010524E" w:rsidRDefault="00E86BE2" w:rsidP="00E86BE2">
            <w:pPr>
              <w:pStyle w:val="Normal1"/>
              <w:spacing w:after="120"/>
              <w:jc w:val="both"/>
              <w:rPr>
                <w:color w:val="000000"/>
                <w:sz w:val="24"/>
                <w:szCs w:val="24"/>
              </w:rPr>
            </w:pPr>
            <w:r w:rsidRPr="0010524E">
              <w:rPr>
                <w:color w:val="000000"/>
                <w:sz w:val="24"/>
                <w:szCs w:val="24"/>
              </w:rPr>
              <w:t>§ 2º  Quando não recolhida até a data de seu vencimento, a Previc deve promover a cobrança judicial da penalidade, sem prejuízo da execução das demais obrigações assumidas no TAC.</w:t>
            </w:r>
          </w:p>
        </w:tc>
        <w:tc>
          <w:tcPr>
            <w:tcW w:w="4849" w:type="dxa"/>
          </w:tcPr>
          <w:p w14:paraId="365CC09F" w14:textId="465EC255"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 2º  Quando não recolhida até a data de seu vencimento, a Previc deve promover a cobrança judicial da penalidade, sem prejuízo da execução das demais obrigações assumidas no Termo de Ajustamento de Conduta.</w:t>
            </w:r>
          </w:p>
        </w:tc>
        <w:tc>
          <w:tcPr>
            <w:tcW w:w="4648" w:type="dxa"/>
          </w:tcPr>
          <w:p w14:paraId="1F5673D2" w14:textId="77777777" w:rsidR="00E86BE2" w:rsidRPr="0010524E" w:rsidRDefault="00E86BE2" w:rsidP="00E86BE2">
            <w:pPr>
              <w:pStyle w:val="Normal1"/>
              <w:spacing w:after="120"/>
              <w:jc w:val="both"/>
              <w:rPr>
                <w:color w:val="000000"/>
                <w:sz w:val="24"/>
                <w:szCs w:val="24"/>
              </w:rPr>
            </w:pPr>
          </w:p>
        </w:tc>
      </w:tr>
      <w:tr w:rsidR="00E86BE2" w:rsidRPr="0010524E" w14:paraId="6AB035CF" w14:textId="08A6F12A" w:rsidTr="00E86BE2">
        <w:tc>
          <w:tcPr>
            <w:tcW w:w="4815" w:type="dxa"/>
          </w:tcPr>
          <w:p w14:paraId="4855A1B6" w14:textId="77777777" w:rsidR="00E86BE2" w:rsidRPr="0010524E" w:rsidRDefault="00E86BE2" w:rsidP="00E86BE2">
            <w:pPr>
              <w:pStyle w:val="Normal1"/>
              <w:spacing w:after="120"/>
              <w:jc w:val="both"/>
              <w:rPr>
                <w:color w:val="000000"/>
                <w:sz w:val="24"/>
                <w:szCs w:val="24"/>
              </w:rPr>
            </w:pPr>
            <w:r w:rsidRPr="0010524E">
              <w:rPr>
                <w:color w:val="000000"/>
                <w:sz w:val="24"/>
                <w:szCs w:val="24"/>
              </w:rPr>
              <w:t>Art. 16.  As condições previstas no TAC podem ser alteradas por meio de termo aditivo, mediante solicitação fundamentada da EFPC ou do compromissário.</w:t>
            </w:r>
          </w:p>
        </w:tc>
        <w:tc>
          <w:tcPr>
            <w:tcW w:w="4849" w:type="dxa"/>
          </w:tcPr>
          <w:p w14:paraId="1829B071" w14:textId="3301F865"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r w:rsidRPr="0010524E">
              <w:rPr>
                <w:sz w:val="24"/>
                <w:szCs w:val="24"/>
              </w:rPr>
              <w:t>Art. 305.  As condições previstas no Termo de Ajustamento de Conduta podem ser alteradas por meio de termo aditivo, mediante solicitação fundamentada da EFPC ou do compromissário.</w:t>
            </w:r>
          </w:p>
        </w:tc>
        <w:tc>
          <w:tcPr>
            <w:tcW w:w="4648" w:type="dxa"/>
          </w:tcPr>
          <w:p w14:paraId="1262930E" w14:textId="77777777" w:rsidR="00E86BE2" w:rsidRPr="0010524E" w:rsidRDefault="00E86BE2" w:rsidP="00E86BE2">
            <w:pPr>
              <w:pStyle w:val="Normal1"/>
              <w:spacing w:after="120"/>
              <w:jc w:val="both"/>
              <w:rPr>
                <w:color w:val="000000"/>
                <w:sz w:val="24"/>
                <w:szCs w:val="24"/>
              </w:rPr>
            </w:pPr>
          </w:p>
        </w:tc>
      </w:tr>
      <w:tr w:rsidR="00E86BE2" w:rsidRPr="0010524E" w14:paraId="1FC69455" w14:textId="1C1FA458" w:rsidTr="00E86BE2">
        <w:tc>
          <w:tcPr>
            <w:tcW w:w="4815" w:type="dxa"/>
          </w:tcPr>
          <w:p w14:paraId="050D291C" w14:textId="77777777" w:rsidR="00E86BE2" w:rsidRPr="0010524E" w:rsidRDefault="00E86BE2" w:rsidP="00E86BE2">
            <w:pPr>
              <w:pStyle w:val="Normal1"/>
              <w:spacing w:after="120"/>
              <w:jc w:val="both"/>
              <w:rPr>
                <w:color w:val="000000"/>
                <w:sz w:val="24"/>
                <w:szCs w:val="24"/>
              </w:rPr>
            </w:pPr>
            <w:r w:rsidRPr="0010524E">
              <w:rPr>
                <w:color w:val="000000"/>
                <w:sz w:val="24"/>
                <w:szCs w:val="24"/>
              </w:rPr>
              <w:t>Art. 17. Ficam revogadas:</w:t>
            </w:r>
          </w:p>
        </w:tc>
        <w:tc>
          <w:tcPr>
            <w:tcW w:w="4849" w:type="dxa"/>
          </w:tcPr>
          <w:p w14:paraId="64EEC1A7" w14:textId="77777777"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p>
        </w:tc>
        <w:tc>
          <w:tcPr>
            <w:tcW w:w="4648" w:type="dxa"/>
          </w:tcPr>
          <w:p w14:paraId="3688237F" w14:textId="77777777" w:rsidR="00E86BE2" w:rsidRPr="0010524E" w:rsidRDefault="00E86BE2" w:rsidP="00E86BE2">
            <w:pPr>
              <w:pStyle w:val="Normal1"/>
              <w:spacing w:after="120"/>
              <w:jc w:val="both"/>
              <w:rPr>
                <w:color w:val="000000"/>
                <w:sz w:val="24"/>
                <w:szCs w:val="24"/>
              </w:rPr>
            </w:pPr>
            <w:r w:rsidRPr="0010524E">
              <w:rPr>
                <w:color w:val="000000"/>
                <w:sz w:val="24"/>
                <w:szCs w:val="24"/>
              </w:rPr>
              <w:t>Excluído.</w:t>
            </w:r>
          </w:p>
        </w:tc>
      </w:tr>
      <w:tr w:rsidR="00E86BE2" w:rsidRPr="0010524E" w14:paraId="6A4F9FEB" w14:textId="18C6FAB8" w:rsidTr="00E86BE2">
        <w:tc>
          <w:tcPr>
            <w:tcW w:w="4815" w:type="dxa"/>
          </w:tcPr>
          <w:p w14:paraId="20354883" w14:textId="77777777" w:rsidR="00E86BE2" w:rsidRPr="0010524E" w:rsidRDefault="00E86BE2" w:rsidP="00E86BE2">
            <w:pPr>
              <w:pStyle w:val="Normal1"/>
              <w:spacing w:after="120"/>
              <w:jc w:val="both"/>
              <w:rPr>
                <w:color w:val="000000"/>
                <w:sz w:val="24"/>
                <w:szCs w:val="24"/>
              </w:rPr>
            </w:pPr>
            <w:r w:rsidRPr="0010524E">
              <w:rPr>
                <w:color w:val="000000"/>
                <w:sz w:val="24"/>
                <w:szCs w:val="24"/>
              </w:rPr>
              <w:t>I - a Instrução nº 3, de 29 de junho de 2010 ; e</w:t>
            </w:r>
          </w:p>
        </w:tc>
        <w:tc>
          <w:tcPr>
            <w:tcW w:w="4849" w:type="dxa"/>
          </w:tcPr>
          <w:p w14:paraId="372B95F1" w14:textId="77777777"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p>
        </w:tc>
        <w:tc>
          <w:tcPr>
            <w:tcW w:w="4648" w:type="dxa"/>
          </w:tcPr>
          <w:p w14:paraId="1E241BEA" w14:textId="77777777" w:rsidR="00E86BE2" w:rsidRPr="0010524E" w:rsidRDefault="00E86BE2" w:rsidP="00E86BE2">
            <w:pPr>
              <w:pStyle w:val="Normal1"/>
              <w:spacing w:after="120"/>
              <w:jc w:val="both"/>
              <w:rPr>
                <w:color w:val="000000"/>
                <w:sz w:val="24"/>
                <w:szCs w:val="24"/>
              </w:rPr>
            </w:pPr>
            <w:r w:rsidRPr="0010524E">
              <w:rPr>
                <w:color w:val="000000"/>
                <w:sz w:val="24"/>
                <w:szCs w:val="24"/>
              </w:rPr>
              <w:t>Excluído.</w:t>
            </w:r>
          </w:p>
        </w:tc>
      </w:tr>
      <w:tr w:rsidR="00E86BE2" w:rsidRPr="0010524E" w14:paraId="096E4230" w14:textId="53247C62" w:rsidTr="00E86BE2">
        <w:tc>
          <w:tcPr>
            <w:tcW w:w="4815" w:type="dxa"/>
          </w:tcPr>
          <w:p w14:paraId="0BB6F841" w14:textId="77777777" w:rsidR="00E86BE2" w:rsidRPr="0010524E" w:rsidRDefault="00E86BE2" w:rsidP="00E86BE2">
            <w:pPr>
              <w:pStyle w:val="Normal1"/>
              <w:spacing w:after="120"/>
              <w:jc w:val="both"/>
              <w:rPr>
                <w:color w:val="000000"/>
                <w:sz w:val="24"/>
                <w:szCs w:val="24"/>
              </w:rPr>
            </w:pPr>
            <w:r w:rsidRPr="0010524E">
              <w:rPr>
                <w:color w:val="000000"/>
                <w:sz w:val="24"/>
                <w:szCs w:val="24"/>
              </w:rPr>
              <w:t>II - a Instrução nº 19, de 11 de dezembro de 2019 .</w:t>
            </w:r>
          </w:p>
        </w:tc>
        <w:tc>
          <w:tcPr>
            <w:tcW w:w="4849" w:type="dxa"/>
          </w:tcPr>
          <w:p w14:paraId="055E8F16" w14:textId="77777777"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p>
        </w:tc>
        <w:tc>
          <w:tcPr>
            <w:tcW w:w="4648" w:type="dxa"/>
          </w:tcPr>
          <w:p w14:paraId="17A3FEAF" w14:textId="77777777" w:rsidR="00E86BE2" w:rsidRPr="0010524E" w:rsidRDefault="00E86BE2" w:rsidP="00E86BE2">
            <w:pPr>
              <w:pStyle w:val="Normal1"/>
              <w:spacing w:after="120"/>
              <w:jc w:val="both"/>
              <w:rPr>
                <w:color w:val="000000"/>
                <w:sz w:val="24"/>
                <w:szCs w:val="24"/>
              </w:rPr>
            </w:pPr>
            <w:r w:rsidRPr="0010524E">
              <w:rPr>
                <w:color w:val="000000"/>
                <w:sz w:val="24"/>
                <w:szCs w:val="24"/>
              </w:rPr>
              <w:t>Excluído.</w:t>
            </w:r>
          </w:p>
        </w:tc>
      </w:tr>
      <w:tr w:rsidR="00E86BE2" w:rsidRPr="0010524E" w14:paraId="04E02801" w14:textId="47F32736" w:rsidTr="00E86BE2">
        <w:tc>
          <w:tcPr>
            <w:tcW w:w="4815" w:type="dxa"/>
          </w:tcPr>
          <w:p w14:paraId="33C7C7E6" w14:textId="77777777" w:rsidR="00E86BE2" w:rsidRDefault="00E86BE2" w:rsidP="00E86BE2">
            <w:pPr>
              <w:pStyle w:val="Normal1"/>
              <w:spacing w:after="120"/>
              <w:jc w:val="both"/>
              <w:rPr>
                <w:color w:val="000000"/>
                <w:sz w:val="24"/>
                <w:szCs w:val="24"/>
              </w:rPr>
            </w:pPr>
            <w:r w:rsidRPr="0010524E">
              <w:rPr>
                <w:color w:val="000000"/>
                <w:sz w:val="24"/>
                <w:szCs w:val="24"/>
              </w:rPr>
              <w:t>Art. 18. Esta Resolução Conjunta entre em vigor em 2 de maio de 2022.</w:t>
            </w:r>
          </w:p>
          <w:p w14:paraId="65EDF145" w14:textId="77777777" w:rsidR="00E86BE2" w:rsidRPr="0010524E" w:rsidRDefault="00E86BE2" w:rsidP="00E86BE2">
            <w:pPr>
              <w:pStyle w:val="Normal1"/>
              <w:spacing w:after="120"/>
              <w:jc w:val="both"/>
              <w:rPr>
                <w:color w:val="000000"/>
                <w:sz w:val="24"/>
                <w:szCs w:val="24"/>
              </w:rPr>
            </w:pPr>
          </w:p>
        </w:tc>
        <w:tc>
          <w:tcPr>
            <w:tcW w:w="4849" w:type="dxa"/>
          </w:tcPr>
          <w:p w14:paraId="744DC8FE" w14:textId="77777777" w:rsidR="00E86BE2" w:rsidRPr="0010524E" w:rsidRDefault="00E86BE2" w:rsidP="00E86BE2">
            <w:pPr>
              <w:pStyle w:val="Normal1"/>
              <w:widowControl w:val="0"/>
              <w:pBdr>
                <w:top w:val="nil"/>
                <w:left w:val="nil"/>
                <w:bottom w:val="nil"/>
                <w:right w:val="nil"/>
                <w:between w:val="nil"/>
              </w:pBdr>
              <w:spacing w:after="120"/>
              <w:ind w:right="3"/>
              <w:jc w:val="both"/>
              <w:rPr>
                <w:color w:val="000000"/>
                <w:sz w:val="24"/>
                <w:szCs w:val="24"/>
              </w:rPr>
            </w:pPr>
          </w:p>
        </w:tc>
        <w:tc>
          <w:tcPr>
            <w:tcW w:w="4648" w:type="dxa"/>
          </w:tcPr>
          <w:p w14:paraId="6724ABD0" w14:textId="77777777" w:rsidR="00E86BE2" w:rsidRPr="0010524E" w:rsidRDefault="00E86BE2" w:rsidP="00E86BE2">
            <w:pPr>
              <w:pStyle w:val="Normal1"/>
              <w:spacing w:after="120"/>
              <w:jc w:val="both"/>
              <w:rPr>
                <w:color w:val="000000"/>
                <w:sz w:val="24"/>
                <w:szCs w:val="24"/>
              </w:rPr>
            </w:pPr>
            <w:r w:rsidRPr="0010524E">
              <w:rPr>
                <w:color w:val="000000"/>
                <w:sz w:val="24"/>
                <w:szCs w:val="24"/>
              </w:rPr>
              <w:t>Excluído.</w:t>
            </w:r>
          </w:p>
        </w:tc>
      </w:tr>
      <w:tr w:rsidR="00E86BE2" w:rsidRPr="0010524E" w14:paraId="7D70B3BD" w14:textId="2803A860" w:rsidTr="00E86BE2">
        <w:tc>
          <w:tcPr>
            <w:tcW w:w="4815" w:type="dxa"/>
          </w:tcPr>
          <w:p w14:paraId="3C4160E0" w14:textId="77777777" w:rsidR="00E86BE2" w:rsidRPr="0010524E" w:rsidRDefault="00E86BE2" w:rsidP="00E86BE2">
            <w:pPr>
              <w:spacing w:before="120" w:after="120"/>
              <w:jc w:val="both"/>
              <w:rPr>
                <w:rFonts w:eastAsia="Times New Roman" w:cstheme="minorHAnsi"/>
                <w:color w:val="000000"/>
                <w:sz w:val="24"/>
                <w:szCs w:val="24"/>
                <w:lang w:eastAsia="pt-BR"/>
              </w:rPr>
            </w:pPr>
          </w:p>
        </w:tc>
        <w:tc>
          <w:tcPr>
            <w:tcW w:w="4849" w:type="dxa"/>
          </w:tcPr>
          <w:p w14:paraId="1FE4E2B2" w14:textId="77777777" w:rsidR="00E86BE2" w:rsidRDefault="00E86BE2" w:rsidP="00E86BE2">
            <w:pPr>
              <w:jc w:val="center"/>
              <w:rPr>
                <w:rFonts w:ascii="Calibri" w:hAnsi="Calibri" w:cstheme="minorHAnsi"/>
                <w:sz w:val="24"/>
                <w:szCs w:val="24"/>
              </w:rPr>
            </w:pPr>
            <w:r w:rsidRPr="0010524E">
              <w:rPr>
                <w:rFonts w:ascii="Calibri" w:hAnsi="Calibri" w:cstheme="minorHAnsi"/>
                <w:sz w:val="24"/>
                <w:szCs w:val="24"/>
              </w:rPr>
              <w:t>CAPÍTULO VI</w:t>
            </w:r>
          </w:p>
          <w:p w14:paraId="332E4752" w14:textId="340DF2B0" w:rsidR="00E86BE2" w:rsidRPr="0010524E" w:rsidRDefault="00E86BE2" w:rsidP="00E86BE2">
            <w:pPr>
              <w:jc w:val="center"/>
              <w:rPr>
                <w:rFonts w:ascii="Calibri" w:hAnsi="Calibri" w:cstheme="minorHAnsi"/>
                <w:sz w:val="24"/>
                <w:szCs w:val="24"/>
              </w:rPr>
            </w:pPr>
            <w:r w:rsidRPr="0010524E">
              <w:rPr>
                <w:rFonts w:ascii="Calibri" w:hAnsi="Calibri" w:cstheme="minorHAnsi"/>
                <w:sz w:val="24"/>
                <w:szCs w:val="24"/>
              </w:rPr>
              <w:t xml:space="preserve">INVESTIMENTO DOS RECURSOS GARANTIDORES </w:t>
            </w:r>
          </w:p>
        </w:tc>
        <w:tc>
          <w:tcPr>
            <w:tcW w:w="4648" w:type="dxa"/>
          </w:tcPr>
          <w:p w14:paraId="1172D561"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4F3F5094" w14:textId="2E3BC810" w:rsidTr="00E86BE2">
        <w:tc>
          <w:tcPr>
            <w:tcW w:w="4815" w:type="dxa"/>
          </w:tcPr>
          <w:p w14:paraId="014331EC"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lastRenderedPageBreak/>
              <w:t xml:space="preserve">Art. 1º  As </w:t>
            </w:r>
            <w:r w:rsidRPr="0010524E">
              <w:rPr>
                <w:rFonts w:cstheme="minorHAnsi"/>
                <w:sz w:val="24"/>
                <w:szCs w:val="24"/>
              </w:rPr>
              <w:t>Entidades Fechadas de Previdência Complementar (EFPC)</w:t>
            </w:r>
            <w:r w:rsidRPr="0010524E">
              <w:rPr>
                <w:rFonts w:eastAsia="Times New Roman" w:cstheme="minorHAnsi"/>
                <w:color w:val="000000"/>
                <w:sz w:val="24"/>
                <w:szCs w:val="24"/>
                <w:lang w:eastAsia="pt-BR"/>
              </w:rPr>
              <w:t xml:space="preserve"> devem observar o disposto nesta Instrução </w:t>
            </w:r>
            <w:r w:rsidRPr="0010524E">
              <w:rPr>
                <w:rFonts w:cstheme="minorHAnsi"/>
                <w:color w:val="000000"/>
                <w:sz w:val="24"/>
                <w:szCs w:val="24"/>
              </w:rPr>
              <w:t xml:space="preserve">para a operacionalização de procedimentos previstos pela </w:t>
            </w:r>
            <w:r w:rsidRPr="0010524E">
              <w:rPr>
                <w:rFonts w:eastAsia="Times New Roman" w:cstheme="minorHAnsi"/>
                <w:color w:val="000000"/>
                <w:sz w:val="24"/>
                <w:szCs w:val="24"/>
                <w:lang w:eastAsia="pt-BR"/>
              </w:rPr>
              <w:t>Resolução CMN nº 4.661, de 25 de maio de 2018</w:t>
            </w:r>
            <w:r w:rsidRPr="0010524E">
              <w:rPr>
                <w:rFonts w:cstheme="minorHAnsi"/>
                <w:color w:val="000000"/>
                <w:sz w:val="24"/>
                <w:szCs w:val="24"/>
              </w:rPr>
              <w:t>.</w:t>
            </w:r>
          </w:p>
        </w:tc>
        <w:tc>
          <w:tcPr>
            <w:tcW w:w="4849" w:type="dxa"/>
          </w:tcPr>
          <w:p w14:paraId="09DECC88" w14:textId="15B131E7" w:rsidR="00E86BE2" w:rsidRPr="0010524E" w:rsidRDefault="00E86BE2" w:rsidP="00E86BE2">
            <w:pPr>
              <w:spacing w:after="120"/>
              <w:jc w:val="both"/>
              <w:rPr>
                <w:rFonts w:ascii="Calibri" w:hAnsi="Calibri" w:cstheme="minorHAnsi"/>
                <w:color w:val="000000"/>
                <w:sz w:val="24"/>
                <w:szCs w:val="24"/>
              </w:rPr>
            </w:pPr>
            <w:r w:rsidRPr="0010524E">
              <w:rPr>
                <w:rFonts w:ascii="Calibri" w:hAnsi="Calibri"/>
                <w:sz w:val="24"/>
                <w:szCs w:val="24"/>
              </w:rPr>
              <w:t>Art. 306.  As EFPC devem observar o disposto neste Capítulo para a operacionalização de procedimentos previstos pela Resolução CMN nº 4.994, de 24 de março de 2022.</w:t>
            </w:r>
          </w:p>
        </w:tc>
        <w:tc>
          <w:tcPr>
            <w:tcW w:w="4648" w:type="dxa"/>
          </w:tcPr>
          <w:p w14:paraId="43592DD0"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 xml:space="preserve">Atualização da referência normativa. </w:t>
            </w:r>
          </w:p>
        </w:tc>
      </w:tr>
      <w:tr w:rsidR="00E86BE2" w:rsidRPr="0010524E" w14:paraId="6AF931CE" w14:textId="5900F617" w:rsidTr="00E86BE2">
        <w:tc>
          <w:tcPr>
            <w:tcW w:w="4815" w:type="dxa"/>
          </w:tcPr>
          <w:p w14:paraId="4B030EFD" w14:textId="7C1DA4DD"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Parágrafo único.</w:t>
            </w:r>
            <w:r w:rsidRPr="0010524E" w:rsidDel="007431EA">
              <w:rPr>
                <w:rFonts w:eastAsia="Times New Roman" w:cstheme="minorHAnsi"/>
                <w:color w:val="000000"/>
                <w:sz w:val="24"/>
                <w:szCs w:val="24"/>
                <w:lang w:eastAsia="pt-BR"/>
              </w:rPr>
              <w:t xml:space="preserve"> </w:t>
            </w:r>
            <w:r w:rsidRPr="0010524E">
              <w:rPr>
                <w:rFonts w:eastAsia="Times New Roman" w:cstheme="minorHAnsi"/>
                <w:color w:val="000000"/>
                <w:sz w:val="24"/>
                <w:szCs w:val="24"/>
                <w:lang w:eastAsia="pt-BR"/>
              </w:rPr>
              <w:t xml:space="preserve"> As informações disponibilizadas à Previc são de responsabilidade da EFPC, que responde por erros ou omissões, nos termos da legislação vigente.</w:t>
            </w:r>
          </w:p>
        </w:tc>
        <w:tc>
          <w:tcPr>
            <w:tcW w:w="4849" w:type="dxa"/>
          </w:tcPr>
          <w:p w14:paraId="4F62D5DA" w14:textId="77777777" w:rsidR="00E86BE2" w:rsidRPr="0010524E" w:rsidRDefault="00E86BE2" w:rsidP="00E86BE2">
            <w:pPr>
              <w:spacing w:after="120"/>
              <w:jc w:val="both"/>
              <w:rPr>
                <w:rFonts w:eastAsia="Times New Roman" w:cstheme="minorHAnsi"/>
                <w:color w:val="000000"/>
                <w:sz w:val="24"/>
                <w:szCs w:val="24"/>
                <w:lang w:eastAsia="pt-BR"/>
              </w:rPr>
            </w:pPr>
          </w:p>
        </w:tc>
        <w:tc>
          <w:tcPr>
            <w:tcW w:w="4648" w:type="dxa"/>
          </w:tcPr>
          <w:p w14:paraId="1DB2F326"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Excluído.</w:t>
            </w:r>
          </w:p>
          <w:p w14:paraId="7526C24E"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 xml:space="preserve">Consolidação com o caput. </w:t>
            </w:r>
          </w:p>
        </w:tc>
      </w:tr>
      <w:tr w:rsidR="00E86BE2" w:rsidRPr="0010524E" w14:paraId="3566A2A7" w14:textId="7FE5CC75" w:rsidTr="00E86BE2">
        <w:tc>
          <w:tcPr>
            <w:tcW w:w="4815" w:type="dxa"/>
          </w:tcPr>
          <w:p w14:paraId="6D9E298D" w14:textId="77777777" w:rsidR="00E86BE2" w:rsidRDefault="00E86BE2" w:rsidP="00E86BE2">
            <w:pPr>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CAPÍTULO I</w:t>
            </w:r>
          </w:p>
          <w:p w14:paraId="74F89542" w14:textId="67AD0260" w:rsidR="00E86BE2" w:rsidRPr="0010524E" w:rsidRDefault="00E86BE2" w:rsidP="00E86BE2">
            <w:pPr>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DAS INFORMAÇÕES DE INVESTIMENTOS</w:t>
            </w:r>
          </w:p>
        </w:tc>
        <w:tc>
          <w:tcPr>
            <w:tcW w:w="4849" w:type="dxa"/>
          </w:tcPr>
          <w:p w14:paraId="7F82F4B1" w14:textId="3A736AB0" w:rsidR="00E86BE2" w:rsidRPr="0010524E" w:rsidRDefault="00E86BE2" w:rsidP="00E86BE2">
            <w:pPr>
              <w:adjustRightInd w:val="0"/>
              <w:spacing w:before="120" w:after="120"/>
              <w:rPr>
                <w:rFonts w:ascii="Calibri" w:eastAsia="Times New Roman" w:hAnsi="Calibri" w:cs="Calibri"/>
                <w:b/>
                <w:sz w:val="24"/>
                <w:szCs w:val="24"/>
                <w:lang w:eastAsia="pt-BR"/>
              </w:rPr>
            </w:pPr>
          </w:p>
        </w:tc>
        <w:tc>
          <w:tcPr>
            <w:tcW w:w="4648" w:type="dxa"/>
          </w:tcPr>
          <w:p w14:paraId="5DF223E8" w14:textId="77777777" w:rsidR="00E86BE2" w:rsidRPr="0010524E" w:rsidRDefault="00E86BE2" w:rsidP="00E86BE2">
            <w:pPr>
              <w:spacing w:before="120"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Realocado.</w:t>
            </w:r>
          </w:p>
          <w:p w14:paraId="2D5873FE" w14:textId="77777777" w:rsidR="00E86BE2" w:rsidRPr="0010524E" w:rsidRDefault="00E86BE2" w:rsidP="00E86BE2">
            <w:pPr>
              <w:spacing w:before="120"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Capítulo foi inserido no Capítulo de Dados</w:t>
            </w:r>
          </w:p>
        </w:tc>
      </w:tr>
      <w:tr w:rsidR="00E86BE2" w:rsidRPr="0010524E" w14:paraId="2943DF06" w14:textId="3E599909" w:rsidTr="00E86BE2">
        <w:tc>
          <w:tcPr>
            <w:tcW w:w="4815" w:type="dxa"/>
          </w:tcPr>
          <w:p w14:paraId="3A4B0D59" w14:textId="77777777" w:rsidR="00E86BE2" w:rsidRDefault="00E86BE2" w:rsidP="00E86BE2">
            <w:pPr>
              <w:adjustRightInd w:val="0"/>
              <w:spacing w:before="120" w:after="120"/>
              <w:jc w:val="center"/>
              <w:rPr>
                <w:rFonts w:eastAsia="Times New Roman" w:cs="Calibri"/>
                <w:b/>
                <w:sz w:val="24"/>
                <w:szCs w:val="24"/>
                <w:lang w:eastAsia="pt-BR"/>
              </w:rPr>
            </w:pPr>
            <w:r w:rsidRPr="0010524E">
              <w:rPr>
                <w:rFonts w:eastAsia="Times New Roman" w:cs="Calibri"/>
                <w:b/>
                <w:sz w:val="24"/>
                <w:szCs w:val="24"/>
                <w:lang w:eastAsia="pt-BR"/>
              </w:rPr>
              <w:t>Seção I</w:t>
            </w:r>
          </w:p>
          <w:p w14:paraId="611CC80F" w14:textId="6C4BD157" w:rsidR="00E86BE2" w:rsidRPr="0010524E" w:rsidRDefault="00E86BE2" w:rsidP="00E86BE2">
            <w:pPr>
              <w:adjustRightInd w:val="0"/>
              <w:spacing w:before="120" w:after="120"/>
              <w:jc w:val="center"/>
              <w:rPr>
                <w:rFonts w:eastAsia="Times New Roman" w:cs="Calibri"/>
                <w:b/>
                <w:sz w:val="24"/>
                <w:szCs w:val="24"/>
                <w:lang w:eastAsia="pt-BR"/>
              </w:rPr>
            </w:pPr>
            <w:r w:rsidRPr="0010524E">
              <w:rPr>
                <w:rFonts w:eastAsia="Times New Roman" w:cs="Calibri"/>
                <w:b/>
                <w:sz w:val="24"/>
                <w:szCs w:val="24"/>
                <w:lang w:eastAsia="pt-BR"/>
              </w:rPr>
              <w:t>Demonstrativo de investimentos, cadastro de fundos de investimento e política de investimentos</w:t>
            </w:r>
          </w:p>
        </w:tc>
        <w:tc>
          <w:tcPr>
            <w:tcW w:w="4849" w:type="dxa"/>
          </w:tcPr>
          <w:p w14:paraId="2833C616" w14:textId="77777777" w:rsidR="00E86BE2" w:rsidRPr="0010524E" w:rsidRDefault="00E86BE2" w:rsidP="00E86BE2">
            <w:pPr>
              <w:adjustRightInd w:val="0"/>
              <w:spacing w:before="120" w:after="120"/>
              <w:jc w:val="center"/>
              <w:rPr>
                <w:rFonts w:ascii="Calibri" w:eastAsia="Times New Roman" w:hAnsi="Calibri" w:cs="Calibri"/>
                <w:b/>
                <w:sz w:val="24"/>
                <w:szCs w:val="24"/>
                <w:lang w:eastAsia="pt-BR"/>
              </w:rPr>
            </w:pPr>
          </w:p>
        </w:tc>
        <w:tc>
          <w:tcPr>
            <w:tcW w:w="4648" w:type="dxa"/>
          </w:tcPr>
          <w:p w14:paraId="6542FD47" w14:textId="77777777" w:rsidR="00E86BE2" w:rsidRPr="0010524E" w:rsidRDefault="00E86BE2" w:rsidP="00E86BE2">
            <w:pPr>
              <w:adjustRightInd w:val="0"/>
              <w:spacing w:before="120"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Realocada.</w:t>
            </w:r>
          </w:p>
          <w:p w14:paraId="55FB6AFA" w14:textId="77777777" w:rsidR="00E86BE2" w:rsidRPr="0010524E" w:rsidRDefault="00E86BE2" w:rsidP="00E86BE2">
            <w:pPr>
              <w:adjustRightInd w:val="0"/>
              <w:spacing w:before="120" w:after="120"/>
              <w:rPr>
                <w:rFonts w:eastAsia="Times New Roman" w:cs="Calibri"/>
                <w:b/>
                <w:sz w:val="24"/>
                <w:szCs w:val="24"/>
                <w:lang w:eastAsia="pt-BR"/>
              </w:rPr>
            </w:pPr>
            <w:r w:rsidRPr="0010524E">
              <w:rPr>
                <w:rFonts w:eastAsia="Times New Roman" w:cstheme="minorHAnsi"/>
                <w:color w:val="000000"/>
                <w:sz w:val="24"/>
                <w:szCs w:val="24"/>
                <w:lang w:eastAsia="pt-BR"/>
              </w:rPr>
              <w:t>Seção foi inserida no Capítulo de Dados</w:t>
            </w:r>
          </w:p>
        </w:tc>
      </w:tr>
      <w:tr w:rsidR="00E86BE2" w:rsidRPr="0010524E" w14:paraId="0311F55B" w14:textId="0C2974CC" w:rsidTr="00E86BE2">
        <w:tc>
          <w:tcPr>
            <w:tcW w:w="4815" w:type="dxa"/>
          </w:tcPr>
          <w:p w14:paraId="21A13707" w14:textId="77777777" w:rsidR="00E86BE2" w:rsidRPr="0010524E" w:rsidRDefault="00E86BE2" w:rsidP="00E86BE2">
            <w:pPr>
              <w:spacing w:after="120"/>
              <w:jc w:val="both"/>
              <w:rPr>
                <w:rFonts w:cstheme="minorHAnsi"/>
                <w:sz w:val="24"/>
                <w:szCs w:val="24"/>
              </w:rPr>
            </w:pPr>
            <w:r w:rsidRPr="0010524E">
              <w:rPr>
                <w:rFonts w:cstheme="minorHAnsi"/>
                <w:sz w:val="24"/>
                <w:szCs w:val="24"/>
              </w:rPr>
              <w:t>Art. 2º  A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Instrução.</w:t>
            </w:r>
          </w:p>
        </w:tc>
        <w:tc>
          <w:tcPr>
            <w:tcW w:w="4849" w:type="dxa"/>
          </w:tcPr>
          <w:p w14:paraId="40C8C43C" w14:textId="77777777" w:rsidR="00E86BE2" w:rsidRPr="0010524E" w:rsidRDefault="00E86BE2" w:rsidP="00E86BE2">
            <w:pPr>
              <w:spacing w:after="120"/>
              <w:jc w:val="both"/>
              <w:rPr>
                <w:rFonts w:ascii="Calibri" w:hAnsi="Calibri" w:cstheme="minorHAnsi"/>
                <w:sz w:val="24"/>
                <w:szCs w:val="24"/>
              </w:rPr>
            </w:pPr>
          </w:p>
        </w:tc>
        <w:tc>
          <w:tcPr>
            <w:tcW w:w="4648" w:type="dxa"/>
          </w:tcPr>
          <w:p w14:paraId="711D1094" w14:textId="77777777" w:rsidR="00E86BE2" w:rsidRPr="0010524E" w:rsidRDefault="00E86BE2" w:rsidP="00E86BE2">
            <w:pPr>
              <w:spacing w:after="120"/>
              <w:jc w:val="both"/>
              <w:rPr>
                <w:rFonts w:cstheme="minorHAnsi"/>
                <w:sz w:val="24"/>
                <w:szCs w:val="24"/>
              </w:rPr>
            </w:pPr>
            <w:r w:rsidRPr="0010524E">
              <w:rPr>
                <w:rFonts w:cstheme="minorHAnsi"/>
                <w:sz w:val="24"/>
                <w:szCs w:val="24"/>
              </w:rPr>
              <w:t>Realocado.</w:t>
            </w:r>
          </w:p>
        </w:tc>
      </w:tr>
      <w:tr w:rsidR="00E86BE2" w:rsidRPr="0010524E" w14:paraId="63652707" w14:textId="1871DADE" w:rsidTr="00E86BE2">
        <w:tc>
          <w:tcPr>
            <w:tcW w:w="4815" w:type="dxa"/>
          </w:tcPr>
          <w:p w14:paraId="62FE53A3" w14:textId="77777777" w:rsidR="00E86BE2" w:rsidRPr="0010524E" w:rsidRDefault="00E86BE2" w:rsidP="00E86BE2">
            <w:pPr>
              <w:spacing w:after="120"/>
              <w:jc w:val="both"/>
              <w:rPr>
                <w:rFonts w:cstheme="minorHAnsi"/>
                <w:sz w:val="24"/>
                <w:szCs w:val="24"/>
              </w:rPr>
            </w:pPr>
            <w:r w:rsidRPr="0010524E">
              <w:rPr>
                <w:rFonts w:eastAsia="Times New Roman" w:cstheme="minorHAnsi"/>
                <w:color w:val="000000"/>
                <w:sz w:val="24"/>
                <w:szCs w:val="24"/>
                <w:lang w:eastAsia="pt-BR"/>
              </w:rPr>
              <w:lastRenderedPageBreak/>
              <w:t xml:space="preserve">§1º  O envio a que se refere o </w:t>
            </w:r>
            <w:r w:rsidRPr="0010524E">
              <w:rPr>
                <w:rFonts w:eastAsia="Times New Roman" w:cstheme="minorHAnsi"/>
                <w:b/>
                <w:color w:val="000000"/>
                <w:sz w:val="24"/>
                <w:szCs w:val="24"/>
                <w:lang w:eastAsia="pt-BR"/>
              </w:rPr>
              <w:t>caput</w:t>
            </w:r>
            <w:r w:rsidRPr="0010524E">
              <w:rPr>
                <w:rFonts w:eastAsia="Times New Roman" w:cstheme="minorHAnsi"/>
                <w:color w:val="000000"/>
                <w:sz w:val="24"/>
                <w:szCs w:val="24"/>
                <w:lang w:eastAsia="pt-BR"/>
              </w:rPr>
              <w:t xml:space="preserve"> inclui</w:t>
            </w:r>
            <w:r w:rsidRPr="0010524E">
              <w:rPr>
                <w:rFonts w:cstheme="minorHAnsi"/>
                <w:sz w:val="24"/>
                <w:szCs w:val="24"/>
              </w:rPr>
              <w:t xml:space="preserve"> as informações de todos os fundos de investimento e fundos de investimento em cotas de fundos de investimento constituídos no Brasil dos quais a EFPC seja cotista, direta ou indiretamente, considerando a regulamentação da Comissão de Valores Mobiliários.</w:t>
            </w:r>
          </w:p>
        </w:tc>
        <w:tc>
          <w:tcPr>
            <w:tcW w:w="4849" w:type="dxa"/>
          </w:tcPr>
          <w:p w14:paraId="51DB7B2B" w14:textId="77777777" w:rsidR="00E86BE2" w:rsidRPr="0010524E" w:rsidRDefault="00E86BE2" w:rsidP="00E86BE2">
            <w:pPr>
              <w:spacing w:after="120"/>
              <w:jc w:val="both"/>
              <w:rPr>
                <w:rFonts w:ascii="Calibri" w:hAnsi="Calibri" w:cstheme="minorHAnsi"/>
                <w:sz w:val="24"/>
                <w:szCs w:val="24"/>
              </w:rPr>
            </w:pPr>
          </w:p>
        </w:tc>
        <w:tc>
          <w:tcPr>
            <w:tcW w:w="4648" w:type="dxa"/>
          </w:tcPr>
          <w:p w14:paraId="6C110120"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cstheme="minorHAnsi"/>
                <w:sz w:val="24"/>
                <w:szCs w:val="24"/>
              </w:rPr>
              <w:t>Realocado.</w:t>
            </w:r>
          </w:p>
        </w:tc>
      </w:tr>
      <w:tr w:rsidR="00E86BE2" w:rsidRPr="0010524E" w14:paraId="42100F1F" w14:textId="332CFC53" w:rsidTr="00E86BE2">
        <w:tc>
          <w:tcPr>
            <w:tcW w:w="4815" w:type="dxa"/>
          </w:tcPr>
          <w:p w14:paraId="3A9721DE" w14:textId="77777777" w:rsidR="00E86BE2" w:rsidRPr="0010524E" w:rsidRDefault="00E86BE2" w:rsidP="00E86BE2">
            <w:pPr>
              <w:spacing w:after="120"/>
              <w:jc w:val="both"/>
              <w:rPr>
                <w:rFonts w:cstheme="minorHAnsi"/>
                <w:sz w:val="24"/>
                <w:szCs w:val="24"/>
              </w:rPr>
            </w:pPr>
            <w:r w:rsidRPr="0010524E">
              <w:rPr>
                <w:rFonts w:cstheme="minorHAnsi"/>
                <w:sz w:val="24"/>
                <w:szCs w:val="24"/>
              </w:rPr>
              <w:t>§2º  O envio das informações relativas à política de investimentos deve observar os seguintes prazos:</w:t>
            </w:r>
          </w:p>
        </w:tc>
        <w:tc>
          <w:tcPr>
            <w:tcW w:w="4849" w:type="dxa"/>
          </w:tcPr>
          <w:p w14:paraId="52FB11D2" w14:textId="77777777" w:rsidR="00E86BE2" w:rsidRPr="0010524E" w:rsidRDefault="00E86BE2" w:rsidP="00E86BE2">
            <w:pPr>
              <w:spacing w:after="120"/>
              <w:jc w:val="both"/>
              <w:rPr>
                <w:rFonts w:ascii="Calibri" w:hAnsi="Calibri" w:cstheme="minorHAnsi"/>
                <w:sz w:val="24"/>
                <w:szCs w:val="24"/>
              </w:rPr>
            </w:pPr>
          </w:p>
        </w:tc>
        <w:tc>
          <w:tcPr>
            <w:tcW w:w="4648" w:type="dxa"/>
          </w:tcPr>
          <w:p w14:paraId="04E78CC5" w14:textId="77777777" w:rsidR="00E86BE2" w:rsidRPr="0010524E" w:rsidRDefault="00E86BE2" w:rsidP="00E86BE2">
            <w:pPr>
              <w:spacing w:after="120"/>
              <w:jc w:val="both"/>
              <w:rPr>
                <w:rFonts w:cstheme="minorHAnsi"/>
                <w:sz w:val="24"/>
                <w:szCs w:val="24"/>
              </w:rPr>
            </w:pPr>
            <w:r w:rsidRPr="0010524E">
              <w:rPr>
                <w:rFonts w:cstheme="minorHAnsi"/>
                <w:sz w:val="24"/>
                <w:szCs w:val="24"/>
              </w:rPr>
              <w:t>Realocado.</w:t>
            </w:r>
          </w:p>
        </w:tc>
      </w:tr>
      <w:tr w:rsidR="00E86BE2" w:rsidRPr="0010524E" w14:paraId="2B303358" w14:textId="19D042E4" w:rsidTr="00E86BE2">
        <w:tc>
          <w:tcPr>
            <w:tcW w:w="4815" w:type="dxa"/>
          </w:tcPr>
          <w:p w14:paraId="7D2102E2"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I - até 1º de março do exercício de referência; e</w:t>
            </w:r>
          </w:p>
        </w:tc>
        <w:tc>
          <w:tcPr>
            <w:tcW w:w="4849" w:type="dxa"/>
          </w:tcPr>
          <w:p w14:paraId="76788425"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p>
        </w:tc>
        <w:tc>
          <w:tcPr>
            <w:tcW w:w="4648" w:type="dxa"/>
          </w:tcPr>
          <w:p w14:paraId="08727CF3"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cstheme="minorHAnsi"/>
                <w:sz w:val="24"/>
                <w:szCs w:val="24"/>
              </w:rPr>
              <w:t>Realocado.</w:t>
            </w:r>
          </w:p>
        </w:tc>
      </w:tr>
      <w:tr w:rsidR="00E86BE2" w:rsidRPr="0010524E" w14:paraId="44819B5E" w14:textId="3650777B" w:rsidTr="00E86BE2">
        <w:tc>
          <w:tcPr>
            <w:tcW w:w="4815" w:type="dxa"/>
          </w:tcPr>
          <w:p w14:paraId="732E923B" w14:textId="77777777" w:rsidR="00E86BE2" w:rsidRPr="0010524E" w:rsidRDefault="00E86BE2" w:rsidP="00E86BE2">
            <w:pPr>
              <w:spacing w:after="120"/>
              <w:jc w:val="both"/>
              <w:rPr>
                <w:rFonts w:cstheme="minorHAnsi"/>
                <w:sz w:val="24"/>
                <w:szCs w:val="24"/>
              </w:rPr>
            </w:pPr>
            <w:r w:rsidRPr="0010524E">
              <w:rPr>
                <w:rFonts w:eastAsia="Times New Roman" w:cstheme="minorHAnsi"/>
                <w:color w:val="000000"/>
                <w:sz w:val="24"/>
                <w:szCs w:val="24"/>
                <w:lang w:eastAsia="pt-BR"/>
              </w:rPr>
              <w:t>II - até trinta dias contados da data da revisão aprovada pelo Conselho Deliberativo</w:t>
            </w:r>
            <w:r w:rsidRPr="0010524E">
              <w:rPr>
                <w:rFonts w:cstheme="minorHAnsi"/>
                <w:sz w:val="24"/>
                <w:szCs w:val="24"/>
              </w:rPr>
              <w:t>.</w:t>
            </w:r>
          </w:p>
        </w:tc>
        <w:tc>
          <w:tcPr>
            <w:tcW w:w="4849" w:type="dxa"/>
          </w:tcPr>
          <w:p w14:paraId="5CACC46A" w14:textId="77777777" w:rsidR="00E86BE2" w:rsidRPr="0010524E" w:rsidRDefault="00E86BE2" w:rsidP="00E86BE2">
            <w:pPr>
              <w:spacing w:after="120"/>
              <w:jc w:val="both"/>
              <w:rPr>
                <w:rFonts w:ascii="Calibri" w:hAnsi="Calibri" w:cstheme="minorHAnsi"/>
                <w:sz w:val="24"/>
                <w:szCs w:val="24"/>
              </w:rPr>
            </w:pPr>
          </w:p>
        </w:tc>
        <w:tc>
          <w:tcPr>
            <w:tcW w:w="4648" w:type="dxa"/>
          </w:tcPr>
          <w:p w14:paraId="6AF7EE65"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cstheme="minorHAnsi"/>
                <w:sz w:val="24"/>
                <w:szCs w:val="24"/>
              </w:rPr>
              <w:t>Realocado.</w:t>
            </w:r>
          </w:p>
        </w:tc>
      </w:tr>
      <w:tr w:rsidR="00E86BE2" w:rsidRPr="0010524E" w14:paraId="148207D6" w14:textId="6C3A0B43" w:rsidTr="00E86BE2">
        <w:tc>
          <w:tcPr>
            <w:tcW w:w="4815" w:type="dxa"/>
          </w:tcPr>
          <w:p w14:paraId="3B323699" w14:textId="77777777" w:rsidR="00E86BE2" w:rsidRPr="0010524E" w:rsidRDefault="00E86BE2" w:rsidP="00E86BE2">
            <w:pPr>
              <w:spacing w:after="120"/>
              <w:jc w:val="both"/>
              <w:rPr>
                <w:rFonts w:cstheme="minorHAnsi"/>
                <w:sz w:val="24"/>
                <w:szCs w:val="24"/>
              </w:rPr>
            </w:pPr>
            <w:r w:rsidRPr="0010524E">
              <w:rPr>
                <w:rFonts w:cstheme="minorHAnsi"/>
                <w:sz w:val="24"/>
                <w:szCs w:val="24"/>
              </w:rPr>
              <w:t>§3º  A forma de envio das informações deve ser</w:t>
            </w:r>
            <w:r w:rsidRPr="0010524E">
              <w:rPr>
                <w:rFonts w:cstheme="minorHAnsi"/>
                <w:b/>
                <w:sz w:val="24"/>
                <w:szCs w:val="24"/>
              </w:rPr>
              <w:t xml:space="preserve"> </w:t>
            </w:r>
            <w:r w:rsidRPr="0010524E">
              <w:rPr>
                <w:rFonts w:cstheme="minorHAnsi"/>
                <w:sz w:val="24"/>
                <w:szCs w:val="24"/>
              </w:rPr>
              <w:t>realizada conforme Portaria da Diretoria de Fiscalização e Monitoramento (Difis).</w:t>
            </w:r>
          </w:p>
        </w:tc>
        <w:tc>
          <w:tcPr>
            <w:tcW w:w="4849" w:type="dxa"/>
          </w:tcPr>
          <w:p w14:paraId="10655012" w14:textId="77777777" w:rsidR="00E86BE2" w:rsidRPr="0010524E" w:rsidRDefault="00E86BE2" w:rsidP="00E86BE2">
            <w:pPr>
              <w:spacing w:after="120"/>
              <w:jc w:val="both"/>
              <w:rPr>
                <w:rFonts w:ascii="Calibri" w:hAnsi="Calibri" w:cstheme="minorHAnsi"/>
                <w:sz w:val="24"/>
                <w:szCs w:val="24"/>
              </w:rPr>
            </w:pPr>
          </w:p>
        </w:tc>
        <w:tc>
          <w:tcPr>
            <w:tcW w:w="4648" w:type="dxa"/>
          </w:tcPr>
          <w:p w14:paraId="19BD76C4" w14:textId="77777777" w:rsidR="00E86BE2" w:rsidRPr="0010524E" w:rsidRDefault="00E86BE2" w:rsidP="00E86BE2">
            <w:pPr>
              <w:spacing w:after="120"/>
              <w:jc w:val="both"/>
              <w:rPr>
                <w:rFonts w:cstheme="minorHAnsi"/>
                <w:sz w:val="24"/>
                <w:szCs w:val="24"/>
              </w:rPr>
            </w:pPr>
            <w:r w:rsidRPr="0010524E">
              <w:rPr>
                <w:rFonts w:cstheme="minorHAnsi"/>
                <w:sz w:val="24"/>
                <w:szCs w:val="24"/>
              </w:rPr>
              <w:t>Realocado.</w:t>
            </w:r>
          </w:p>
        </w:tc>
      </w:tr>
      <w:tr w:rsidR="00E86BE2" w:rsidRPr="0010524E" w14:paraId="6323C3D8" w14:textId="61A34562" w:rsidTr="00E86BE2">
        <w:tc>
          <w:tcPr>
            <w:tcW w:w="4815" w:type="dxa"/>
          </w:tcPr>
          <w:p w14:paraId="5B734CEB"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Art. 3º  A EFPC deve enviar à Previc o demonstrativo de investimentos de todos os planos por ela administrados, inclusive do Plano de Gestão Administrativa (PGA), até o último dia do mês subsequente à data-base do demonstrativo.</w:t>
            </w:r>
          </w:p>
        </w:tc>
        <w:tc>
          <w:tcPr>
            <w:tcW w:w="4849" w:type="dxa"/>
          </w:tcPr>
          <w:p w14:paraId="715ACBB4"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p>
        </w:tc>
        <w:tc>
          <w:tcPr>
            <w:tcW w:w="4648" w:type="dxa"/>
          </w:tcPr>
          <w:p w14:paraId="4345ADA7"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cstheme="minorHAnsi"/>
                <w:sz w:val="24"/>
                <w:szCs w:val="24"/>
              </w:rPr>
              <w:t>Realocado.</w:t>
            </w:r>
          </w:p>
        </w:tc>
      </w:tr>
      <w:tr w:rsidR="00E86BE2" w:rsidRPr="0010524E" w14:paraId="241908B3" w14:textId="3BF22C0E" w:rsidTr="00E86BE2">
        <w:tc>
          <w:tcPr>
            <w:tcW w:w="4815" w:type="dxa"/>
          </w:tcPr>
          <w:p w14:paraId="6E1D300D"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 xml:space="preserve">§1º  O demonstrativo de investimentos é composto por todos os ativos pertencentes à carteira própria, à carteira administrada, aos fundos de investimento e aos fundos de </w:t>
            </w:r>
            <w:r w:rsidRPr="0010524E">
              <w:rPr>
                <w:rFonts w:eastAsia="Times New Roman" w:cstheme="minorHAnsi"/>
                <w:color w:val="000000"/>
                <w:sz w:val="24"/>
                <w:szCs w:val="24"/>
                <w:lang w:eastAsia="pt-BR"/>
              </w:rPr>
              <w:lastRenderedPageBreak/>
              <w:t>investimento em cotas de fundos de investimento dos quais a EFPC seja direta ou indiretamente cotista.</w:t>
            </w:r>
          </w:p>
        </w:tc>
        <w:tc>
          <w:tcPr>
            <w:tcW w:w="4849" w:type="dxa"/>
          </w:tcPr>
          <w:p w14:paraId="70C942DA"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p>
        </w:tc>
        <w:tc>
          <w:tcPr>
            <w:tcW w:w="4648" w:type="dxa"/>
          </w:tcPr>
          <w:p w14:paraId="7416A731"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cstheme="minorHAnsi"/>
                <w:sz w:val="24"/>
                <w:szCs w:val="24"/>
              </w:rPr>
              <w:t>Realocado.</w:t>
            </w:r>
          </w:p>
        </w:tc>
      </w:tr>
      <w:tr w:rsidR="00E86BE2" w:rsidRPr="0010524E" w14:paraId="1CA72981" w14:textId="566A346F" w:rsidTr="00E86BE2">
        <w:tc>
          <w:tcPr>
            <w:tcW w:w="4815" w:type="dxa"/>
          </w:tcPr>
          <w:p w14:paraId="6F6F8547"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§2º  A eventual substituição de informações do demonstrativo de investimentos deve ser justificada pelo Administrador Estatutário Tecnicamente Qualificado (AETQ) e permanecer na EFPC à disposição do Conselho Fiscal e da Previc.</w:t>
            </w:r>
          </w:p>
        </w:tc>
        <w:tc>
          <w:tcPr>
            <w:tcW w:w="4849" w:type="dxa"/>
          </w:tcPr>
          <w:p w14:paraId="2458F539"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p>
        </w:tc>
        <w:tc>
          <w:tcPr>
            <w:tcW w:w="4648" w:type="dxa"/>
          </w:tcPr>
          <w:p w14:paraId="03C44C13"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cstheme="minorHAnsi"/>
                <w:sz w:val="24"/>
                <w:szCs w:val="24"/>
              </w:rPr>
              <w:t>Realocado.</w:t>
            </w:r>
          </w:p>
        </w:tc>
      </w:tr>
      <w:tr w:rsidR="00E86BE2" w:rsidRPr="0010524E" w14:paraId="7E17EB6C" w14:textId="640910A4" w:rsidTr="00E86BE2">
        <w:tc>
          <w:tcPr>
            <w:tcW w:w="4815" w:type="dxa"/>
          </w:tcPr>
          <w:p w14:paraId="53F000F8"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Art. 4º  A EFPC deve manter cadastro atualizado dos fundos de investimento e dos fundos de investimento em cotas de fundos de investimento constituídos no Brasil:</w:t>
            </w:r>
          </w:p>
        </w:tc>
        <w:tc>
          <w:tcPr>
            <w:tcW w:w="4849" w:type="dxa"/>
          </w:tcPr>
          <w:p w14:paraId="39621265"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p>
        </w:tc>
        <w:tc>
          <w:tcPr>
            <w:tcW w:w="4648" w:type="dxa"/>
          </w:tcPr>
          <w:p w14:paraId="0268808A"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cstheme="minorHAnsi"/>
                <w:sz w:val="24"/>
                <w:szCs w:val="24"/>
              </w:rPr>
              <w:t>Realocado.</w:t>
            </w:r>
          </w:p>
        </w:tc>
      </w:tr>
      <w:tr w:rsidR="00E86BE2" w:rsidRPr="0010524E" w14:paraId="71DB54B2" w14:textId="3651AFAF" w:rsidTr="00E86BE2">
        <w:tc>
          <w:tcPr>
            <w:tcW w:w="4815" w:type="dxa"/>
          </w:tcPr>
          <w:p w14:paraId="76AF7E67"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I - em que a EFPC ou seus planos de benefícios sejam os únicos cotistas; ou</w:t>
            </w:r>
          </w:p>
        </w:tc>
        <w:tc>
          <w:tcPr>
            <w:tcW w:w="4849" w:type="dxa"/>
          </w:tcPr>
          <w:p w14:paraId="4591230A"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p>
        </w:tc>
        <w:tc>
          <w:tcPr>
            <w:tcW w:w="4648" w:type="dxa"/>
          </w:tcPr>
          <w:p w14:paraId="6BFA0694"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cstheme="minorHAnsi"/>
                <w:sz w:val="24"/>
                <w:szCs w:val="24"/>
              </w:rPr>
              <w:t>Realocado.</w:t>
            </w:r>
          </w:p>
        </w:tc>
      </w:tr>
      <w:tr w:rsidR="00E86BE2" w:rsidRPr="0010524E" w14:paraId="03589BAD" w14:textId="49F4A800" w:rsidTr="00E86BE2">
        <w:tc>
          <w:tcPr>
            <w:tcW w:w="4815" w:type="dxa"/>
          </w:tcPr>
          <w:p w14:paraId="064D3777"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II – em que a EFPC seja cotista e o fundo classificado como multimercado (FIM), no segmento estruturado.</w:t>
            </w:r>
          </w:p>
        </w:tc>
        <w:tc>
          <w:tcPr>
            <w:tcW w:w="4849" w:type="dxa"/>
          </w:tcPr>
          <w:p w14:paraId="5B557B03"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p>
        </w:tc>
        <w:tc>
          <w:tcPr>
            <w:tcW w:w="4648" w:type="dxa"/>
          </w:tcPr>
          <w:p w14:paraId="795D176D"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cstheme="minorHAnsi"/>
                <w:sz w:val="24"/>
                <w:szCs w:val="24"/>
              </w:rPr>
              <w:t>Realocado.</w:t>
            </w:r>
          </w:p>
        </w:tc>
      </w:tr>
      <w:tr w:rsidR="00E86BE2" w:rsidRPr="0010524E" w14:paraId="791E3334" w14:textId="5F2B126A" w:rsidTr="00E86BE2">
        <w:tc>
          <w:tcPr>
            <w:tcW w:w="4815" w:type="dxa"/>
          </w:tcPr>
          <w:p w14:paraId="7958DEB0"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Parágrafo único.  O cadastro a que se refere este artigo deve ser realizado até dez dias da data de aquisição do primeiro lote de cotas de fundo de investimento ou de fundo de investimento em cotas de fundos de investimento.</w:t>
            </w:r>
          </w:p>
        </w:tc>
        <w:tc>
          <w:tcPr>
            <w:tcW w:w="4849" w:type="dxa"/>
          </w:tcPr>
          <w:p w14:paraId="6163F188"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p>
        </w:tc>
        <w:tc>
          <w:tcPr>
            <w:tcW w:w="4648" w:type="dxa"/>
          </w:tcPr>
          <w:p w14:paraId="5235E850"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cstheme="minorHAnsi"/>
                <w:sz w:val="24"/>
                <w:szCs w:val="24"/>
              </w:rPr>
              <w:t>Realocado.</w:t>
            </w:r>
          </w:p>
        </w:tc>
      </w:tr>
      <w:tr w:rsidR="00E86BE2" w:rsidRPr="0010524E" w14:paraId="6C7F58B5" w14:textId="2F536A8D" w:rsidTr="00E86BE2">
        <w:tc>
          <w:tcPr>
            <w:tcW w:w="4815" w:type="dxa"/>
          </w:tcPr>
          <w:p w14:paraId="1F8ADC95" w14:textId="77777777" w:rsidR="00E86BE2" w:rsidRDefault="00E86BE2" w:rsidP="00E86BE2">
            <w:pPr>
              <w:adjustRightInd w:val="0"/>
              <w:spacing w:before="120" w:after="120"/>
              <w:jc w:val="center"/>
              <w:rPr>
                <w:rFonts w:eastAsia="Times New Roman" w:cs="Calibri"/>
                <w:b/>
                <w:sz w:val="24"/>
                <w:szCs w:val="24"/>
                <w:lang w:eastAsia="pt-BR"/>
              </w:rPr>
            </w:pPr>
            <w:r w:rsidRPr="0010524E">
              <w:rPr>
                <w:rFonts w:eastAsia="Times New Roman" w:cs="Calibri"/>
                <w:b/>
                <w:sz w:val="24"/>
                <w:szCs w:val="24"/>
                <w:lang w:eastAsia="pt-BR"/>
              </w:rPr>
              <w:t>Seção II</w:t>
            </w:r>
          </w:p>
          <w:p w14:paraId="169F528C" w14:textId="2D3CFDCC" w:rsidR="00E86BE2" w:rsidRPr="0010524E" w:rsidRDefault="00E86BE2" w:rsidP="00E86BE2">
            <w:pPr>
              <w:adjustRightInd w:val="0"/>
              <w:spacing w:before="120" w:after="120"/>
              <w:jc w:val="center"/>
              <w:rPr>
                <w:rFonts w:eastAsia="Times New Roman" w:cs="Calibri"/>
                <w:b/>
                <w:sz w:val="24"/>
                <w:szCs w:val="24"/>
                <w:lang w:eastAsia="pt-BR"/>
              </w:rPr>
            </w:pPr>
            <w:r w:rsidRPr="0010524E">
              <w:rPr>
                <w:rFonts w:eastAsia="Times New Roman" w:cs="Calibri"/>
                <w:b/>
                <w:sz w:val="24"/>
                <w:szCs w:val="24"/>
                <w:lang w:eastAsia="pt-BR"/>
              </w:rPr>
              <w:lastRenderedPageBreak/>
              <w:t>Autorização, da custódia e do extrato de movimentação e posição de títulos públicos federais</w:t>
            </w:r>
          </w:p>
        </w:tc>
        <w:tc>
          <w:tcPr>
            <w:tcW w:w="4849" w:type="dxa"/>
          </w:tcPr>
          <w:p w14:paraId="792E73B0" w14:textId="77777777" w:rsidR="00E86BE2" w:rsidRPr="0010524E" w:rsidRDefault="00E86BE2" w:rsidP="00E86BE2">
            <w:pPr>
              <w:adjustRightInd w:val="0"/>
              <w:spacing w:before="120" w:after="120"/>
              <w:jc w:val="center"/>
              <w:rPr>
                <w:rFonts w:ascii="Calibri" w:eastAsia="Times New Roman" w:hAnsi="Calibri" w:cs="Calibri"/>
                <w:b/>
                <w:sz w:val="24"/>
                <w:szCs w:val="24"/>
                <w:lang w:eastAsia="pt-BR"/>
              </w:rPr>
            </w:pPr>
          </w:p>
        </w:tc>
        <w:tc>
          <w:tcPr>
            <w:tcW w:w="4648" w:type="dxa"/>
          </w:tcPr>
          <w:p w14:paraId="061914F0" w14:textId="77777777" w:rsidR="00E86BE2" w:rsidRPr="0010524E" w:rsidRDefault="00E86BE2" w:rsidP="00E86BE2">
            <w:pPr>
              <w:adjustRightInd w:val="0"/>
              <w:spacing w:before="120" w:after="120"/>
              <w:rPr>
                <w:rFonts w:eastAsia="Times New Roman" w:cs="Calibri"/>
                <w:bCs/>
                <w:sz w:val="24"/>
                <w:szCs w:val="24"/>
                <w:lang w:eastAsia="pt-BR"/>
              </w:rPr>
            </w:pPr>
            <w:r w:rsidRPr="0010524E">
              <w:rPr>
                <w:rFonts w:eastAsia="Times New Roman" w:cs="Calibri"/>
                <w:bCs/>
                <w:sz w:val="24"/>
                <w:szCs w:val="24"/>
                <w:lang w:eastAsia="pt-BR"/>
              </w:rPr>
              <w:t>Realocada.</w:t>
            </w:r>
          </w:p>
          <w:p w14:paraId="0B44E12E" w14:textId="77777777" w:rsidR="00E86BE2" w:rsidRPr="0010524E" w:rsidRDefault="00E86BE2" w:rsidP="00E86BE2">
            <w:pPr>
              <w:adjustRightInd w:val="0"/>
              <w:spacing w:before="120" w:after="120"/>
              <w:rPr>
                <w:rFonts w:eastAsia="Times New Roman" w:cs="Calibri"/>
                <w:b/>
                <w:sz w:val="24"/>
                <w:szCs w:val="24"/>
                <w:lang w:eastAsia="pt-BR"/>
              </w:rPr>
            </w:pPr>
            <w:r w:rsidRPr="0010524E">
              <w:rPr>
                <w:rFonts w:eastAsia="Times New Roman" w:cs="Calibri"/>
                <w:bCs/>
                <w:sz w:val="24"/>
                <w:szCs w:val="24"/>
                <w:lang w:eastAsia="pt-BR"/>
              </w:rPr>
              <w:t>Seção foi inserida no Capítulo de Dados.</w:t>
            </w:r>
          </w:p>
        </w:tc>
      </w:tr>
      <w:tr w:rsidR="00E86BE2" w:rsidRPr="0010524E" w14:paraId="2C4E5472" w14:textId="58D241F6" w:rsidTr="00E86BE2">
        <w:tc>
          <w:tcPr>
            <w:tcW w:w="4815" w:type="dxa"/>
          </w:tcPr>
          <w:p w14:paraId="24C61524"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Art</w:t>
            </w:r>
            <w:r w:rsidRPr="0010524E">
              <w:rPr>
                <w:rFonts w:eastAsia="Times New Roman" w:cstheme="minorHAnsi"/>
                <w:sz w:val="24"/>
                <w:szCs w:val="24"/>
                <w:lang w:eastAsia="pt-BR"/>
              </w:rPr>
              <w:t>. 5º</w:t>
            </w:r>
            <w:r w:rsidRPr="0010524E">
              <w:rPr>
                <w:rFonts w:eastAsia="Times New Roman" w:cstheme="minorHAnsi"/>
                <w:color w:val="000000"/>
                <w:sz w:val="24"/>
                <w:szCs w:val="24"/>
                <w:lang w:eastAsia="pt-BR"/>
              </w:rPr>
              <w:t xml:space="preserve">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junto a sistema de registro e de liquidação financeira ou depositário central,</w:t>
            </w:r>
            <w:r w:rsidRPr="0010524E" w:rsidDel="00A47A97">
              <w:rPr>
                <w:rFonts w:eastAsia="Times New Roman" w:cstheme="minorHAnsi"/>
                <w:color w:val="000000"/>
                <w:sz w:val="24"/>
                <w:szCs w:val="24"/>
                <w:lang w:eastAsia="pt-BR"/>
              </w:rPr>
              <w:t xml:space="preserve"> </w:t>
            </w:r>
            <w:r w:rsidRPr="0010524E">
              <w:rPr>
                <w:rFonts w:eastAsia="Times New Roman" w:cstheme="minorHAnsi"/>
                <w:color w:val="000000"/>
                <w:sz w:val="24"/>
                <w:szCs w:val="24"/>
                <w:lang w:eastAsia="pt-BR"/>
              </w:rPr>
              <w:t>observada a regulamentação do Banco Central do Brasil ou da Comissão de Valores Mobiliários, nas suas respectivas áreas de competência.</w:t>
            </w:r>
          </w:p>
        </w:tc>
        <w:tc>
          <w:tcPr>
            <w:tcW w:w="4849" w:type="dxa"/>
          </w:tcPr>
          <w:p w14:paraId="5E25D43A"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p>
        </w:tc>
        <w:tc>
          <w:tcPr>
            <w:tcW w:w="4648" w:type="dxa"/>
          </w:tcPr>
          <w:p w14:paraId="6C4BA037" w14:textId="0A55E564"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Calibri"/>
                <w:bCs/>
                <w:sz w:val="24"/>
                <w:szCs w:val="24"/>
                <w:lang w:eastAsia="pt-BR"/>
              </w:rPr>
              <w:t>Seção foi inserida no Capítulo de Dados.</w:t>
            </w:r>
          </w:p>
        </w:tc>
      </w:tr>
      <w:tr w:rsidR="00E86BE2" w:rsidRPr="0010524E" w14:paraId="3F330E4D" w14:textId="56C45FDE" w:rsidTr="00E86BE2">
        <w:tc>
          <w:tcPr>
            <w:tcW w:w="4815" w:type="dxa"/>
          </w:tcPr>
          <w:p w14:paraId="540A53A2"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Art. 6º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§3º do art. 2º desta Instrução.</w:t>
            </w:r>
          </w:p>
        </w:tc>
        <w:tc>
          <w:tcPr>
            <w:tcW w:w="4849" w:type="dxa"/>
          </w:tcPr>
          <w:p w14:paraId="2B374CDD"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p>
        </w:tc>
        <w:tc>
          <w:tcPr>
            <w:tcW w:w="4648" w:type="dxa"/>
          </w:tcPr>
          <w:p w14:paraId="038C7A0E" w14:textId="2C2F14EB" w:rsidR="00E86BE2" w:rsidRPr="0010524E" w:rsidRDefault="00E86BE2" w:rsidP="00E86BE2">
            <w:pPr>
              <w:spacing w:after="120"/>
              <w:jc w:val="both"/>
              <w:rPr>
                <w:rFonts w:eastAsia="Times New Roman" w:cstheme="minorHAnsi"/>
                <w:color w:val="000000"/>
                <w:sz w:val="24"/>
                <w:szCs w:val="24"/>
                <w:lang w:eastAsia="pt-BR"/>
              </w:rPr>
            </w:pPr>
            <w:r w:rsidRPr="00CF07E7">
              <w:rPr>
                <w:rFonts w:eastAsia="Times New Roman" w:cs="Calibri"/>
                <w:bCs/>
                <w:sz w:val="24"/>
                <w:szCs w:val="24"/>
                <w:lang w:eastAsia="pt-BR"/>
              </w:rPr>
              <w:t>Seção foi inserida no Capítulo de Dados.</w:t>
            </w:r>
          </w:p>
        </w:tc>
      </w:tr>
      <w:tr w:rsidR="00E86BE2" w:rsidRPr="0010524E" w14:paraId="4605A330" w14:textId="51CAE5DF" w:rsidTr="00E86BE2">
        <w:tc>
          <w:tcPr>
            <w:tcW w:w="4815" w:type="dxa"/>
          </w:tcPr>
          <w:p w14:paraId="24B8880D"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lastRenderedPageBreak/>
              <w:t xml:space="preserve">§1º  A individualização e a identificação mencionadas no </w:t>
            </w:r>
            <w:r w:rsidRPr="0010524E">
              <w:rPr>
                <w:rFonts w:eastAsia="Times New Roman" w:cstheme="minorHAnsi"/>
                <w:b/>
                <w:color w:val="000000"/>
                <w:sz w:val="24"/>
                <w:szCs w:val="24"/>
                <w:lang w:eastAsia="pt-BR"/>
              </w:rPr>
              <w:t>caput</w:t>
            </w:r>
            <w:r w:rsidRPr="0010524E">
              <w:rPr>
                <w:rFonts w:eastAsia="Times New Roman" w:cstheme="minorHAnsi"/>
                <w:color w:val="000000"/>
                <w:sz w:val="24"/>
                <w:szCs w:val="24"/>
                <w:lang w:eastAsia="pt-BR"/>
              </w:rPr>
              <w:t xml:space="preserve"> devem atender ao disposto no §2º do art. 16 da </w:t>
            </w:r>
            <w:r w:rsidRPr="0010524E">
              <w:rPr>
                <w:rFonts w:cstheme="minorHAnsi"/>
                <w:sz w:val="24"/>
                <w:szCs w:val="24"/>
              </w:rPr>
              <w:t>Resolução CMN nº 4.661, de 2018</w:t>
            </w:r>
            <w:r w:rsidRPr="0010524E">
              <w:rPr>
                <w:rFonts w:eastAsia="Times New Roman" w:cstheme="minorHAnsi"/>
                <w:color w:val="000000"/>
                <w:sz w:val="24"/>
                <w:szCs w:val="24"/>
                <w:lang w:eastAsia="pt-BR"/>
              </w:rPr>
              <w:t>.</w:t>
            </w:r>
          </w:p>
        </w:tc>
        <w:tc>
          <w:tcPr>
            <w:tcW w:w="4849" w:type="dxa"/>
          </w:tcPr>
          <w:p w14:paraId="564819A9"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p>
        </w:tc>
        <w:tc>
          <w:tcPr>
            <w:tcW w:w="4648" w:type="dxa"/>
          </w:tcPr>
          <w:p w14:paraId="270D586A" w14:textId="7B675A52" w:rsidR="00E86BE2" w:rsidRPr="0010524E" w:rsidRDefault="00E86BE2" w:rsidP="00E86BE2">
            <w:pPr>
              <w:spacing w:after="120"/>
              <w:jc w:val="both"/>
              <w:rPr>
                <w:rFonts w:eastAsia="Times New Roman" w:cstheme="minorHAnsi"/>
                <w:color w:val="000000"/>
                <w:sz w:val="24"/>
                <w:szCs w:val="24"/>
                <w:lang w:eastAsia="pt-BR"/>
              </w:rPr>
            </w:pPr>
            <w:r w:rsidRPr="00CF07E7">
              <w:rPr>
                <w:rFonts w:eastAsia="Times New Roman" w:cs="Calibri"/>
                <w:bCs/>
                <w:sz w:val="24"/>
                <w:szCs w:val="24"/>
                <w:lang w:eastAsia="pt-BR"/>
              </w:rPr>
              <w:t>Seção foi inserida no Capítulo de Dados.</w:t>
            </w:r>
          </w:p>
        </w:tc>
      </w:tr>
      <w:tr w:rsidR="00E86BE2" w:rsidRPr="0010524E" w14:paraId="384BB2DC" w14:textId="36EEC3D1" w:rsidTr="00E86BE2">
        <w:tc>
          <w:tcPr>
            <w:tcW w:w="4815" w:type="dxa"/>
          </w:tcPr>
          <w:p w14:paraId="6152499E"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sz w:val="24"/>
                <w:szCs w:val="24"/>
                <w:lang w:eastAsia="pt-BR"/>
              </w:rPr>
              <w:t>§2º</w:t>
            </w:r>
            <w:r w:rsidRPr="0010524E" w:rsidDel="00CE5273">
              <w:rPr>
                <w:rFonts w:eastAsia="Times New Roman" w:cstheme="minorHAnsi"/>
                <w:color w:val="000000"/>
                <w:sz w:val="24"/>
                <w:szCs w:val="24"/>
                <w:lang w:eastAsia="pt-BR"/>
              </w:rPr>
              <w:t xml:space="preserve"> </w:t>
            </w:r>
            <w:r w:rsidRPr="0010524E">
              <w:rPr>
                <w:rFonts w:eastAsia="Times New Roman" w:cstheme="minorHAnsi"/>
                <w:color w:val="000000"/>
                <w:sz w:val="24"/>
                <w:szCs w:val="24"/>
                <w:lang w:eastAsia="pt-BR"/>
              </w:rPr>
              <w:t xml:space="preserve"> É vedado às EFPC incluir informações no sistema informatizado com restrição de acesso à Previc, em relação às informações sobre os títulos mencionados no </w:t>
            </w:r>
            <w:r w:rsidRPr="0010524E">
              <w:rPr>
                <w:rFonts w:eastAsia="Times New Roman" w:cstheme="minorHAnsi"/>
                <w:b/>
                <w:color w:val="000000"/>
                <w:sz w:val="24"/>
                <w:szCs w:val="24"/>
                <w:lang w:eastAsia="pt-BR"/>
              </w:rPr>
              <w:t>caput</w:t>
            </w:r>
            <w:r w:rsidRPr="0010524E">
              <w:rPr>
                <w:rFonts w:eastAsia="Times New Roman" w:cstheme="minorHAnsi"/>
                <w:color w:val="000000"/>
                <w:sz w:val="24"/>
                <w:szCs w:val="24"/>
                <w:lang w:eastAsia="pt-BR"/>
              </w:rPr>
              <w:t>.</w:t>
            </w:r>
          </w:p>
        </w:tc>
        <w:tc>
          <w:tcPr>
            <w:tcW w:w="4849" w:type="dxa"/>
          </w:tcPr>
          <w:p w14:paraId="2CDF22CB"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p>
        </w:tc>
        <w:tc>
          <w:tcPr>
            <w:tcW w:w="4648" w:type="dxa"/>
          </w:tcPr>
          <w:p w14:paraId="07468AE9" w14:textId="0D963C9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Calibri"/>
                <w:bCs/>
                <w:sz w:val="24"/>
                <w:szCs w:val="24"/>
                <w:lang w:eastAsia="pt-BR"/>
              </w:rPr>
              <w:t>Seção foi inserida no Capítulo de Dados.</w:t>
            </w:r>
          </w:p>
        </w:tc>
      </w:tr>
      <w:tr w:rsidR="00E86BE2" w:rsidRPr="0010524E" w14:paraId="76A3B8B1" w14:textId="6C9E6F87" w:rsidTr="00E86BE2">
        <w:tc>
          <w:tcPr>
            <w:tcW w:w="4815" w:type="dxa"/>
          </w:tcPr>
          <w:p w14:paraId="67492442" w14:textId="77777777" w:rsidR="00E86BE2" w:rsidRDefault="00E86BE2" w:rsidP="00E86BE2">
            <w:pPr>
              <w:spacing w:before="120" w:after="120"/>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CAPÍTULO II</w:t>
            </w:r>
          </w:p>
          <w:p w14:paraId="4B196DD3" w14:textId="7C00E358" w:rsidR="00E86BE2" w:rsidRPr="0010524E" w:rsidRDefault="00E86BE2" w:rsidP="00E86BE2">
            <w:pPr>
              <w:spacing w:before="120" w:after="120"/>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DA POLÍTICA DE INVESTIMENTO</w:t>
            </w:r>
          </w:p>
        </w:tc>
        <w:tc>
          <w:tcPr>
            <w:tcW w:w="4849" w:type="dxa"/>
          </w:tcPr>
          <w:p w14:paraId="1EBAD79A" w14:textId="77777777" w:rsidR="00E86BE2" w:rsidRDefault="00E86BE2" w:rsidP="00E86BE2">
            <w:pPr>
              <w:adjustRightInd w:val="0"/>
              <w:spacing w:before="120" w:after="120"/>
              <w:jc w:val="center"/>
              <w:rPr>
                <w:rFonts w:ascii="Calibri" w:eastAsia="Times New Roman" w:hAnsi="Calibri" w:cs="Calibri"/>
                <w:b/>
                <w:sz w:val="24"/>
                <w:szCs w:val="24"/>
                <w:lang w:eastAsia="pt-BR"/>
              </w:rPr>
            </w:pPr>
            <w:r w:rsidRPr="0010524E">
              <w:rPr>
                <w:rFonts w:ascii="Calibri" w:eastAsia="Times New Roman" w:hAnsi="Calibri" w:cs="Calibri"/>
                <w:b/>
                <w:sz w:val="24"/>
                <w:szCs w:val="24"/>
                <w:lang w:eastAsia="pt-BR"/>
              </w:rPr>
              <w:t>Seção I</w:t>
            </w:r>
          </w:p>
          <w:p w14:paraId="29971191" w14:textId="00EDF9CE" w:rsidR="00E86BE2" w:rsidRPr="0010524E" w:rsidRDefault="00E86BE2" w:rsidP="00E86BE2">
            <w:pPr>
              <w:adjustRightInd w:val="0"/>
              <w:spacing w:before="120" w:after="120"/>
              <w:jc w:val="center"/>
              <w:rPr>
                <w:rFonts w:ascii="Calibri" w:eastAsia="Times New Roman" w:hAnsi="Calibri" w:cs="Calibri"/>
                <w:b/>
                <w:sz w:val="24"/>
                <w:szCs w:val="24"/>
                <w:lang w:eastAsia="pt-BR"/>
              </w:rPr>
            </w:pPr>
            <w:r>
              <w:rPr>
                <w:rFonts w:ascii="Calibri" w:eastAsia="Times New Roman" w:hAnsi="Calibri" w:cstheme="minorHAnsi"/>
                <w:b/>
                <w:color w:val="000000"/>
                <w:sz w:val="24"/>
                <w:szCs w:val="24"/>
                <w:lang w:eastAsia="pt-BR"/>
              </w:rPr>
              <w:t>P</w:t>
            </w:r>
            <w:r w:rsidRPr="0010524E">
              <w:rPr>
                <w:rFonts w:ascii="Calibri" w:eastAsia="Times New Roman" w:hAnsi="Calibri" w:cstheme="minorHAnsi"/>
                <w:b/>
                <w:color w:val="000000"/>
                <w:sz w:val="24"/>
                <w:szCs w:val="24"/>
                <w:lang w:eastAsia="pt-BR"/>
              </w:rPr>
              <w:t>olítica de investimento</w:t>
            </w:r>
          </w:p>
        </w:tc>
        <w:tc>
          <w:tcPr>
            <w:tcW w:w="4648" w:type="dxa"/>
          </w:tcPr>
          <w:p w14:paraId="2389C051" w14:textId="77777777" w:rsidR="00E86BE2" w:rsidRPr="0010524E" w:rsidRDefault="00E86BE2" w:rsidP="00E86BE2">
            <w:pPr>
              <w:spacing w:before="120"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Renumerado.</w:t>
            </w:r>
          </w:p>
        </w:tc>
      </w:tr>
      <w:tr w:rsidR="00E86BE2" w:rsidRPr="0010524E" w14:paraId="61C7115D" w14:textId="399E2907" w:rsidTr="00E86BE2">
        <w:tc>
          <w:tcPr>
            <w:tcW w:w="4815" w:type="dxa"/>
          </w:tcPr>
          <w:p w14:paraId="2088F451"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Art. 7º  A política de investimento a que se refere o art. 19 da</w:t>
            </w:r>
            <w:r w:rsidRPr="0010524E">
              <w:rPr>
                <w:rFonts w:eastAsia="Times New Roman" w:cstheme="minorHAnsi"/>
                <w:sz w:val="24"/>
                <w:szCs w:val="24"/>
                <w:lang w:eastAsia="pt-BR"/>
              </w:rPr>
              <w:t xml:space="preserve"> </w:t>
            </w:r>
            <w:r w:rsidRPr="0010524E">
              <w:rPr>
                <w:rFonts w:eastAsia="Times New Roman" w:cstheme="minorHAnsi"/>
                <w:color w:val="000000"/>
                <w:sz w:val="24"/>
                <w:szCs w:val="24"/>
                <w:lang w:eastAsia="pt-BR"/>
              </w:rPr>
              <w:t>Resolução CMN nº 4.661, de 2018</w:t>
            </w:r>
            <w:r w:rsidRPr="0010524E">
              <w:rPr>
                <w:rFonts w:cstheme="minorHAnsi"/>
                <w:color w:val="000000"/>
                <w:sz w:val="24"/>
                <w:szCs w:val="24"/>
              </w:rPr>
              <w:t>,</w:t>
            </w:r>
            <w:r w:rsidRPr="0010524E">
              <w:rPr>
                <w:rFonts w:eastAsia="Times New Roman" w:cstheme="minorHAnsi"/>
                <w:color w:val="000000"/>
                <w:sz w:val="24"/>
                <w:szCs w:val="24"/>
                <w:lang w:eastAsia="pt-BR"/>
              </w:rPr>
              <w:t xml:space="preserve"> deve conter, no mínimo, as seguintes informações:</w:t>
            </w:r>
          </w:p>
        </w:tc>
        <w:tc>
          <w:tcPr>
            <w:tcW w:w="4849" w:type="dxa"/>
          </w:tcPr>
          <w:p w14:paraId="41118E02" w14:textId="79EE2BE4"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Art. 307.  A política de investimento a que se refere o art. 19 da Resolução CMN nº 4.994, de 2022</w:t>
            </w:r>
            <w:r w:rsidRPr="0010524E">
              <w:rPr>
                <w:rFonts w:ascii="Calibri" w:hAnsi="Calibri" w:cstheme="minorHAnsi"/>
                <w:sz w:val="24"/>
                <w:szCs w:val="24"/>
              </w:rPr>
              <w:t>,</w:t>
            </w:r>
            <w:r w:rsidRPr="0010524E">
              <w:rPr>
                <w:rFonts w:ascii="Calibri" w:eastAsia="Times New Roman" w:hAnsi="Calibri" w:cstheme="minorHAnsi"/>
                <w:sz w:val="24"/>
                <w:szCs w:val="24"/>
                <w:lang w:eastAsia="pt-BR"/>
              </w:rPr>
              <w:t xml:space="preserve"> deve conter, no mínimo, as seguintes informações:</w:t>
            </w:r>
          </w:p>
        </w:tc>
        <w:tc>
          <w:tcPr>
            <w:tcW w:w="4648" w:type="dxa"/>
          </w:tcPr>
          <w:p w14:paraId="5981C09C"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Atualização da referência normativa.</w:t>
            </w:r>
          </w:p>
        </w:tc>
      </w:tr>
      <w:tr w:rsidR="00E86BE2" w:rsidRPr="0010524E" w14:paraId="42122031" w14:textId="197CCC3B" w:rsidTr="00E86BE2">
        <w:tc>
          <w:tcPr>
            <w:tcW w:w="4815" w:type="dxa"/>
          </w:tcPr>
          <w:p w14:paraId="2CF1FDD2"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I - a previsão de alocação de recursos e os limites por segmento de aplicação;</w:t>
            </w:r>
          </w:p>
        </w:tc>
        <w:tc>
          <w:tcPr>
            <w:tcW w:w="4849" w:type="dxa"/>
          </w:tcPr>
          <w:p w14:paraId="5AA31D61" w14:textId="2240276E"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I - a previsão de alocação de recursos e os limites por segmento de aplicação;</w:t>
            </w:r>
          </w:p>
        </w:tc>
        <w:tc>
          <w:tcPr>
            <w:tcW w:w="4648" w:type="dxa"/>
          </w:tcPr>
          <w:p w14:paraId="3EAB0601"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4AC5A126" w14:textId="000853F2" w:rsidTr="00E86BE2">
        <w:tc>
          <w:tcPr>
            <w:tcW w:w="4815" w:type="dxa"/>
          </w:tcPr>
          <w:p w14:paraId="4C69CABF"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II - a meta de rentabilidade por plano e segmento de aplicação;</w:t>
            </w:r>
          </w:p>
        </w:tc>
        <w:tc>
          <w:tcPr>
            <w:tcW w:w="4849" w:type="dxa"/>
          </w:tcPr>
          <w:p w14:paraId="1193DE27" w14:textId="2889F66F"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II - a meta de rentabilidade por plano e segmento de aplicação;</w:t>
            </w:r>
          </w:p>
        </w:tc>
        <w:tc>
          <w:tcPr>
            <w:tcW w:w="4648" w:type="dxa"/>
          </w:tcPr>
          <w:p w14:paraId="70BE2CB2"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62ADD702" w14:textId="5BB2B93B" w:rsidTr="00E86BE2">
        <w:tc>
          <w:tcPr>
            <w:tcW w:w="4815" w:type="dxa"/>
          </w:tcPr>
          <w:p w14:paraId="1AC40BA5"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III - a rentabilidade auferida por plano e segmento de aplicação nos cinco exercícios anteriores da política de investimento do exercício de referência, de forma acumulada e por exercício;</w:t>
            </w:r>
          </w:p>
        </w:tc>
        <w:tc>
          <w:tcPr>
            <w:tcW w:w="4849" w:type="dxa"/>
          </w:tcPr>
          <w:p w14:paraId="6DFF6E70" w14:textId="097E2458"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III - a rentabilidade auferida por plano e segmento de aplicação nos cinco exercícios anteriores da política de investimento do exercício de referência, de forma acumulada e por exercício;</w:t>
            </w:r>
          </w:p>
        </w:tc>
        <w:tc>
          <w:tcPr>
            <w:tcW w:w="4648" w:type="dxa"/>
          </w:tcPr>
          <w:p w14:paraId="7B3CB30C"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0E8FFA71" w14:textId="23C4F5FE" w:rsidTr="00E86BE2">
        <w:tc>
          <w:tcPr>
            <w:tcW w:w="4815" w:type="dxa"/>
          </w:tcPr>
          <w:p w14:paraId="421E471C"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lastRenderedPageBreak/>
              <w:t>IV - a taxa mínima atuarial ou os índices de referência, observado o regulamento de cada plano de benefícios;</w:t>
            </w:r>
          </w:p>
        </w:tc>
        <w:tc>
          <w:tcPr>
            <w:tcW w:w="4849" w:type="dxa"/>
          </w:tcPr>
          <w:p w14:paraId="1E9ADFC8" w14:textId="3DDDEAAE"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IV - a taxa mínima atuarial ou os índices de referência, observado o regulamento de cada plano de benefícios;</w:t>
            </w:r>
          </w:p>
        </w:tc>
        <w:tc>
          <w:tcPr>
            <w:tcW w:w="4648" w:type="dxa"/>
          </w:tcPr>
          <w:p w14:paraId="3687B0A2"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50AF499C" w14:textId="4F8A85FD" w:rsidTr="00E86BE2">
        <w:tc>
          <w:tcPr>
            <w:tcW w:w="4815" w:type="dxa"/>
          </w:tcPr>
          <w:p w14:paraId="44876E62"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V - os objetivos para utilização de derivativos;</w:t>
            </w:r>
          </w:p>
        </w:tc>
        <w:tc>
          <w:tcPr>
            <w:tcW w:w="4849" w:type="dxa"/>
          </w:tcPr>
          <w:p w14:paraId="1AA27B52" w14:textId="3BC1D58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V - os objetivos para utilização de derivativos;</w:t>
            </w:r>
          </w:p>
        </w:tc>
        <w:tc>
          <w:tcPr>
            <w:tcW w:w="4648" w:type="dxa"/>
          </w:tcPr>
          <w:p w14:paraId="6661CAD5"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1D7D01CA" w14:textId="7B3D3BDD" w:rsidTr="00E86BE2">
        <w:tc>
          <w:tcPr>
            <w:tcW w:w="4815" w:type="dxa"/>
          </w:tcPr>
          <w:p w14:paraId="6FA7C5A7"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VI - as diretrizes para observância de princípios de responsabilidade ambiental, social e de governança, preferencialmente, de forma diferenciada por setores da atividade econômica; e</w:t>
            </w:r>
          </w:p>
        </w:tc>
        <w:tc>
          <w:tcPr>
            <w:tcW w:w="4849" w:type="dxa"/>
          </w:tcPr>
          <w:p w14:paraId="12568BA9" w14:textId="4FB60F9C"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VI - as diretrizes para observância de princípios de responsabilidade ambiental, social e de governança, preferencialmente, de forma diferenciada por setores da atividade econômica; e</w:t>
            </w:r>
          </w:p>
        </w:tc>
        <w:tc>
          <w:tcPr>
            <w:tcW w:w="4648" w:type="dxa"/>
          </w:tcPr>
          <w:p w14:paraId="1D388CC4"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0E51B3DA" w14:textId="4EAF14E6" w:rsidTr="00E86BE2">
        <w:tc>
          <w:tcPr>
            <w:tcW w:w="4815" w:type="dxa"/>
          </w:tcPr>
          <w:p w14:paraId="5FBA59E7"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VII - as informações ou a indicação de documento em que conste procedimentos e critérios relativos à:</w:t>
            </w:r>
          </w:p>
        </w:tc>
        <w:tc>
          <w:tcPr>
            <w:tcW w:w="4849" w:type="dxa"/>
          </w:tcPr>
          <w:p w14:paraId="0B17E39D" w14:textId="0809EAD8"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VII - as informações ou a indicação de documento em que constem procedimentos e critérios relativos à:</w:t>
            </w:r>
          </w:p>
        </w:tc>
        <w:tc>
          <w:tcPr>
            <w:tcW w:w="4648" w:type="dxa"/>
          </w:tcPr>
          <w:p w14:paraId="2E83B8B5"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3406964D" w14:textId="78F439AF" w:rsidTr="00E86BE2">
        <w:tc>
          <w:tcPr>
            <w:tcW w:w="4815" w:type="dxa"/>
          </w:tcPr>
          <w:p w14:paraId="6F6D593B"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a) precificação  dos ativos financeiros com metodologia ou as fontes de referência adotadas;</w:t>
            </w:r>
          </w:p>
        </w:tc>
        <w:tc>
          <w:tcPr>
            <w:tcW w:w="4849" w:type="dxa"/>
          </w:tcPr>
          <w:p w14:paraId="51051EA0" w14:textId="61846963"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a) precificação dos ativos financeiros com metodologia ou as fontes de referência adotadas;</w:t>
            </w:r>
          </w:p>
        </w:tc>
        <w:tc>
          <w:tcPr>
            <w:tcW w:w="4648" w:type="dxa"/>
          </w:tcPr>
          <w:p w14:paraId="4C74B312"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761F7747" w14:textId="17B61A0B" w:rsidTr="00E86BE2">
        <w:tc>
          <w:tcPr>
            <w:tcW w:w="4815" w:type="dxa"/>
          </w:tcPr>
          <w:p w14:paraId="7BC0DCDD"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 xml:space="preserve">b) avaliação dos riscos de investimento, incluídos os riscos de crédito, de mercado, de liquidez, operacional, legal, sistêmico </w:t>
            </w:r>
            <w:r w:rsidRPr="0010524E">
              <w:rPr>
                <w:rFonts w:eastAsia="Times New Roman" w:cstheme="minorHAnsi"/>
                <w:sz w:val="24"/>
                <w:szCs w:val="24"/>
                <w:lang w:eastAsia="pt-BR"/>
              </w:rPr>
              <w:t>e outros inerentes às operações</w:t>
            </w:r>
            <w:r w:rsidRPr="0010524E">
              <w:rPr>
                <w:rFonts w:eastAsia="Times New Roman" w:cstheme="minorHAnsi"/>
                <w:color w:val="000000"/>
                <w:sz w:val="24"/>
                <w:szCs w:val="24"/>
                <w:lang w:eastAsia="pt-BR"/>
              </w:rPr>
              <w:t>;</w:t>
            </w:r>
          </w:p>
        </w:tc>
        <w:tc>
          <w:tcPr>
            <w:tcW w:w="4849" w:type="dxa"/>
          </w:tcPr>
          <w:p w14:paraId="30E602C5" w14:textId="3D478B20"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b) avaliação dos riscos de investimento, incluídos os riscos de crédito, de mercado, de liquidez, operacional, legal, sistêmico e outros inerentes às operações;</w:t>
            </w:r>
          </w:p>
        </w:tc>
        <w:tc>
          <w:tcPr>
            <w:tcW w:w="4648" w:type="dxa"/>
          </w:tcPr>
          <w:p w14:paraId="03051C68"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22D84AFB" w14:textId="06B1C762" w:rsidTr="00E86BE2">
        <w:tc>
          <w:tcPr>
            <w:tcW w:w="4815" w:type="dxa"/>
          </w:tcPr>
          <w:p w14:paraId="302FD329" w14:textId="77777777" w:rsidR="00E86BE2" w:rsidRPr="0010524E" w:rsidRDefault="00E86BE2" w:rsidP="00E86BE2">
            <w:pPr>
              <w:spacing w:after="120"/>
              <w:jc w:val="both"/>
              <w:rPr>
                <w:rFonts w:cstheme="minorHAnsi"/>
                <w:color w:val="444444"/>
                <w:sz w:val="24"/>
                <w:szCs w:val="24"/>
                <w:shd w:val="clear" w:color="auto" w:fill="FFFFFF"/>
              </w:rPr>
            </w:pPr>
            <w:r w:rsidRPr="0010524E">
              <w:rPr>
                <w:rFonts w:eastAsia="Times New Roman" w:cstheme="minorHAnsi"/>
                <w:color w:val="000000"/>
                <w:sz w:val="24"/>
                <w:szCs w:val="24"/>
                <w:lang w:eastAsia="pt-BR"/>
              </w:rPr>
              <w:t>c) seleção, acompanhamento e avaliação de prestadores de serviços relacionados à administração de carteiras de valores mobiliários e de fundo de investimento;</w:t>
            </w:r>
          </w:p>
        </w:tc>
        <w:tc>
          <w:tcPr>
            <w:tcW w:w="4849" w:type="dxa"/>
          </w:tcPr>
          <w:p w14:paraId="35C499BF" w14:textId="30979483" w:rsidR="00E86BE2" w:rsidRPr="0010524E" w:rsidRDefault="00E86BE2" w:rsidP="00E86BE2">
            <w:pPr>
              <w:spacing w:after="120"/>
              <w:jc w:val="both"/>
              <w:rPr>
                <w:rFonts w:ascii="Calibri" w:hAnsi="Calibri" w:cstheme="minorHAnsi"/>
                <w:color w:val="444444"/>
                <w:sz w:val="24"/>
                <w:szCs w:val="24"/>
                <w:shd w:val="clear" w:color="auto" w:fill="FFFFFF"/>
              </w:rPr>
            </w:pPr>
            <w:r w:rsidRPr="0010524E">
              <w:rPr>
                <w:rFonts w:ascii="Calibri" w:eastAsia="Times New Roman" w:hAnsi="Calibri" w:cstheme="minorHAnsi"/>
                <w:sz w:val="24"/>
                <w:szCs w:val="24"/>
                <w:lang w:eastAsia="pt-BR"/>
              </w:rPr>
              <w:t>c) seleção, acompanhamento e avaliação de prestadores de serviços relacionados à administração de carteiras de valores mobiliários e de fundo de investimento;</w:t>
            </w:r>
          </w:p>
        </w:tc>
        <w:tc>
          <w:tcPr>
            <w:tcW w:w="4648" w:type="dxa"/>
          </w:tcPr>
          <w:p w14:paraId="524B03A9"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3063DEE5" w14:textId="7D26FE9A" w:rsidTr="00E86BE2">
        <w:tc>
          <w:tcPr>
            <w:tcW w:w="4815" w:type="dxa"/>
          </w:tcPr>
          <w:p w14:paraId="5EC137D4"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d) observância dos limites e requisitos da Resolução CMN nº 4.661, de 2018;</w:t>
            </w:r>
          </w:p>
        </w:tc>
        <w:tc>
          <w:tcPr>
            <w:tcW w:w="4849" w:type="dxa"/>
          </w:tcPr>
          <w:p w14:paraId="3587A625" w14:textId="3F2EE1C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d) observância dos limites e requisitos da Resolução CMN nº 4.994, de 2022;</w:t>
            </w:r>
          </w:p>
        </w:tc>
        <w:tc>
          <w:tcPr>
            <w:tcW w:w="4648" w:type="dxa"/>
          </w:tcPr>
          <w:p w14:paraId="2FFDA306"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Atualização da referência normativa.</w:t>
            </w:r>
          </w:p>
        </w:tc>
      </w:tr>
      <w:tr w:rsidR="00E86BE2" w:rsidRPr="0010524E" w14:paraId="5F252EF7" w14:textId="5F43CCD4" w:rsidTr="00E86BE2">
        <w:tc>
          <w:tcPr>
            <w:tcW w:w="4815" w:type="dxa"/>
          </w:tcPr>
          <w:p w14:paraId="026AB623"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lastRenderedPageBreak/>
              <w:t>e) avaliação, gerenciamento e acompanhamento do risco e do retorno esperado dos investimentos em carteira própria;</w:t>
            </w:r>
          </w:p>
        </w:tc>
        <w:tc>
          <w:tcPr>
            <w:tcW w:w="4849" w:type="dxa"/>
          </w:tcPr>
          <w:p w14:paraId="52DA0001" w14:textId="64EC5BB2"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e) avaliação, gerenciamento e acompanhamento do risco e do retorno esperado dos investimentos em carteira própria;</w:t>
            </w:r>
          </w:p>
        </w:tc>
        <w:tc>
          <w:tcPr>
            <w:tcW w:w="4648" w:type="dxa"/>
          </w:tcPr>
          <w:p w14:paraId="103F156A"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7F1B91F2" w14:textId="2A96B3BD" w:rsidTr="00E86BE2">
        <w:tc>
          <w:tcPr>
            <w:tcW w:w="4815" w:type="dxa"/>
          </w:tcPr>
          <w:p w14:paraId="3087A10F"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w:t>
            </w:r>
          </w:p>
        </w:tc>
        <w:tc>
          <w:tcPr>
            <w:tcW w:w="4849" w:type="dxa"/>
          </w:tcPr>
          <w:p w14:paraId="5E3A826E" w14:textId="7B192564"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w:t>
            </w:r>
          </w:p>
        </w:tc>
        <w:tc>
          <w:tcPr>
            <w:tcW w:w="4648" w:type="dxa"/>
          </w:tcPr>
          <w:p w14:paraId="05AAA8D4"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0BE5566F" w14:textId="504B1E65" w:rsidTr="00E86BE2">
        <w:tc>
          <w:tcPr>
            <w:tcW w:w="4815" w:type="dxa"/>
          </w:tcPr>
          <w:p w14:paraId="5FBAF550"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g) mitigação de potenciais conflitos de interesse de seus prestadores de serviços e das pessoas que participam do processo decisório.</w:t>
            </w:r>
          </w:p>
        </w:tc>
        <w:tc>
          <w:tcPr>
            <w:tcW w:w="4849" w:type="dxa"/>
          </w:tcPr>
          <w:p w14:paraId="2261D668" w14:textId="6BA0A4B9"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g) mitigação de potenciais conflitos de interesse de seus prestadores de serviços e das pessoas que participam do processo decisório.</w:t>
            </w:r>
          </w:p>
        </w:tc>
        <w:tc>
          <w:tcPr>
            <w:tcW w:w="4648" w:type="dxa"/>
          </w:tcPr>
          <w:p w14:paraId="1E6B0D2E"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612413C8" w14:textId="7D055663" w:rsidTr="00E86BE2">
        <w:tc>
          <w:tcPr>
            <w:tcW w:w="4815" w:type="dxa"/>
          </w:tcPr>
          <w:p w14:paraId="7831A70E"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Parágrafo único.  Os requisitos estabelecidos nos incisos I a V devem ser, preferencialmente, individualizados por perfil de investimento, quando houver.</w:t>
            </w:r>
          </w:p>
        </w:tc>
        <w:tc>
          <w:tcPr>
            <w:tcW w:w="4849" w:type="dxa"/>
          </w:tcPr>
          <w:p w14:paraId="4A833FCE" w14:textId="0CDC3D4E" w:rsidR="00E86BE2" w:rsidRPr="0010524E" w:rsidRDefault="00E86BE2" w:rsidP="00E86BE2">
            <w:pPr>
              <w:spacing w:after="120"/>
              <w:jc w:val="both"/>
              <w:rPr>
                <w:rFonts w:eastAsia="Times New Roman" w:cstheme="minorHAnsi"/>
                <w:color w:val="000000"/>
                <w:sz w:val="24"/>
                <w:szCs w:val="24"/>
                <w:lang w:eastAsia="pt-BR"/>
              </w:rPr>
            </w:pPr>
            <w:r w:rsidRPr="0010524E">
              <w:rPr>
                <w:rFonts w:ascii="Calibri" w:hAnsi="Calibri"/>
                <w:sz w:val="24"/>
                <w:szCs w:val="24"/>
              </w:rPr>
              <w:t xml:space="preserve">§1º  </w:t>
            </w:r>
            <w:r w:rsidRPr="0010524E">
              <w:rPr>
                <w:rFonts w:ascii="Calibri" w:eastAsia="Times New Roman" w:hAnsi="Calibri"/>
                <w:sz w:val="24"/>
                <w:szCs w:val="24"/>
                <w:lang w:eastAsia="pt-BR"/>
              </w:rPr>
              <w:t>Os requisitos estabelecidos nos incisos I a V devem ser, preferencialmente, individualizados por perfil de investimento, quando houver.</w:t>
            </w:r>
          </w:p>
        </w:tc>
        <w:tc>
          <w:tcPr>
            <w:tcW w:w="4648" w:type="dxa"/>
          </w:tcPr>
          <w:p w14:paraId="2833AA96"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 xml:space="preserve">Renumerado. </w:t>
            </w:r>
          </w:p>
        </w:tc>
      </w:tr>
      <w:tr w:rsidR="00E86BE2" w:rsidRPr="0010524E" w14:paraId="7161EA9E" w14:textId="58101979" w:rsidTr="00E86BE2">
        <w:tc>
          <w:tcPr>
            <w:tcW w:w="4815" w:type="dxa"/>
          </w:tcPr>
          <w:p w14:paraId="4017D0F3" w14:textId="77777777" w:rsidR="00E86BE2" w:rsidRPr="0010524E" w:rsidRDefault="00E86BE2" w:rsidP="00E86BE2">
            <w:pPr>
              <w:spacing w:after="120"/>
              <w:jc w:val="both"/>
              <w:rPr>
                <w:rFonts w:eastAsia="Times New Roman" w:cstheme="minorHAnsi"/>
                <w:color w:val="000000"/>
                <w:sz w:val="24"/>
                <w:szCs w:val="24"/>
                <w:lang w:eastAsia="pt-BR"/>
              </w:rPr>
            </w:pPr>
          </w:p>
        </w:tc>
        <w:tc>
          <w:tcPr>
            <w:tcW w:w="4849" w:type="dxa"/>
          </w:tcPr>
          <w:p w14:paraId="6CB7C654" w14:textId="4527EAD3" w:rsidR="00E86BE2" w:rsidRPr="0010524E" w:rsidRDefault="00E86BE2" w:rsidP="00E86BE2">
            <w:pPr>
              <w:spacing w:after="120"/>
              <w:jc w:val="both"/>
              <w:rPr>
                <w:rFonts w:ascii="Calibri" w:hAnsi="Calibri" w:cstheme="minorHAnsi"/>
                <w:color w:val="FF0000"/>
                <w:sz w:val="24"/>
                <w:szCs w:val="24"/>
              </w:rPr>
            </w:pPr>
            <w:r w:rsidRPr="0010524E">
              <w:rPr>
                <w:rFonts w:ascii="Calibri" w:hAnsi="Calibri"/>
                <w:sz w:val="24"/>
                <w:szCs w:val="24"/>
              </w:rPr>
              <w:t>§2º  A EFPC deve</w:t>
            </w:r>
            <w:r w:rsidRPr="0010524E">
              <w:rPr>
                <w:rFonts w:ascii="Calibri" w:hAnsi="Calibri" w:cstheme="minorHAnsi"/>
                <w:sz w:val="24"/>
                <w:szCs w:val="24"/>
              </w:rPr>
              <w:t xml:space="preserve"> manter cópia, por meio digital, de todos os documentos utilizados pela EFPC para atender os procedimentos de que trata o </w:t>
            </w:r>
            <w:r w:rsidRPr="0010524E">
              <w:rPr>
                <w:rFonts w:ascii="Calibri" w:hAnsi="Calibri" w:cstheme="minorHAnsi"/>
                <w:b/>
                <w:sz w:val="24"/>
                <w:szCs w:val="24"/>
              </w:rPr>
              <w:t>caput</w:t>
            </w:r>
            <w:r w:rsidRPr="0010524E">
              <w:rPr>
                <w:rFonts w:ascii="Calibri" w:hAnsi="Calibri" w:cstheme="minorHAnsi"/>
                <w:sz w:val="24"/>
                <w:szCs w:val="24"/>
              </w:rPr>
              <w:t>.</w:t>
            </w:r>
          </w:p>
        </w:tc>
        <w:tc>
          <w:tcPr>
            <w:tcW w:w="4648" w:type="dxa"/>
          </w:tcPr>
          <w:p w14:paraId="61406C5D"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Incluído.</w:t>
            </w:r>
          </w:p>
          <w:p w14:paraId="7F8A22B1"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 xml:space="preserve">Definição da forma de salvaguarda dos documentos comprobatórios. </w:t>
            </w:r>
          </w:p>
        </w:tc>
      </w:tr>
      <w:tr w:rsidR="00E86BE2" w:rsidRPr="0010524E" w14:paraId="6EE11C1F" w14:textId="3DFAC5F2" w:rsidTr="00E86BE2">
        <w:tc>
          <w:tcPr>
            <w:tcW w:w="4815" w:type="dxa"/>
          </w:tcPr>
          <w:p w14:paraId="5472953A"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 xml:space="preserve">Art. 8º  A EFPC fica dispensada de elaborar e enviar a política de investimento dos planos de benefícios que se encontrem sob administração especial com poderes de liquidação </w:t>
            </w:r>
            <w:r w:rsidRPr="0010524E">
              <w:rPr>
                <w:rFonts w:eastAsia="Times New Roman" w:cstheme="minorHAnsi"/>
                <w:color w:val="000000"/>
                <w:sz w:val="24"/>
                <w:szCs w:val="24"/>
                <w:lang w:eastAsia="pt-BR"/>
              </w:rPr>
              <w:lastRenderedPageBreak/>
              <w:t>extrajudicial, sem atividades ou com pendência para cancelamento.</w:t>
            </w:r>
          </w:p>
        </w:tc>
        <w:tc>
          <w:tcPr>
            <w:tcW w:w="4849" w:type="dxa"/>
          </w:tcPr>
          <w:p w14:paraId="4AD3A637" w14:textId="77777777" w:rsidR="00E86BE2" w:rsidRPr="0010524E" w:rsidRDefault="00E86BE2" w:rsidP="00E86BE2">
            <w:pPr>
              <w:spacing w:after="120"/>
              <w:jc w:val="both"/>
              <w:rPr>
                <w:rFonts w:ascii="Calibri" w:eastAsia="Times New Roman" w:hAnsi="Calibri" w:cstheme="minorHAnsi"/>
                <w:color w:val="000000"/>
                <w:sz w:val="24"/>
                <w:szCs w:val="24"/>
                <w:highlight w:val="yellow"/>
                <w:lang w:eastAsia="pt-BR"/>
              </w:rPr>
            </w:pPr>
            <w:r w:rsidRPr="0010524E">
              <w:rPr>
                <w:rFonts w:ascii="Calibri" w:eastAsia="Times New Roman" w:hAnsi="Calibri" w:cstheme="minorHAnsi"/>
                <w:color w:val="000000"/>
                <w:sz w:val="24"/>
                <w:szCs w:val="24"/>
                <w:highlight w:val="yellow"/>
                <w:lang w:eastAsia="pt-BR"/>
              </w:rPr>
              <w:lastRenderedPageBreak/>
              <w:t xml:space="preserve">Art. 608.  A EFPC fica dispensada de elaborar e enviar a política de investimento dos planos de benefícios que se encontrem sob administração especial com poderes de liquidação </w:t>
            </w:r>
            <w:r w:rsidRPr="0010524E">
              <w:rPr>
                <w:rFonts w:ascii="Calibri" w:eastAsia="Times New Roman" w:hAnsi="Calibri" w:cstheme="minorHAnsi"/>
                <w:color w:val="000000"/>
                <w:sz w:val="24"/>
                <w:szCs w:val="24"/>
                <w:highlight w:val="yellow"/>
                <w:lang w:eastAsia="pt-BR"/>
              </w:rPr>
              <w:lastRenderedPageBreak/>
              <w:t>extrajudicial, sem atividades ou com pendência para cancelamento.</w:t>
            </w:r>
          </w:p>
        </w:tc>
        <w:tc>
          <w:tcPr>
            <w:tcW w:w="4648" w:type="dxa"/>
          </w:tcPr>
          <w:p w14:paraId="349C6525" w14:textId="00C3835A"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68101642" w14:textId="0BBF5528" w:rsidTr="00E86BE2">
        <w:tc>
          <w:tcPr>
            <w:tcW w:w="4815" w:type="dxa"/>
          </w:tcPr>
          <w:p w14:paraId="4D00CFBD"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 xml:space="preserve">Parágrafo único.  A dispensa de que trata o </w:t>
            </w:r>
            <w:r w:rsidRPr="0010524E">
              <w:rPr>
                <w:rFonts w:eastAsia="Times New Roman" w:cstheme="minorHAnsi"/>
                <w:b/>
                <w:color w:val="000000"/>
                <w:sz w:val="24"/>
                <w:szCs w:val="24"/>
                <w:lang w:eastAsia="pt-BR"/>
              </w:rPr>
              <w:t>caput</w:t>
            </w:r>
            <w:r w:rsidRPr="0010524E">
              <w:rPr>
                <w:rFonts w:eastAsia="Times New Roman" w:cstheme="minorHAnsi"/>
                <w:color w:val="000000"/>
                <w:sz w:val="24"/>
                <w:szCs w:val="24"/>
                <w:lang w:eastAsia="pt-BR"/>
              </w:rPr>
              <w:t xml:space="preserve"> se aplica à EFPC que se encontrar sob liquidação extrajudicial, sem atividades ou com pendência de cancelamento ou encerramento.</w:t>
            </w:r>
          </w:p>
        </w:tc>
        <w:tc>
          <w:tcPr>
            <w:tcW w:w="4849" w:type="dxa"/>
          </w:tcPr>
          <w:p w14:paraId="332E76E1" w14:textId="77777777" w:rsidR="00E86BE2" w:rsidRPr="0010524E" w:rsidRDefault="00E86BE2" w:rsidP="00E86BE2">
            <w:pPr>
              <w:spacing w:after="120"/>
              <w:jc w:val="both"/>
              <w:rPr>
                <w:rFonts w:ascii="Calibri" w:eastAsia="Times New Roman" w:hAnsi="Calibri" w:cstheme="minorHAnsi"/>
                <w:color w:val="000000"/>
                <w:sz w:val="24"/>
                <w:szCs w:val="24"/>
                <w:highlight w:val="yellow"/>
                <w:lang w:eastAsia="pt-BR"/>
              </w:rPr>
            </w:pPr>
            <w:r w:rsidRPr="0010524E">
              <w:rPr>
                <w:rFonts w:ascii="Calibri" w:eastAsia="Times New Roman" w:hAnsi="Calibri" w:cstheme="minorHAnsi"/>
                <w:color w:val="000000"/>
                <w:sz w:val="24"/>
                <w:szCs w:val="24"/>
                <w:highlight w:val="yellow"/>
                <w:lang w:eastAsia="pt-BR"/>
              </w:rPr>
              <w:t xml:space="preserve">Parágrafo único.  A dispensa de que trata o </w:t>
            </w:r>
            <w:r w:rsidRPr="0010524E">
              <w:rPr>
                <w:rFonts w:ascii="Calibri" w:eastAsia="Times New Roman" w:hAnsi="Calibri" w:cstheme="minorHAnsi"/>
                <w:b/>
                <w:color w:val="000000"/>
                <w:sz w:val="24"/>
                <w:szCs w:val="24"/>
                <w:highlight w:val="yellow"/>
                <w:lang w:eastAsia="pt-BR"/>
              </w:rPr>
              <w:t>caput</w:t>
            </w:r>
            <w:r w:rsidRPr="0010524E">
              <w:rPr>
                <w:rFonts w:ascii="Calibri" w:eastAsia="Times New Roman" w:hAnsi="Calibri" w:cstheme="minorHAnsi"/>
                <w:color w:val="000000"/>
                <w:sz w:val="24"/>
                <w:szCs w:val="24"/>
                <w:highlight w:val="yellow"/>
                <w:lang w:eastAsia="pt-BR"/>
              </w:rPr>
              <w:t xml:space="preserve"> se aplica à EFPC que se encontrar sob liquidação extrajudicial, sem atividades ou com pendência de cancelamento ou encerramento.</w:t>
            </w:r>
          </w:p>
        </w:tc>
        <w:tc>
          <w:tcPr>
            <w:tcW w:w="4648" w:type="dxa"/>
          </w:tcPr>
          <w:p w14:paraId="18935AD3" w14:textId="32EF2B3C"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77BC8BEF" w14:textId="1B89990F" w:rsidTr="00E86BE2">
        <w:tc>
          <w:tcPr>
            <w:tcW w:w="4815" w:type="dxa"/>
          </w:tcPr>
          <w:p w14:paraId="32D53E4C" w14:textId="77777777" w:rsidR="00E86BE2" w:rsidRDefault="00E86BE2" w:rsidP="00E86BE2">
            <w:pPr>
              <w:spacing w:after="120"/>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CAPÍTULO III</w:t>
            </w:r>
          </w:p>
          <w:p w14:paraId="4C32D85D" w14:textId="39C3A7BA" w:rsidR="00E86BE2" w:rsidRPr="0010524E" w:rsidRDefault="00E86BE2" w:rsidP="00E86BE2">
            <w:pPr>
              <w:spacing w:after="120"/>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DO PERFIL DE INVESTIMENTO</w:t>
            </w:r>
          </w:p>
        </w:tc>
        <w:tc>
          <w:tcPr>
            <w:tcW w:w="4849" w:type="dxa"/>
          </w:tcPr>
          <w:p w14:paraId="027DA717" w14:textId="77777777" w:rsidR="00E86BE2" w:rsidRDefault="00E86BE2" w:rsidP="00E86BE2">
            <w:pPr>
              <w:adjustRightInd w:val="0"/>
              <w:spacing w:after="120"/>
              <w:jc w:val="center"/>
              <w:rPr>
                <w:rFonts w:ascii="Calibri" w:eastAsia="Times New Roman" w:hAnsi="Calibri" w:cs="Calibri"/>
                <w:b/>
                <w:sz w:val="24"/>
                <w:szCs w:val="24"/>
                <w:lang w:eastAsia="pt-BR"/>
              </w:rPr>
            </w:pPr>
            <w:r w:rsidRPr="0010524E">
              <w:rPr>
                <w:rFonts w:ascii="Calibri" w:eastAsia="Times New Roman" w:hAnsi="Calibri" w:cs="Calibri"/>
                <w:b/>
                <w:sz w:val="24"/>
                <w:szCs w:val="24"/>
                <w:lang w:eastAsia="pt-BR"/>
              </w:rPr>
              <w:t>Seção II</w:t>
            </w:r>
          </w:p>
          <w:p w14:paraId="55A34153" w14:textId="297FD554" w:rsidR="00E86BE2" w:rsidRPr="0010524E" w:rsidRDefault="00E86BE2" w:rsidP="00E86BE2">
            <w:pPr>
              <w:adjustRightInd w:val="0"/>
              <w:spacing w:after="120"/>
              <w:jc w:val="center"/>
              <w:rPr>
                <w:rFonts w:ascii="Calibri" w:eastAsia="Times New Roman" w:hAnsi="Calibri" w:cs="Calibri"/>
                <w:b/>
                <w:sz w:val="24"/>
                <w:szCs w:val="24"/>
                <w:lang w:eastAsia="pt-BR"/>
              </w:rPr>
            </w:pPr>
            <w:r w:rsidRPr="0010524E">
              <w:rPr>
                <w:rFonts w:ascii="Calibri" w:eastAsia="Times New Roman" w:hAnsi="Calibri" w:cstheme="minorHAnsi"/>
                <w:b/>
                <w:color w:val="000000"/>
                <w:sz w:val="24"/>
                <w:szCs w:val="24"/>
                <w:lang w:eastAsia="pt-BR"/>
              </w:rPr>
              <w:t>Do perfil de investimento</w:t>
            </w:r>
          </w:p>
        </w:tc>
        <w:tc>
          <w:tcPr>
            <w:tcW w:w="4648" w:type="dxa"/>
          </w:tcPr>
          <w:p w14:paraId="730DE950" w14:textId="77777777" w:rsidR="00E86BE2" w:rsidRPr="0010524E" w:rsidRDefault="00E86BE2" w:rsidP="00E86BE2">
            <w:pPr>
              <w:spacing w:before="120"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Renumerado.</w:t>
            </w:r>
          </w:p>
        </w:tc>
      </w:tr>
      <w:tr w:rsidR="00E86BE2" w:rsidRPr="0010524E" w14:paraId="743B1E83" w14:textId="6EC7CC13" w:rsidTr="00E86BE2">
        <w:tc>
          <w:tcPr>
            <w:tcW w:w="4815" w:type="dxa"/>
          </w:tcPr>
          <w:p w14:paraId="0F43636A" w14:textId="77777777" w:rsidR="00E86BE2" w:rsidRPr="0010524E" w:rsidRDefault="00E86BE2" w:rsidP="00E86BE2">
            <w:pPr>
              <w:spacing w:after="120"/>
              <w:jc w:val="both"/>
              <w:rPr>
                <w:rFonts w:cstheme="minorHAnsi"/>
                <w:sz w:val="24"/>
                <w:szCs w:val="24"/>
              </w:rPr>
            </w:pPr>
            <w:r w:rsidRPr="0010524E">
              <w:rPr>
                <w:rFonts w:cstheme="minorHAnsi"/>
                <w:sz w:val="24"/>
                <w:szCs w:val="24"/>
              </w:rPr>
              <w:t xml:space="preserve">Art. </w:t>
            </w:r>
            <w:r w:rsidRPr="0010524E">
              <w:rPr>
                <w:rFonts w:eastAsia="Times New Roman" w:cstheme="minorHAnsi"/>
                <w:color w:val="000000"/>
                <w:sz w:val="24"/>
                <w:szCs w:val="24"/>
                <w:lang w:eastAsia="pt-BR"/>
              </w:rPr>
              <w:t>9º</w:t>
            </w:r>
            <w:r w:rsidRPr="0010524E">
              <w:rPr>
                <w:rFonts w:cstheme="minorHAnsi"/>
                <w:sz w:val="24"/>
                <w:szCs w:val="24"/>
              </w:rPr>
              <w:t xml:space="preserve">  A EFPC que oferecer perfil de investimento deve:</w:t>
            </w:r>
          </w:p>
        </w:tc>
        <w:tc>
          <w:tcPr>
            <w:tcW w:w="4849" w:type="dxa"/>
          </w:tcPr>
          <w:p w14:paraId="27498D23" w14:textId="233852E7" w:rsidR="00E86BE2" w:rsidRPr="0010524E" w:rsidRDefault="00E86BE2" w:rsidP="00E86BE2">
            <w:pPr>
              <w:spacing w:after="120"/>
              <w:jc w:val="both"/>
              <w:rPr>
                <w:rFonts w:ascii="Calibri" w:hAnsi="Calibri" w:cstheme="minorHAnsi"/>
                <w:sz w:val="24"/>
                <w:szCs w:val="24"/>
              </w:rPr>
            </w:pPr>
            <w:r w:rsidRPr="0010524E">
              <w:rPr>
                <w:rFonts w:ascii="Calibri" w:hAnsi="Calibri" w:cstheme="minorHAnsi"/>
                <w:sz w:val="24"/>
                <w:szCs w:val="24"/>
              </w:rPr>
              <w:t xml:space="preserve">Art. </w:t>
            </w:r>
            <w:r w:rsidRPr="0010524E">
              <w:rPr>
                <w:rFonts w:ascii="Calibri" w:eastAsia="Times New Roman" w:hAnsi="Calibri" w:cstheme="minorHAnsi"/>
                <w:sz w:val="24"/>
                <w:szCs w:val="24"/>
                <w:lang w:eastAsia="pt-BR"/>
              </w:rPr>
              <w:t>308.</w:t>
            </w:r>
            <w:r w:rsidRPr="0010524E">
              <w:rPr>
                <w:rFonts w:ascii="Calibri" w:hAnsi="Calibri" w:cstheme="minorHAnsi"/>
                <w:sz w:val="24"/>
                <w:szCs w:val="24"/>
              </w:rPr>
              <w:t xml:space="preserve">  A EFPC que oferecer perfil de investimento deve:</w:t>
            </w:r>
          </w:p>
        </w:tc>
        <w:tc>
          <w:tcPr>
            <w:tcW w:w="4648" w:type="dxa"/>
          </w:tcPr>
          <w:p w14:paraId="4BB830F6" w14:textId="77777777" w:rsidR="00E86BE2" w:rsidRPr="0010524E" w:rsidRDefault="00E86BE2" w:rsidP="00E86BE2">
            <w:pPr>
              <w:spacing w:after="120"/>
              <w:rPr>
                <w:rFonts w:cstheme="minorHAnsi"/>
                <w:sz w:val="24"/>
                <w:szCs w:val="24"/>
              </w:rPr>
            </w:pPr>
            <w:r w:rsidRPr="0010524E">
              <w:rPr>
                <w:rFonts w:cstheme="minorHAnsi"/>
                <w:sz w:val="24"/>
                <w:szCs w:val="24"/>
              </w:rPr>
              <w:t>Renumerado.</w:t>
            </w:r>
          </w:p>
        </w:tc>
      </w:tr>
      <w:tr w:rsidR="00E86BE2" w:rsidRPr="0010524E" w14:paraId="2630E0F2" w14:textId="79252E54" w:rsidTr="00E86BE2">
        <w:tc>
          <w:tcPr>
            <w:tcW w:w="4815" w:type="dxa"/>
          </w:tcPr>
          <w:p w14:paraId="1B0E7CEE" w14:textId="77777777" w:rsidR="00E86BE2" w:rsidRPr="0010524E" w:rsidRDefault="00E86BE2" w:rsidP="00E86BE2">
            <w:pPr>
              <w:spacing w:after="120"/>
              <w:jc w:val="both"/>
              <w:rPr>
                <w:rFonts w:cstheme="minorHAnsi"/>
                <w:sz w:val="24"/>
                <w:szCs w:val="24"/>
              </w:rPr>
            </w:pPr>
            <w:r w:rsidRPr="0010524E">
              <w:rPr>
                <w:rFonts w:cstheme="minorHAnsi"/>
                <w:sz w:val="24"/>
                <w:szCs w:val="24"/>
              </w:rPr>
              <w:t>I - observar as diretrizes e os limites de aplicação dos recursos garantidores dos planos administrados da Resolução CMN nº 4.661, de 2018;</w:t>
            </w:r>
          </w:p>
        </w:tc>
        <w:tc>
          <w:tcPr>
            <w:tcW w:w="4849" w:type="dxa"/>
          </w:tcPr>
          <w:p w14:paraId="15DB7B53" w14:textId="6DEC02A4" w:rsidR="00E86BE2" w:rsidRPr="0010524E" w:rsidRDefault="00E86BE2" w:rsidP="00E86BE2">
            <w:pPr>
              <w:spacing w:after="120"/>
              <w:jc w:val="both"/>
              <w:rPr>
                <w:rFonts w:ascii="Calibri" w:hAnsi="Calibri" w:cstheme="minorHAnsi"/>
                <w:sz w:val="24"/>
                <w:szCs w:val="24"/>
              </w:rPr>
            </w:pPr>
            <w:r w:rsidRPr="0010524E">
              <w:rPr>
                <w:rFonts w:ascii="Calibri" w:hAnsi="Calibri" w:cstheme="minorHAnsi"/>
                <w:sz w:val="24"/>
                <w:szCs w:val="24"/>
              </w:rPr>
              <w:t>I - observar as diretrizes e os limites de aplicação dos recursos garantidores dos planos administrados da Resolução CMN nº 4.994, de 2022;</w:t>
            </w:r>
          </w:p>
        </w:tc>
        <w:tc>
          <w:tcPr>
            <w:tcW w:w="4648" w:type="dxa"/>
          </w:tcPr>
          <w:p w14:paraId="2016CFDC" w14:textId="77777777" w:rsidR="00E86BE2" w:rsidRPr="0010524E" w:rsidRDefault="00E86BE2" w:rsidP="00E86BE2">
            <w:pPr>
              <w:spacing w:after="120"/>
              <w:rPr>
                <w:rFonts w:cstheme="minorHAnsi"/>
                <w:sz w:val="24"/>
                <w:szCs w:val="24"/>
              </w:rPr>
            </w:pPr>
            <w:r w:rsidRPr="0010524E">
              <w:rPr>
                <w:rFonts w:eastAsia="Times New Roman" w:cstheme="minorHAnsi"/>
                <w:color w:val="000000"/>
                <w:sz w:val="24"/>
                <w:szCs w:val="24"/>
                <w:lang w:eastAsia="pt-BR"/>
              </w:rPr>
              <w:t>Atualização da referência normativa.</w:t>
            </w:r>
          </w:p>
        </w:tc>
      </w:tr>
      <w:tr w:rsidR="00E86BE2" w:rsidRPr="0010524E" w14:paraId="68D184AA" w14:textId="2474655C" w:rsidTr="00E86BE2">
        <w:tc>
          <w:tcPr>
            <w:tcW w:w="4815" w:type="dxa"/>
          </w:tcPr>
          <w:p w14:paraId="3C327C54" w14:textId="77777777" w:rsidR="00E86BE2" w:rsidRPr="0010524E" w:rsidRDefault="00E86BE2" w:rsidP="00E86BE2">
            <w:pPr>
              <w:spacing w:after="120"/>
              <w:jc w:val="both"/>
              <w:rPr>
                <w:rFonts w:cstheme="minorHAnsi"/>
                <w:sz w:val="24"/>
                <w:szCs w:val="24"/>
              </w:rPr>
            </w:pPr>
            <w:r w:rsidRPr="0010524E">
              <w:rPr>
                <w:rFonts w:cstheme="minorHAnsi"/>
                <w:sz w:val="24"/>
                <w:szCs w:val="24"/>
              </w:rPr>
              <w:t xml:space="preserve">II - esclarecer ao participante ou assistido quanto aos impactos da escolha de perfil e eventuais alterações, mediante disponibilização de material explicativo, redigido em linguagem simples e precisa; </w:t>
            </w:r>
          </w:p>
        </w:tc>
        <w:tc>
          <w:tcPr>
            <w:tcW w:w="4849" w:type="dxa"/>
          </w:tcPr>
          <w:p w14:paraId="77D8893D" w14:textId="1453F007" w:rsidR="00E86BE2" w:rsidRPr="0010524E" w:rsidRDefault="00E86BE2" w:rsidP="00E86BE2">
            <w:pPr>
              <w:spacing w:after="120"/>
              <w:jc w:val="both"/>
              <w:rPr>
                <w:rFonts w:ascii="Calibri" w:hAnsi="Calibri" w:cstheme="minorHAnsi"/>
                <w:sz w:val="24"/>
                <w:szCs w:val="24"/>
              </w:rPr>
            </w:pPr>
            <w:r w:rsidRPr="0010524E">
              <w:rPr>
                <w:rFonts w:ascii="Calibri" w:hAnsi="Calibri" w:cstheme="minorHAnsi"/>
                <w:sz w:val="24"/>
                <w:szCs w:val="24"/>
              </w:rPr>
              <w:t xml:space="preserve">II - esclarecer ao participante ou assistido quanto aos impactos da escolha de perfil e eventuais alterações, mediante disponibilização de material explicativo, redigido em linguagem simples e precisa; </w:t>
            </w:r>
          </w:p>
        </w:tc>
        <w:tc>
          <w:tcPr>
            <w:tcW w:w="4648" w:type="dxa"/>
          </w:tcPr>
          <w:p w14:paraId="4915EA7C" w14:textId="77777777" w:rsidR="00E86BE2" w:rsidRPr="0010524E" w:rsidRDefault="00E86BE2" w:rsidP="00E86BE2">
            <w:pPr>
              <w:spacing w:after="120"/>
              <w:rPr>
                <w:rFonts w:cstheme="minorHAnsi"/>
                <w:sz w:val="24"/>
                <w:szCs w:val="24"/>
              </w:rPr>
            </w:pPr>
          </w:p>
        </w:tc>
      </w:tr>
      <w:tr w:rsidR="00E86BE2" w:rsidRPr="0010524E" w14:paraId="237AE670" w14:textId="4FB10E1C" w:rsidTr="00E86BE2">
        <w:tc>
          <w:tcPr>
            <w:tcW w:w="4815" w:type="dxa"/>
          </w:tcPr>
          <w:p w14:paraId="48DB63FF" w14:textId="77777777" w:rsidR="00E86BE2" w:rsidRPr="0010524E" w:rsidRDefault="00E86BE2" w:rsidP="00E86BE2">
            <w:pPr>
              <w:spacing w:after="120"/>
              <w:jc w:val="both"/>
              <w:rPr>
                <w:rFonts w:cstheme="minorHAnsi"/>
                <w:sz w:val="24"/>
                <w:szCs w:val="24"/>
              </w:rPr>
            </w:pPr>
            <w:r w:rsidRPr="0010524E">
              <w:rPr>
                <w:rFonts w:cstheme="minorHAnsi"/>
                <w:sz w:val="24"/>
                <w:szCs w:val="24"/>
              </w:rPr>
              <w:t>III - verificar se o perfil de investimento é adequado aos objetivos</w:t>
            </w:r>
            <w:r w:rsidRPr="0010524E" w:rsidDel="003E5190">
              <w:rPr>
                <w:rFonts w:cstheme="minorHAnsi"/>
                <w:sz w:val="24"/>
                <w:szCs w:val="24"/>
              </w:rPr>
              <w:t xml:space="preserve"> </w:t>
            </w:r>
            <w:r w:rsidRPr="0010524E">
              <w:rPr>
                <w:rFonts w:cstheme="minorHAnsi"/>
                <w:sz w:val="24"/>
                <w:szCs w:val="24"/>
              </w:rPr>
              <w:t>do participante ou assistido;</w:t>
            </w:r>
          </w:p>
        </w:tc>
        <w:tc>
          <w:tcPr>
            <w:tcW w:w="4849" w:type="dxa"/>
          </w:tcPr>
          <w:p w14:paraId="2397F93E" w14:textId="7653709E" w:rsidR="00E86BE2" w:rsidRPr="0010524E" w:rsidRDefault="00E86BE2" w:rsidP="00E86BE2">
            <w:pPr>
              <w:spacing w:after="120"/>
              <w:jc w:val="both"/>
              <w:rPr>
                <w:rFonts w:ascii="Calibri" w:hAnsi="Calibri" w:cstheme="minorHAnsi"/>
                <w:sz w:val="24"/>
                <w:szCs w:val="24"/>
              </w:rPr>
            </w:pPr>
            <w:r w:rsidRPr="0010524E">
              <w:rPr>
                <w:rFonts w:ascii="Calibri" w:hAnsi="Calibri" w:cstheme="minorHAnsi"/>
                <w:sz w:val="24"/>
                <w:szCs w:val="24"/>
              </w:rPr>
              <w:t>III - verificar se o perfil de investimento é adequado aos objetivos</w:t>
            </w:r>
            <w:r w:rsidRPr="0010524E" w:rsidDel="003E5190">
              <w:rPr>
                <w:rFonts w:ascii="Calibri" w:hAnsi="Calibri" w:cstheme="minorHAnsi"/>
                <w:sz w:val="24"/>
                <w:szCs w:val="24"/>
              </w:rPr>
              <w:t xml:space="preserve"> </w:t>
            </w:r>
            <w:r w:rsidRPr="0010524E">
              <w:rPr>
                <w:rFonts w:ascii="Calibri" w:hAnsi="Calibri" w:cstheme="minorHAnsi"/>
                <w:sz w:val="24"/>
                <w:szCs w:val="24"/>
              </w:rPr>
              <w:t>do participante ou assistido;</w:t>
            </w:r>
          </w:p>
        </w:tc>
        <w:tc>
          <w:tcPr>
            <w:tcW w:w="4648" w:type="dxa"/>
          </w:tcPr>
          <w:p w14:paraId="18417D91" w14:textId="77777777" w:rsidR="00E86BE2" w:rsidRPr="0010524E" w:rsidRDefault="00E86BE2" w:rsidP="00E86BE2">
            <w:pPr>
              <w:spacing w:after="120"/>
              <w:rPr>
                <w:rFonts w:cstheme="minorHAnsi"/>
                <w:sz w:val="24"/>
                <w:szCs w:val="24"/>
              </w:rPr>
            </w:pPr>
          </w:p>
        </w:tc>
      </w:tr>
      <w:tr w:rsidR="00E86BE2" w:rsidRPr="0010524E" w14:paraId="6CBA45CF" w14:textId="31A312CF" w:rsidTr="00E86BE2">
        <w:tc>
          <w:tcPr>
            <w:tcW w:w="4815" w:type="dxa"/>
          </w:tcPr>
          <w:p w14:paraId="3CE72A75" w14:textId="77777777" w:rsidR="00E86BE2" w:rsidRPr="0010524E" w:rsidRDefault="00E86BE2" w:rsidP="00E86BE2">
            <w:pPr>
              <w:spacing w:after="120"/>
              <w:jc w:val="both"/>
              <w:rPr>
                <w:rFonts w:cstheme="minorHAnsi"/>
                <w:sz w:val="24"/>
                <w:szCs w:val="24"/>
              </w:rPr>
            </w:pPr>
            <w:r w:rsidRPr="0010524E">
              <w:rPr>
                <w:rFonts w:cstheme="minorHAnsi"/>
                <w:sz w:val="24"/>
                <w:szCs w:val="24"/>
              </w:rPr>
              <w:t>IV - manter cópia, por meio digital, de todos os documentos utilizados pela EFPC para atender os procedimentos de que trata este Capítulo; e</w:t>
            </w:r>
          </w:p>
        </w:tc>
        <w:tc>
          <w:tcPr>
            <w:tcW w:w="4849" w:type="dxa"/>
          </w:tcPr>
          <w:p w14:paraId="0B54A732" w14:textId="77CE0BEB" w:rsidR="00E86BE2" w:rsidRPr="0010524E" w:rsidRDefault="00E86BE2" w:rsidP="00E86BE2">
            <w:pPr>
              <w:spacing w:after="120"/>
              <w:jc w:val="both"/>
              <w:rPr>
                <w:rFonts w:ascii="Calibri" w:hAnsi="Calibri" w:cstheme="minorHAnsi"/>
                <w:sz w:val="24"/>
                <w:szCs w:val="24"/>
              </w:rPr>
            </w:pPr>
            <w:r w:rsidRPr="0010524E">
              <w:rPr>
                <w:rFonts w:ascii="Calibri" w:hAnsi="Calibri" w:cstheme="minorHAnsi"/>
                <w:sz w:val="24"/>
                <w:szCs w:val="24"/>
              </w:rPr>
              <w:t xml:space="preserve">IV - estabelecer mecanismos de controle interno com o objetivo de garantir a segregação dos recursos do participante ou assistido </w:t>
            </w:r>
            <w:r w:rsidRPr="0010524E">
              <w:rPr>
                <w:rFonts w:ascii="Calibri" w:hAnsi="Calibri" w:cstheme="minorHAnsi"/>
                <w:sz w:val="24"/>
                <w:szCs w:val="24"/>
              </w:rPr>
              <w:lastRenderedPageBreak/>
              <w:t>considerando cada perfil de investimento oferecido; e</w:t>
            </w:r>
          </w:p>
        </w:tc>
        <w:tc>
          <w:tcPr>
            <w:tcW w:w="4648" w:type="dxa"/>
          </w:tcPr>
          <w:p w14:paraId="499ED0BA" w14:textId="77777777" w:rsidR="00E86BE2" w:rsidRPr="0010524E" w:rsidRDefault="00E86BE2" w:rsidP="00E86BE2">
            <w:pPr>
              <w:spacing w:after="120"/>
              <w:rPr>
                <w:rFonts w:cstheme="minorHAnsi"/>
                <w:sz w:val="24"/>
                <w:szCs w:val="24"/>
              </w:rPr>
            </w:pPr>
          </w:p>
        </w:tc>
      </w:tr>
      <w:tr w:rsidR="00E86BE2" w:rsidRPr="0010524E" w14:paraId="2FF7EE7E" w14:textId="4657AE3B" w:rsidTr="00E86BE2">
        <w:tc>
          <w:tcPr>
            <w:tcW w:w="4815" w:type="dxa"/>
          </w:tcPr>
          <w:p w14:paraId="41151906" w14:textId="77777777" w:rsidR="00E86BE2" w:rsidRPr="0010524E" w:rsidRDefault="00E86BE2" w:rsidP="00E86BE2">
            <w:pPr>
              <w:spacing w:after="120"/>
              <w:jc w:val="both"/>
              <w:rPr>
                <w:rFonts w:cstheme="minorHAnsi"/>
                <w:sz w:val="24"/>
                <w:szCs w:val="24"/>
              </w:rPr>
            </w:pPr>
            <w:r w:rsidRPr="0010524E">
              <w:rPr>
                <w:rFonts w:cstheme="minorHAnsi"/>
                <w:sz w:val="24"/>
                <w:szCs w:val="24"/>
              </w:rPr>
              <w:t>V - estabelecer mecanismos de controle interno com o objetivo de garantir a segregação dos recursos do participante ou assistido considerando cada perfil de investimento oferecido.</w:t>
            </w:r>
          </w:p>
        </w:tc>
        <w:tc>
          <w:tcPr>
            <w:tcW w:w="4849" w:type="dxa"/>
          </w:tcPr>
          <w:p w14:paraId="616DDAB6" w14:textId="048BDB9F" w:rsidR="00E86BE2" w:rsidRPr="0010524E" w:rsidRDefault="00E86BE2" w:rsidP="00E86BE2">
            <w:pPr>
              <w:spacing w:after="120"/>
              <w:jc w:val="both"/>
              <w:rPr>
                <w:rFonts w:ascii="Calibri" w:hAnsi="Calibri" w:cstheme="minorHAnsi"/>
                <w:sz w:val="24"/>
                <w:szCs w:val="24"/>
              </w:rPr>
            </w:pPr>
            <w:r w:rsidRPr="0010524E">
              <w:rPr>
                <w:rFonts w:ascii="Calibri" w:hAnsi="Calibri" w:cstheme="minorHAnsi"/>
                <w:sz w:val="24"/>
                <w:szCs w:val="24"/>
              </w:rPr>
              <w:t>V - manter cópia, por meio digital, de todos os documentos utilizados pela EFPC para atender os procedimentos de que trata esta Seção.</w:t>
            </w:r>
          </w:p>
        </w:tc>
        <w:tc>
          <w:tcPr>
            <w:tcW w:w="4648" w:type="dxa"/>
          </w:tcPr>
          <w:p w14:paraId="4E6C68A9" w14:textId="77777777" w:rsidR="00E86BE2" w:rsidRPr="0010524E" w:rsidRDefault="00E86BE2" w:rsidP="00E86BE2">
            <w:pPr>
              <w:spacing w:after="120"/>
              <w:rPr>
                <w:rFonts w:cstheme="minorHAnsi"/>
                <w:sz w:val="24"/>
                <w:szCs w:val="24"/>
              </w:rPr>
            </w:pPr>
          </w:p>
        </w:tc>
      </w:tr>
      <w:tr w:rsidR="00E86BE2" w:rsidRPr="0010524E" w14:paraId="1E62F1A0" w14:textId="71C02348" w:rsidTr="00E86BE2">
        <w:tc>
          <w:tcPr>
            <w:tcW w:w="4815" w:type="dxa"/>
          </w:tcPr>
          <w:p w14:paraId="55851C1B" w14:textId="77777777" w:rsidR="00E86BE2" w:rsidRPr="0010524E" w:rsidRDefault="00E86BE2" w:rsidP="00E86BE2">
            <w:pPr>
              <w:spacing w:after="120"/>
              <w:jc w:val="both"/>
              <w:rPr>
                <w:rFonts w:cstheme="minorHAnsi"/>
                <w:sz w:val="24"/>
                <w:szCs w:val="24"/>
              </w:rPr>
            </w:pPr>
            <w:r w:rsidRPr="0010524E">
              <w:rPr>
                <w:rFonts w:cstheme="minorHAnsi"/>
                <w:sz w:val="24"/>
                <w:szCs w:val="24"/>
              </w:rPr>
              <w:t xml:space="preserve">§1º  O disposto do </w:t>
            </w:r>
            <w:r w:rsidRPr="0010524E">
              <w:rPr>
                <w:rFonts w:cstheme="minorHAnsi"/>
                <w:b/>
                <w:sz w:val="24"/>
                <w:szCs w:val="24"/>
              </w:rPr>
              <w:t>caput</w:t>
            </w:r>
            <w:r w:rsidRPr="0010524E">
              <w:rPr>
                <w:rFonts w:cstheme="minorHAnsi"/>
                <w:sz w:val="24"/>
                <w:szCs w:val="24"/>
              </w:rPr>
              <w:t xml:space="preserve"> inclui os perfis de investimento do tipo ciclo de vida oferecido ao participante ou assistido pela EFPC.</w:t>
            </w:r>
          </w:p>
        </w:tc>
        <w:tc>
          <w:tcPr>
            <w:tcW w:w="4849" w:type="dxa"/>
          </w:tcPr>
          <w:p w14:paraId="6E942AD2" w14:textId="1D8C352F" w:rsidR="00E86BE2" w:rsidRPr="0010524E" w:rsidRDefault="00E86BE2" w:rsidP="00E86BE2">
            <w:pPr>
              <w:spacing w:after="120"/>
              <w:jc w:val="both"/>
              <w:rPr>
                <w:rFonts w:ascii="Calibri" w:hAnsi="Calibri" w:cstheme="minorHAnsi"/>
                <w:sz w:val="24"/>
                <w:szCs w:val="24"/>
              </w:rPr>
            </w:pPr>
            <w:r w:rsidRPr="0010524E">
              <w:rPr>
                <w:rFonts w:ascii="Calibri" w:hAnsi="Calibri" w:cstheme="minorHAnsi"/>
                <w:sz w:val="24"/>
                <w:szCs w:val="24"/>
              </w:rPr>
              <w:t xml:space="preserve">§1º  O disposto do </w:t>
            </w:r>
            <w:r w:rsidRPr="0010524E">
              <w:rPr>
                <w:rFonts w:ascii="Calibri" w:hAnsi="Calibri" w:cstheme="minorHAnsi"/>
                <w:b/>
                <w:sz w:val="24"/>
                <w:szCs w:val="24"/>
              </w:rPr>
              <w:t>caput</w:t>
            </w:r>
            <w:r w:rsidRPr="0010524E">
              <w:rPr>
                <w:rFonts w:ascii="Calibri" w:hAnsi="Calibri" w:cstheme="minorHAnsi"/>
                <w:sz w:val="24"/>
                <w:szCs w:val="24"/>
              </w:rPr>
              <w:t xml:space="preserve"> inclui os perfis de investimento do tipo ciclo de vida oferecido ao participante ou assistido pela EFPC.</w:t>
            </w:r>
          </w:p>
        </w:tc>
        <w:tc>
          <w:tcPr>
            <w:tcW w:w="4648" w:type="dxa"/>
          </w:tcPr>
          <w:p w14:paraId="453BB386" w14:textId="77777777" w:rsidR="00E86BE2" w:rsidRPr="0010524E" w:rsidRDefault="00E86BE2" w:rsidP="00E86BE2">
            <w:pPr>
              <w:spacing w:after="120"/>
              <w:rPr>
                <w:rFonts w:cstheme="minorHAnsi"/>
                <w:sz w:val="24"/>
                <w:szCs w:val="24"/>
              </w:rPr>
            </w:pPr>
          </w:p>
        </w:tc>
      </w:tr>
      <w:tr w:rsidR="00E86BE2" w:rsidRPr="0010524E" w14:paraId="525B8417" w14:textId="3F3731B9" w:rsidTr="00E86BE2">
        <w:tc>
          <w:tcPr>
            <w:tcW w:w="4815" w:type="dxa"/>
          </w:tcPr>
          <w:p w14:paraId="54DC47B6" w14:textId="77777777" w:rsidR="00E86BE2" w:rsidRPr="0010524E" w:rsidRDefault="00E86BE2" w:rsidP="00E86BE2">
            <w:pPr>
              <w:spacing w:after="120"/>
              <w:jc w:val="both"/>
              <w:rPr>
                <w:rFonts w:cstheme="minorHAnsi"/>
                <w:sz w:val="24"/>
                <w:szCs w:val="24"/>
              </w:rPr>
            </w:pPr>
            <w:r w:rsidRPr="0010524E">
              <w:rPr>
                <w:rFonts w:cstheme="minorHAnsi"/>
                <w:sz w:val="24"/>
                <w:szCs w:val="24"/>
              </w:rPr>
              <w:t>§2º  A recusa expressa do participante ou assistido em participar dos procedimentos estabelecidos nos incisos II e III deste artigo impossibilita a realização de opção ou de alteração de perfil de investimento pelo participante, cabendo à EFPC definir o tratamento para tais casos.</w:t>
            </w:r>
          </w:p>
        </w:tc>
        <w:tc>
          <w:tcPr>
            <w:tcW w:w="4849" w:type="dxa"/>
          </w:tcPr>
          <w:p w14:paraId="21B800FD" w14:textId="23C392D9" w:rsidR="00E86BE2" w:rsidRPr="0010524E" w:rsidRDefault="00E86BE2" w:rsidP="00E86BE2">
            <w:pPr>
              <w:spacing w:after="120"/>
              <w:jc w:val="both"/>
              <w:rPr>
                <w:rFonts w:ascii="Calibri" w:hAnsi="Calibri" w:cstheme="minorHAnsi"/>
                <w:sz w:val="24"/>
                <w:szCs w:val="24"/>
              </w:rPr>
            </w:pPr>
            <w:r w:rsidRPr="0010524E">
              <w:rPr>
                <w:rFonts w:ascii="Calibri" w:hAnsi="Calibri" w:cstheme="minorHAnsi"/>
                <w:sz w:val="24"/>
                <w:szCs w:val="24"/>
              </w:rPr>
              <w:t>§2º  A recusa expressa do participante ou assistido em participar dos procedimentos estabelecidos nos incisos II e III impossibilita a realização de opção ou de alteração de perfil de investimento pelo participante, cabendo à EFPC definir o tratamento para tais casos.</w:t>
            </w:r>
          </w:p>
        </w:tc>
        <w:tc>
          <w:tcPr>
            <w:tcW w:w="4648" w:type="dxa"/>
          </w:tcPr>
          <w:p w14:paraId="2B0AA4A8" w14:textId="77777777" w:rsidR="00E86BE2" w:rsidRPr="0010524E" w:rsidRDefault="00E86BE2" w:rsidP="00E86BE2">
            <w:pPr>
              <w:spacing w:after="120"/>
              <w:rPr>
                <w:rFonts w:cstheme="minorHAnsi"/>
                <w:sz w:val="24"/>
                <w:szCs w:val="24"/>
              </w:rPr>
            </w:pPr>
          </w:p>
        </w:tc>
      </w:tr>
      <w:tr w:rsidR="00E86BE2" w:rsidRPr="0010524E" w14:paraId="0CCDB796" w14:textId="6C579E1A" w:rsidTr="00E86BE2">
        <w:tc>
          <w:tcPr>
            <w:tcW w:w="4815" w:type="dxa"/>
          </w:tcPr>
          <w:p w14:paraId="1BE75600" w14:textId="77777777" w:rsidR="00E86BE2" w:rsidRPr="0010524E" w:rsidRDefault="00E86BE2" w:rsidP="00E86BE2">
            <w:pPr>
              <w:spacing w:after="120"/>
              <w:jc w:val="both"/>
              <w:rPr>
                <w:rFonts w:cstheme="minorHAnsi"/>
                <w:sz w:val="24"/>
                <w:szCs w:val="24"/>
              </w:rPr>
            </w:pPr>
            <w:r w:rsidRPr="0010524E">
              <w:rPr>
                <w:rFonts w:cstheme="minorHAnsi"/>
                <w:sz w:val="24"/>
                <w:szCs w:val="24"/>
              </w:rPr>
              <w:t>Art. 10.  A opção do participante ou assistido por perfil de investimento ou a sua alteração deve ser formalizada em termo específico.</w:t>
            </w:r>
          </w:p>
        </w:tc>
        <w:tc>
          <w:tcPr>
            <w:tcW w:w="4849" w:type="dxa"/>
          </w:tcPr>
          <w:p w14:paraId="14DB0A34" w14:textId="1B38484E" w:rsidR="00E86BE2" w:rsidRPr="0010524E" w:rsidRDefault="00E86BE2" w:rsidP="00E86BE2">
            <w:pPr>
              <w:spacing w:after="120"/>
              <w:jc w:val="both"/>
              <w:rPr>
                <w:rFonts w:ascii="Calibri" w:hAnsi="Calibri" w:cstheme="minorHAnsi"/>
                <w:sz w:val="24"/>
                <w:szCs w:val="24"/>
              </w:rPr>
            </w:pPr>
            <w:r w:rsidRPr="0010524E">
              <w:rPr>
                <w:rFonts w:ascii="Calibri" w:hAnsi="Calibri" w:cstheme="minorHAnsi"/>
                <w:sz w:val="24"/>
                <w:szCs w:val="24"/>
              </w:rPr>
              <w:t>Art. 309.  A opção do participante ou assistido por perfil de investimento ou a sua alteração deve ser formalizada em termo específico.</w:t>
            </w:r>
          </w:p>
        </w:tc>
        <w:tc>
          <w:tcPr>
            <w:tcW w:w="4648" w:type="dxa"/>
          </w:tcPr>
          <w:p w14:paraId="32233C51" w14:textId="77777777" w:rsidR="00E86BE2" w:rsidRPr="0010524E" w:rsidRDefault="00E86BE2" w:rsidP="00E86BE2">
            <w:pPr>
              <w:spacing w:after="120"/>
              <w:rPr>
                <w:rFonts w:cstheme="minorHAnsi"/>
                <w:sz w:val="24"/>
                <w:szCs w:val="24"/>
              </w:rPr>
            </w:pPr>
            <w:r w:rsidRPr="0010524E">
              <w:rPr>
                <w:rFonts w:cstheme="minorHAnsi"/>
                <w:sz w:val="24"/>
                <w:szCs w:val="24"/>
              </w:rPr>
              <w:t>Renumerado.</w:t>
            </w:r>
          </w:p>
        </w:tc>
      </w:tr>
      <w:tr w:rsidR="00E86BE2" w:rsidRPr="0010524E" w14:paraId="6E897021" w14:textId="1295C9A0" w:rsidTr="00E86BE2">
        <w:tc>
          <w:tcPr>
            <w:tcW w:w="4815" w:type="dxa"/>
          </w:tcPr>
          <w:p w14:paraId="4B08A5E5" w14:textId="77777777" w:rsidR="00E86BE2" w:rsidRPr="0010524E" w:rsidRDefault="00E86BE2" w:rsidP="00E86BE2">
            <w:pPr>
              <w:spacing w:after="120"/>
              <w:jc w:val="both"/>
              <w:rPr>
                <w:rFonts w:cstheme="minorHAnsi"/>
                <w:sz w:val="24"/>
                <w:szCs w:val="24"/>
              </w:rPr>
            </w:pPr>
            <w:r w:rsidRPr="0010524E">
              <w:rPr>
                <w:rFonts w:cstheme="minorHAnsi"/>
                <w:sz w:val="24"/>
                <w:szCs w:val="24"/>
              </w:rPr>
              <w:t>§1º  Caso a EFPC identifique que o perfil de investimento escolhido pelo participante ou assistido não é adequado ao seu perfil, deverá alertá-lo, para que o participante, a seu critério, confirme a alteração de perfil de investimento.</w:t>
            </w:r>
          </w:p>
        </w:tc>
        <w:tc>
          <w:tcPr>
            <w:tcW w:w="4849" w:type="dxa"/>
          </w:tcPr>
          <w:p w14:paraId="25D12912" w14:textId="3A6AEA30" w:rsidR="00E86BE2" w:rsidRPr="0010524E" w:rsidRDefault="00E86BE2" w:rsidP="00E86BE2">
            <w:pPr>
              <w:spacing w:after="120"/>
              <w:jc w:val="both"/>
              <w:rPr>
                <w:rFonts w:ascii="Calibri" w:hAnsi="Calibri" w:cstheme="minorHAnsi"/>
                <w:sz w:val="24"/>
                <w:szCs w:val="24"/>
              </w:rPr>
            </w:pPr>
            <w:r w:rsidRPr="0010524E">
              <w:rPr>
                <w:rFonts w:ascii="Calibri" w:hAnsi="Calibri" w:cstheme="minorHAnsi"/>
                <w:sz w:val="24"/>
                <w:szCs w:val="24"/>
              </w:rPr>
              <w:t>§1º  Caso a EFPC identifique que o perfil de investimento escolhido pelo participante ou assistido não é adequado ao seu perfil, deverá alertá-lo, para que o participante, a seu critério, confirme a alteração de perfil de investimento.</w:t>
            </w:r>
          </w:p>
        </w:tc>
        <w:tc>
          <w:tcPr>
            <w:tcW w:w="4648" w:type="dxa"/>
          </w:tcPr>
          <w:p w14:paraId="64215A13" w14:textId="77777777" w:rsidR="00E86BE2" w:rsidRPr="0010524E" w:rsidRDefault="00E86BE2" w:rsidP="00E86BE2">
            <w:pPr>
              <w:spacing w:after="120"/>
              <w:rPr>
                <w:rFonts w:cstheme="minorHAnsi"/>
                <w:sz w:val="24"/>
                <w:szCs w:val="24"/>
              </w:rPr>
            </w:pPr>
          </w:p>
        </w:tc>
      </w:tr>
      <w:tr w:rsidR="00E86BE2" w:rsidRPr="0010524E" w14:paraId="38D4B3AF" w14:textId="107D2915" w:rsidTr="00E86BE2">
        <w:tc>
          <w:tcPr>
            <w:tcW w:w="4815" w:type="dxa"/>
          </w:tcPr>
          <w:p w14:paraId="299F8B0A" w14:textId="77777777" w:rsidR="00E86BE2" w:rsidRPr="0010524E" w:rsidRDefault="00E86BE2" w:rsidP="00E86BE2">
            <w:pPr>
              <w:spacing w:after="120"/>
              <w:jc w:val="both"/>
              <w:rPr>
                <w:rFonts w:cstheme="minorHAnsi"/>
                <w:sz w:val="24"/>
                <w:szCs w:val="24"/>
              </w:rPr>
            </w:pPr>
            <w:r w:rsidRPr="0010524E">
              <w:rPr>
                <w:rFonts w:cstheme="minorHAnsi"/>
                <w:sz w:val="24"/>
                <w:szCs w:val="24"/>
              </w:rPr>
              <w:lastRenderedPageBreak/>
              <w:t>§2º  O participante ou assistido poderá alterar seu perfil de investimento em prazo estabelecido pela EFPC.</w:t>
            </w:r>
          </w:p>
        </w:tc>
        <w:tc>
          <w:tcPr>
            <w:tcW w:w="4849" w:type="dxa"/>
          </w:tcPr>
          <w:p w14:paraId="68A5CB95" w14:textId="4A59B522" w:rsidR="00E86BE2" w:rsidRPr="0010524E" w:rsidRDefault="00E86BE2" w:rsidP="00E86BE2">
            <w:pPr>
              <w:spacing w:after="120"/>
              <w:jc w:val="both"/>
              <w:rPr>
                <w:rFonts w:ascii="Calibri" w:hAnsi="Calibri" w:cstheme="minorHAnsi"/>
                <w:sz w:val="24"/>
                <w:szCs w:val="24"/>
              </w:rPr>
            </w:pPr>
            <w:r w:rsidRPr="0010524E">
              <w:rPr>
                <w:rFonts w:ascii="Calibri" w:hAnsi="Calibri" w:cstheme="minorHAnsi"/>
                <w:sz w:val="24"/>
                <w:szCs w:val="24"/>
              </w:rPr>
              <w:t>§2º  O participante ou assistido poderá alterar seu perfil de investimento em prazo estabelecido pela EFPC.</w:t>
            </w:r>
          </w:p>
        </w:tc>
        <w:tc>
          <w:tcPr>
            <w:tcW w:w="4648" w:type="dxa"/>
          </w:tcPr>
          <w:p w14:paraId="3B8001E0" w14:textId="77777777" w:rsidR="00E86BE2" w:rsidRPr="0010524E" w:rsidRDefault="00E86BE2" w:rsidP="00E86BE2">
            <w:pPr>
              <w:spacing w:after="120"/>
              <w:rPr>
                <w:rFonts w:cstheme="minorHAnsi"/>
                <w:sz w:val="24"/>
                <w:szCs w:val="24"/>
              </w:rPr>
            </w:pPr>
          </w:p>
        </w:tc>
      </w:tr>
      <w:tr w:rsidR="00E86BE2" w:rsidRPr="0010524E" w14:paraId="54D361A5" w14:textId="3A706508" w:rsidTr="00E86BE2">
        <w:tc>
          <w:tcPr>
            <w:tcW w:w="4815" w:type="dxa"/>
          </w:tcPr>
          <w:p w14:paraId="52FE1B16" w14:textId="77777777" w:rsidR="00E86BE2" w:rsidRPr="0010524E" w:rsidRDefault="00E86BE2" w:rsidP="00E86BE2">
            <w:pPr>
              <w:spacing w:after="120"/>
              <w:jc w:val="both"/>
              <w:rPr>
                <w:rFonts w:cstheme="minorHAnsi"/>
                <w:sz w:val="24"/>
                <w:szCs w:val="24"/>
              </w:rPr>
            </w:pPr>
            <w:r w:rsidRPr="0010524E">
              <w:rPr>
                <w:rFonts w:cstheme="minorHAnsi"/>
                <w:sz w:val="24"/>
                <w:szCs w:val="24"/>
              </w:rPr>
              <w:t>Art. 11.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w:t>
            </w:r>
          </w:p>
        </w:tc>
        <w:tc>
          <w:tcPr>
            <w:tcW w:w="4849" w:type="dxa"/>
          </w:tcPr>
          <w:p w14:paraId="79620503" w14:textId="4133495C" w:rsidR="00E86BE2" w:rsidRPr="0010524E" w:rsidRDefault="00E86BE2" w:rsidP="00E86BE2">
            <w:pPr>
              <w:spacing w:after="120"/>
              <w:jc w:val="both"/>
              <w:rPr>
                <w:rFonts w:ascii="Calibri" w:hAnsi="Calibri" w:cstheme="minorHAnsi"/>
                <w:sz w:val="24"/>
                <w:szCs w:val="24"/>
              </w:rPr>
            </w:pPr>
            <w:r w:rsidRPr="0010524E">
              <w:rPr>
                <w:rFonts w:ascii="Calibri" w:hAnsi="Calibri"/>
                <w:sz w:val="24"/>
                <w:szCs w:val="24"/>
              </w:rPr>
              <w:t>Art. 310.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w:t>
            </w:r>
          </w:p>
        </w:tc>
        <w:tc>
          <w:tcPr>
            <w:tcW w:w="4648" w:type="dxa"/>
          </w:tcPr>
          <w:p w14:paraId="4067451E" w14:textId="77777777" w:rsidR="00E86BE2" w:rsidRPr="0010524E" w:rsidRDefault="00E86BE2" w:rsidP="00E86BE2">
            <w:pPr>
              <w:spacing w:after="120"/>
              <w:rPr>
                <w:rFonts w:cstheme="minorHAnsi"/>
                <w:sz w:val="24"/>
                <w:szCs w:val="24"/>
              </w:rPr>
            </w:pPr>
          </w:p>
        </w:tc>
      </w:tr>
      <w:tr w:rsidR="00E86BE2" w:rsidRPr="0010524E" w14:paraId="72BDD125" w14:textId="3E7447B2" w:rsidTr="00E86BE2">
        <w:tc>
          <w:tcPr>
            <w:tcW w:w="4815" w:type="dxa"/>
          </w:tcPr>
          <w:p w14:paraId="5266EDF4" w14:textId="77777777" w:rsidR="00E86BE2" w:rsidRDefault="00E86BE2" w:rsidP="00E86BE2">
            <w:pPr>
              <w:spacing w:before="120" w:after="120"/>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CAPÍTULO IV</w:t>
            </w:r>
          </w:p>
          <w:p w14:paraId="4C55D74C" w14:textId="51C39995" w:rsidR="00E86BE2" w:rsidRPr="0010524E" w:rsidRDefault="00E86BE2" w:rsidP="00E86BE2">
            <w:pPr>
              <w:spacing w:before="120" w:after="120"/>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DO ATIVO FINAL</w:t>
            </w:r>
          </w:p>
        </w:tc>
        <w:tc>
          <w:tcPr>
            <w:tcW w:w="4849" w:type="dxa"/>
          </w:tcPr>
          <w:p w14:paraId="7689B53E" w14:textId="77777777" w:rsidR="00E86BE2" w:rsidRDefault="00E86BE2" w:rsidP="00E86BE2">
            <w:pPr>
              <w:adjustRightInd w:val="0"/>
              <w:spacing w:before="120" w:after="120"/>
              <w:jc w:val="center"/>
              <w:rPr>
                <w:rFonts w:ascii="Calibri" w:eastAsia="Times New Roman" w:hAnsi="Calibri" w:cs="Calibri"/>
                <w:b/>
                <w:sz w:val="24"/>
                <w:szCs w:val="24"/>
                <w:lang w:eastAsia="pt-BR"/>
              </w:rPr>
            </w:pPr>
            <w:r w:rsidRPr="0010524E">
              <w:rPr>
                <w:rFonts w:ascii="Calibri" w:eastAsia="Times New Roman" w:hAnsi="Calibri" w:cs="Calibri"/>
                <w:b/>
                <w:sz w:val="24"/>
                <w:szCs w:val="24"/>
                <w:lang w:eastAsia="pt-BR"/>
              </w:rPr>
              <w:t>Seção III</w:t>
            </w:r>
          </w:p>
          <w:p w14:paraId="14316F14" w14:textId="2A5EFB26" w:rsidR="00E86BE2" w:rsidRPr="0010524E" w:rsidRDefault="00E86BE2" w:rsidP="00E86BE2">
            <w:pPr>
              <w:adjustRightInd w:val="0"/>
              <w:spacing w:before="120" w:after="120"/>
              <w:jc w:val="center"/>
              <w:rPr>
                <w:rFonts w:ascii="Calibri" w:eastAsia="Times New Roman" w:hAnsi="Calibri" w:cs="Calibri"/>
                <w:b/>
                <w:sz w:val="24"/>
                <w:szCs w:val="24"/>
                <w:lang w:eastAsia="pt-BR"/>
              </w:rPr>
            </w:pPr>
            <w:r>
              <w:rPr>
                <w:rFonts w:ascii="Calibri" w:eastAsia="Times New Roman" w:hAnsi="Calibri" w:cstheme="minorHAnsi"/>
                <w:b/>
                <w:color w:val="000000"/>
                <w:sz w:val="24"/>
                <w:szCs w:val="24"/>
                <w:lang w:eastAsia="pt-BR"/>
              </w:rPr>
              <w:t>A</w:t>
            </w:r>
            <w:r w:rsidRPr="0010524E">
              <w:rPr>
                <w:rFonts w:ascii="Calibri" w:eastAsia="Times New Roman" w:hAnsi="Calibri" w:cstheme="minorHAnsi"/>
                <w:b/>
                <w:color w:val="000000"/>
                <w:sz w:val="24"/>
                <w:szCs w:val="24"/>
                <w:lang w:eastAsia="pt-BR"/>
              </w:rPr>
              <w:t>tivo final</w:t>
            </w:r>
          </w:p>
        </w:tc>
        <w:tc>
          <w:tcPr>
            <w:tcW w:w="4648" w:type="dxa"/>
          </w:tcPr>
          <w:p w14:paraId="477F1E65" w14:textId="77777777" w:rsidR="00E86BE2" w:rsidRPr="0010524E" w:rsidRDefault="00E86BE2" w:rsidP="00E86BE2">
            <w:pPr>
              <w:spacing w:before="120"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Renumerado.</w:t>
            </w:r>
          </w:p>
        </w:tc>
      </w:tr>
      <w:tr w:rsidR="00E86BE2" w:rsidRPr="0010524E" w14:paraId="5892DB74" w14:textId="0C4EFF8C" w:rsidTr="00E86BE2">
        <w:tc>
          <w:tcPr>
            <w:tcW w:w="4815" w:type="dxa"/>
          </w:tcPr>
          <w:p w14:paraId="6224F4E9" w14:textId="77777777" w:rsidR="00E86BE2" w:rsidRPr="0010524E" w:rsidRDefault="00E86BE2" w:rsidP="00E86BE2">
            <w:pPr>
              <w:spacing w:before="120" w:after="120"/>
              <w:jc w:val="both"/>
              <w:rPr>
                <w:rFonts w:eastAsia="Times New Roman" w:cstheme="minorHAnsi"/>
                <w:color w:val="000000"/>
                <w:sz w:val="24"/>
                <w:szCs w:val="24"/>
                <w:lang w:eastAsia="pt-BR"/>
              </w:rPr>
            </w:pPr>
            <w:r w:rsidRPr="0010524E">
              <w:rPr>
                <w:rFonts w:eastAsia="Times New Roman" w:cstheme="minorHAnsi"/>
                <w:sz w:val="24"/>
                <w:szCs w:val="24"/>
                <w:lang w:eastAsia="pt-BR"/>
              </w:rPr>
              <w:t xml:space="preserve">Art. 12.  Para os fins do disposto nesta Instrução considera-se ativo final os ativos financeiros individuais e as cotas de fundos de investimentos de que trata o </w:t>
            </w:r>
            <w:r w:rsidRPr="0010524E">
              <w:rPr>
                <w:rFonts w:cstheme="minorHAnsi"/>
                <w:sz w:val="24"/>
                <w:szCs w:val="24"/>
              </w:rPr>
              <w:t xml:space="preserve">parágrafo único </w:t>
            </w:r>
            <w:r w:rsidRPr="0010524E">
              <w:rPr>
                <w:rFonts w:eastAsia="Times New Roman" w:cstheme="minorHAnsi"/>
                <w:sz w:val="24"/>
                <w:szCs w:val="24"/>
                <w:lang w:eastAsia="pt-BR"/>
              </w:rPr>
              <w:t xml:space="preserve">do art. 32 </w:t>
            </w:r>
            <w:r w:rsidRPr="0010524E">
              <w:rPr>
                <w:rFonts w:cstheme="minorHAnsi"/>
                <w:sz w:val="24"/>
                <w:szCs w:val="24"/>
              </w:rPr>
              <w:t>da Resolução CMN nº 4.661, de 2018</w:t>
            </w:r>
            <w:r w:rsidRPr="0010524E">
              <w:rPr>
                <w:rFonts w:eastAsia="Times New Roman" w:cstheme="minorHAnsi"/>
                <w:sz w:val="24"/>
                <w:szCs w:val="24"/>
                <w:lang w:eastAsia="pt-BR"/>
              </w:rPr>
              <w:t>.</w:t>
            </w:r>
          </w:p>
        </w:tc>
        <w:tc>
          <w:tcPr>
            <w:tcW w:w="4849" w:type="dxa"/>
          </w:tcPr>
          <w:p w14:paraId="3ED482A2" w14:textId="579F27E6" w:rsidR="00E86BE2" w:rsidRPr="0010524E" w:rsidRDefault="00E86BE2" w:rsidP="00E86BE2">
            <w:pPr>
              <w:spacing w:before="120" w:after="120"/>
              <w:jc w:val="both"/>
              <w:rPr>
                <w:rFonts w:ascii="Calibri" w:eastAsia="Times New Roman" w:hAnsi="Calibri" w:cstheme="minorHAnsi"/>
                <w:sz w:val="24"/>
                <w:szCs w:val="24"/>
                <w:lang w:eastAsia="pt-BR"/>
              </w:rPr>
            </w:pPr>
            <w:r w:rsidRPr="0010524E">
              <w:rPr>
                <w:rFonts w:ascii="Calibri" w:eastAsia="Times New Roman" w:hAnsi="Calibri"/>
                <w:sz w:val="24"/>
                <w:szCs w:val="24"/>
                <w:lang w:eastAsia="pt-BR"/>
              </w:rPr>
              <w:t>Art. 311.  Os ativos a que se refere o parágrafo único do art. 32 da Resolução CMN nº 4.994, de 2022, podem ser desconsiderados, para fins de supervisão, aplicando-se os limites, requisitos e vedações</w:t>
            </w:r>
            <w:r w:rsidRPr="0010524E">
              <w:rPr>
                <w:rFonts w:ascii="Calibri" w:hAnsi="Calibri"/>
                <w:sz w:val="24"/>
                <w:szCs w:val="24"/>
              </w:rPr>
              <w:t>,</w:t>
            </w:r>
            <w:r w:rsidRPr="0010524E">
              <w:rPr>
                <w:rFonts w:ascii="Calibri" w:eastAsia="Times New Roman" w:hAnsi="Calibri"/>
                <w:sz w:val="24"/>
                <w:szCs w:val="24"/>
                <w:lang w:eastAsia="pt-BR"/>
              </w:rPr>
              <w:t xml:space="preserve"> diretamente aos seus ativos subjacentes, caso seja verificada sua utilização como meio para execução de operações em desacordo com as diretrizes de investimentos ou caso seja verificado desvio de finalidade em relação à estratégia usual do ativo.</w:t>
            </w:r>
          </w:p>
        </w:tc>
        <w:tc>
          <w:tcPr>
            <w:tcW w:w="4648" w:type="dxa"/>
          </w:tcPr>
          <w:p w14:paraId="79A46195" w14:textId="77777777" w:rsidR="00E86BE2" w:rsidRPr="0010524E" w:rsidRDefault="00E86BE2" w:rsidP="00E86BE2">
            <w:pPr>
              <w:spacing w:before="120"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Renumerado. Consolidação do artigo com o parágrafo.</w:t>
            </w:r>
          </w:p>
          <w:p w14:paraId="32407E13" w14:textId="77777777" w:rsidR="00E86BE2" w:rsidRPr="0010524E" w:rsidRDefault="00E86BE2" w:rsidP="00E86BE2">
            <w:pPr>
              <w:spacing w:before="120"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Atualização da referência normativa.</w:t>
            </w:r>
          </w:p>
          <w:p w14:paraId="6F317CEF" w14:textId="77777777" w:rsidR="00E86BE2" w:rsidRPr="0010524E" w:rsidRDefault="00E86BE2" w:rsidP="00E86BE2">
            <w:pPr>
              <w:spacing w:before="120"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 xml:space="preserve"> </w:t>
            </w:r>
          </w:p>
        </w:tc>
      </w:tr>
      <w:tr w:rsidR="00E86BE2" w:rsidRPr="0010524E" w14:paraId="4EEF8812" w14:textId="341F9A28" w:rsidTr="00E86BE2">
        <w:tc>
          <w:tcPr>
            <w:tcW w:w="4815" w:type="dxa"/>
          </w:tcPr>
          <w:p w14:paraId="14F9CA15" w14:textId="77777777" w:rsidR="00E86BE2" w:rsidRPr="0010524E" w:rsidRDefault="00E86BE2" w:rsidP="00E86BE2">
            <w:pPr>
              <w:spacing w:before="120" w:after="120"/>
              <w:jc w:val="both"/>
              <w:rPr>
                <w:rFonts w:eastAsia="Times New Roman" w:cstheme="minorHAnsi"/>
                <w:sz w:val="24"/>
                <w:szCs w:val="24"/>
                <w:lang w:eastAsia="pt-BR"/>
              </w:rPr>
            </w:pPr>
            <w:r w:rsidRPr="0010524E">
              <w:rPr>
                <w:rFonts w:eastAsia="Times New Roman" w:cstheme="minorHAnsi"/>
                <w:sz w:val="24"/>
                <w:szCs w:val="24"/>
                <w:lang w:eastAsia="pt-BR"/>
              </w:rPr>
              <w:t xml:space="preserve">Parágrafo único.  O ativo final de que trata o </w:t>
            </w:r>
            <w:r w:rsidRPr="0010524E">
              <w:rPr>
                <w:rFonts w:eastAsia="Times New Roman" w:cstheme="minorHAnsi"/>
                <w:b/>
                <w:sz w:val="24"/>
                <w:szCs w:val="24"/>
                <w:lang w:eastAsia="pt-BR"/>
              </w:rPr>
              <w:t>caput</w:t>
            </w:r>
            <w:r w:rsidRPr="0010524E">
              <w:rPr>
                <w:rFonts w:eastAsia="Times New Roman" w:cstheme="minorHAnsi"/>
                <w:sz w:val="24"/>
                <w:szCs w:val="24"/>
                <w:lang w:eastAsia="pt-BR"/>
              </w:rPr>
              <w:t xml:space="preserve"> pode ser desconsiderado, para fins de supervisão, aplicando-se os limites, requisitos e </w:t>
            </w:r>
            <w:r w:rsidRPr="0010524E">
              <w:rPr>
                <w:rFonts w:eastAsia="Times New Roman" w:cstheme="minorHAnsi"/>
                <w:sz w:val="24"/>
                <w:szCs w:val="24"/>
                <w:lang w:eastAsia="pt-BR"/>
              </w:rPr>
              <w:lastRenderedPageBreak/>
              <w:t xml:space="preserve">vedações estabelecidos na </w:t>
            </w:r>
            <w:r w:rsidRPr="0010524E">
              <w:rPr>
                <w:rFonts w:cstheme="minorHAnsi"/>
                <w:sz w:val="24"/>
                <w:szCs w:val="24"/>
              </w:rPr>
              <w:t>Resolução CMN nº 4.661, de 2018,</w:t>
            </w:r>
            <w:r w:rsidRPr="0010524E">
              <w:rPr>
                <w:rFonts w:eastAsia="Times New Roman" w:cstheme="minorHAnsi"/>
                <w:sz w:val="24"/>
                <w:szCs w:val="24"/>
                <w:lang w:eastAsia="pt-BR"/>
              </w:rPr>
              <w:t xml:space="preserve"> diretamente aos seus ativos subjacentes, caso seja verificada sua utilização como meio para execução de operações em desacordo com as diretrizes de investimentos ou caso seja verificado desvio de finalidade em relação à estratégia usual do ativo.</w:t>
            </w:r>
          </w:p>
        </w:tc>
        <w:tc>
          <w:tcPr>
            <w:tcW w:w="4849" w:type="dxa"/>
          </w:tcPr>
          <w:p w14:paraId="4DCA5268" w14:textId="77777777" w:rsidR="00E86BE2" w:rsidRPr="0010524E" w:rsidRDefault="00E86BE2" w:rsidP="00E86BE2">
            <w:pPr>
              <w:spacing w:before="120" w:after="120"/>
              <w:jc w:val="both"/>
              <w:rPr>
                <w:rFonts w:eastAsia="Times New Roman" w:cstheme="minorHAnsi"/>
                <w:sz w:val="24"/>
                <w:szCs w:val="24"/>
                <w:lang w:eastAsia="pt-BR"/>
              </w:rPr>
            </w:pPr>
          </w:p>
        </w:tc>
        <w:tc>
          <w:tcPr>
            <w:tcW w:w="4648" w:type="dxa"/>
          </w:tcPr>
          <w:p w14:paraId="65C84442" w14:textId="77777777" w:rsidR="00E86BE2" w:rsidRPr="0010524E" w:rsidRDefault="00E86BE2" w:rsidP="00E86BE2">
            <w:pPr>
              <w:spacing w:before="120" w:after="120"/>
              <w:rPr>
                <w:rFonts w:eastAsia="Times New Roman" w:cstheme="minorHAnsi"/>
                <w:sz w:val="24"/>
                <w:szCs w:val="24"/>
                <w:lang w:eastAsia="pt-BR"/>
              </w:rPr>
            </w:pPr>
            <w:r w:rsidRPr="0010524E">
              <w:rPr>
                <w:rFonts w:eastAsia="Times New Roman" w:cstheme="minorHAnsi"/>
                <w:sz w:val="24"/>
                <w:szCs w:val="24"/>
                <w:lang w:eastAsia="pt-BR"/>
              </w:rPr>
              <w:t xml:space="preserve">Excluído. </w:t>
            </w:r>
          </w:p>
        </w:tc>
      </w:tr>
      <w:tr w:rsidR="00E86BE2" w:rsidRPr="0010524E" w14:paraId="485838EC" w14:textId="61E41802" w:rsidTr="00E86BE2">
        <w:tc>
          <w:tcPr>
            <w:tcW w:w="4815" w:type="dxa"/>
          </w:tcPr>
          <w:p w14:paraId="20EA4A41" w14:textId="77777777" w:rsidR="00E86BE2" w:rsidRDefault="00E86BE2" w:rsidP="00E86BE2">
            <w:pPr>
              <w:spacing w:after="120"/>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CAPÍTULO V</w:t>
            </w:r>
          </w:p>
          <w:p w14:paraId="344F6EB5" w14:textId="572F66B8" w:rsidR="00E86BE2" w:rsidRPr="0010524E" w:rsidRDefault="00E86BE2" w:rsidP="00E86BE2">
            <w:pPr>
              <w:spacing w:after="120"/>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DO ADMINISTRADOR OU COMITÊ RESPONSÁVEL PELA GESTÃO DE RISCOS</w:t>
            </w:r>
          </w:p>
        </w:tc>
        <w:tc>
          <w:tcPr>
            <w:tcW w:w="4849" w:type="dxa"/>
          </w:tcPr>
          <w:p w14:paraId="6656E387" w14:textId="77777777" w:rsidR="00E86BE2" w:rsidRPr="0010524E" w:rsidRDefault="00E86BE2" w:rsidP="00E86BE2">
            <w:pPr>
              <w:adjustRightInd w:val="0"/>
              <w:spacing w:after="120"/>
              <w:jc w:val="center"/>
              <w:rPr>
                <w:rFonts w:eastAsia="Times New Roman" w:cstheme="minorHAnsi"/>
                <w:color w:val="000000"/>
                <w:sz w:val="24"/>
                <w:szCs w:val="24"/>
                <w:lang w:eastAsia="pt-BR"/>
              </w:rPr>
            </w:pPr>
          </w:p>
        </w:tc>
        <w:tc>
          <w:tcPr>
            <w:tcW w:w="4648" w:type="dxa"/>
          </w:tcPr>
          <w:p w14:paraId="2E63A0B7" w14:textId="77777777" w:rsidR="00E86BE2" w:rsidRPr="0010524E" w:rsidRDefault="00E86BE2" w:rsidP="00E86BE2">
            <w:pPr>
              <w:spacing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Realocado.</w:t>
            </w:r>
          </w:p>
          <w:p w14:paraId="3F194AD2" w14:textId="77777777" w:rsidR="00E86BE2" w:rsidRPr="0010524E" w:rsidRDefault="00E86BE2" w:rsidP="00E86BE2">
            <w:pPr>
              <w:spacing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Capítulo realocado para o Capítulo de Governança.</w:t>
            </w:r>
          </w:p>
        </w:tc>
      </w:tr>
      <w:tr w:rsidR="00E86BE2" w:rsidRPr="0010524E" w14:paraId="5B0D7350" w14:textId="293D0832" w:rsidTr="00E86BE2">
        <w:tc>
          <w:tcPr>
            <w:tcW w:w="4815" w:type="dxa"/>
          </w:tcPr>
          <w:p w14:paraId="74919775"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cstheme="minorHAnsi"/>
                <w:sz w:val="24"/>
                <w:szCs w:val="24"/>
              </w:rPr>
              <w:t>Art. 13.  A EFPC Sistemicamente Importante (ESI) deve segregar a gestão de recursos da gestão de risco e</w:t>
            </w:r>
            <w:r w:rsidRPr="0010524E">
              <w:rPr>
                <w:rFonts w:eastAsia="Times New Roman" w:cstheme="minorHAnsi"/>
                <w:sz w:val="24"/>
                <w:szCs w:val="24"/>
                <w:lang w:eastAsia="pt-BR"/>
              </w:rPr>
              <w:t xml:space="preserve"> designar:</w:t>
            </w:r>
          </w:p>
        </w:tc>
        <w:tc>
          <w:tcPr>
            <w:tcW w:w="4849" w:type="dxa"/>
          </w:tcPr>
          <w:p w14:paraId="106C4990" w14:textId="77777777" w:rsidR="00E86BE2" w:rsidRPr="0010524E" w:rsidRDefault="00E86BE2" w:rsidP="00E86BE2">
            <w:pPr>
              <w:spacing w:after="120"/>
              <w:jc w:val="both"/>
              <w:rPr>
                <w:rFonts w:ascii="Calibri" w:eastAsia="Times New Roman" w:hAnsi="Calibri" w:cstheme="minorHAnsi"/>
                <w:sz w:val="24"/>
                <w:szCs w:val="24"/>
                <w:lang w:eastAsia="pt-BR"/>
              </w:rPr>
            </w:pPr>
          </w:p>
        </w:tc>
        <w:tc>
          <w:tcPr>
            <w:tcW w:w="4648" w:type="dxa"/>
          </w:tcPr>
          <w:p w14:paraId="254ECCA4" w14:textId="77777777" w:rsidR="00E86BE2" w:rsidRPr="0010524E" w:rsidRDefault="00E86BE2" w:rsidP="00E86BE2">
            <w:pPr>
              <w:spacing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Realocado.</w:t>
            </w:r>
          </w:p>
        </w:tc>
      </w:tr>
      <w:tr w:rsidR="00E86BE2" w:rsidRPr="0010524E" w14:paraId="30335E33" w14:textId="5A5AA5D1" w:rsidTr="00E86BE2">
        <w:tc>
          <w:tcPr>
            <w:tcW w:w="4815" w:type="dxa"/>
          </w:tcPr>
          <w:p w14:paraId="2E0DA5B2"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I - AETQ como principal responsável pela gestão, alocação, supervisão e acompanhamento dos recursos garantidores de seus planos</w:t>
            </w:r>
            <w:r w:rsidRPr="0010524E">
              <w:rPr>
                <w:rFonts w:cstheme="minorHAnsi"/>
                <w:sz w:val="24"/>
                <w:szCs w:val="24"/>
              </w:rPr>
              <w:t>; e</w:t>
            </w:r>
          </w:p>
        </w:tc>
        <w:tc>
          <w:tcPr>
            <w:tcW w:w="4849" w:type="dxa"/>
          </w:tcPr>
          <w:p w14:paraId="5C9A6B23" w14:textId="77777777" w:rsidR="00E86BE2" w:rsidRPr="0010524E" w:rsidRDefault="00E86BE2" w:rsidP="00E86BE2">
            <w:pPr>
              <w:spacing w:after="120"/>
              <w:jc w:val="both"/>
              <w:rPr>
                <w:rFonts w:ascii="Calibri" w:hAnsi="Calibri" w:cstheme="minorHAnsi"/>
                <w:sz w:val="24"/>
                <w:szCs w:val="24"/>
              </w:rPr>
            </w:pPr>
          </w:p>
        </w:tc>
        <w:tc>
          <w:tcPr>
            <w:tcW w:w="4648" w:type="dxa"/>
          </w:tcPr>
          <w:p w14:paraId="2B0D16E0" w14:textId="77777777" w:rsidR="00E86BE2" w:rsidRPr="0010524E" w:rsidRDefault="00E86BE2" w:rsidP="00E86BE2">
            <w:pPr>
              <w:spacing w:after="120"/>
              <w:rPr>
                <w:rFonts w:cstheme="minorHAnsi"/>
                <w:sz w:val="24"/>
                <w:szCs w:val="24"/>
              </w:rPr>
            </w:pPr>
            <w:r w:rsidRPr="0010524E">
              <w:rPr>
                <w:rFonts w:eastAsia="Times New Roman" w:cstheme="minorHAnsi"/>
                <w:color w:val="000000"/>
                <w:sz w:val="24"/>
                <w:szCs w:val="24"/>
                <w:lang w:eastAsia="pt-BR"/>
              </w:rPr>
              <w:t>Realocado.</w:t>
            </w:r>
          </w:p>
        </w:tc>
      </w:tr>
      <w:tr w:rsidR="00E86BE2" w:rsidRPr="0010524E" w14:paraId="45A6AA5C" w14:textId="00AB5BD8" w:rsidTr="00E86BE2">
        <w:tc>
          <w:tcPr>
            <w:tcW w:w="4815" w:type="dxa"/>
          </w:tcPr>
          <w:p w14:paraId="3DB1A7AA" w14:textId="77777777" w:rsidR="00E86BE2" w:rsidRPr="0010524E" w:rsidRDefault="00E86BE2" w:rsidP="00E86BE2">
            <w:pPr>
              <w:spacing w:after="120"/>
              <w:jc w:val="both"/>
              <w:rPr>
                <w:rFonts w:cstheme="minorHAnsi"/>
                <w:sz w:val="24"/>
                <w:szCs w:val="24"/>
              </w:rPr>
            </w:pPr>
            <w:r w:rsidRPr="0010524E">
              <w:rPr>
                <w:rFonts w:eastAsia="Times New Roman" w:cstheme="minorHAnsi"/>
                <w:sz w:val="24"/>
                <w:szCs w:val="24"/>
                <w:lang w:eastAsia="pt-BR"/>
              </w:rPr>
              <w:t>II -</w:t>
            </w:r>
            <w:r w:rsidRPr="0010524E" w:rsidDel="00977767">
              <w:rPr>
                <w:rFonts w:cstheme="minorHAnsi"/>
                <w:sz w:val="24"/>
                <w:szCs w:val="24"/>
              </w:rPr>
              <w:t xml:space="preserve"> </w:t>
            </w:r>
            <w:r w:rsidRPr="0010524E">
              <w:rPr>
                <w:rFonts w:eastAsia="Times New Roman" w:cstheme="minorHAnsi"/>
                <w:sz w:val="24"/>
                <w:szCs w:val="24"/>
                <w:lang w:eastAsia="pt-BR"/>
              </w:rPr>
              <w:t>administrador ou comitê responsável pela gestão de riscos</w:t>
            </w:r>
            <w:r w:rsidRPr="0010524E">
              <w:rPr>
                <w:rFonts w:cstheme="minorHAnsi"/>
                <w:sz w:val="24"/>
                <w:szCs w:val="24"/>
              </w:rPr>
              <w:t>.</w:t>
            </w:r>
          </w:p>
        </w:tc>
        <w:tc>
          <w:tcPr>
            <w:tcW w:w="4849" w:type="dxa"/>
          </w:tcPr>
          <w:p w14:paraId="6379F621" w14:textId="77777777" w:rsidR="00E86BE2" w:rsidRPr="0010524E" w:rsidRDefault="00E86BE2" w:rsidP="00E86BE2">
            <w:pPr>
              <w:spacing w:after="120"/>
              <w:jc w:val="both"/>
              <w:rPr>
                <w:rFonts w:ascii="Calibri" w:hAnsi="Calibri" w:cstheme="minorHAnsi"/>
                <w:sz w:val="24"/>
                <w:szCs w:val="24"/>
              </w:rPr>
            </w:pPr>
          </w:p>
        </w:tc>
        <w:tc>
          <w:tcPr>
            <w:tcW w:w="4648" w:type="dxa"/>
          </w:tcPr>
          <w:p w14:paraId="58E433DE" w14:textId="77777777" w:rsidR="00E86BE2" w:rsidRPr="0010524E" w:rsidRDefault="00E86BE2" w:rsidP="00E86BE2">
            <w:pPr>
              <w:spacing w:after="120"/>
              <w:rPr>
                <w:rFonts w:eastAsia="Times New Roman" w:cstheme="minorHAnsi"/>
                <w:sz w:val="24"/>
                <w:szCs w:val="24"/>
                <w:lang w:eastAsia="pt-BR"/>
              </w:rPr>
            </w:pPr>
            <w:r w:rsidRPr="0010524E">
              <w:rPr>
                <w:rFonts w:eastAsia="Times New Roman" w:cstheme="minorHAnsi"/>
                <w:color w:val="000000"/>
                <w:sz w:val="24"/>
                <w:szCs w:val="24"/>
                <w:lang w:eastAsia="pt-BR"/>
              </w:rPr>
              <w:t>Realocado.</w:t>
            </w:r>
          </w:p>
        </w:tc>
      </w:tr>
      <w:tr w:rsidR="00E86BE2" w:rsidRPr="0010524E" w14:paraId="5EED63CF" w14:textId="198D6D0E" w:rsidTr="00E86BE2">
        <w:tc>
          <w:tcPr>
            <w:tcW w:w="4815" w:type="dxa"/>
          </w:tcPr>
          <w:p w14:paraId="25E255AD" w14:textId="77777777" w:rsidR="00E86BE2" w:rsidRPr="0010524E" w:rsidRDefault="00E86BE2" w:rsidP="00E86BE2">
            <w:pPr>
              <w:spacing w:after="120"/>
              <w:jc w:val="both"/>
              <w:rPr>
                <w:rFonts w:cstheme="minorHAnsi"/>
                <w:sz w:val="24"/>
                <w:szCs w:val="24"/>
              </w:rPr>
            </w:pPr>
            <w:r w:rsidRPr="0010524E">
              <w:rPr>
                <w:rFonts w:cstheme="minorHAnsi"/>
                <w:sz w:val="24"/>
                <w:szCs w:val="24"/>
              </w:rPr>
              <w:t>§1º  O AETQ e o responsável pela gestão de risco devem exercer suas funções com independência e sem qualquer subordinação hierárquica entre si.</w:t>
            </w:r>
          </w:p>
        </w:tc>
        <w:tc>
          <w:tcPr>
            <w:tcW w:w="4849" w:type="dxa"/>
          </w:tcPr>
          <w:p w14:paraId="76FDA7E9" w14:textId="77777777" w:rsidR="00E86BE2" w:rsidRPr="0010524E" w:rsidRDefault="00E86BE2" w:rsidP="00E86BE2">
            <w:pPr>
              <w:spacing w:after="120"/>
              <w:jc w:val="both"/>
              <w:rPr>
                <w:rFonts w:ascii="Calibri" w:hAnsi="Calibri" w:cstheme="minorHAnsi"/>
                <w:sz w:val="24"/>
                <w:szCs w:val="24"/>
              </w:rPr>
            </w:pPr>
          </w:p>
        </w:tc>
        <w:tc>
          <w:tcPr>
            <w:tcW w:w="4648" w:type="dxa"/>
          </w:tcPr>
          <w:p w14:paraId="7C1F7C38" w14:textId="77777777" w:rsidR="00E86BE2" w:rsidRPr="0010524E" w:rsidRDefault="00E86BE2" w:rsidP="00E86BE2">
            <w:pPr>
              <w:spacing w:after="120"/>
              <w:rPr>
                <w:rFonts w:eastAsia="Times New Roman" w:cstheme="minorHAnsi"/>
                <w:sz w:val="24"/>
                <w:szCs w:val="24"/>
                <w:lang w:eastAsia="pt-BR"/>
              </w:rPr>
            </w:pPr>
            <w:r w:rsidRPr="0010524E">
              <w:rPr>
                <w:rFonts w:eastAsia="Times New Roman" w:cstheme="minorHAnsi"/>
                <w:color w:val="000000"/>
                <w:sz w:val="24"/>
                <w:szCs w:val="24"/>
                <w:lang w:eastAsia="pt-BR"/>
              </w:rPr>
              <w:t>Realocado.</w:t>
            </w:r>
          </w:p>
        </w:tc>
      </w:tr>
      <w:tr w:rsidR="00E86BE2" w:rsidRPr="0010524E" w14:paraId="3C72D078" w14:textId="6F7069EB" w:rsidTr="00E86BE2">
        <w:tc>
          <w:tcPr>
            <w:tcW w:w="4815" w:type="dxa"/>
          </w:tcPr>
          <w:p w14:paraId="541AD297" w14:textId="77777777" w:rsidR="00E86BE2" w:rsidRPr="0010524E" w:rsidRDefault="00E86BE2" w:rsidP="00E86BE2">
            <w:pPr>
              <w:spacing w:after="120"/>
              <w:jc w:val="both"/>
              <w:rPr>
                <w:rFonts w:cstheme="minorHAnsi"/>
                <w:sz w:val="24"/>
                <w:szCs w:val="24"/>
              </w:rPr>
            </w:pPr>
            <w:r w:rsidRPr="0010524E">
              <w:rPr>
                <w:rFonts w:cstheme="minorHAnsi"/>
                <w:sz w:val="24"/>
                <w:szCs w:val="24"/>
              </w:rPr>
              <w:t xml:space="preserve">§2º  É vedada a participação do AETQ no </w:t>
            </w:r>
            <w:r w:rsidRPr="0010524E">
              <w:rPr>
                <w:rFonts w:eastAsia="Times New Roman" w:cstheme="minorHAnsi"/>
                <w:sz w:val="24"/>
                <w:szCs w:val="24"/>
                <w:lang w:eastAsia="pt-BR"/>
              </w:rPr>
              <w:t>comitê responsável pela gestão de riscos</w:t>
            </w:r>
            <w:r w:rsidRPr="0010524E">
              <w:rPr>
                <w:rFonts w:cstheme="minorHAnsi"/>
                <w:sz w:val="24"/>
                <w:szCs w:val="24"/>
              </w:rPr>
              <w:t>.</w:t>
            </w:r>
          </w:p>
        </w:tc>
        <w:tc>
          <w:tcPr>
            <w:tcW w:w="4849" w:type="dxa"/>
          </w:tcPr>
          <w:p w14:paraId="240DD541" w14:textId="77777777" w:rsidR="00E86BE2" w:rsidRPr="0010524E" w:rsidRDefault="00E86BE2" w:rsidP="00E86BE2">
            <w:pPr>
              <w:spacing w:after="120"/>
              <w:jc w:val="both"/>
              <w:rPr>
                <w:rFonts w:ascii="Calibri" w:hAnsi="Calibri" w:cstheme="minorHAnsi"/>
                <w:sz w:val="24"/>
                <w:szCs w:val="24"/>
              </w:rPr>
            </w:pPr>
          </w:p>
        </w:tc>
        <w:tc>
          <w:tcPr>
            <w:tcW w:w="4648" w:type="dxa"/>
          </w:tcPr>
          <w:p w14:paraId="41BAF5C1" w14:textId="77777777" w:rsidR="00E86BE2" w:rsidRPr="0010524E" w:rsidRDefault="00E86BE2" w:rsidP="00E86BE2">
            <w:pPr>
              <w:spacing w:after="120"/>
              <w:rPr>
                <w:rFonts w:cstheme="minorHAnsi"/>
                <w:sz w:val="24"/>
                <w:szCs w:val="24"/>
              </w:rPr>
            </w:pPr>
            <w:r w:rsidRPr="0010524E">
              <w:rPr>
                <w:rFonts w:eastAsia="Times New Roman" w:cstheme="minorHAnsi"/>
                <w:color w:val="000000"/>
                <w:sz w:val="24"/>
                <w:szCs w:val="24"/>
                <w:lang w:eastAsia="pt-BR"/>
              </w:rPr>
              <w:t>Realocado.</w:t>
            </w:r>
          </w:p>
        </w:tc>
      </w:tr>
      <w:tr w:rsidR="00E86BE2" w:rsidRPr="0010524E" w14:paraId="2A5FBFD7" w14:textId="78645C0A" w:rsidTr="00E86BE2">
        <w:tc>
          <w:tcPr>
            <w:tcW w:w="4815" w:type="dxa"/>
          </w:tcPr>
          <w:p w14:paraId="6E1B8C50" w14:textId="77777777" w:rsidR="00E86BE2" w:rsidRDefault="00E86BE2" w:rsidP="00E86BE2">
            <w:pPr>
              <w:spacing w:after="120"/>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lastRenderedPageBreak/>
              <w:t>CAPÍTULO VI</w:t>
            </w:r>
          </w:p>
          <w:p w14:paraId="1BB45FE4" w14:textId="31E2C63C" w:rsidR="00E86BE2" w:rsidRPr="0010524E" w:rsidRDefault="00E86BE2" w:rsidP="00E86BE2">
            <w:pPr>
              <w:spacing w:after="120"/>
              <w:jc w:val="center"/>
              <w:rPr>
                <w:rFonts w:cstheme="minorHAnsi"/>
                <w:sz w:val="24"/>
                <w:szCs w:val="24"/>
              </w:rPr>
            </w:pPr>
            <w:r w:rsidRPr="0010524E">
              <w:rPr>
                <w:rFonts w:eastAsia="Times New Roman" w:cstheme="minorHAnsi"/>
                <w:color w:val="000000"/>
                <w:sz w:val="24"/>
                <w:szCs w:val="24"/>
                <w:lang w:eastAsia="pt-BR"/>
              </w:rPr>
              <w:t>DA NEGOCIAÇÃO PRIVADA</w:t>
            </w:r>
          </w:p>
        </w:tc>
        <w:tc>
          <w:tcPr>
            <w:tcW w:w="4849" w:type="dxa"/>
          </w:tcPr>
          <w:p w14:paraId="3E7B3EDC" w14:textId="77777777" w:rsidR="00E86BE2" w:rsidRDefault="00E86BE2" w:rsidP="00E86BE2">
            <w:pPr>
              <w:adjustRightInd w:val="0"/>
              <w:spacing w:after="120"/>
              <w:jc w:val="center"/>
              <w:rPr>
                <w:rFonts w:ascii="Calibri" w:eastAsia="Times New Roman" w:hAnsi="Calibri" w:cs="Calibri"/>
                <w:b/>
                <w:sz w:val="24"/>
                <w:szCs w:val="24"/>
                <w:lang w:eastAsia="pt-BR"/>
              </w:rPr>
            </w:pPr>
            <w:r w:rsidRPr="0010524E">
              <w:rPr>
                <w:rFonts w:ascii="Calibri" w:eastAsia="Times New Roman" w:hAnsi="Calibri" w:cs="Calibri"/>
                <w:b/>
                <w:sz w:val="24"/>
                <w:szCs w:val="24"/>
                <w:lang w:eastAsia="pt-BR"/>
              </w:rPr>
              <w:t>Seção IV</w:t>
            </w:r>
          </w:p>
          <w:p w14:paraId="71CF6E90" w14:textId="1D2093F5" w:rsidR="00E86BE2" w:rsidRPr="0010524E" w:rsidRDefault="00E86BE2" w:rsidP="00E86BE2">
            <w:pPr>
              <w:adjustRightInd w:val="0"/>
              <w:spacing w:after="120"/>
              <w:jc w:val="center"/>
              <w:rPr>
                <w:rFonts w:ascii="Calibri" w:eastAsia="Times New Roman" w:hAnsi="Calibri" w:cs="Calibri"/>
                <w:b/>
                <w:sz w:val="24"/>
                <w:szCs w:val="24"/>
                <w:lang w:eastAsia="pt-BR"/>
              </w:rPr>
            </w:pPr>
            <w:r>
              <w:rPr>
                <w:rFonts w:ascii="Calibri" w:eastAsia="Times New Roman" w:hAnsi="Calibri" w:cstheme="minorHAnsi"/>
                <w:b/>
                <w:color w:val="000000"/>
                <w:sz w:val="24"/>
                <w:szCs w:val="24"/>
                <w:lang w:eastAsia="pt-BR"/>
              </w:rPr>
              <w:t>N</w:t>
            </w:r>
            <w:r w:rsidRPr="0010524E">
              <w:rPr>
                <w:rFonts w:ascii="Calibri" w:eastAsia="Times New Roman" w:hAnsi="Calibri" w:cstheme="minorHAnsi"/>
                <w:b/>
                <w:color w:val="000000"/>
                <w:sz w:val="24"/>
                <w:szCs w:val="24"/>
                <w:lang w:eastAsia="pt-BR"/>
              </w:rPr>
              <w:t>egociação privada</w:t>
            </w:r>
          </w:p>
        </w:tc>
        <w:tc>
          <w:tcPr>
            <w:tcW w:w="4648" w:type="dxa"/>
          </w:tcPr>
          <w:p w14:paraId="3DD1881E" w14:textId="77777777" w:rsidR="00E86BE2" w:rsidRPr="0010524E" w:rsidRDefault="00E86BE2" w:rsidP="00E86BE2">
            <w:pPr>
              <w:spacing w:after="120"/>
              <w:rPr>
                <w:rFonts w:cstheme="minorHAnsi"/>
                <w:sz w:val="24"/>
                <w:szCs w:val="24"/>
              </w:rPr>
            </w:pPr>
            <w:r w:rsidRPr="0010524E">
              <w:rPr>
                <w:rFonts w:cstheme="minorHAnsi"/>
                <w:sz w:val="24"/>
                <w:szCs w:val="24"/>
              </w:rPr>
              <w:t>Renumerado.</w:t>
            </w:r>
          </w:p>
        </w:tc>
      </w:tr>
      <w:tr w:rsidR="00E86BE2" w:rsidRPr="0010524E" w14:paraId="1F3CC4B8" w14:textId="4D2EADF8" w:rsidTr="00E86BE2">
        <w:tc>
          <w:tcPr>
            <w:tcW w:w="4815" w:type="dxa"/>
          </w:tcPr>
          <w:p w14:paraId="02370D1B"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Art. 14</w:t>
            </w:r>
            <w:r w:rsidRPr="0010524E">
              <w:rPr>
                <w:rFonts w:eastAsia="Times New Roman" w:cstheme="minorHAnsi"/>
                <w:color w:val="000000" w:themeColor="text1"/>
                <w:sz w:val="24"/>
                <w:szCs w:val="24"/>
                <w:lang w:eastAsia="pt-BR"/>
              </w:rPr>
              <w:t xml:space="preserve">  </w:t>
            </w:r>
            <w:r w:rsidRPr="0010524E">
              <w:rPr>
                <w:rFonts w:eastAsia="Times New Roman" w:cstheme="minorHAnsi"/>
                <w:color w:val="000000"/>
                <w:sz w:val="24"/>
                <w:szCs w:val="24"/>
                <w:lang w:eastAsia="pt-BR"/>
              </w:rPr>
              <w:t>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nos termos da alínea “e” do inciso VI do art. 36 da Resolução CMN nº 4.661, de 2018, deve contemplar, no mínimo, as seguintes etapas:</w:t>
            </w:r>
          </w:p>
        </w:tc>
        <w:tc>
          <w:tcPr>
            <w:tcW w:w="4849" w:type="dxa"/>
          </w:tcPr>
          <w:p w14:paraId="14FE68DA" w14:textId="095C67B4"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Art. 312.  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nos termos da alínea “e” do inciso VI do art. 36 da Resolução CMN nº 4.994, de 2022, deve contemplar, no mínimo, as seguintes etapas:</w:t>
            </w:r>
          </w:p>
        </w:tc>
        <w:tc>
          <w:tcPr>
            <w:tcW w:w="4648" w:type="dxa"/>
          </w:tcPr>
          <w:p w14:paraId="7F0934D5" w14:textId="77777777" w:rsidR="00E86BE2" w:rsidRPr="0010524E" w:rsidRDefault="00E86BE2" w:rsidP="00E86BE2">
            <w:pPr>
              <w:spacing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Atualização da referência normativa.</w:t>
            </w:r>
          </w:p>
        </w:tc>
      </w:tr>
      <w:tr w:rsidR="00E86BE2" w:rsidRPr="0010524E" w14:paraId="13231DFD" w14:textId="0E99470E" w:rsidTr="00E86BE2">
        <w:tc>
          <w:tcPr>
            <w:tcW w:w="4815" w:type="dxa"/>
          </w:tcPr>
          <w:p w14:paraId="79538BB3"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I - elaboração de estudo técnico;</w:t>
            </w:r>
          </w:p>
        </w:tc>
        <w:tc>
          <w:tcPr>
            <w:tcW w:w="4849" w:type="dxa"/>
          </w:tcPr>
          <w:p w14:paraId="15234F76" w14:textId="479A871A" w:rsidR="00E86BE2" w:rsidRPr="0010524E" w:rsidRDefault="00E86BE2" w:rsidP="00E86BE2">
            <w:pPr>
              <w:spacing w:after="120"/>
              <w:jc w:val="both"/>
              <w:rPr>
                <w:rFonts w:eastAsia="Times New Roman" w:cstheme="minorHAnsi"/>
                <w:color w:val="000000"/>
                <w:sz w:val="24"/>
                <w:szCs w:val="24"/>
                <w:lang w:eastAsia="pt-BR"/>
              </w:rPr>
            </w:pPr>
            <w:r w:rsidRPr="0010524E">
              <w:rPr>
                <w:rFonts w:ascii="Calibri" w:eastAsia="Times New Roman" w:hAnsi="Calibri" w:cstheme="minorHAnsi"/>
                <w:sz w:val="24"/>
                <w:szCs w:val="24"/>
                <w:lang w:eastAsia="pt-BR"/>
              </w:rPr>
              <w:t>I - elaboração de estudo técnico;</w:t>
            </w:r>
          </w:p>
        </w:tc>
        <w:tc>
          <w:tcPr>
            <w:tcW w:w="4648" w:type="dxa"/>
          </w:tcPr>
          <w:p w14:paraId="06AC180B" w14:textId="77777777" w:rsidR="00E86BE2" w:rsidRPr="0010524E" w:rsidRDefault="00E86BE2" w:rsidP="00E86BE2">
            <w:pPr>
              <w:spacing w:after="120"/>
              <w:rPr>
                <w:rFonts w:eastAsia="Times New Roman" w:cstheme="minorHAnsi"/>
                <w:color w:val="000000"/>
                <w:sz w:val="24"/>
                <w:szCs w:val="24"/>
                <w:lang w:eastAsia="pt-BR"/>
              </w:rPr>
            </w:pPr>
          </w:p>
        </w:tc>
      </w:tr>
      <w:tr w:rsidR="00E86BE2" w:rsidRPr="0010524E" w14:paraId="7289C01A" w14:textId="3BD8D21D" w:rsidTr="00E86BE2">
        <w:tc>
          <w:tcPr>
            <w:tcW w:w="4815" w:type="dxa"/>
          </w:tcPr>
          <w:p w14:paraId="45422B08"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II - apreciação da operação pelo comitê de investimentos da EFPC ou órgão similar, quando prevista em regulamento interno;</w:t>
            </w:r>
          </w:p>
        </w:tc>
        <w:tc>
          <w:tcPr>
            <w:tcW w:w="4849" w:type="dxa"/>
          </w:tcPr>
          <w:p w14:paraId="1679AD9F" w14:textId="7668E2F4"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II - apreciação da operação pelo comitê de investimentos da EFPC ou órgão similar, quando prevista em regulamento interno;</w:t>
            </w:r>
          </w:p>
        </w:tc>
        <w:tc>
          <w:tcPr>
            <w:tcW w:w="4648" w:type="dxa"/>
          </w:tcPr>
          <w:p w14:paraId="55066CD3" w14:textId="77777777" w:rsidR="00E86BE2" w:rsidRPr="0010524E" w:rsidRDefault="00E86BE2" w:rsidP="00E86BE2">
            <w:pPr>
              <w:spacing w:after="120"/>
              <w:rPr>
                <w:rFonts w:eastAsia="Times New Roman" w:cstheme="minorHAnsi"/>
                <w:color w:val="000000"/>
                <w:sz w:val="24"/>
                <w:szCs w:val="24"/>
                <w:lang w:eastAsia="pt-BR"/>
              </w:rPr>
            </w:pPr>
          </w:p>
        </w:tc>
      </w:tr>
      <w:tr w:rsidR="00E86BE2" w:rsidRPr="0010524E" w14:paraId="1AC82BA7" w14:textId="39F3B8BB" w:rsidTr="00E86BE2">
        <w:tc>
          <w:tcPr>
            <w:tcW w:w="4815" w:type="dxa"/>
          </w:tcPr>
          <w:p w14:paraId="299BA367"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III - declaração do administrador ou comitê responsável pela gestão de riscos acerca dos riscos envolvidos na operação;</w:t>
            </w:r>
          </w:p>
        </w:tc>
        <w:tc>
          <w:tcPr>
            <w:tcW w:w="4849" w:type="dxa"/>
          </w:tcPr>
          <w:p w14:paraId="52D866EE" w14:textId="5932BB49"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III - declaração do administrador ou comitê responsável pela gestão de riscos acerca dos riscos envolvidos na operação;</w:t>
            </w:r>
          </w:p>
        </w:tc>
        <w:tc>
          <w:tcPr>
            <w:tcW w:w="4648" w:type="dxa"/>
          </w:tcPr>
          <w:p w14:paraId="52F1A15C" w14:textId="77777777" w:rsidR="00E86BE2" w:rsidRPr="0010524E" w:rsidRDefault="00E86BE2" w:rsidP="00E86BE2">
            <w:pPr>
              <w:spacing w:after="120"/>
              <w:rPr>
                <w:rFonts w:eastAsia="Times New Roman" w:cstheme="minorHAnsi"/>
                <w:color w:val="000000"/>
                <w:sz w:val="24"/>
                <w:szCs w:val="24"/>
                <w:lang w:eastAsia="pt-BR"/>
              </w:rPr>
            </w:pPr>
          </w:p>
        </w:tc>
      </w:tr>
      <w:tr w:rsidR="00E86BE2" w:rsidRPr="0010524E" w14:paraId="64117A7C" w14:textId="41C1138F" w:rsidTr="00E86BE2">
        <w:tc>
          <w:tcPr>
            <w:tcW w:w="4815" w:type="dxa"/>
          </w:tcPr>
          <w:p w14:paraId="0C3F685C"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IV - declaração do AETQ sobre o atendimento dos requisitos e limites previstos na legislação em vigor;</w:t>
            </w:r>
          </w:p>
        </w:tc>
        <w:tc>
          <w:tcPr>
            <w:tcW w:w="4849" w:type="dxa"/>
          </w:tcPr>
          <w:p w14:paraId="779337DB" w14:textId="7EF1D552"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sz w:val="24"/>
                <w:szCs w:val="24"/>
                <w:lang w:eastAsia="pt-BR"/>
              </w:rPr>
              <w:t>IV - declaração do administrador estatutário tecnicamente qualificado sobre o atendimento dos requisitos e limites previstos na legislação em vigor;</w:t>
            </w:r>
          </w:p>
        </w:tc>
        <w:tc>
          <w:tcPr>
            <w:tcW w:w="4648" w:type="dxa"/>
          </w:tcPr>
          <w:p w14:paraId="65D2D3BA" w14:textId="77777777" w:rsidR="00E86BE2" w:rsidRPr="0010524E" w:rsidRDefault="00E86BE2" w:rsidP="00E86BE2">
            <w:pPr>
              <w:spacing w:after="120"/>
              <w:rPr>
                <w:rFonts w:eastAsia="Times New Roman" w:cstheme="minorHAnsi"/>
                <w:color w:val="000000"/>
                <w:sz w:val="24"/>
                <w:szCs w:val="24"/>
                <w:lang w:eastAsia="pt-BR"/>
              </w:rPr>
            </w:pPr>
          </w:p>
        </w:tc>
      </w:tr>
      <w:tr w:rsidR="00E86BE2" w:rsidRPr="0010524E" w14:paraId="6C9307D4" w14:textId="649FBA60" w:rsidTr="00E86BE2">
        <w:tc>
          <w:tcPr>
            <w:tcW w:w="4815" w:type="dxa"/>
          </w:tcPr>
          <w:p w14:paraId="0D94C0D0"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V - aprovação da operação pretendida pela diretoria executiva; e</w:t>
            </w:r>
          </w:p>
        </w:tc>
        <w:tc>
          <w:tcPr>
            <w:tcW w:w="4849" w:type="dxa"/>
          </w:tcPr>
          <w:p w14:paraId="1EB5B645" w14:textId="53EC945E"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V - aprovação da operação pretendida pela diretoria executiva; e</w:t>
            </w:r>
          </w:p>
        </w:tc>
        <w:tc>
          <w:tcPr>
            <w:tcW w:w="4648" w:type="dxa"/>
          </w:tcPr>
          <w:p w14:paraId="3C1E2C37" w14:textId="77777777" w:rsidR="00E86BE2" w:rsidRPr="0010524E" w:rsidRDefault="00E86BE2" w:rsidP="00E86BE2">
            <w:pPr>
              <w:spacing w:after="120"/>
              <w:rPr>
                <w:rFonts w:eastAsia="Times New Roman" w:cstheme="minorHAnsi"/>
                <w:color w:val="000000"/>
                <w:sz w:val="24"/>
                <w:szCs w:val="24"/>
                <w:lang w:eastAsia="pt-BR"/>
              </w:rPr>
            </w:pPr>
          </w:p>
        </w:tc>
      </w:tr>
      <w:tr w:rsidR="00E86BE2" w:rsidRPr="0010524E" w14:paraId="3CA733E3" w14:textId="32FDB0A9" w:rsidTr="00E86BE2">
        <w:tc>
          <w:tcPr>
            <w:tcW w:w="4815" w:type="dxa"/>
          </w:tcPr>
          <w:p w14:paraId="5FA045A7"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lastRenderedPageBreak/>
              <w:t>VI - aprovação da operação pretendida pelo conselho deliberativo.</w:t>
            </w:r>
          </w:p>
        </w:tc>
        <w:tc>
          <w:tcPr>
            <w:tcW w:w="4849" w:type="dxa"/>
          </w:tcPr>
          <w:p w14:paraId="229CF867" w14:textId="711A38CF"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VI - aprovação da operação pretendida pelo conselho deliberativo.</w:t>
            </w:r>
          </w:p>
        </w:tc>
        <w:tc>
          <w:tcPr>
            <w:tcW w:w="4648" w:type="dxa"/>
          </w:tcPr>
          <w:p w14:paraId="7AF24DFF" w14:textId="77777777" w:rsidR="00E86BE2" w:rsidRPr="0010524E" w:rsidRDefault="00E86BE2" w:rsidP="00E86BE2">
            <w:pPr>
              <w:spacing w:after="120"/>
              <w:rPr>
                <w:rFonts w:eastAsia="Times New Roman" w:cstheme="minorHAnsi"/>
                <w:color w:val="000000"/>
                <w:sz w:val="24"/>
                <w:szCs w:val="24"/>
                <w:lang w:eastAsia="pt-BR"/>
              </w:rPr>
            </w:pPr>
          </w:p>
        </w:tc>
      </w:tr>
      <w:tr w:rsidR="00E86BE2" w:rsidRPr="0010524E" w14:paraId="60AB9C5A" w14:textId="4742B2A6" w:rsidTr="00E86BE2">
        <w:tc>
          <w:tcPr>
            <w:tcW w:w="4815" w:type="dxa"/>
          </w:tcPr>
          <w:p w14:paraId="757E55DE"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cstheme="minorHAnsi"/>
                <w:sz w:val="24"/>
                <w:szCs w:val="24"/>
              </w:rPr>
              <w:t xml:space="preserve">§1º  </w:t>
            </w:r>
            <w:r w:rsidRPr="0010524E">
              <w:rPr>
                <w:rFonts w:eastAsia="Times New Roman" w:cstheme="minorHAnsi"/>
                <w:color w:val="000000"/>
                <w:sz w:val="24"/>
                <w:szCs w:val="24"/>
                <w:lang w:eastAsia="pt-BR"/>
              </w:rPr>
              <w:t>A operação pretendida deve estar em conformidade com a política de investimentos dos planos administrados pela EFPC e constar das notas explicativas às demonstrações contábeis.</w:t>
            </w:r>
          </w:p>
        </w:tc>
        <w:tc>
          <w:tcPr>
            <w:tcW w:w="4849" w:type="dxa"/>
          </w:tcPr>
          <w:p w14:paraId="0AB10DA7" w14:textId="6FB29908"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hAnsi="Calibri" w:cstheme="minorHAnsi"/>
                <w:sz w:val="24"/>
                <w:szCs w:val="24"/>
              </w:rPr>
              <w:t xml:space="preserve">§1º  </w:t>
            </w:r>
            <w:r w:rsidRPr="0010524E">
              <w:rPr>
                <w:rFonts w:ascii="Calibri" w:eastAsia="Times New Roman" w:hAnsi="Calibri" w:cstheme="minorHAnsi"/>
                <w:sz w:val="24"/>
                <w:szCs w:val="24"/>
                <w:lang w:eastAsia="pt-BR"/>
              </w:rPr>
              <w:t>A operação pretendida deve estar em conformidade com a política de investimentos dos planos administrados pela EFPC e constar das notas explicativas às demonstrações contábeis.</w:t>
            </w:r>
          </w:p>
        </w:tc>
        <w:tc>
          <w:tcPr>
            <w:tcW w:w="4648" w:type="dxa"/>
          </w:tcPr>
          <w:p w14:paraId="456577A4" w14:textId="77777777" w:rsidR="00E86BE2" w:rsidRPr="0010524E" w:rsidRDefault="00E86BE2" w:rsidP="00E86BE2">
            <w:pPr>
              <w:spacing w:after="120"/>
              <w:rPr>
                <w:rFonts w:eastAsia="Times New Roman" w:cstheme="minorHAnsi"/>
                <w:color w:val="000000"/>
                <w:sz w:val="24"/>
                <w:szCs w:val="24"/>
                <w:lang w:eastAsia="pt-BR"/>
              </w:rPr>
            </w:pPr>
          </w:p>
        </w:tc>
      </w:tr>
      <w:tr w:rsidR="00E86BE2" w:rsidRPr="0010524E" w14:paraId="3CF468A5" w14:textId="110DC6E6" w:rsidTr="00E86BE2">
        <w:tc>
          <w:tcPr>
            <w:tcW w:w="4815" w:type="dxa"/>
          </w:tcPr>
          <w:p w14:paraId="329A175E"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cstheme="minorHAnsi"/>
                <w:sz w:val="24"/>
                <w:szCs w:val="24"/>
              </w:rPr>
              <w:t>§2º</w:t>
            </w:r>
            <w:r w:rsidRPr="0010524E">
              <w:rPr>
                <w:rFonts w:eastAsia="Times New Roman" w:cstheme="minorHAnsi"/>
                <w:color w:val="000000"/>
                <w:sz w:val="24"/>
                <w:szCs w:val="24"/>
                <w:lang w:eastAsia="pt-BR"/>
              </w:rPr>
              <w:t xml:space="preserve">  Para efeito desta Instrução, equiparam-se às operações de negociação privada com ações de que trata o </w:t>
            </w:r>
            <w:r w:rsidRPr="0010524E">
              <w:rPr>
                <w:rFonts w:eastAsia="Times New Roman" w:cstheme="minorHAnsi"/>
                <w:b/>
                <w:color w:val="000000"/>
                <w:sz w:val="24"/>
                <w:szCs w:val="24"/>
                <w:lang w:eastAsia="pt-BR"/>
              </w:rPr>
              <w:t>caput</w:t>
            </w:r>
            <w:r w:rsidRPr="0010524E">
              <w:rPr>
                <w:rFonts w:eastAsia="Times New Roman" w:cstheme="minorHAnsi"/>
                <w:color w:val="000000"/>
                <w:sz w:val="24"/>
                <w:szCs w:val="24"/>
                <w:lang w:eastAsia="pt-BR"/>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tc>
        <w:tc>
          <w:tcPr>
            <w:tcW w:w="4849" w:type="dxa"/>
          </w:tcPr>
          <w:p w14:paraId="5C7F2F7D" w14:textId="3FE0CD28"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hAnsi="Calibri" w:cstheme="minorHAnsi"/>
                <w:sz w:val="24"/>
                <w:szCs w:val="24"/>
              </w:rPr>
              <w:t>§2º</w:t>
            </w:r>
            <w:r w:rsidRPr="0010524E">
              <w:rPr>
                <w:rFonts w:ascii="Calibri" w:eastAsia="Times New Roman" w:hAnsi="Calibri" w:cstheme="minorHAnsi"/>
                <w:sz w:val="24"/>
                <w:szCs w:val="24"/>
                <w:lang w:eastAsia="pt-BR"/>
              </w:rPr>
              <w:t xml:space="preserve">  Para efeito desta Resolução, equiparam-se às operações de negociação privada com ações de que trata o </w:t>
            </w:r>
            <w:r w:rsidRPr="0010524E">
              <w:rPr>
                <w:rFonts w:ascii="Calibri" w:eastAsia="Times New Roman" w:hAnsi="Calibri" w:cstheme="minorHAnsi"/>
                <w:b/>
                <w:sz w:val="24"/>
                <w:szCs w:val="24"/>
                <w:lang w:eastAsia="pt-BR"/>
              </w:rPr>
              <w:t>caput</w:t>
            </w:r>
            <w:r w:rsidRPr="0010524E">
              <w:rPr>
                <w:rFonts w:ascii="Calibri" w:eastAsia="Times New Roman" w:hAnsi="Calibri" w:cstheme="minorHAnsi"/>
                <w:sz w:val="24"/>
                <w:szCs w:val="24"/>
                <w:lang w:eastAsia="pt-BR"/>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tc>
        <w:tc>
          <w:tcPr>
            <w:tcW w:w="4648" w:type="dxa"/>
          </w:tcPr>
          <w:p w14:paraId="164DAD0C" w14:textId="77777777" w:rsidR="00E86BE2" w:rsidRPr="0010524E" w:rsidRDefault="00E86BE2" w:rsidP="00E86BE2">
            <w:pPr>
              <w:spacing w:after="120"/>
              <w:rPr>
                <w:rFonts w:eastAsia="Times New Roman" w:cstheme="minorHAnsi"/>
                <w:color w:val="000000"/>
                <w:sz w:val="24"/>
                <w:szCs w:val="24"/>
                <w:lang w:eastAsia="pt-BR"/>
              </w:rPr>
            </w:pPr>
          </w:p>
        </w:tc>
      </w:tr>
      <w:tr w:rsidR="00E86BE2" w:rsidRPr="0010524E" w14:paraId="3FE07258" w14:textId="4773D857" w:rsidTr="00E86BE2">
        <w:tc>
          <w:tcPr>
            <w:tcW w:w="4815" w:type="dxa"/>
          </w:tcPr>
          <w:p w14:paraId="075F6021"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cstheme="minorHAnsi"/>
                <w:sz w:val="24"/>
                <w:szCs w:val="24"/>
              </w:rPr>
              <w:t xml:space="preserve">§3º  </w:t>
            </w:r>
            <w:r w:rsidRPr="0010524E">
              <w:rPr>
                <w:rFonts w:eastAsia="Times New Roman" w:cstheme="minorHAnsi"/>
                <w:color w:val="000000"/>
                <w:sz w:val="24"/>
                <w:szCs w:val="24"/>
                <w:lang w:eastAsia="pt-BR"/>
              </w:rPr>
              <w:t xml:space="preserve">O estudo técnico e a documentação necessária sobre a operação pretendida </w:t>
            </w:r>
            <w:r w:rsidRPr="0010524E">
              <w:rPr>
                <w:rFonts w:cstheme="minorHAnsi"/>
                <w:sz w:val="24"/>
                <w:szCs w:val="24"/>
              </w:rPr>
              <w:t>deve ser</w:t>
            </w:r>
            <w:r w:rsidRPr="0010524E">
              <w:rPr>
                <w:rFonts w:cstheme="minorHAnsi"/>
                <w:b/>
                <w:sz w:val="24"/>
                <w:szCs w:val="24"/>
              </w:rPr>
              <w:t xml:space="preserve"> </w:t>
            </w:r>
            <w:r w:rsidRPr="0010524E">
              <w:rPr>
                <w:rFonts w:cstheme="minorHAnsi"/>
                <w:sz w:val="24"/>
                <w:szCs w:val="24"/>
              </w:rPr>
              <w:t>realizada conforme Portaria Difis</w:t>
            </w:r>
            <w:r w:rsidRPr="0010524E">
              <w:rPr>
                <w:rFonts w:eastAsia="Times New Roman" w:cstheme="minorHAnsi"/>
                <w:color w:val="000000"/>
                <w:sz w:val="24"/>
                <w:szCs w:val="24"/>
                <w:lang w:eastAsia="pt-BR"/>
              </w:rPr>
              <w:t>.</w:t>
            </w:r>
          </w:p>
        </w:tc>
        <w:tc>
          <w:tcPr>
            <w:tcW w:w="4849" w:type="dxa"/>
          </w:tcPr>
          <w:p w14:paraId="70F791D3" w14:textId="50B2061A" w:rsidR="00E86BE2" w:rsidRPr="0010524E" w:rsidRDefault="00E86BE2" w:rsidP="00E86BE2">
            <w:pPr>
              <w:spacing w:after="120"/>
              <w:jc w:val="both"/>
              <w:rPr>
                <w:rFonts w:ascii="Calibri" w:hAnsi="Calibri" w:cstheme="minorHAnsi"/>
                <w:sz w:val="24"/>
                <w:szCs w:val="24"/>
              </w:rPr>
            </w:pPr>
            <w:r w:rsidRPr="0010524E">
              <w:rPr>
                <w:rFonts w:ascii="Calibri" w:hAnsi="Calibri"/>
                <w:sz w:val="24"/>
                <w:szCs w:val="24"/>
              </w:rPr>
              <w:t xml:space="preserve">§3º  </w:t>
            </w:r>
            <w:r w:rsidRPr="0010524E">
              <w:rPr>
                <w:rFonts w:ascii="Calibri" w:eastAsia="Times New Roman" w:hAnsi="Calibri"/>
                <w:sz w:val="24"/>
                <w:szCs w:val="24"/>
                <w:lang w:eastAsia="pt-BR"/>
              </w:rPr>
              <w:t xml:space="preserve">O estudo técnico e a documentação necessária sobre a operação pretendida </w:t>
            </w:r>
            <w:r w:rsidRPr="0010524E">
              <w:rPr>
                <w:rFonts w:ascii="Calibri" w:hAnsi="Calibri"/>
                <w:sz w:val="24"/>
                <w:szCs w:val="24"/>
              </w:rPr>
              <w:t>deve ser</w:t>
            </w:r>
            <w:r w:rsidRPr="0010524E">
              <w:rPr>
                <w:rFonts w:ascii="Calibri" w:hAnsi="Calibri"/>
                <w:b/>
                <w:bCs/>
                <w:sz w:val="24"/>
                <w:szCs w:val="24"/>
              </w:rPr>
              <w:t xml:space="preserve"> </w:t>
            </w:r>
            <w:r w:rsidRPr="0010524E">
              <w:rPr>
                <w:rFonts w:ascii="Calibri" w:hAnsi="Calibri"/>
                <w:sz w:val="24"/>
                <w:szCs w:val="24"/>
              </w:rPr>
              <w:t>realizada conforme Portaria da Diretoria de Normas.</w:t>
            </w:r>
          </w:p>
        </w:tc>
        <w:tc>
          <w:tcPr>
            <w:tcW w:w="4648" w:type="dxa"/>
          </w:tcPr>
          <w:p w14:paraId="64A24290" w14:textId="77777777" w:rsidR="00E86BE2" w:rsidRPr="0010524E" w:rsidRDefault="00E86BE2" w:rsidP="00E86BE2">
            <w:pPr>
              <w:spacing w:after="120"/>
              <w:rPr>
                <w:rFonts w:cstheme="minorHAnsi"/>
                <w:sz w:val="24"/>
                <w:szCs w:val="24"/>
              </w:rPr>
            </w:pPr>
            <w:r w:rsidRPr="0010524E">
              <w:rPr>
                <w:rFonts w:cstheme="minorHAnsi"/>
                <w:sz w:val="24"/>
                <w:szCs w:val="24"/>
              </w:rPr>
              <w:t>Alteração da Diretoria responsável pela edição na norma complementar.</w:t>
            </w:r>
          </w:p>
        </w:tc>
      </w:tr>
      <w:tr w:rsidR="00E86BE2" w:rsidRPr="0010524E" w14:paraId="564371B8" w14:textId="15D47CDF" w:rsidTr="00E86BE2">
        <w:tc>
          <w:tcPr>
            <w:tcW w:w="4815" w:type="dxa"/>
          </w:tcPr>
          <w:p w14:paraId="208F6041" w14:textId="77777777" w:rsidR="00E86BE2" w:rsidRPr="0010524E" w:rsidRDefault="00E86BE2" w:rsidP="00E86BE2">
            <w:pPr>
              <w:spacing w:after="120"/>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CAPÍTULO VII</w:t>
            </w:r>
          </w:p>
        </w:tc>
        <w:tc>
          <w:tcPr>
            <w:tcW w:w="4849" w:type="dxa"/>
          </w:tcPr>
          <w:p w14:paraId="376C5FA0" w14:textId="77777777" w:rsidR="00E86BE2" w:rsidRPr="0010524E" w:rsidRDefault="00E86BE2" w:rsidP="00E86BE2">
            <w:pPr>
              <w:adjustRightInd w:val="0"/>
              <w:spacing w:after="120"/>
              <w:jc w:val="center"/>
              <w:rPr>
                <w:rFonts w:ascii="Calibri" w:eastAsia="Times New Roman" w:hAnsi="Calibri" w:cs="Calibri"/>
                <w:b/>
                <w:sz w:val="24"/>
                <w:szCs w:val="24"/>
                <w:lang w:eastAsia="pt-BR"/>
              </w:rPr>
            </w:pPr>
          </w:p>
        </w:tc>
        <w:tc>
          <w:tcPr>
            <w:tcW w:w="4648" w:type="dxa"/>
          </w:tcPr>
          <w:p w14:paraId="539D57F0" w14:textId="77777777" w:rsidR="00E86BE2" w:rsidRPr="0010524E" w:rsidRDefault="00E86BE2" w:rsidP="00E86BE2">
            <w:pPr>
              <w:spacing w:after="120"/>
              <w:rPr>
                <w:rFonts w:cstheme="minorHAnsi"/>
                <w:sz w:val="24"/>
                <w:szCs w:val="24"/>
              </w:rPr>
            </w:pPr>
          </w:p>
        </w:tc>
      </w:tr>
      <w:tr w:rsidR="00E86BE2" w:rsidRPr="0010524E" w14:paraId="51F92154" w14:textId="5AF22C5D" w:rsidTr="00E86BE2">
        <w:tc>
          <w:tcPr>
            <w:tcW w:w="4815" w:type="dxa"/>
          </w:tcPr>
          <w:p w14:paraId="746E9062" w14:textId="77777777" w:rsidR="00E86BE2" w:rsidRPr="0010524E" w:rsidRDefault="00E86BE2" w:rsidP="00E86BE2">
            <w:pPr>
              <w:spacing w:after="120"/>
              <w:jc w:val="center"/>
              <w:rPr>
                <w:rFonts w:eastAsia="Times New Roman" w:cstheme="minorHAnsi"/>
                <w:color w:val="000000"/>
                <w:sz w:val="24"/>
                <w:szCs w:val="24"/>
                <w:lang w:eastAsia="pt-BR"/>
              </w:rPr>
            </w:pPr>
            <w:r w:rsidRPr="0010524E">
              <w:rPr>
                <w:rFonts w:eastAsia="Times New Roman" w:cstheme="minorHAnsi"/>
                <w:color w:val="000000"/>
                <w:sz w:val="24"/>
                <w:szCs w:val="24"/>
                <w:lang w:eastAsia="pt-BR"/>
              </w:rPr>
              <w:t>DAS DISPOSIÇÕES FINAIS</w:t>
            </w:r>
          </w:p>
        </w:tc>
        <w:tc>
          <w:tcPr>
            <w:tcW w:w="4849" w:type="dxa"/>
          </w:tcPr>
          <w:p w14:paraId="50A5F90F" w14:textId="77777777" w:rsidR="00E86BE2" w:rsidRPr="0010524E" w:rsidRDefault="00E86BE2" w:rsidP="00E86BE2">
            <w:pPr>
              <w:spacing w:after="120"/>
              <w:jc w:val="center"/>
              <w:rPr>
                <w:rFonts w:cstheme="minorHAnsi"/>
                <w:sz w:val="24"/>
                <w:szCs w:val="24"/>
              </w:rPr>
            </w:pPr>
          </w:p>
        </w:tc>
        <w:tc>
          <w:tcPr>
            <w:tcW w:w="4648" w:type="dxa"/>
          </w:tcPr>
          <w:p w14:paraId="0A509F3A" w14:textId="77777777" w:rsidR="00E86BE2" w:rsidRPr="0010524E" w:rsidRDefault="00E86BE2" w:rsidP="00E86BE2">
            <w:pPr>
              <w:spacing w:after="120"/>
              <w:rPr>
                <w:rFonts w:cstheme="minorHAnsi"/>
                <w:sz w:val="24"/>
                <w:szCs w:val="24"/>
              </w:rPr>
            </w:pPr>
          </w:p>
        </w:tc>
      </w:tr>
      <w:tr w:rsidR="00E86BE2" w:rsidRPr="0010524E" w14:paraId="2E10B061" w14:textId="788C4C4C" w:rsidTr="00E86BE2">
        <w:tc>
          <w:tcPr>
            <w:tcW w:w="4815" w:type="dxa"/>
          </w:tcPr>
          <w:p w14:paraId="5D806244"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sz w:val="24"/>
                <w:szCs w:val="24"/>
                <w:lang w:eastAsia="pt-BR"/>
              </w:rPr>
              <w:t xml:space="preserve">Art. 15.  </w:t>
            </w:r>
            <w:r w:rsidRPr="0010524E">
              <w:rPr>
                <w:rFonts w:cstheme="minorHAnsi"/>
                <w:sz w:val="24"/>
                <w:szCs w:val="24"/>
              </w:rPr>
              <w:t xml:space="preserve">Esta instrução não se aplica aos planos de assistência à saúde a que se refere o art. 76 da Lei Complementar nº 109, de 29 de maio de </w:t>
            </w:r>
            <w:r w:rsidRPr="0010524E">
              <w:rPr>
                <w:rFonts w:cstheme="minorHAnsi"/>
                <w:sz w:val="24"/>
                <w:szCs w:val="24"/>
              </w:rPr>
              <w:lastRenderedPageBreak/>
              <w:t>2001, registrados na Agência Nacional de Saúde Suplementar (ANS).</w:t>
            </w:r>
          </w:p>
        </w:tc>
        <w:tc>
          <w:tcPr>
            <w:tcW w:w="4849" w:type="dxa"/>
          </w:tcPr>
          <w:p w14:paraId="2146A0DF" w14:textId="77777777" w:rsidR="00E86BE2" w:rsidRPr="0010524E" w:rsidRDefault="00E86BE2" w:rsidP="00E86BE2">
            <w:pPr>
              <w:spacing w:after="120"/>
              <w:jc w:val="both"/>
              <w:rPr>
                <w:rFonts w:eastAsia="Times New Roman" w:cstheme="minorHAnsi"/>
                <w:color w:val="000000"/>
                <w:sz w:val="24"/>
                <w:szCs w:val="24"/>
                <w:lang w:eastAsia="pt-BR"/>
              </w:rPr>
            </w:pPr>
          </w:p>
        </w:tc>
        <w:tc>
          <w:tcPr>
            <w:tcW w:w="4648" w:type="dxa"/>
          </w:tcPr>
          <w:p w14:paraId="2D966082" w14:textId="77777777" w:rsidR="00E86BE2" w:rsidRPr="0010524E" w:rsidRDefault="00E86BE2" w:rsidP="00E86BE2">
            <w:pPr>
              <w:spacing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 xml:space="preserve">Realocado para </w:t>
            </w:r>
          </w:p>
          <w:p w14:paraId="7D01185D" w14:textId="77777777" w:rsidR="00E86BE2" w:rsidRPr="0010524E" w:rsidRDefault="00E86BE2" w:rsidP="00E86BE2">
            <w:pPr>
              <w:spacing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lastRenderedPageBreak/>
              <w:t>as disposições gerais por se tratar de artigo comum.</w:t>
            </w:r>
          </w:p>
        </w:tc>
      </w:tr>
      <w:tr w:rsidR="00E86BE2" w:rsidRPr="0010524E" w14:paraId="0F4EC8C8" w14:textId="7E4B93C2" w:rsidTr="00E86BE2">
        <w:tc>
          <w:tcPr>
            <w:tcW w:w="4815" w:type="dxa"/>
          </w:tcPr>
          <w:p w14:paraId="514B582C"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sz w:val="24"/>
                <w:szCs w:val="24"/>
                <w:lang w:eastAsia="pt-BR"/>
              </w:rPr>
              <w:lastRenderedPageBreak/>
              <w:t>Art. 16.  Ficam revogados:</w:t>
            </w:r>
          </w:p>
        </w:tc>
        <w:tc>
          <w:tcPr>
            <w:tcW w:w="4849" w:type="dxa"/>
          </w:tcPr>
          <w:p w14:paraId="52826F24" w14:textId="77777777" w:rsidR="00E86BE2" w:rsidRPr="0010524E" w:rsidRDefault="00E86BE2" w:rsidP="00E86BE2">
            <w:pPr>
              <w:spacing w:after="120"/>
              <w:jc w:val="both"/>
              <w:rPr>
                <w:rFonts w:eastAsia="Times New Roman" w:cstheme="minorHAnsi"/>
                <w:color w:val="000000"/>
                <w:sz w:val="24"/>
                <w:szCs w:val="24"/>
                <w:lang w:eastAsia="pt-BR"/>
              </w:rPr>
            </w:pPr>
          </w:p>
        </w:tc>
        <w:tc>
          <w:tcPr>
            <w:tcW w:w="4648" w:type="dxa"/>
          </w:tcPr>
          <w:p w14:paraId="70EEAC24" w14:textId="77777777" w:rsidR="00E86BE2" w:rsidRPr="0010524E" w:rsidRDefault="00E86BE2" w:rsidP="00E86BE2">
            <w:pPr>
              <w:spacing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Excluído</w:t>
            </w:r>
          </w:p>
        </w:tc>
      </w:tr>
      <w:tr w:rsidR="00E86BE2" w:rsidRPr="0010524E" w14:paraId="71EB18D1" w14:textId="5B2C6C32" w:rsidTr="00E86BE2">
        <w:tc>
          <w:tcPr>
            <w:tcW w:w="4815" w:type="dxa"/>
          </w:tcPr>
          <w:p w14:paraId="5C79631E"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sz w:val="24"/>
                <w:szCs w:val="24"/>
                <w:lang w:eastAsia="pt-BR"/>
              </w:rPr>
              <w:t xml:space="preserve">I - a </w:t>
            </w:r>
            <w:r w:rsidRPr="0010524E">
              <w:rPr>
                <w:rFonts w:eastAsia="Times New Roman" w:cstheme="minorHAnsi"/>
                <w:color w:val="000000"/>
                <w:sz w:val="24"/>
                <w:szCs w:val="24"/>
                <w:lang w:eastAsia="pt-BR"/>
              </w:rPr>
              <w:t>Instrução Normativa SPC nº 2, de 23 de abril de 2004; e</w:t>
            </w:r>
          </w:p>
        </w:tc>
        <w:tc>
          <w:tcPr>
            <w:tcW w:w="4849" w:type="dxa"/>
          </w:tcPr>
          <w:p w14:paraId="37DC5429" w14:textId="77777777" w:rsidR="00E86BE2" w:rsidRPr="0010524E" w:rsidRDefault="00E86BE2" w:rsidP="00E86BE2">
            <w:pPr>
              <w:spacing w:after="120"/>
              <w:jc w:val="center"/>
              <w:rPr>
                <w:rFonts w:eastAsia="Times New Roman" w:cstheme="minorHAnsi"/>
                <w:color w:val="000000"/>
                <w:sz w:val="24"/>
                <w:szCs w:val="24"/>
                <w:lang w:eastAsia="pt-BR"/>
              </w:rPr>
            </w:pPr>
          </w:p>
        </w:tc>
        <w:tc>
          <w:tcPr>
            <w:tcW w:w="4648" w:type="dxa"/>
          </w:tcPr>
          <w:p w14:paraId="1A956FB4" w14:textId="77777777" w:rsidR="00E86BE2" w:rsidRPr="0010524E" w:rsidRDefault="00E86BE2" w:rsidP="00E86BE2">
            <w:pPr>
              <w:spacing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Excluído</w:t>
            </w:r>
          </w:p>
        </w:tc>
      </w:tr>
      <w:tr w:rsidR="00E86BE2" w:rsidRPr="0010524E" w14:paraId="766014DA" w14:textId="6B4BE579" w:rsidTr="00E86BE2">
        <w:tc>
          <w:tcPr>
            <w:tcW w:w="4815" w:type="dxa"/>
          </w:tcPr>
          <w:p w14:paraId="6323EE41"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sz w:val="24"/>
                <w:szCs w:val="24"/>
                <w:lang w:eastAsia="pt-BR"/>
              </w:rPr>
              <w:t xml:space="preserve">II - a </w:t>
            </w:r>
            <w:r w:rsidRPr="0010524E">
              <w:rPr>
                <w:rFonts w:eastAsia="Times New Roman" w:cstheme="minorHAnsi"/>
                <w:color w:val="000000"/>
                <w:sz w:val="24"/>
                <w:szCs w:val="24"/>
                <w:lang w:eastAsia="pt-BR"/>
              </w:rPr>
              <w:t>Instrução Normativa Previc nº 6, de 14 de novembro de 2018.</w:t>
            </w:r>
          </w:p>
        </w:tc>
        <w:tc>
          <w:tcPr>
            <w:tcW w:w="4849" w:type="dxa"/>
          </w:tcPr>
          <w:p w14:paraId="747815D7" w14:textId="77777777" w:rsidR="00E86BE2" w:rsidRPr="0010524E" w:rsidRDefault="00E86BE2" w:rsidP="00E86BE2">
            <w:pPr>
              <w:spacing w:after="120"/>
              <w:jc w:val="both"/>
              <w:rPr>
                <w:rFonts w:eastAsia="Times New Roman" w:cstheme="minorHAnsi"/>
                <w:sz w:val="24"/>
                <w:szCs w:val="24"/>
                <w:lang w:eastAsia="pt-BR"/>
              </w:rPr>
            </w:pPr>
          </w:p>
        </w:tc>
        <w:tc>
          <w:tcPr>
            <w:tcW w:w="4648" w:type="dxa"/>
          </w:tcPr>
          <w:p w14:paraId="3DEADE54" w14:textId="77777777" w:rsidR="00E86BE2" w:rsidRPr="0010524E" w:rsidRDefault="00E86BE2" w:rsidP="00E86BE2">
            <w:pPr>
              <w:spacing w:after="120"/>
              <w:rPr>
                <w:rFonts w:eastAsia="Times New Roman" w:cstheme="minorHAnsi"/>
                <w:sz w:val="24"/>
                <w:szCs w:val="24"/>
                <w:lang w:eastAsia="pt-BR"/>
              </w:rPr>
            </w:pPr>
            <w:r w:rsidRPr="0010524E">
              <w:rPr>
                <w:rFonts w:eastAsia="Times New Roman" w:cstheme="minorHAnsi"/>
                <w:color w:val="000000"/>
                <w:sz w:val="24"/>
                <w:szCs w:val="24"/>
                <w:lang w:eastAsia="pt-BR"/>
              </w:rPr>
              <w:t>Excluído</w:t>
            </w:r>
          </w:p>
        </w:tc>
      </w:tr>
      <w:tr w:rsidR="00E86BE2" w:rsidRPr="0010524E" w14:paraId="46A12C64" w14:textId="351C08D2" w:rsidTr="00E86BE2">
        <w:tc>
          <w:tcPr>
            <w:tcW w:w="4815" w:type="dxa"/>
          </w:tcPr>
          <w:p w14:paraId="5F0CF551"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Art. 17.  Esta Instrução entra em vigor em 1º de janeiro de 2021.</w:t>
            </w:r>
          </w:p>
        </w:tc>
        <w:tc>
          <w:tcPr>
            <w:tcW w:w="4849" w:type="dxa"/>
          </w:tcPr>
          <w:p w14:paraId="0F2C03AA" w14:textId="77777777" w:rsidR="00E86BE2" w:rsidRPr="0010524E" w:rsidRDefault="00E86BE2" w:rsidP="00E86BE2">
            <w:pPr>
              <w:spacing w:after="120"/>
              <w:jc w:val="both"/>
              <w:rPr>
                <w:rFonts w:eastAsia="Times New Roman" w:cstheme="minorHAnsi"/>
                <w:sz w:val="24"/>
                <w:szCs w:val="24"/>
                <w:lang w:eastAsia="pt-BR"/>
              </w:rPr>
            </w:pPr>
          </w:p>
        </w:tc>
        <w:tc>
          <w:tcPr>
            <w:tcW w:w="4648" w:type="dxa"/>
          </w:tcPr>
          <w:p w14:paraId="26953F11" w14:textId="77777777" w:rsidR="00E86BE2" w:rsidRPr="0010524E" w:rsidRDefault="00E86BE2" w:rsidP="00E86BE2">
            <w:pPr>
              <w:spacing w:after="120"/>
              <w:rPr>
                <w:rFonts w:eastAsia="Times New Roman" w:cstheme="minorHAnsi"/>
                <w:sz w:val="24"/>
                <w:szCs w:val="24"/>
                <w:lang w:eastAsia="pt-BR"/>
              </w:rPr>
            </w:pPr>
            <w:r w:rsidRPr="0010524E">
              <w:rPr>
                <w:rFonts w:eastAsia="Times New Roman" w:cstheme="minorHAnsi"/>
                <w:color w:val="000000"/>
                <w:sz w:val="24"/>
                <w:szCs w:val="24"/>
                <w:lang w:eastAsia="pt-BR"/>
              </w:rPr>
              <w:t>Excluído</w:t>
            </w:r>
          </w:p>
        </w:tc>
      </w:tr>
      <w:tr w:rsidR="00E86BE2" w:rsidRPr="0010524E" w14:paraId="4CE02802" w14:textId="676DA1C2" w:rsidTr="00E86BE2">
        <w:tc>
          <w:tcPr>
            <w:tcW w:w="4815" w:type="dxa"/>
          </w:tcPr>
          <w:p w14:paraId="3030E187"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ascii="Calibri" w:hAnsi="Calibri" w:cs="Calibri"/>
                <w:b/>
                <w:bCs/>
                <w:color w:val="000000"/>
                <w:sz w:val="24"/>
                <w:szCs w:val="24"/>
              </w:rPr>
              <w:t>Instrução Previc nº 12, de 21 de janeiro de 2019</w:t>
            </w:r>
          </w:p>
        </w:tc>
        <w:tc>
          <w:tcPr>
            <w:tcW w:w="4849" w:type="dxa"/>
          </w:tcPr>
          <w:p w14:paraId="5E48D2C8" w14:textId="77777777" w:rsidR="00E86BE2" w:rsidRPr="0010524E" w:rsidRDefault="00E86BE2" w:rsidP="00E86BE2">
            <w:pPr>
              <w:spacing w:after="120"/>
              <w:jc w:val="both"/>
              <w:rPr>
                <w:rFonts w:eastAsia="Times New Roman" w:cstheme="minorHAnsi"/>
                <w:sz w:val="24"/>
                <w:szCs w:val="24"/>
                <w:lang w:eastAsia="pt-BR"/>
              </w:rPr>
            </w:pPr>
          </w:p>
        </w:tc>
        <w:tc>
          <w:tcPr>
            <w:tcW w:w="4648" w:type="dxa"/>
          </w:tcPr>
          <w:p w14:paraId="2ACB1B39" w14:textId="77777777" w:rsidR="00E86BE2" w:rsidRPr="0010524E" w:rsidRDefault="00E86BE2" w:rsidP="00E86BE2">
            <w:pPr>
              <w:spacing w:after="120"/>
              <w:rPr>
                <w:rFonts w:eastAsia="Times New Roman" w:cstheme="minorHAnsi"/>
                <w:sz w:val="24"/>
                <w:szCs w:val="24"/>
                <w:lang w:eastAsia="pt-BR"/>
              </w:rPr>
            </w:pPr>
          </w:p>
        </w:tc>
      </w:tr>
      <w:tr w:rsidR="00E86BE2" w:rsidRPr="0010524E" w14:paraId="51DD3D7D" w14:textId="77777777" w:rsidTr="00E86BE2">
        <w:tc>
          <w:tcPr>
            <w:tcW w:w="4815" w:type="dxa"/>
          </w:tcPr>
          <w:p w14:paraId="7CC44BCB" w14:textId="4D25FE52" w:rsidR="00E86BE2" w:rsidRPr="0010524E" w:rsidRDefault="00E86BE2" w:rsidP="00E86BE2">
            <w:pPr>
              <w:spacing w:after="120"/>
              <w:jc w:val="both"/>
              <w:rPr>
                <w:rFonts w:eastAsia="Times New Roman" w:cstheme="minorHAnsi"/>
                <w:color w:val="000000"/>
                <w:sz w:val="24"/>
                <w:szCs w:val="24"/>
                <w:lang w:eastAsia="pt-BR"/>
              </w:rPr>
            </w:pPr>
            <w:r>
              <w:t>Dispõe sobre os procedimentos para as entidades fechadas de previdência complementar (EFPC) para seleção e monitoramento de prestadores de serviço de administração de carteiras de valores mobiliário e de fundo de investimento, e dá outras providências.</w:t>
            </w:r>
          </w:p>
        </w:tc>
        <w:tc>
          <w:tcPr>
            <w:tcW w:w="4849" w:type="dxa"/>
          </w:tcPr>
          <w:p w14:paraId="119C96B9" w14:textId="77777777" w:rsidR="00E86BE2" w:rsidRPr="0010524E" w:rsidRDefault="00E86BE2" w:rsidP="00E86BE2">
            <w:pPr>
              <w:spacing w:after="120"/>
              <w:jc w:val="center"/>
              <w:rPr>
                <w:rFonts w:ascii="Calibri" w:eastAsia="Times New Roman" w:hAnsi="Calibri" w:cs="Calibri"/>
                <w:b/>
                <w:sz w:val="24"/>
                <w:szCs w:val="24"/>
                <w:lang w:eastAsia="pt-BR"/>
              </w:rPr>
            </w:pPr>
          </w:p>
        </w:tc>
        <w:tc>
          <w:tcPr>
            <w:tcW w:w="4648" w:type="dxa"/>
          </w:tcPr>
          <w:p w14:paraId="3F4EE0F1" w14:textId="77777777" w:rsidR="00E86BE2" w:rsidRPr="0010524E" w:rsidRDefault="00E86BE2" w:rsidP="00E86BE2">
            <w:pPr>
              <w:spacing w:after="120"/>
              <w:rPr>
                <w:rFonts w:eastAsia="Times New Roman" w:cstheme="minorHAnsi"/>
                <w:color w:val="000000"/>
                <w:sz w:val="24"/>
                <w:szCs w:val="24"/>
                <w:lang w:eastAsia="pt-BR"/>
              </w:rPr>
            </w:pPr>
          </w:p>
        </w:tc>
      </w:tr>
      <w:tr w:rsidR="00E86BE2" w:rsidRPr="0010524E" w14:paraId="366A3E06" w14:textId="79DB5119" w:rsidTr="00E86BE2">
        <w:tc>
          <w:tcPr>
            <w:tcW w:w="4815" w:type="dxa"/>
          </w:tcPr>
          <w:p w14:paraId="4E6BA772" w14:textId="77777777" w:rsidR="00E86BE2" w:rsidRPr="0010524E" w:rsidRDefault="00E86BE2" w:rsidP="00E86BE2">
            <w:pPr>
              <w:spacing w:after="120"/>
              <w:jc w:val="both"/>
              <w:rPr>
                <w:rFonts w:eastAsia="Times New Roman" w:cstheme="minorHAnsi"/>
                <w:color w:val="000000"/>
                <w:sz w:val="24"/>
                <w:szCs w:val="24"/>
                <w:lang w:eastAsia="pt-BR"/>
              </w:rPr>
            </w:pPr>
          </w:p>
        </w:tc>
        <w:tc>
          <w:tcPr>
            <w:tcW w:w="4849" w:type="dxa"/>
          </w:tcPr>
          <w:p w14:paraId="7ACE6106" w14:textId="77777777" w:rsidR="00E86BE2" w:rsidRDefault="00E86BE2" w:rsidP="00E86BE2">
            <w:pPr>
              <w:jc w:val="center"/>
              <w:rPr>
                <w:rFonts w:ascii="Calibri" w:eastAsia="Times New Roman" w:hAnsi="Calibri" w:cs="Calibri"/>
                <w:b/>
                <w:sz w:val="24"/>
                <w:szCs w:val="24"/>
                <w:lang w:eastAsia="pt-BR"/>
              </w:rPr>
            </w:pPr>
            <w:r w:rsidRPr="0010524E">
              <w:rPr>
                <w:rFonts w:ascii="Calibri" w:eastAsia="Times New Roman" w:hAnsi="Calibri" w:cs="Calibri"/>
                <w:b/>
                <w:sz w:val="24"/>
                <w:szCs w:val="24"/>
                <w:lang w:eastAsia="pt-BR"/>
              </w:rPr>
              <w:t>Seção V</w:t>
            </w:r>
          </w:p>
          <w:p w14:paraId="1303AEA3" w14:textId="614834F4" w:rsidR="00E86BE2" w:rsidRPr="0010524E" w:rsidRDefault="00E86BE2" w:rsidP="00E86BE2">
            <w:pPr>
              <w:jc w:val="center"/>
              <w:rPr>
                <w:rFonts w:eastAsia="Times New Roman" w:cstheme="minorHAnsi"/>
                <w:sz w:val="24"/>
                <w:szCs w:val="24"/>
                <w:lang w:eastAsia="pt-BR"/>
              </w:rPr>
            </w:pPr>
            <w:r>
              <w:rPr>
                <w:rFonts w:ascii="Calibri" w:eastAsia="Times New Roman" w:hAnsi="Calibri" w:cstheme="minorHAnsi"/>
                <w:b/>
                <w:color w:val="000000"/>
                <w:sz w:val="24"/>
                <w:szCs w:val="24"/>
                <w:lang w:eastAsia="pt-BR"/>
              </w:rPr>
              <w:t>S</w:t>
            </w:r>
            <w:r w:rsidRPr="0010524E">
              <w:rPr>
                <w:rFonts w:ascii="Calibri" w:eastAsia="Times New Roman" w:hAnsi="Calibri" w:cstheme="minorHAnsi"/>
                <w:b/>
                <w:color w:val="000000"/>
                <w:sz w:val="24"/>
                <w:szCs w:val="24"/>
                <w:lang w:eastAsia="pt-BR"/>
              </w:rPr>
              <w:t>eleção e monitoramento de prestadores de serviço de administração de carteiras de valores mobiliários e de fundos de investimento</w:t>
            </w:r>
          </w:p>
        </w:tc>
        <w:tc>
          <w:tcPr>
            <w:tcW w:w="4648" w:type="dxa"/>
          </w:tcPr>
          <w:p w14:paraId="0F4F5E1D" w14:textId="77777777" w:rsidR="00E86BE2" w:rsidRPr="0010524E" w:rsidRDefault="00E86BE2" w:rsidP="00E86BE2">
            <w:pPr>
              <w:spacing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Renumerada.</w:t>
            </w:r>
          </w:p>
          <w:p w14:paraId="72DA292B" w14:textId="77777777" w:rsidR="00E86BE2" w:rsidRPr="0010524E" w:rsidRDefault="00E86BE2" w:rsidP="00E86BE2">
            <w:pPr>
              <w:spacing w:after="120"/>
              <w:rPr>
                <w:rFonts w:eastAsia="Times New Roman" w:cstheme="minorHAnsi"/>
                <w:sz w:val="24"/>
                <w:szCs w:val="24"/>
                <w:lang w:eastAsia="pt-BR"/>
              </w:rPr>
            </w:pPr>
            <w:r w:rsidRPr="0010524E">
              <w:rPr>
                <w:rFonts w:eastAsia="Times New Roman" w:cstheme="minorHAnsi"/>
                <w:sz w:val="24"/>
                <w:szCs w:val="24"/>
                <w:lang w:eastAsia="pt-BR"/>
              </w:rPr>
              <w:t>Instrução Previc nº 12, de 2019, foi inserida como Seção do Capítulo de Investimentos.</w:t>
            </w:r>
          </w:p>
        </w:tc>
      </w:tr>
      <w:tr w:rsidR="00E86BE2" w:rsidRPr="0010524E" w14:paraId="5ABA8036" w14:textId="6680645F" w:rsidTr="00E86BE2">
        <w:tc>
          <w:tcPr>
            <w:tcW w:w="4815" w:type="dxa"/>
          </w:tcPr>
          <w:p w14:paraId="4FC2C850" w14:textId="77777777" w:rsidR="00E86BE2" w:rsidRPr="0010524E" w:rsidRDefault="00E86BE2" w:rsidP="00E86BE2">
            <w:pPr>
              <w:spacing w:after="120"/>
              <w:jc w:val="both"/>
              <w:rPr>
                <w:rFonts w:ascii="Calibri" w:hAnsi="Calibri" w:cstheme="minorHAnsi"/>
                <w:sz w:val="24"/>
                <w:szCs w:val="24"/>
              </w:rPr>
            </w:pPr>
            <w:r w:rsidRPr="0010524E">
              <w:rPr>
                <w:rFonts w:ascii="Calibri" w:hAnsi="Calibri" w:cstheme="minorHAnsi"/>
                <w:sz w:val="24"/>
                <w:szCs w:val="24"/>
              </w:rPr>
              <w:t xml:space="preserve">Art. 1º  A Entidade Fechada de Previdência Complementar (EFPC) deve observar o disposto nesta Instrução para seleção e monitoramento de prestadores de serviço de administração de </w:t>
            </w:r>
            <w:r w:rsidRPr="0010524E">
              <w:rPr>
                <w:rFonts w:ascii="Calibri" w:hAnsi="Calibri" w:cstheme="minorHAnsi"/>
                <w:sz w:val="24"/>
                <w:szCs w:val="24"/>
              </w:rPr>
              <w:lastRenderedPageBreak/>
              <w:t>carteiras de valores mobiliários e de fundo de investimento.</w:t>
            </w:r>
          </w:p>
        </w:tc>
        <w:tc>
          <w:tcPr>
            <w:tcW w:w="4849" w:type="dxa"/>
          </w:tcPr>
          <w:p w14:paraId="48AFD42B" w14:textId="6375AEB0" w:rsidR="00E86BE2" w:rsidRPr="0010524E" w:rsidRDefault="00E86BE2" w:rsidP="00E86BE2">
            <w:pPr>
              <w:widowControl w:val="0"/>
              <w:autoSpaceDE w:val="0"/>
              <w:autoSpaceDN w:val="0"/>
              <w:adjustRightInd w:val="0"/>
              <w:spacing w:after="120"/>
              <w:jc w:val="both"/>
              <w:rPr>
                <w:rFonts w:eastAsia="Times New Roman" w:cstheme="minorHAnsi"/>
                <w:color w:val="000000"/>
                <w:sz w:val="24"/>
                <w:szCs w:val="24"/>
                <w:lang w:eastAsia="pt-BR"/>
              </w:rPr>
            </w:pPr>
            <w:r w:rsidRPr="0010524E">
              <w:rPr>
                <w:rFonts w:ascii="Calibri" w:eastAsia="Times New Roman" w:hAnsi="Calibri" w:cstheme="minorHAnsi"/>
                <w:sz w:val="24"/>
                <w:szCs w:val="24"/>
                <w:lang w:eastAsia="pt-BR"/>
              </w:rPr>
              <w:lastRenderedPageBreak/>
              <w:t xml:space="preserve">Art. 313.  A EFPC deve observar o disposto nesta Seção para seleção e monitoramento de prestadores de serviço de administração de carteiras de valores mobiliários e de fundo de </w:t>
            </w:r>
            <w:r w:rsidRPr="0010524E">
              <w:rPr>
                <w:rFonts w:ascii="Calibri" w:eastAsia="Times New Roman" w:hAnsi="Calibri" w:cstheme="minorHAnsi"/>
                <w:sz w:val="24"/>
                <w:szCs w:val="24"/>
                <w:lang w:eastAsia="pt-BR"/>
              </w:rPr>
              <w:lastRenderedPageBreak/>
              <w:t xml:space="preserve">investimento. </w:t>
            </w:r>
          </w:p>
        </w:tc>
        <w:tc>
          <w:tcPr>
            <w:tcW w:w="4648" w:type="dxa"/>
          </w:tcPr>
          <w:p w14:paraId="1C6B481F"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lastRenderedPageBreak/>
              <w:t>Renumerado.</w:t>
            </w:r>
          </w:p>
        </w:tc>
      </w:tr>
      <w:tr w:rsidR="00E86BE2" w:rsidRPr="0010524E" w14:paraId="553CFB80" w14:textId="5D9AC50B" w:rsidTr="00E86BE2">
        <w:tc>
          <w:tcPr>
            <w:tcW w:w="4815" w:type="dxa"/>
          </w:tcPr>
          <w:p w14:paraId="3FD5853D" w14:textId="77777777" w:rsidR="00E86BE2" w:rsidRPr="0010524E" w:rsidRDefault="00E86BE2" w:rsidP="00E86BE2">
            <w:pPr>
              <w:pStyle w:val="textojustificado"/>
              <w:spacing w:before="0" w:beforeAutospacing="0" w:after="120" w:afterAutospacing="0"/>
              <w:ind w:left="24" w:right="120"/>
              <w:jc w:val="both"/>
              <w:rPr>
                <w:rFonts w:ascii="Calibri" w:eastAsiaTheme="minorHAnsi" w:hAnsi="Calibri" w:cstheme="minorHAnsi"/>
                <w:lang w:eastAsia="en-US"/>
              </w:rPr>
            </w:pPr>
            <w:r w:rsidRPr="0010524E">
              <w:rPr>
                <w:rFonts w:ascii="Calibri" w:eastAsiaTheme="minorHAnsi" w:hAnsi="Calibri" w:cstheme="minorHAnsi"/>
                <w:lang w:eastAsia="en-US"/>
              </w:rPr>
              <w:t>Parágrafo único.  Para fins do disposto nesta Instrução, considera-se administração de carteiras de valores mobiliários, nas categorias de administrador fiduciário e gestor de recursos, a estabelecida pela Comissão de Valores Mobiliários (CVM).</w:t>
            </w:r>
          </w:p>
        </w:tc>
        <w:tc>
          <w:tcPr>
            <w:tcW w:w="4849" w:type="dxa"/>
          </w:tcPr>
          <w:p w14:paraId="311635E0" w14:textId="34BB7399" w:rsidR="00E86BE2" w:rsidRPr="0010524E" w:rsidRDefault="00E86BE2" w:rsidP="00E86BE2">
            <w:pPr>
              <w:widowControl w:val="0"/>
              <w:autoSpaceDE w:val="0"/>
              <w:autoSpaceDN w:val="0"/>
              <w:adjustRightInd w:val="0"/>
              <w:spacing w:after="120"/>
              <w:jc w:val="both"/>
              <w:rPr>
                <w:rFonts w:eastAsia="Times New Roman" w:cstheme="minorHAnsi"/>
                <w:color w:val="000000"/>
                <w:sz w:val="24"/>
                <w:szCs w:val="24"/>
                <w:lang w:eastAsia="pt-BR"/>
              </w:rPr>
            </w:pPr>
            <w:r w:rsidRPr="0010524E">
              <w:rPr>
                <w:rFonts w:ascii="Calibri" w:eastAsia="Times New Roman" w:hAnsi="Calibri" w:cstheme="minorHAnsi"/>
                <w:sz w:val="24"/>
                <w:szCs w:val="24"/>
                <w:lang w:eastAsia="pt-BR"/>
              </w:rPr>
              <w:t>Parágrafo único.  Para fins do disposto nesta Seção, considera-se administração de carteiras de valores mobiliários, nas categorias de administrador fiduciário e gestor de recursos, a estabelecida pela Comissão de Valores Mobiliários.</w:t>
            </w:r>
          </w:p>
        </w:tc>
        <w:tc>
          <w:tcPr>
            <w:tcW w:w="4648" w:type="dxa"/>
          </w:tcPr>
          <w:p w14:paraId="3C1D907E"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286C6300" w14:textId="6AA10FFB" w:rsidTr="00E86BE2">
        <w:tc>
          <w:tcPr>
            <w:tcW w:w="4815" w:type="dxa"/>
          </w:tcPr>
          <w:p w14:paraId="0F3DB057" w14:textId="77777777" w:rsidR="00E86BE2" w:rsidRPr="0010524E" w:rsidRDefault="00E86BE2" w:rsidP="00E86BE2">
            <w:pPr>
              <w:pStyle w:val="textojustificado"/>
              <w:spacing w:before="0" w:beforeAutospacing="0" w:after="120" w:afterAutospacing="0"/>
              <w:ind w:left="119" w:right="119"/>
              <w:jc w:val="center"/>
              <w:rPr>
                <w:rFonts w:ascii="Calibri" w:hAnsi="Calibri" w:cs="Calibri"/>
                <w:color w:val="000000"/>
              </w:rPr>
            </w:pPr>
            <w:r w:rsidRPr="0010524E">
              <w:rPr>
                <w:rStyle w:val="Forte"/>
                <w:rFonts w:ascii="Calibri" w:hAnsi="Calibri"/>
                <w:color w:val="000000"/>
              </w:rPr>
              <w:t>Seleção de prestador de serviço de administração de carteiras de valores mobiliários</w:t>
            </w:r>
          </w:p>
        </w:tc>
        <w:tc>
          <w:tcPr>
            <w:tcW w:w="4849" w:type="dxa"/>
          </w:tcPr>
          <w:p w14:paraId="4A20897E" w14:textId="5D477991" w:rsidR="00E86BE2" w:rsidRDefault="00E86BE2" w:rsidP="00E86BE2">
            <w:pPr>
              <w:pStyle w:val="textojustificado"/>
              <w:spacing w:before="0" w:beforeAutospacing="0" w:after="120" w:afterAutospacing="0"/>
              <w:ind w:right="120"/>
              <w:jc w:val="center"/>
              <w:rPr>
                <w:rStyle w:val="Forte"/>
                <w:rFonts w:ascii="Calibri" w:hAnsi="Calibri"/>
                <w:color w:val="000000"/>
              </w:rPr>
            </w:pPr>
            <w:r w:rsidRPr="0010524E">
              <w:rPr>
                <w:rStyle w:val="Forte"/>
                <w:rFonts w:ascii="Calibri" w:hAnsi="Calibri"/>
                <w:color w:val="000000"/>
              </w:rPr>
              <w:t>Subseção I</w:t>
            </w:r>
          </w:p>
          <w:p w14:paraId="4CA2C342" w14:textId="22B663D4" w:rsidR="00E86BE2" w:rsidRPr="0010524E" w:rsidRDefault="00E86BE2" w:rsidP="00E86BE2">
            <w:pPr>
              <w:pStyle w:val="textojustificado"/>
              <w:spacing w:before="0" w:beforeAutospacing="0" w:after="120" w:afterAutospacing="0"/>
              <w:ind w:right="120"/>
              <w:jc w:val="center"/>
              <w:rPr>
                <w:rFonts w:ascii="Calibri" w:hAnsi="Calibri"/>
                <w:color w:val="000000"/>
              </w:rPr>
            </w:pPr>
            <w:r w:rsidRPr="0010524E">
              <w:rPr>
                <w:rStyle w:val="Forte"/>
                <w:rFonts w:ascii="Calibri" w:hAnsi="Calibri"/>
                <w:color w:val="000000"/>
              </w:rPr>
              <w:t>Seleção de prestador de serviço de administração de carteiras de valores mobiliários</w:t>
            </w:r>
          </w:p>
        </w:tc>
        <w:tc>
          <w:tcPr>
            <w:tcW w:w="4648" w:type="dxa"/>
          </w:tcPr>
          <w:p w14:paraId="1B29AA06"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4C3E2D2A" w14:textId="4EB0F607" w:rsidTr="00E86BE2">
        <w:tc>
          <w:tcPr>
            <w:tcW w:w="4815" w:type="dxa"/>
          </w:tcPr>
          <w:p w14:paraId="611EC107" w14:textId="77777777"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color w:val="000000"/>
              </w:rPr>
              <w:t>Art. 2º  A EFPC na seleção de prestadores de serviço de administração de carteiras de valores mobiliários e de gestão de fundo de investimento exclusivo deve, no mínimo:</w:t>
            </w:r>
          </w:p>
        </w:tc>
        <w:tc>
          <w:tcPr>
            <w:tcW w:w="4849" w:type="dxa"/>
          </w:tcPr>
          <w:p w14:paraId="73E01510" w14:textId="370D7033"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Art. 314.  A EFPC na seleção de prestadores de serviço de administração de carteiras de valores mobiliários e de gestão de fundo de investimento exclusivo deve, no mínimo:</w:t>
            </w:r>
          </w:p>
        </w:tc>
        <w:tc>
          <w:tcPr>
            <w:tcW w:w="4648" w:type="dxa"/>
          </w:tcPr>
          <w:p w14:paraId="7694F9C0"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Renumerado.</w:t>
            </w:r>
          </w:p>
        </w:tc>
      </w:tr>
      <w:tr w:rsidR="00E86BE2" w:rsidRPr="0010524E" w14:paraId="610C2035" w14:textId="793145E1" w:rsidTr="00E86BE2">
        <w:tc>
          <w:tcPr>
            <w:tcW w:w="4815" w:type="dxa"/>
          </w:tcPr>
          <w:p w14:paraId="08578C30" w14:textId="77777777"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color w:val="000000"/>
              </w:rPr>
              <w:t>I - estabelecer critérios de seleção que visem à impessoalidade, à concorrência e à transparência;</w:t>
            </w:r>
          </w:p>
        </w:tc>
        <w:tc>
          <w:tcPr>
            <w:tcW w:w="4849" w:type="dxa"/>
          </w:tcPr>
          <w:p w14:paraId="21A9BE71" w14:textId="2E0285EA"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 - estabelecer critérios de seleção que visem à impessoalidade, à concorrência e à transparência;</w:t>
            </w:r>
          </w:p>
        </w:tc>
        <w:tc>
          <w:tcPr>
            <w:tcW w:w="4648" w:type="dxa"/>
          </w:tcPr>
          <w:p w14:paraId="07FBC6F3"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360A3A00" w14:textId="6E244996" w:rsidTr="00E86BE2">
        <w:tc>
          <w:tcPr>
            <w:tcW w:w="4815" w:type="dxa"/>
          </w:tcPr>
          <w:p w14:paraId="293C797B" w14:textId="77777777"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color w:val="000000"/>
              </w:rPr>
              <w:t>II - avaliar se o administrador de carteira de valores mobiliários é devidamente autorizado pela CVM e tem reputação ilibada;</w:t>
            </w:r>
          </w:p>
        </w:tc>
        <w:tc>
          <w:tcPr>
            <w:tcW w:w="4849" w:type="dxa"/>
          </w:tcPr>
          <w:p w14:paraId="100D3090" w14:textId="4B667494"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II - avaliar se o administrador de carteira de valores mobiliários é devidamente autorizado pela Comissão de Valores Mobiliários e tem reputação ilibada;</w:t>
            </w:r>
          </w:p>
        </w:tc>
        <w:tc>
          <w:tcPr>
            <w:tcW w:w="4648" w:type="dxa"/>
          </w:tcPr>
          <w:p w14:paraId="650CC5B9"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10B30F9D" w14:textId="754CEFA2" w:rsidTr="00E86BE2">
        <w:tc>
          <w:tcPr>
            <w:tcW w:w="4815" w:type="dxa"/>
          </w:tcPr>
          <w:p w14:paraId="415FEC24" w14:textId="77777777"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color w:val="000000"/>
              </w:rPr>
              <w:t xml:space="preserve">III - analisar a estrutura existente para a prestação do serviço, a qualificação técnica e </w:t>
            </w:r>
            <w:r w:rsidRPr="0010524E">
              <w:rPr>
                <w:rFonts w:ascii="Calibri" w:hAnsi="Calibri"/>
                <w:color w:val="000000"/>
              </w:rPr>
              <w:lastRenderedPageBreak/>
              <w:t>a experiência dos profissionais para o exercício de administração de carteira de valores mobiliários, incluindo o histórico de atuação do gestor de recursos;</w:t>
            </w:r>
          </w:p>
        </w:tc>
        <w:tc>
          <w:tcPr>
            <w:tcW w:w="4849" w:type="dxa"/>
          </w:tcPr>
          <w:p w14:paraId="17F2E843" w14:textId="0D80E509"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lastRenderedPageBreak/>
              <w:t xml:space="preserve">III - analisar a estrutura existente para a prestação do serviço, a qualificação técnica e a </w:t>
            </w:r>
            <w:r w:rsidRPr="0010524E">
              <w:rPr>
                <w:rFonts w:ascii="Calibri" w:hAnsi="Calibri"/>
              </w:rPr>
              <w:lastRenderedPageBreak/>
              <w:t>experiência dos profissionais para o exercício de administração de carteira de valores mobiliários, incluindo o histórico de atuação do gestor de recursos;</w:t>
            </w:r>
          </w:p>
        </w:tc>
        <w:tc>
          <w:tcPr>
            <w:tcW w:w="4648" w:type="dxa"/>
          </w:tcPr>
          <w:p w14:paraId="5CC51B3E"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575492BC" w14:textId="36EA4934" w:rsidTr="00E86BE2">
        <w:tc>
          <w:tcPr>
            <w:tcW w:w="4815" w:type="dxa"/>
          </w:tcPr>
          <w:p w14:paraId="406AB7B4" w14:textId="77777777"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color w:val="000000"/>
              </w:rPr>
              <w:t>IV - estabelecer o escopo do serviço a ser prestado inclusive contemplando objetivos passíveis de verificação de acordo com as características do mandato;</w:t>
            </w:r>
          </w:p>
        </w:tc>
        <w:tc>
          <w:tcPr>
            <w:tcW w:w="4849" w:type="dxa"/>
          </w:tcPr>
          <w:p w14:paraId="59163AAC" w14:textId="239596F5"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IV - estabelecer o escopo do serviço a ser prestado inclusive contemplando objetivos passíveis de verificação de acordo com as características do mandato;</w:t>
            </w:r>
          </w:p>
        </w:tc>
        <w:tc>
          <w:tcPr>
            <w:tcW w:w="4648" w:type="dxa"/>
          </w:tcPr>
          <w:p w14:paraId="44D5C0DC"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2B0FB3C5" w14:textId="0D322F9F" w:rsidTr="00E86BE2">
        <w:tc>
          <w:tcPr>
            <w:tcW w:w="4815" w:type="dxa"/>
          </w:tcPr>
          <w:p w14:paraId="628E15D4" w14:textId="77777777"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color w:val="000000"/>
              </w:rPr>
              <w:t>V - estabelecer critérios relacionados à política de divulgação de informações sobre os investimentos e performance, especificando a periodicidade e as informações necessárias para o monitoramento das atividades pela EFPC, considerando a regulamentação da CVM;</w:t>
            </w:r>
          </w:p>
        </w:tc>
        <w:tc>
          <w:tcPr>
            <w:tcW w:w="4849" w:type="dxa"/>
          </w:tcPr>
          <w:p w14:paraId="7FE8568E" w14:textId="1E5B2D33"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V - estabelecer critérios relacionados à política de divulgação de informações sobre os investimentos e performance, especificando a periodicidade e as informações necessárias para o monitoramento das atividades pela EFPC, considerando a regulamentação da Comissão de Valores Mobiliários;</w:t>
            </w:r>
          </w:p>
        </w:tc>
        <w:tc>
          <w:tcPr>
            <w:tcW w:w="4648" w:type="dxa"/>
          </w:tcPr>
          <w:p w14:paraId="0F4D7F0C"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425A7ACD" w14:textId="5C3A1672" w:rsidTr="00E86BE2">
        <w:tc>
          <w:tcPr>
            <w:tcW w:w="4815" w:type="dxa"/>
          </w:tcPr>
          <w:p w14:paraId="14706030" w14:textId="77777777"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color w:val="000000"/>
              </w:rPr>
              <w:t>VI - incluir, nos contratos, quando couber, cláusulas sobre penalidades e condições para rescisão antecipada quando verificado descumprimento;</w:t>
            </w:r>
          </w:p>
        </w:tc>
        <w:tc>
          <w:tcPr>
            <w:tcW w:w="4849" w:type="dxa"/>
          </w:tcPr>
          <w:p w14:paraId="3626E030" w14:textId="31C8A896"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VI - incluir, nos contratos, quando couber, cláusulas sobre penalidades e condições para rescisão antecipada quando verificado descumprimento;</w:t>
            </w:r>
          </w:p>
        </w:tc>
        <w:tc>
          <w:tcPr>
            <w:tcW w:w="4648" w:type="dxa"/>
          </w:tcPr>
          <w:p w14:paraId="0C73679C"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3CAD9B52" w14:textId="1D047FE2" w:rsidTr="00E86BE2">
        <w:tc>
          <w:tcPr>
            <w:tcW w:w="4815" w:type="dxa"/>
          </w:tcPr>
          <w:p w14:paraId="2425EDFB" w14:textId="77777777"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color w:val="000000"/>
              </w:rPr>
              <w:t>VII - analisar se a política de gestão de riscos da carteira administrada ou do fundo de investimento está alinhada às diretrizes da política de investimento dos planos de benefícios da EFPC; e</w:t>
            </w:r>
          </w:p>
        </w:tc>
        <w:tc>
          <w:tcPr>
            <w:tcW w:w="4849" w:type="dxa"/>
          </w:tcPr>
          <w:p w14:paraId="5E27720D" w14:textId="4446653A"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VII - analisar se a política de gestão de riscos da carteira administrada ou do fundo de investimento está alinhada às diretrizes da política de investimento dos planos de benefícios da EFPC; e</w:t>
            </w:r>
          </w:p>
        </w:tc>
        <w:tc>
          <w:tcPr>
            <w:tcW w:w="4648" w:type="dxa"/>
          </w:tcPr>
          <w:p w14:paraId="2A4F3B95"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4D699AEB" w14:textId="3FE7030D" w:rsidTr="00E86BE2">
        <w:tc>
          <w:tcPr>
            <w:tcW w:w="4815" w:type="dxa"/>
          </w:tcPr>
          <w:p w14:paraId="6B2C6A9C" w14:textId="77777777"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color w:val="000000"/>
              </w:rPr>
              <w:t xml:space="preserve">VIII - verificar se administrador de carteira de valores mobiliários adere a códigos de </w:t>
            </w:r>
            <w:r w:rsidRPr="0010524E">
              <w:rPr>
                <w:rFonts w:ascii="Calibri" w:hAnsi="Calibri"/>
                <w:color w:val="000000"/>
              </w:rPr>
              <w:lastRenderedPageBreak/>
              <w:t>autorregulação e códigos de ética e conduta que incentivem boas práticas de mercado, transparência e padrões éticos na administração de carteira de valores mobiliários.</w:t>
            </w:r>
          </w:p>
        </w:tc>
        <w:tc>
          <w:tcPr>
            <w:tcW w:w="4849" w:type="dxa"/>
          </w:tcPr>
          <w:p w14:paraId="2202CA00" w14:textId="15D90E5A"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lastRenderedPageBreak/>
              <w:t xml:space="preserve">VIII - verificar se administrador de carteira de valores mobiliários adere a códigos de </w:t>
            </w:r>
            <w:r w:rsidRPr="0010524E">
              <w:rPr>
                <w:rFonts w:ascii="Calibri" w:hAnsi="Calibri"/>
              </w:rPr>
              <w:lastRenderedPageBreak/>
              <w:t>autorregulação e códigos de ética e conduta que incentivem boas práticas de mercado, transparência e padrões éticos na administração de carteira de valores mobiliários.</w:t>
            </w:r>
          </w:p>
        </w:tc>
        <w:tc>
          <w:tcPr>
            <w:tcW w:w="4648" w:type="dxa"/>
          </w:tcPr>
          <w:p w14:paraId="600C280E"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5E4E3FBF" w14:textId="1677531A" w:rsidTr="00E86BE2">
        <w:tc>
          <w:tcPr>
            <w:tcW w:w="4815" w:type="dxa"/>
          </w:tcPr>
          <w:p w14:paraId="6769108C" w14:textId="77777777" w:rsidR="00E86BE2" w:rsidRPr="0010524E" w:rsidRDefault="00E86BE2" w:rsidP="00E86BE2">
            <w:pPr>
              <w:pStyle w:val="textojustificado"/>
              <w:spacing w:before="0" w:beforeAutospacing="0" w:after="120" w:afterAutospacing="0"/>
              <w:ind w:left="23" w:right="119"/>
              <w:jc w:val="both"/>
              <w:rPr>
                <w:rFonts w:ascii="Calibri" w:hAnsi="Calibri"/>
                <w:color w:val="000000"/>
              </w:rPr>
            </w:pPr>
            <w:r w:rsidRPr="0010524E">
              <w:rPr>
                <w:rFonts w:ascii="Calibri" w:hAnsi="Calibri"/>
                <w:color w:val="000000"/>
              </w:rPr>
              <w:t>§ 1º  Os critérios de seleção devem, ainda, ser proporcionais à complexidade do mandato.</w:t>
            </w:r>
          </w:p>
        </w:tc>
        <w:tc>
          <w:tcPr>
            <w:tcW w:w="4849" w:type="dxa"/>
          </w:tcPr>
          <w:p w14:paraId="44ACA945" w14:textId="2F0B9C92"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§1º  Os critérios de seleção devem, ainda, ser proporcionais à complexidade do mandato.</w:t>
            </w:r>
          </w:p>
        </w:tc>
        <w:tc>
          <w:tcPr>
            <w:tcW w:w="4648" w:type="dxa"/>
          </w:tcPr>
          <w:p w14:paraId="2EE690D0"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2F715739" w14:textId="11CC9ABE" w:rsidTr="00E86BE2">
        <w:tc>
          <w:tcPr>
            <w:tcW w:w="4815" w:type="dxa"/>
          </w:tcPr>
          <w:p w14:paraId="7AF06776" w14:textId="77777777"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color w:val="000000"/>
              </w:rPr>
              <w:t>§ 2º O membro de diretoria ou conselho deliberativo da EFPC deve formalizar ao conselho deliberativo a existência de qualquer potencial conflito de interesse quando da seleção do prestador de serviço de administração de carteiras de valores mobiliários.</w:t>
            </w:r>
          </w:p>
        </w:tc>
        <w:tc>
          <w:tcPr>
            <w:tcW w:w="4849" w:type="dxa"/>
          </w:tcPr>
          <w:p w14:paraId="73BE1B57" w14:textId="051912C2"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§2º  O membro de diretoria ou conselho deliberativo da EFPC deve formalizar ao conselho deliberativo a existência de qualquer potencial conflito de interesse quando da seleção do prestador de serviço de administração de carteiras de valores mobiliários.</w:t>
            </w:r>
          </w:p>
        </w:tc>
        <w:tc>
          <w:tcPr>
            <w:tcW w:w="4648" w:type="dxa"/>
          </w:tcPr>
          <w:p w14:paraId="5F2BD403"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32049D7C" w14:textId="04DC9031" w:rsidTr="00E86BE2">
        <w:tc>
          <w:tcPr>
            <w:tcW w:w="4815" w:type="dxa"/>
          </w:tcPr>
          <w:p w14:paraId="2A2C0145" w14:textId="77777777" w:rsidR="00E86BE2" w:rsidRPr="0010524E" w:rsidRDefault="00E86BE2" w:rsidP="00E86BE2">
            <w:pPr>
              <w:spacing w:after="120"/>
              <w:jc w:val="both"/>
              <w:rPr>
                <w:rFonts w:eastAsia="Times New Roman" w:cstheme="minorHAnsi"/>
                <w:color w:val="000000"/>
                <w:sz w:val="24"/>
                <w:szCs w:val="24"/>
                <w:lang w:eastAsia="pt-BR"/>
              </w:rPr>
            </w:pPr>
          </w:p>
        </w:tc>
        <w:tc>
          <w:tcPr>
            <w:tcW w:w="4849" w:type="dxa"/>
          </w:tcPr>
          <w:p w14:paraId="75398C8E" w14:textId="1E4D0D0A"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FF0000"/>
              </w:rPr>
            </w:pPr>
            <w:r w:rsidRPr="0010524E">
              <w:rPr>
                <w:rFonts w:ascii="Calibri" w:hAnsi="Calibri"/>
              </w:rPr>
              <w:t>§3º  A EFPC deve revisar periodicamente os critérios de seleção de prestadores de serviço de administração de carteiras de valores mobiliários e de gestão de fundo de investimento exclusivo.</w:t>
            </w:r>
          </w:p>
        </w:tc>
        <w:tc>
          <w:tcPr>
            <w:tcW w:w="4648" w:type="dxa"/>
          </w:tcPr>
          <w:p w14:paraId="3BD21148"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Inserido.</w:t>
            </w:r>
          </w:p>
          <w:p w14:paraId="04EDCE01"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 xml:space="preserve">Novo dispositivo para atendimento às recomendações do relatório de avaliação de resultado regulatório (ARR), elaborado em 2022. </w:t>
            </w:r>
          </w:p>
        </w:tc>
      </w:tr>
      <w:tr w:rsidR="00E86BE2" w:rsidRPr="0010524E" w14:paraId="0F5940E6" w14:textId="00EC1693" w:rsidTr="00E86BE2">
        <w:tc>
          <w:tcPr>
            <w:tcW w:w="4815" w:type="dxa"/>
          </w:tcPr>
          <w:p w14:paraId="761A5C76" w14:textId="5E686908" w:rsidR="00E86BE2" w:rsidRPr="0010524E" w:rsidRDefault="00E86BE2" w:rsidP="00E86BE2">
            <w:pPr>
              <w:spacing w:after="120"/>
              <w:jc w:val="center"/>
              <w:rPr>
                <w:rFonts w:eastAsia="Times New Roman" w:cstheme="minorHAnsi"/>
                <w:color w:val="000000"/>
                <w:sz w:val="24"/>
                <w:szCs w:val="24"/>
                <w:lang w:eastAsia="pt-BR"/>
              </w:rPr>
            </w:pPr>
          </w:p>
        </w:tc>
        <w:tc>
          <w:tcPr>
            <w:tcW w:w="4849" w:type="dxa"/>
          </w:tcPr>
          <w:p w14:paraId="6FC7AD85" w14:textId="77777777" w:rsidR="00E86BE2" w:rsidRDefault="00E86BE2" w:rsidP="00E86BE2">
            <w:pPr>
              <w:pStyle w:val="textojustificado"/>
              <w:spacing w:before="0" w:beforeAutospacing="0" w:after="120" w:afterAutospacing="0"/>
              <w:ind w:right="120"/>
              <w:jc w:val="center"/>
              <w:rPr>
                <w:rStyle w:val="Forte"/>
                <w:rFonts w:ascii="Calibri" w:hAnsi="Calibri"/>
                <w:color w:val="000000"/>
              </w:rPr>
            </w:pPr>
            <w:r w:rsidRPr="0010524E">
              <w:rPr>
                <w:rStyle w:val="Forte"/>
                <w:rFonts w:ascii="Calibri" w:hAnsi="Calibri"/>
                <w:color w:val="000000"/>
              </w:rPr>
              <w:t>Subseção II</w:t>
            </w:r>
          </w:p>
          <w:p w14:paraId="6C5A0078" w14:textId="5A58B130" w:rsidR="00E86BE2" w:rsidRPr="0010524E" w:rsidRDefault="00E86BE2" w:rsidP="00E86BE2">
            <w:pPr>
              <w:pStyle w:val="textojustificado"/>
              <w:spacing w:before="0" w:beforeAutospacing="0" w:after="120" w:afterAutospacing="0"/>
              <w:ind w:right="120"/>
              <w:jc w:val="center"/>
              <w:rPr>
                <w:rStyle w:val="Forte"/>
                <w:rFonts w:ascii="Calibri" w:hAnsi="Calibri"/>
                <w:color w:val="000000"/>
              </w:rPr>
            </w:pPr>
            <w:r w:rsidRPr="0010524E">
              <w:rPr>
                <w:rStyle w:val="Forte"/>
                <w:rFonts w:ascii="Calibri" w:hAnsi="Calibri"/>
                <w:color w:val="000000"/>
              </w:rPr>
              <w:t>Seleção de fundo de investimento</w:t>
            </w:r>
          </w:p>
        </w:tc>
        <w:tc>
          <w:tcPr>
            <w:tcW w:w="4648" w:type="dxa"/>
          </w:tcPr>
          <w:p w14:paraId="53D0E11F" w14:textId="77777777" w:rsidR="00E86BE2" w:rsidRPr="0010524E" w:rsidRDefault="00E86BE2" w:rsidP="00E86BE2">
            <w:pPr>
              <w:spacing w:after="120"/>
              <w:rPr>
                <w:rFonts w:eastAsia="Times New Roman" w:cstheme="minorHAnsi"/>
                <w:color w:val="000000"/>
                <w:sz w:val="24"/>
                <w:szCs w:val="24"/>
                <w:lang w:eastAsia="pt-BR"/>
              </w:rPr>
            </w:pPr>
          </w:p>
        </w:tc>
      </w:tr>
      <w:tr w:rsidR="00E86BE2" w:rsidRPr="0010524E" w14:paraId="4A8936BE" w14:textId="40CCAEEB" w:rsidTr="00E86BE2">
        <w:tc>
          <w:tcPr>
            <w:tcW w:w="4815" w:type="dxa"/>
          </w:tcPr>
          <w:p w14:paraId="169ED4FB"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Art. 3º  Na seleção de fundo de investimento, a EFPC deve, no mínimo, analisar:</w:t>
            </w:r>
          </w:p>
        </w:tc>
        <w:tc>
          <w:tcPr>
            <w:tcW w:w="4849" w:type="dxa"/>
          </w:tcPr>
          <w:p w14:paraId="665D60DF" w14:textId="196BAEF7"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Art. 315.  Na seleção de fundo de investimento, a EFPC deve, no mínimo, analisar:</w:t>
            </w:r>
          </w:p>
        </w:tc>
        <w:tc>
          <w:tcPr>
            <w:tcW w:w="4648" w:type="dxa"/>
          </w:tcPr>
          <w:p w14:paraId="275A33FD" w14:textId="77777777" w:rsidR="00E86BE2" w:rsidRPr="0010524E" w:rsidRDefault="00E86BE2" w:rsidP="00E86BE2">
            <w:pPr>
              <w:spacing w:before="120"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Renumerado.</w:t>
            </w:r>
          </w:p>
        </w:tc>
      </w:tr>
      <w:tr w:rsidR="00E86BE2" w:rsidRPr="0010524E" w14:paraId="05BCF5EE" w14:textId="6C1C4138" w:rsidTr="00E86BE2">
        <w:tc>
          <w:tcPr>
            <w:tcW w:w="4815" w:type="dxa"/>
          </w:tcPr>
          <w:p w14:paraId="0D05FBF5"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lastRenderedPageBreak/>
              <w:t>I - o regulamento e demais documentos disponibilizados pelo gestor do fundo de investimento, previamente às alocações, identificando os riscos inerentes às operações previstas;</w:t>
            </w:r>
          </w:p>
        </w:tc>
        <w:tc>
          <w:tcPr>
            <w:tcW w:w="4849" w:type="dxa"/>
          </w:tcPr>
          <w:p w14:paraId="399F8CD1" w14:textId="24E55534"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 - o regulamento e demais documentos disponibilizados pelo gestor do fundo de investimento, previamente às alocações, identificando os riscos inerentes às operações previstas;</w:t>
            </w:r>
          </w:p>
        </w:tc>
        <w:tc>
          <w:tcPr>
            <w:tcW w:w="4648" w:type="dxa"/>
          </w:tcPr>
          <w:p w14:paraId="38EA0B36"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79511B3A" w14:textId="5A5E7B74" w:rsidTr="00E86BE2">
        <w:tc>
          <w:tcPr>
            <w:tcW w:w="4815" w:type="dxa"/>
          </w:tcPr>
          <w:p w14:paraId="3D3360BC"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II - as características do fundo frente às necessidades de liquidez da EFPC;</w:t>
            </w:r>
          </w:p>
        </w:tc>
        <w:tc>
          <w:tcPr>
            <w:tcW w:w="4849" w:type="dxa"/>
          </w:tcPr>
          <w:p w14:paraId="7712EBC1" w14:textId="3161902E"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II - as características do fundo frente às necessidades de liquidez da EFPC;</w:t>
            </w:r>
          </w:p>
        </w:tc>
        <w:tc>
          <w:tcPr>
            <w:tcW w:w="4648" w:type="dxa"/>
          </w:tcPr>
          <w:p w14:paraId="2BEB34B0"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318C14C5" w14:textId="6BE4D13E" w:rsidTr="00E86BE2">
        <w:tc>
          <w:tcPr>
            <w:tcW w:w="4815" w:type="dxa"/>
          </w:tcPr>
          <w:p w14:paraId="378E715D"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III - a política de seleção, alocação e diversificação de ativos e, quando for o caso, política de concentração de ativos;</w:t>
            </w:r>
          </w:p>
        </w:tc>
        <w:tc>
          <w:tcPr>
            <w:tcW w:w="4849" w:type="dxa"/>
          </w:tcPr>
          <w:p w14:paraId="6E9FC8D6" w14:textId="1B9D1235"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III - a política de seleção, alocação e diversificação de ativos e, quando for o caso, política de concentração de ativos;</w:t>
            </w:r>
          </w:p>
        </w:tc>
        <w:tc>
          <w:tcPr>
            <w:tcW w:w="4648" w:type="dxa"/>
          </w:tcPr>
          <w:p w14:paraId="02E8A199"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2DB98CB3" w14:textId="513ED9D7" w:rsidTr="00E86BE2">
        <w:tc>
          <w:tcPr>
            <w:tcW w:w="4815" w:type="dxa"/>
          </w:tcPr>
          <w:p w14:paraId="66058728"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IV - a compatibilidade entre o objetivo de retorno do fundo de investimento, a política de investimento do fundo, o limite de risco divulgado pelo gestor, quando couber, e eventual adequação do parâmetro utilizado para a cobrança da taxa de performance;</w:t>
            </w:r>
          </w:p>
        </w:tc>
        <w:tc>
          <w:tcPr>
            <w:tcW w:w="4849" w:type="dxa"/>
          </w:tcPr>
          <w:p w14:paraId="7D1F0635" w14:textId="18C51DC2"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IV - a compatibilidade entre o objetivo de retorno do fundo de investimento, a política de investimento do fundo, o limite de risco divulgado pelo gestor, quando couber, e eventual adequação do parâmetro utilizado para a cobrança da taxa de performance;</w:t>
            </w:r>
          </w:p>
        </w:tc>
        <w:tc>
          <w:tcPr>
            <w:tcW w:w="4648" w:type="dxa"/>
          </w:tcPr>
          <w:p w14:paraId="2A3E290C"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68414BB6" w14:textId="4289C4C0" w:rsidTr="00E86BE2">
        <w:tc>
          <w:tcPr>
            <w:tcW w:w="4815" w:type="dxa"/>
          </w:tcPr>
          <w:p w14:paraId="4257729D"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V - as hipóteses de eventos de avaliação, amortização e liquidação, inclusive antecipada, quando aplicável; e</w:t>
            </w:r>
          </w:p>
        </w:tc>
        <w:tc>
          <w:tcPr>
            <w:tcW w:w="4849" w:type="dxa"/>
          </w:tcPr>
          <w:p w14:paraId="2FD4C4BB" w14:textId="4A2D2847" w:rsidR="00E86BE2" w:rsidRPr="0010524E" w:rsidRDefault="00E86BE2" w:rsidP="00E86BE2">
            <w:pPr>
              <w:pStyle w:val="textojustificado"/>
              <w:spacing w:before="0" w:beforeAutospacing="0" w:after="120" w:afterAutospacing="0"/>
              <w:ind w:right="120"/>
              <w:jc w:val="both"/>
              <w:rPr>
                <w:rStyle w:val="Forte"/>
                <w:rFonts w:ascii="Calibri" w:hAnsi="Calibri"/>
                <w:b w:val="0"/>
                <w:bCs w:val="0"/>
                <w:strike/>
                <w:color w:val="000000"/>
              </w:rPr>
            </w:pPr>
            <w:r w:rsidRPr="0010524E">
              <w:rPr>
                <w:rFonts w:ascii="Calibri" w:hAnsi="Calibri"/>
              </w:rPr>
              <w:t xml:space="preserve">V - as hipóteses de eventos de avaliação, amortização e liquidação, inclusive antecipada, quando aplicável; </w:t>
            </w:r>
          </w:p>
        </w:tc>
        <w:tc>
          <w:tcPr>
            <w:tcW w:w="4648" w:type="dxa"/>
          </w:tcPr>
          <w:p w14:paraId="108C0FA8"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362B4B75" w14:textId="567BDC5F" w:rsidTr="00E86BE2">
        <w:tc>
          <w:tcPr>
            <w:tcW w:w="4815" w:type="dxa"/>
          </w:tcPr>
          <w:p w14:paraId="2C02815A"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VI - o histórico de performance do gestor em relação à gestão do fundo de investimento, se houver.</w:t>
            </w:r>
          </w:p>
        </w:tc>
        <w:tc>
          <w:tcPr>
            <w:tcW w:w="4849" w:type="dxa"/>
          </w:tcPr>
          <w:p w14:paraId="77291350" w14:textId="594F3F82"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VI - o histórico de performance do gestor em relação à gestão do fundo de investimento, se houver; e</w:t>
            </w:r>
          </w:p>
        </w:tc>
        <w:tc>
          <w:tcPr>
            <w:tcW w:w="4648" w:type="dxa"/>
          </w:tcPr>
          <w:p w14:paraId="7DD6D80C"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7F051113" w14:textId="77E67116" w:rsidTr="00E86BE2">
        <w:tc>
          <w:tcPr>
            <w:tcW w:w="4815" w:type="dxa"/>
          </w:tcPr>
          <w:p w14:paraId="35FA8E2A" w14:textId="77777777" w:rsidR="00E86BE2" w:rsidRPr="0010524E" w:rsidRDefault="00E86BE2" w:rsidP="00E86BE2">
            <w:pPr>
              <w:pStyle w:val="textojustificado"/>
              <w:spacing w:before="0" w:beforeAutospacing="0" w:after="120" w:afterAutospacing="0"/>
              <w:ind w:left="120" w:right="120"/>
              <w:jc w:val="both"/>
              <w:rPr>
                <w:rFonts w:ascii="Calibri" w:hAnsi="Calibri"/>
                <w:color w:val="000000"/>
              </w:rPr>
            </w:pPr>
          </w:p>
        </w:tc>
        <w:tc>
          <w:tcPr>
            <w:tcW w:w="4849" w:type="dxa"/>
          </w:tcPr>
          <w:p w14:paraId="682C9FBF" w14:textId="6597A54B" w:rsidR="00E86BE2" w:rsidRPr="0010524E" w:rsidRDefault="00E86BE2" w:rsidP="00E86BE2">
            <w:pPr>
              <w:pStyle w:val="Normalalteradora"/>
              <w:spacing w:before="0" w:line="240" w:lineRule="auto"/>
              <w:ind w:firstLine="0"/>
              <w:rPr>
                <w:rStyle w:val="Forte"/>
                <w:rFonts w:ascii="Calibri" w:hAnsi="Calibri" w:cstheme="minorHAnsi"/>
                <w:b w:val="0"/>
                <w:bCs w:val="0"/>
                <w:color w:val="FF0000"/>
              </w:rPr>
            </w:pPr>
            <w:r w:rsidRPr="0010524E">
              <w:rPr>
                <w:rFonts w:ascii="Calibri" w:hAnsi="Calibri"/>
              </w:rPr>
              <w:t>VII – as taxas de administração, gestão</w:t>
            </w:r>
            <w:r w:rsidRPr="0010524E">
              <w:rPr>
                <w:rFonts w:ascii="Calibri" w:hAnsi="Calibri" w:cstheme="minorHAnsi"/>
              </w:rPr>
              <w:t xml:space="preserve"> e performance efetivas dos fundos, </w:t>
            </w:r>
            <w:r w:rsidRPr="0010524E">
              <w:rPr>
                <w:rFonts w:ascii="Calibri" w:hAnsi="Calibri" w:cstheme="minorHAnsi"/>
              </w:rPr>
              <w:lastRenderedPageBreak/>
              <w:t xml:space="preserve">principalmente daqueles que possam adquirir cotas de outros fundos de investimento. </w:t>
            </w:r>
          </w:p>
        </w:tc>
        <w:tc>
          <w:tcPr>
            <w:tcW w:w="4648" w:type="dxa"/>
          </w:tcPr>
          <w:p w14:paraId="12F94EF6" w14:textId="496903E8" w:rsidR="00E86BE2" w:rsidRPr="0010524E" w:rsidRDefault="00E86BE2" w:rsidP="00E86BE2">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lastRenderedPageBreak/>
              <w:t>Incluído</w:t>
            </w:r>
            <w:r w:rsidRPr="0010524E">
              <w:rPr>
                <w:rFonts w:eastAsia="Times New Roman" w:cstheme="minorHAnsi"/>
                <w:color w:val="000000"/>
                <w:sz w:val="24"/>
                <w:szCs w:val="24"/>
                <w:lang w:eastAsia="pt-BR"/>
              </w:rPr>
              <w:t>.</w:t>
            </w:r>
          </w:p>
          <w:p w14:paraId="0156EE6A" w14:textId="77777777" w:rsidR="00E86BE2" w:rsidRPr="0010524E" w:rsidRDefault="00E86BE2" w:rsidP="00E86BE2">
            <w:pPr>
              <w:spacing w:before="120"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lastRenderedPageBreak/>
              <w:t>Inserção para atendimento às recomendações do relatório de avaliação de resultado regulatório (ARR).</w:t>
            </w:r>
          </w:p>
        </w:tc>
      </w:tr>
      <w:tr w:rsidR="00E86BE2" w:rsidRPr="0010524E" w14:paraId="11DA6F3A" w14:textId="6DA3FBEE" w:rsidTr="00E86BE2">
        <w:tc>
          <w:tcPr>
            <w:tcW w:w="4815" w:type="dxa"/>
          </w:tcPr>
          <w:p w14:paraId="006D0B6E" w14:textId="77777777" w:rsidR="00E86BE2" w:rsidRPr="0010524E" w:rsidRDefault="00E86BE2" w:rsidP="00E86BE2">
            <w:pPr>
              <w:spacing w:after="120"/>
              <w:jc w:val="both"/>
              <w:rPr>
                <w:rFonts w:ascii="Calibri" w:eastAsia="Times New Roman" w:hAnsi="Calibri" w:cs="Times New Roman"/>
                <w:color w:val="000000"/>
                <w:sz w:val="24"/>
                <w:szCs w:val="24"/>
                <w:lang w:eastAsia="pt-BR"/>
              </w:rPr>
            </w:pPr>
            <w:r w:rsidRPr="0010524E">
              <w:rPr>
                <w:rFonts w:ascii="Calibri" w:hAnsi="Calibri" w:cs="Times New Roman"/>
                <w:color w:val="000000"/>
                <w:sz w:val="24"/>
                <w:szCs w:val="24"/>
              </w:rPr>
              <w:lastRenderedPageBreak/>
              <w:t>Parágrafo único.  Adicionalmente ao disposto neste artigo, a EFPC deve observar o disposto nos incisos I, II e VII do art. 2º na seleção de fundo de investimento não exclusivo.</w:t>
            </w:r>
          </w:p>
        </w:tc>
        <w:tc>
          <w:tcPr>
            <w:tcW w:w="4849" w:type="dxa"/>
          </w:tcPr>
          <w:p w14:paraId="725C2DD6" w14:textId="5B7AB5E3"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Parágrafo único.  Adicionalmente ao disposto neste artigo, a EFPC deve observar o disposto nos incisos I, II e VII do art. 314 na seleção de fundo de investimento não exclusivo.</w:t>
            </w:r>
          </w:p>
        </w:tc>
        <w:tc>
          <w:tcPr>
            <w:tcW w:w="4648" w:type="dxa"/>
          </w:tcPr>
          <w:p w14:paraId="55575165"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40DA1EC6" w14:textId="1C0BAF61" w:rsidTr="00E86BE2">
        <w:tc>
          <w:tcPr>
            <w:tcW w:w="4815" w:type="dxa"/>
          </w:tcPr>
          <w:p w14:paraId="03E9CE41" w14:textId="77777777" w:rsidR="00E86BE2" w:rsidRPr="0010524E" w:rsidRDefault="00E86BE2" w:rsidP="00E86BE2">
            <w:pPr>
              <w:pStyle w:val="textojustificado"/>
              <w:spacing w:before="0" w:beforeAutospacing="0" w:after="120" w:afterAutospacing="0"/>
              <w:ind w:left="120" w:right="120"/>
              <w:jc w:val="both"/>
              <w:rPr>
                <w:rStyle w:val="Forte"/>
                <w:rFonts w:ascii="Calibri" w:hAnsi="Calibri" w:cs="Calibri"/>
                <w:color w:val="000000"/>
              </w:rPr>
            </w:pPr>
          </w:p>
        </w:tc>
        <w:tc>
          <w:tcPr>
            <w:tcW w:w="4849" w:type="dxa"/>
          </w:tcPr>
          <w:p w14:paraId="03C50B3F" w14:textId="77777777" w:rsidR="00E86BE2" w:rsidRDefault="00E86BE2" w:rsidP="00E86BE2">
            <w:pPr>
              <w:pStyle w:val="textojustificado"/>
              <w:spacing w:before="0" w:beforeAutospacing="0" w:after="120" w:afterAutospacing="0"/>
              <w:ind w:right="120"/>
              <w:jc w:val="center"/>
              <w:rPr>
                <w:rStyle w:val="Forte"/>
                <w:rFonts w:ascii="Calibri" w:hAnsi="Calibri"/>
                <w:color w:val="000000"/>
              </w:rPr>
            </w:pPr>
            <w:r w:rsidRPr="0010524E">
              <w:rPr>
                <w:rStyle w:val="Forte"/>
                <w:rFonts w:ascii="Calibri" w:hAnsi="Calibri"/>
                <w:color w:val="000000"/>
              </w:rPr>
              <w:t>Subseção III</w:t>
            </w:r>
          </w:p>
          <w:p w14:paraId="3B9A4059" w14:textId="394D3400" w:rsidR="00E86BE2" w:rsidRPr="0010524E" w:rsidRDefault="00E86BE2" w:rsidP="00E86BE2">
            <w:pPr>
              <w:pStyle w:val="textojustificado"/>
              <w:spacing w:before="0" w:beforeAutospacing="0" w:after="120" w:afterAutospacing="0"/>
              <w:ind w:right="120"/>
              <w:jc w:val="center"/>
              <w:rPr>
                <w:rStyle w:val="Forte"/>
                <w:rFonts w:ascii="Calibri" w:hAnsi="Calibri"/>
                <w:color w:val="000000"/>
              </w:rPr>
            </w:pPr>
            <w:r w:rsidRPr="0010524E">
              <w:rPr>
                <w:rStyle w:val="Forte"/>
                <w:rFonts w:ascii="Calibri" w:hAnsi="Calibri"/>
                <w:color w:val="000000"/>
              </w:rPr>
              <w:t>Seleção de fundo de investimento em participações (FIP)</w:t>
            </w:r>
          </w:p>
        </w:tc>
        <w:tc>
          <w:tcPr>
            <w:tcW w:w="4648" w:type="dxa"/>
          </w:tcPr>
          <w:p w14:paraId="27A35AAB"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1EFFFDB8" w14:textId="1F3D705A" w:rsidTr="00E86BE2">
        <w:tc>
          <w:tcPr>
            <w:tcW w:w="4815" w:type="dxa"/>
          </w:tcPr>
          <w:p w14:paraId="30855037" w14:textId="77777777" w:rsidR="00E86BE2" w:rsidRPr="0010524E" w:rsidRDefault="00E86BE2" w:rsidP="00E86BE2">
            <w:pPr>
              <w:pStyle w:val="textojustificado"/>
              <w:spacing w:before="0" w:beforeAutospacing="0" w:after="120" w:afterAutospacing="0"/>
              <w:ind w:left="24" w:right="119"/>
              <w:jc w:val="both"/>
              <w:rPr>
                <w:rFonts w:ascii="Calibri" w:hAnsi="Calibri"/>
                <w:color w:val="000000"/>
              </w:rPr>
            </w:pPr>
            <w:r w:rsidRPr="0010524E">
              <w:rPr>
                <w:rFonts w:ascii="Calibri" w:hAnsi="Calibri"/>
                <w:color w:val="000000"/>
              </w:rPr>
              <w:t>Art. 4º  Na seleção de fundo de investimento em participações (FIP), a EFPC deve, adicionalmente ao disposto no art. 3º, analisar:</w:t>
            </w:r>
          </w:p>
        </w:tc>
        <w:tc>
          <w:tcPr>
            <w:tcW w:w="4849" w:type="dxa"/>
          </w:tcPr>
          <w:p w14:paraId="05631817" w14:textId="0F89372B"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Art. 316.  Na seleção de fundo de investimento em participações (FIP), a EFPC deve, adicionalmente ao disposto no art. 315, analisar:</w:t>
            </w:r>
          </w:p>
        </w:tc>
        <w:tc>
          <w:tcPr>
            <w:tcW w:w="4648" w:type="dxa"/>
          </w:tcPr>
          <w:p w14:paraId="459FD01F" w14:textId="77777777" w:rsidR="00E86BE2" w:rsidRPr="0010524E" w:rsidRDefault="00E86BE2" w:rsidP="00E86BE2">
            <w:pPr>
              <w:spacing w:before="120"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Renumerado.</w:t>
            </w:r>
          </w:p>
        </w:tc>
      </w:tr>
      <w:tr w:rsidR="00E86BE2" w:rsidRPr="0010524E" w14:paraId="53F0EB51" w14:textId="4C474B44" w:rsidTr="00E86BE2">
        <w:tc>
          <w:tcPr>
            <w:tcW w:w="4815" w:type="dxa"/>
          </w:tcPr>
          <w:p w14:paraId="5DB5481F" w14:textId="77777777" w:rsidR="00E86BE2" w:rsidRPr="0010524E" w:rsidRDefault="00E86BE2" w:rsidP="00E86BE2">
            <w:pPr>
              <w:pStyle w:val="textojustificado"/>
              <w:spacing w:before="0" w:beforeAutospacing="0" w:after="120" w:afterAutospacing="0"/>
              <w:ind w:left="24" w:right="119"/>
              <w:jc w:val="both"/>
              <w:rPr>
                <w:rFonts w:ascii="Calibri" w:hAnsi="Calibri"/>
                <w:color w:val="000000"/>
              </w:rPr>
            </w:pPr>
            <w:r w:rsidRPr="0010524E">
              <w:rPr>
                <w:rFonts w:ascii="Calibri" w:hAnsi="Calibri"/>
                <w:color w:val="000000"/>
              </w:rPr>
              <w:t>I - as regras aplicáveis para subscrição e integralização de cotas;</w:t>
            </w:r>
          </w:p>
        </w:tc>
        <w:tc>
          <w:tcPr>
            <w:tcW w:w="4849" w:type="dxa"/>
          </w:tcPr>
          <w:p w14:paraId="0E9CA3A8" w14:textId="52DCE51D"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 - as regras aplicáveis para subscrição e integralização de cotas;</w:t>
            </w:r>
          </w:p>
        </w:tc>
        <w:tc>
          <w:tcPr>
            <w:tcW w:w="4648" w:type="dxa"/>
          </w:tcPr>
          <w:p w14:paraId="2A3F2811"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4BABF2AE" w14:textId="57DC9C1C" w:rsidTr="00E86BE2">
        <w:tc>
          <w:tcPr>
            <w:tcW w:w="4815" w:type="dxa"/>
          </w:tcPr>
          <w:p w14:paraId="5C8065C7" w14:textId="77777777" w:rsidR="00E86BE2" w:rsidRPr="0010524E" w:rsidRDefault="00E86BE2" w:rsidP="00E86BE2">
            <w:pPr>
              <w:pStyle w:val="textojustificado"/>
              <w:spacing w:before="0" w:beforeAutospacing="0" w:after="120" w:afterAutospacing="0"/>
              <w:ind w:left="24" w:right="119"/>
              <w:jc w:val="both"/>
              <w:rPr>
                <w:rFonts w:ascii="Calibri" w:hAnsi="Calibri"/>
                <w:color w:val="000000"/>
              </w:rPr>
            </w:pPr>
            <w:r w:rsidRPr="0010524E">
              <w:rPr>
                <w:rFonts w:ascii="Calibri" w:hAnsi="Calibri"/>
                <w:color w:val="000000"/>
              </w:rPr>
              <w:t>II - a política de amortização e distribuição de rendimentos;</w:t>
            </w:r>
          </w:p>
        </w:tc>
        <w:tc>
          <w:tcPr>
            <w:tcW w:w="4849" w:type="dxa"/>
          </w:tcPr>
          <w:p w14:paraId="44CD7DF3" w14:textId="7F1E9655"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II - a política de amortização e distribuição de rendimentos;</w:t>
            </w:r>
          </w:p>
        </w:tc>
        <w:tc>
          <w:tcPr>
            <w:tcW w:w="4648" w:type="dxa"/>
          </w:tcPr>
          <w:p w14:paraId="1A65BA62"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4FB78438" w14:textId="37C238C1" w:rsidTr="00E86BE2">
        <w:tc>
          <w:tcPr>
            <w:tcW w:w="4815" w:type="dxa"/>
          </w:tcPr>
          <w:p w14:paraId="1E89D614"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III - a política de divulgação de informações do fundo e de suas sociedades investidas, conforme regulamentação aplicável;</w:t>
            </w:r>
          </w:p>
        </w:tc>
        <w:tc>
          <w:tcPr>
            <w:tcW w:w="4849" w:type="dxa"/>
          </w:tcPr>
          <w:p w14:paraId="28E68114" w14:textId="15614D8C"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III - a política de divulgação de informações do fundo e de suas sociedades investidas, conforme regulamentação aplicável;</w:t>
            </w:r>
          </w:p>
        </w:tc>
        <w:tc>
          <w:tcPr>
            <w:tcW w:w="4648" w:type="dxa"/>
          </w:tcPr>
          <w:p w14:paraId="2DF29E81"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30500C79" w14:textId="1D7AE1F2" w:rsidTr="00E86BE2">
        <w:tc>
          <w:tcPr>
            <w:tcW w:w="4815" w:type="dxa"/>
          </w:tcPr>
          <w:p w14:paraId="4E582B83"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IV - a forma do aporte do gestor em relação aos demais investidores;</w:t>
            </w:r>
          </w:p>
        </w:tc>
        <w:tc>
          <w:tcPr>
            <w:tcW w:w="4849" w:type="dxa"/>
          </w:tcPr>
          <w:p w14:paraId="278A3242" w14:textId="0B8A5BD6" w:rsidR="00E86BE2" w:rsidRPr="0010524E" w:rsidRDefault="00E86BE2" w:rsidP="00E86BE2">
            <w:pPr>
              <w:spacing w:after="120"/>
              <w:ind w:right="120"/>
              <w:jc w:val="both"/>
              <w:rPr>
                <w:rStyle w:val="Forte"/>
                <w:rFonts w:ascii="Calibri" w:hAnsi="Calibri" w:cs="Times New Roman"/>
                <w:b w:val="0"/>
                <w:bCs w:val="0"/>
                <w:color w:val="000000"/>
                <w:sz w:val="24"/>
                <w:szCs w:val="24"/>
              </w:rPr>
            </w:pPr>
            <w:r w:rsidRPr="0010524E">
              <w:rPr>
                <w:rFonts w:ascii="Calibri" w:hAnsi="Calibri"/>
                <w:sz w:val="24"/>
                <w:szCs w:val="24"/>
              </w:rPr>
              <w:t>IV - a forma do aporte do gestor em relação aos demais investidores;</w:t>
            </w:r>
          </w:p>
        </w:tc>
        <w:tc>
          <w:tcPr>
            <w:tcW w:w="4648" w:type="dxa"/>
          </w:tcPr>
          <w:p w14:paraId="7BB6D681"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0801FE50" w14:textId="01AD9DE3" w:rsidTr="00E86BE2">
        <w:tc>
          <w:tcPr>
            <w:tcW w:w="4815" w:type="dxa"/>
          </w:tcPr>
          <w:p w14:paraId="09FB504F"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lastRenderedPageBreak/>
              <w:t>V - a duração do fundo, o período de investimento e de desinvestimento;</w:t>
            </w:r>
          </w:p>
        </w:tc>
        <w:tc>
          <w:tcPr>
            <w:tcW w:w="4849" w:type="dxa"/>
          </w:tcPr>
          <w:p w14:paraId="09448BB8" w14:textId="398118DA" w:rsidR="00E86BE2" w:rsidRPr="0010524E" w:rsidRDefault="00E86BE2" w:rsidP="00E86BE2">
            <w:pPr>
              <w:spacing w:after="120"/>
              <w:ind w:right="120"/>
              <w:jc w:val="both"/>
              <w:rPr>
                <w:rStyle w:val="Forte"/>
                <w:rFonts w:ascii="Calibri" w:hAnsi="Calibri" w:cs="Times New Roman"/>
                <w:b w:val="0"/>
                <w:bCs w:val="0"/>
                <w:color w:val="000000"/>
                <w:sz w:val="24"/>
                <w:szCs w:val="24"/>
              </w:rPr>
            </w:pPr>
            <w:r w:rsidRPr="0010524E">
              <w:rPr>
                <w:rFonts w:ascii="Calibri" w:hAnsi="Calibri"/>
                <w:sz w:val="24"/>
                <w:szCs w:val="24"/>
              </w:rPr>
              <w:t>V - a duração do fundo, o período de investimento e de desinvestimento;</w:t>
            </w:r>
          </w:p>
        </w:tc>
        <w:tc>
          <w:tcPr>
            <w:tcW w:w="4648" w:type="dxa"/>
          </w:tcPr>
          <w:p w14:paraId="25B0BAFB"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7B86C8D4" w14:textId="09CF2346" w:rsidTr="00E86BE2">
        <w:tc>
          <w:tcPr>
            <w:tcW w:w="4815" w:type="dxa"/>
          </w:tcPr>
          <w:p w14:paraId="4F85EF58"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VI - a possibilidade de o gestor lançar outro fundo com objetivos concorrentes ou com potencial impacto para a performance do FIP;</w:t>
            </w:r>
          </w:p>
        </w:tc>
        <w:tc>
          <w:tcPr>
            <w:tcW w:w="4849" w:type="dxa"/>
          </w:tcPr>
          <w:p w14:paraId="603BEA38" w14:textId="1988F285" w:rsidR="00E86BE2" w:rsidRPr="0010524E" w:rsidRDefault="00E86BE2" w:rsidP="00E86BE2">
            <w:pPr>
              <w:spacing w:after="120"/>
              <w:ind w:right="120"/>
              <w:jc w:val="both"/>
              <w:rPr>
                <w:rStyle w:val="Forte"/>
                <w:rFonts w:ascii="Calibri" w:hAnsi="Calibri" w:cs="Times New Roman"/>
                <w:b w:val="0"/>
                <w:bCs w:val="0"/>
                <w:color w:val="000000"/>
                <w:sz w:val="24"/>
                <w:szCs w:val="24"/>
              </w:rPr>
            </w:pPr>
            <w:r w:rsidRPr="0010524E">
              <w:rPr>
                <w:rFonts w:ascii="Calibri" w:hAnsi="Calibri"/>
                <w:sz w:val="24"/>
                <w:szCs w:val="24"/>
              </w:rPr>
              <w:t>VI - a possibilidade de o gestor lançar outro fundo com objetivos concorrentes ou com potencial impacto para a performance do fundo de investimento em participações;</w:t>
            </w:r>
          </w:p>
        </w:tc>
        <w:tc>
          <w:tcPr>
            <w:tcW w:w="4648" w:type="dxa"/>
          </w:tcPr>
          <w:p w14:paraId="75954BB8"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5E6A6DDE" w14:textId="2294312D" w:rsidTr="00E86BE2">
        <w:tc>
          <w:tcPr>
            <w:tcW w:w="4815" w:type="dxa"/>
          </w:tcPr>
          <w:p w14:paraId="7CD357EF"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VII - os riscos envolvidos na participação da EFPC em comitê de investimento do FIP;</w:t>
            </w:r>
          </w:p>
        </w:tc>
        <w:tc>
          <w:tcPr>
            <w:tcW w:w="4849" w:type="dxa"/>
          </w:tcPr>
          <w:p w14:paraId="52E173D1" w14:textId="07BEE703"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VII - os riscos envolvidos na participação da EFPC em comitê de investimento do fundo de investimento em participações;</w:t>
            </w:r>
          </w:p>
        </w:tc>
        <w:tc>
          <w:tcPr>
            <w:tcW w:w="4648" w:type="dxa"/>
          </w:tcPr>
          <w:p w14:paraId="2E250CD7"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681397E6" w14:textId="769D3BDE" w:rsidTr="00E86BE2">
        <w:tc>
          <w:tcPr>
            <w:tcW w:w="4815" w:type="dxa"/>
          </w:tcPr>
          <w:p w14:paraId="3405CEB7"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VIII - os critérios e metodologias utilizados pelo gestor ou empresa avaliadora independente por ele contratada para realizar a avaliação dos investimentos do FIP ao valor justo;</w:t>
            </w:r>
          </w:p>
        </w:tc>
        <w:tc>
          <w:tcPr>
            <w:tcW w:w="4849" w:type="dxa"/>
          </w:tcPr>
          <w:p w14:paraId="5DD81FFD" w14:textId="3ED0F24F"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VIII - os critérios e metodologias utilizados pelo gestor ou empresa avaliadora independente por ele contratada para realizar a avaliação dos investimentos do fundo de investimento em participações ao valor justo;</w:t>
            </w:r>
          </w:p>
        </w:tc>
        <w:tc>
          <w:tcPr>
            <w:tcW w:w="4648" w:type="dxa"/>
          </w:tcPr>
          <w:p w14:paraId="47502120"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0A8333D3" w14:textId="10D4E973" w:rsidTr="00E86BE2">
        <w:tc>
          <w:tcPr>
            <w:tcW w:w="4815" w:type="dxa"/>
          </w:tcPr>
          <w:p w14:paraId="52B73323"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IX - a política para a contratação de consultores e terceiros pelo FIP para auxiliar na gestão do fundo ou das sociedades investidas; e</w:t>
            </w:r>
          </w:p>
        </w:tc>
        <w:tc>
          <w:tcPr>
            <w:tcW w:w="4849" w:type="dxa"/>
          </w:tcPr>
          <w:p w14:paraId="5931A4B9" w14:textId="3E56644C"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IX - a política para a contratação de consultores e terceiros pelo fundo de investimento em participações para auxiliar na gestão do fundo ou das sociedades investidas; e</w:t>
            </w:r>
          </w:p>
        </w:tc>
        <w:tc>
          <w:tcPr>
            <w:tcW w:w="4648" w:type="dxa"/>
          </w:tcPr>
          <w:p w14:paraId="60893355"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6CACC7C5" w14:textId="267A9DF3" w:rsidTr="00E86BE2">
        <w:tc>
          <w:tcPr>
            <w:tcW w:w="4815" w:type="dxa"/>
          </w:tcPr>
          <w:p w14:paraId="6667E75D"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X - as regras de diversificação por empresa investida dos ativos que podem compor a carteira do FIP previstas na política de investimento do fundo.</w:t>
            </w:r>
          </w:p>
        </w:tc>
        <w:tc>
          <w:tcPr>
            <w:tcW w:w="4849" w:type="dxa"/>
          </w:tcPr>
          <w:p w14:paraId="3B23C017" w14:textId="63A8232B"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X - as regras de diversificação por empresa investida dos ativos que podem compor a carteira do fundo de investimento em participações previstas na política de investimento do fundo.</w:t>
            </w:r>
          </w:p>
        </w:tc>
        <w:tc>
          <w:tcPr>
            <w:tcW w:w="4648" w:type="dxa"/>
          </w:tcPr>
          <w:p w14:paraId="658CFC02"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49DEED65" w14:textId="27019A54" w:rsidTr="00E86BE2">
        <w:tc>
          <w:tcPr>
            <w:tcW w:w="4815" w:type="dxa"/>
          </w:tcPr>
          <w:p w14:paraId="3B78B1C0"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 xml:space="preserve">§ 1º  Para fins do disposto no § 2º do art. 23 da Resolução nº 4.661, de 25 de maio de 2018, </w:t>
            </w:r>
            <w:r w:rsidRPr="0010524E">
              <w:rPr>
                <w:rFonts w:ascii="Calibri" w:hAnsi="Calibri"/>
                <w:color w:val="000000"/>
              </w:rPr>
              <w:lastRenderedPageBreak/>
              <w:t>do Conselho Monetário Nacional (CMN), o regulamento do FIP, no qual se dará a participação da EFPC, deve determinar que o gestor da carteira mantenha, no mínimo, 3% (três por cento) do capital subscrito do fundo sob sua gestão, considerando as subscrições efetuadas por todos os cotistas do FIP.</w:t>
            </w:r>
          </w:p>
        </w:tc>
        <w:tc>
          <w:tcPr>
            <w:tcW w:w="4849" w:type="dxa"/>
          </w:tcPr>
          <w:p w14:paraId="2047DCDB" w14:textId="4FDD4F58"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lastRenderedPageBreak/>
              <w:t xml:space="preserve">§1º  Para fins do disposto no §2º do art. 23 da Resolução CMN nº 4.994, de 2022, o </w:t>
            </w:r>
            <w:r w:rsidRPr="0010524E">
              <w:rPr>
                <w:rFonts w:ascii="Calibri" w:hAnsi="Calibri"/>
              </w:rPr>
              <w:lastRenderedPageBreak/>
              <w:t>regulamento do fundo de investimento em participações, no qual se dará a participação da EFPC, deve determinar que o gestor da carteira mantenha, no mínimo, três por cento do capital subscrito do fundo sob sua gestão, considerando as subscrições efetuadas por todos os cotistas do fundo de investimento em participações.</w:t>
            </w:r>
          </w:p>
        </w:tc>
        <w:tc>
          <w:tcPr>
            <w:tcW w:w="4648" w:type="dxa"/>
          </w:tcPr>
          <w:p w14:paraId="7FF089AF" w14:textId="77777777" w:rsidR="00E86BE2" w:rsidRPr="0010524E" w:rsidRDefault="00E86BE2" w:rsidP="00E86BE2">
            <w:pPr>
              <w:spacing w:before="120"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lastRenderedPageBreak/>
              <w:t>Atualização da referência normativa.</w:t>
            </w:r>
          </w:p>
        </w:tc>
      </w:tr>
      <w:tr w:rsidR="00E86BE2" w:rsidRPr="0010524E" w14:paraId="0DCD82C4" w14:textId="6BF810BE" w:rsidTr="00E86BE2">
        <w:tc>
          <w:tcPr>
            <w:tcW w:w="4815" w:type="dxa"/>
          </w:tcPr>
          <w:p w14:paraId="0846080C"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 2º  Para fins de composição do percentual do capital subscrito a que se refere o § 1º deste artigo, podem ser considerados os aportes efetuados por:</w:t>
            </w:r>
          </w:p>
        </w:tc>
        <w:tc>
          <w:tcPr>
            <w:tcW w:w="4849" w:type="dxa"/>
          </w:tcPr>
          <w:p w14:paraId="01AF6B5C" w14:textId="5AAE1BA1"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§2º  Para fins de composição do percentual do capital subscrito a que se refere o §1º, podem ser considerados os aportes efetuados por:</w:t>
            </w:r>
          </w:p>
        </w:tc>
        <w:tc>
          <w:tcPr>
            <w:tcW w:w="4648" w:type="dxa"/>
          </w:tcPr>
          <w:p w14:paraId="41B66856"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61D381A7" w14:textId="7652DA32" w:rsidTr="00E86BE2">
        <w:tc>
          <w:tcPr>
            <w:tcW w:w="4815" w:type="dxa"/>
          </w:tcPr>
          <w:p w14:paraId="201E4351"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 - gestor do FIP, pessoa jurídica credenciada como administrador de carteiras de valores mobiliários pela CVM, diretamente ou por meio de fundo de investimento exclusivo;</w:t>
            </w:r>
          </w:p>
        </w:tc>
        <w:tc>
          <w:tcPr>
            <w:tcW w:w="4849" w:type="dxa"/>
          </w:tcPr>
          <w:p w14:paraId="4409310C" w14:textId="5623EEBD"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 - gestor do fundo de investimento em participações, pessoa jurídica credenciada como administrador de carteiras de valores mobiliários pela Comissão de Valores Mobiliários, diretamente ou por meio de fundo de investimento exclusivo;</w:t>
            </w:r>
          </w:p>
        </w:tc>
        <w:tc>
          <w:tcPr>
            <w:tcW w:w="4648" w:type="dxa"/>
          </w:tcPr>
          <w:p w14:paraId="2FAB8329"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646EBA4A" w14:textId="350BEECA" w:rsidTr="00E86BE2">
        <w:tc>
          <w:tcPr>
            <w:tcW w:w="4815" w:type="dxa"/>
          </w:tcPr>
          <w:p w14:paraId="0A21C1A2"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II - fundo de investimento constituído no Brasil que seja restrito ao gestor referido no inciso I deste parágrafo ou, desde que seja pessoa natural domiciliada no Brasil, a sócio, diretor ou membros da equipe-chave, responsáveis pela gestão do FIP, vinculados ao referido gestor da carteira do FIP; ou</w:t>
            </w:r>
          </w:p>
        </w:tc>
        <w:tc>
          <w:tcPr>
            <w:tcW w:w="4849" w:type="dxa"/>
          </w:tcPr>
          <w:p w14:paraId="4C0E0EC9" w14:textId="522107CF"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II - fundo de investimento constituído no Brasil que seja restrito ao gestor referido no inciso I deste parágrafo ou, desde que seja pessoa natural domiciliada no Brasil, a sócio, diretor ou membros da equipe-chave, responsáveis pela gestão do fundo de investimento em participações, vinculados ao referido gestor da carteira do fundo de investimento em participações; ou</w:t>
            </w:r>
          </w:p>
        </w:tc>
        <w:tc>
          <w:tcPr>
            <w:tcW w:w="4648" w:type="dxa"/>
          </w:tcPr>
          <w:p w14:paraId="525A11EE"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4B8DFDD7" w14:textId="65D82F9D" w:rsidTr="00E86BE2">
        <w:tc>
          <w:tcPr>
            <w:tcW w:w="4815" w:type="dxa"/>
          </w:tcPr>
          <w:p w14:paraId="06ED9921"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lastRenderedPageBreak/>
              <w:t>III - pessoa jurídica, sediada no Brasil ou exterior, ligada ao mesmo grupo econômico, excetuadas as empresas coligadas, do gestor referido no inciso I deste parágrafo.</w:t>
            </w:r>
          </w:p>
        </w:tc>
        <w:tc>
          <w:tcPr>
            <w:tcW w:w="4849" w:type="dxa"/>
          </w:tcPr>
          <w:p w14:paraId="64183E35" w14:textId="12AAE4E5"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III - pessoa jurídica, sediada no Brasil ou exterior, ligada ao mesmo grupo econômico, excetuadas as empresas coligadas, do gestor referido no inciso I deste parágrafo.</w:t>
            </w:r>
          </w:p>
        </w:tc>
        <w:tc>
          <w:tcPr>
            <w:tcW w:w="4648" w:type="dxa"/>
          </w:tcPr>
          <w:p w14:paraId="11177270"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5F91F597" w14:textId="00DB8121" w:rsidTr="00E86BE2">
        <w:tc>
          <w:tcPr>
            <w:tcW w:w="4815" w:type="dxa"/>
          </w:tcPr>
          <w:p w14:paraId="21500211"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 3º  Para fins do disposto no inciso II do § 2º deste artigo, entende-se como membro da equipe-chave os responsáveis pela gestão do FIP, os quais devem ser indicados no regulamento do fundo.</w:t>
            </w:r>
          </w:p>
        </w:tc>
        <w:tc>
          <w:tcPr>
            <w:tcW w:w="4849" w:type="dxa"/>
          </w:tcPr>
          <w:p w14:paraId="156BFB4E" w14:textId="67C38238"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§3º  Para fins do disposto no inciso II do §2º, entende-se como membro da equipe-chave os responsáveis pela gestão do fundo de investimento em participações, os quais devem ser indicados no regulamento do fundo.</w:t>
            </w:r>
          </w:p>
        </w:tc>
        <w:tc>
          <w:tcPr>
            <w:tcW w:w="4648" w:type="dxa"/>
          </w:tcPr>
          <w:p w14:paraId="6A948A7E"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59C47CD2" w14:textId="062B1CF9" w:rsidTr="00E86BE2">
        <w:tc>
          <w:tcPr>
            <w:tcW w:w="4815" w:type="dxa"/>
          </w:tcPr>
          <w:p w14:paraId="7D877852" w14:textId="77777777" w:rsidR="00E86BE2" w:rsidRPr="0010524E" w:rsidRDefault="00E86BE2" w:rsidP="00E86BE2">
            <w:pPr>
              <w:spacing w:after="120"/>
              <w:ind w:left="24"/>
              <w:jc w:val="both"/>
              <w:rPr>
                <w:rFonts w:ascii="Calibri" w:eastAsia="Times New Roman" w:hAnsi="Calibri" w:cs="Times New Roman"/>
                <w:color w:val="000000"/>
                <w:sz w:val="24"/>
                <w:szCs w:val="24"/>
                <w:lang w:eastAsia="pt-BR"/>
              </w:rPr>
            </w:pPr>
            <w:r w:rsidRPr="0010524E">
              <w:rPr>
                <w:rFonts w:ascii="Calibri" w:eastAsia="Times New Roman" w:hAnsi="Calibri" w:cs="Times New Roman"/>
                <w:color w:val="000000"/>
                <w:sz w:val="24"/>
                <w:szCs w:val="24"/>
                <w:lang w:eastAsia="pt-BR"/>
              </w:rPr>
              <w:t>§ 4º  Caso pessoa referida nos incisos II e III do § 2º deste artigo, que tenha realizado aporte de recursos para fins de composição do percentual disposto no § 1º deste artigo, deixe de manter vínculo ou ligação com o referido gestor do FIP, o gestor da carteira do FIP deve realizar os procedimentos necessários para a manutenção do referido percentual, conforme previsto em regulamento do fundo.</w:t>
            </w:r>
          </w:p>
        </w:tc>
        <w:tc>
          <w:tcPr>
            <w:tcW w:w="4849" w:type="dxa"/>
          </w:tcPr>
          <w:p w14:paraId="511FD328" w14:textId="6E9D2DEB"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w:t>
            </w:r>
            <w:r>
              <w:rPr>
                <w:rFonts w:ascii="Calibri" w:hAnsi="Calibri"/>
              </w:rPr>
              <w:t xml:space="preserve"> </w:t>
            </w:r>
            <w:r w:rsidRPr="0010524E">
              <w:rPr>
                <w:rFonts w:ascii="Calibri" w:hAnsi="Calibri"/>
              </w:rPr>
              <w:t>4º  Caso pessoa referida nos incisos II e III do §2º, que tenha realizado aporte de recursos para fins de composição do percentual disposto no §1º, deixe de manter vínculo ou ligação com o referido gestor do fundo de investimento em participações, o gestor da carteira do fundo de investimento em participações deve realizar os procedimentos necessários para a manutenção do referido percentual, conforme previsto em regulamento do fundo.</w:t>
            </w:r>
          </w:p>
        </w:tc>
        <w:tc>
          <w:tcPr>
            <w:tcW w:w="4648" w:type="dxa"/>
          </w:tcPr>
          <w:p w14:paraId="4CF478A0"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66DE1E5F" w14:textId="76084FE0" w:rsidTr="00E86BE2">
        <w:tc>
          <w:tcPr>
            <w:tcW w:w="4815" w:type="dxa"/>
          </w:tcPr>
          <w:p w14:paraId="61F5774D" w14:textId="77777777" w:rsidR="00E86BE2" w:rsidRPr="0010524E" w:rsidRDefault="00E86BE2" w:rsidP="00E86BE2">
            <w:pPr>
              <w:pStyle w:val="textojustificado"/>
              <w:spacing w:before="120" w:beforeAutospacing="0" w:after="120" w:afterAutospacing="0"/>
              <w:ind w:left="24" w:right="120"/>
              <w:jc w:val="both"/>
              <w:rPr>
                <w:rStyle w:val="Forte"/>
                <w:rFonts w:ascii="Calibri" w:hAnsi="Calibri" w:cs="Calibri"/>
                <w:color w:val="000000"/>
              </w:rPr>
            </w:pPr>
          </w:p>
        </w:tc>
        <w:tc>
          <w:tcPr>
            <w:tcW w:w="4849" w:type="dxa"/>
          </w:tcPr>
          <w:p w14:paraId="2F7FD1D8" w14:textId="77777777" w:rsidR="00E86BE2" w:rsidRDefault="00E86BE2" w:rsidP="00E86BE2">
            <w:pPr>
              <w:pStyle w:val="textojustificado"/>
              <w:spacing w:before="0" w:beforeAutospacing="0" w:after="0" w:afterAutospacing="0"/>
              <w:ind w:right="119"/>
              <w:jc w:val="center"/>
              <w:rPr>
                <w:rStyle w:val="Forte"/>
                <w:rFonts w:ascii="Calibri" w:hAnsi="Calibri"/>
                <w:color w:val="000000"/>
              </w:rPr>
            </w:pPr>
            <w:r w:rsidRPr="0010524E">
              <w:rPr>
                <w:rStyle w:val="Forte"/>
                <w:rFonts w:ascii="Calibri" w:hAnsi="Calibri"/>
                <w:color w:val="000000"/>
              </w:rPr>
              <w:t>Subseção IV</w:t>
            </w:r>
          </w:p>
          <w:p w14:paraId="20EEBE35" w14:textId="55A21A24" w:rsidR="00E86BE2" w:rsidRPr="0010524E" w:rsidRDefault="00E86BE2" w:rsidP="00E86BE2">
            <w:pPr>
              <w:pStyle w:val="textojustificado"/>
              <w:spacing w:before="0" w:beforeAutospacing="0" w:after="0" w:afterAutospacing="0"/>
              <w:ind w:right="119"/>
              <w:jc w:val="center"/>
              <w:rPr>
                <w:rStyle w:val="Forte"/>
                <w:rFonts w:ascii="Calibri" w:hAnsi="Calibri"/>
                <w:color w:val="000000"/>
              </w:rPr>
            </w:pPr>
            <w:r w:rsidRPr="0010524E">
              <w:rPr>
                <w:rStyle w:val="Forte"/>
                <w:rFonts w:ascii="Calibri" w:hAnsi="Calibri"/>
                <w:color w:val="000000"/>
              </w:rPr>
              <w:t>Seleção de fundo de investimento em direitos creditórios (FIDC)</w:t>
            </w:r>
          </w:p>
        </w:tc>
        <w:tc>
          <w:tcPr>
            <w:tcW w:w="4648" w:type="dxa"/>
          </w:tcPr>
          <w:p w14:paraId="0203CD0D"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66153E0C" w14:textId="0ABDF23F" w:rsidTr="00E86BE2">
        <w:tc>
          <w:tcPr>
            <w:tcW w:w="4815" w:type="dxa"/>
          </w:tcPr>
          <w:p w14:paraId="25F80364"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 xml:space="preserve">Art. 5º Na seleção de fundo de investimento em direitos creditórios (FIDC), a EFPC deve, </w:t>
            </w:r>
            <w:r w:rsidRPr="0010524E">
              <w:rPr>
                <w:rFonts w:ascii="Calibri" w:hAnsi="Calibri"/>
                <w:color w:val="000000"/>
              </w:rPr>
              <w:lastRenderedPageBreak/>
              <w:t>adicionalmente ao disposto no art. 3º, analisar:</w:t>
            </w:r>
          </w:p>
        </w:tc>
        <w:tc>
          <w:tcPr>
            <w:tcW w:w="4849" w:type="dxa"/>
          </w:tcPr>
          <w:p w14:paraId="36A6D903" w14:textId="10A43C50"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lastRenderedPageBreak/>
              <w:t xml:space="preserve">Art. 317.  Na seleção de fundo de investimento em direitos creditórios (FIDC), a EFPC deve, </w:t>
            </w:r>
            <w:r w:rsidRPr="0010524E">
              <w:rPr>
                <w:rFonts w:ascii="Calibri" w:hAnsi="Calibri"/>
              </w:rPr>
              <w:lastRenderedPageBreak/>
              <w:t>adicionalmente ao disposto no art. 315, analisar:</w:t>
            </w:r>
          </w:p>
        </w:tc>
        <w:tc>
          <w:tcPr>
            <w:tcW w:w="4648" w:type="dxa"/>
          </w:tcPr>
          <w:p w14:paraId="39E01F15"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lastRenderedPageBreak/>
              <w:t>Renumerado.</w:t>
            </w:r>
          </w:p>
        </w:tc>
      </w:tr>
      <w:tr w:rsidR="00E86BE2" w:rsidRPr="0010524E" w14:paraId="495C37E5" w14:textId="75A3C7EF" w:rsidTr="00E86BE2">
        <w:tc>
          <w:tcPr>
            <w:tcW w:w="4815" w:type="dxa"/>
          </w:tcPr>
          <w:p w14:paraId="57FA2EE5"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 - a estrutura da carteira, o cedente, o nível de subordinação, a inadimplência e a perda que a classificação de risco e a subordinação deveriam suportar comparando-se com a perda estimada, e a classificação de risco no Sistema de Informações de Crédito do Banco Central (SCR), quando disponível;</w:t>
            </w:r>
          </w:p>
        </w:tc>
        <w:tc>
          <w:tcPr>
            <w:tcW w:w="4849" w:type="dxa"/>
          </w:tcPr>
          <w:p w14:paraId="33E5ED8B" w14:textId="3507EE52"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 - a estrutura da carteira, o cedente, o nível de subordinação, a inadimplência e a perda que a classificação de risco e a subordinação deveriam suportar comparando-se com a perda estimada, e a classificação de risco no Sistema de Informações de Crédito do Banco Central, quando disponível;</w:t>
            </w:r>
          </w:p>
        </w:tc>
        <w:tc>
          <w:tcPr>
            <w:tcW w:w="4648" w:type="dxa"/>
          </w:tcPr>
          <w:p w14:paraId="16D6CBFC"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17D39B91" w14:textId="7BE1C3D2" w:rsidTr="00E86BE2">
        <w:tc>
          <w:tcPr>
            <w:tcW w:w="4815" w:type="dxa"/>
          </w:tcPr>
          <w:p w14:paraId="71D9329E"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II - os mecanismos de proteção do FIDC;</w:t>
            </w:r>
          </w:p>
        </w:tc>
        <w:tc>
          <w:tcPr>
            <w:tcW w:w="4849" w:type="dxa"/>
          </w:tcPr>
          <w:p w14:paraId="3477BCDA" w14:textId="3B82E887"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II - os mecanismos de proteção do fundo de investimento em direitos creditórios;</w:t>
            </w:r>
          </w:p>
        </w:tc>
        <w:tc>
          <w:tcPr>
            <w:tcW w:w="4648" w:type="dxa"/>
          </w:tcPr>
          <w:p w14:paraId="7094CEEF"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592B655C" w14:textId="012853C5" w:rsidTr="00E86BE2">
        <w:tc>
          <w:tcPr>
            <w:tcW w:w="4815" w:type="dxa"/>
          </w:tcPr>
          <w:p w14:paraId="2C03BD27"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III - as características do FIDC;</w:t>
            </w:r>
          </w:p>
        </w:tc>
        <w:tc>
          <w:tcPr>
            <w:tcW w:w="4849" w:type="dxa"/>
          </w:tcPr>
          <w:p w14:paraId="267C52D7" w14:textId="54862F6E"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III - as características do fundo de investimento em direitos creditórios;</w:t>
            </w:r>
          </w:p>
        </w:tc>
        <w:tc>
          <w:tcPr>
            <w:tcW w:w="4648" w:type="dxa"/>
          </w:tcPr>
          <w:p w14:paraId="0A82DB80"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70237A58" w14:textId="5918F42D" w:rsidTr="00E86BE2">
        <w:tc>
          <w:tcPr>
            <w:tcW w:w="4815" w:type="dxa"/>
          </w:tcPr>
          <w:p w14:paraId="70DC6C89"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IV - as características dos direitos creditórios;</w:t>
            </w:r>
          </w:p>
        </w:tc>
        <w:tc>
          <w:tcPr>
            <w:tcW w:w="4849" w:type="dxa"/>
          </w:tcPr>
          <w:p w14:paraId="533CB61C" w14:textId="5050FD31"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IV - as características dos direitos creditórios;</w:t>
            </w:r>
          </w:p>
        </w:tc>
        <w:tc>
          <w:tcPr>
            <w:tcW w:w="4648" w:type="dxa"/>
          </w:tcPr>
          <w:p w14:paraId="5B233134"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756D8EB0" w14:textId="48B84E79" w:rsidTr="00E86BE2">
        <w:tc>
          <w:tcPr>
            <w:tcW w:w="4815" w:type="dxa"/>
          </w:tcPr>
          <w:p w14:paraId="1C1975BC"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V - o fluxograma operacional da estrutura do FIDC, descrevendo o procedimento de cessão, quando houver, e o fluxo financeiro; e</w:t>
            </w:r>
          </w:p>
        </w:tc>
        <w:tc>
          <w:tcPr>
            <w:tcW w:w="4849" w:type="dxa"/>
          </w:tcPr>
          <w:p w14:paraId="17C67934" w14:textId="117F3075"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V - o fluxograma operacional da estrutura do fundo de investimento em direitos creditórios, descrevendo o procedimento de cessão, quando houver, e o fluxo financeiro; e</w:t>
            </w:r>
          </w:p>
        </w:tc>
        <w:tc>
          <w:tcPr>
            <w:tcW w:w="4648" w:type="dxa"/>
          </w:tcPr>
          <w:p w14:paraId="34247371"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54AAE1B7" w14:textId="6AEE514C" w:rsidTr="00E86BE2">
        <w:tc>
          <w:tcPr>
            <w:tcW w:w="4815" w:type="dxa"/>
          </w:tcPr>
          <w:p w14:paraId="0707F193"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VI - a política do gestor do fundo para a contratação de terceiros para auxiliar na gestão de recursos, quando houver.</w:t>
            </w:r>
          </w:p>
        </w:tc>
        <w:tc>
          <w:tcPr>
            <w:tcW w:w="4849" w:type="dxa"/>
          </w:tcPr>
          <w:p w14:paraId="56CB3CCA" w14:textId="63DDDDA2"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VI - a política do gestor do fundo para a contratação de terceiros para auxiliar na gestão de recursos, quando houver.</w:t>
            </w:r>
          </w:p>
        </w:tc>
        <w:tc>
          <w:tcPr>
            <w:tcW w:w="4648" w:type="dxa"/>
          </w:tcPr>
          <w:p w14:paraId="4DE7E78D"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4BF9C682" w14:textId="644BF3D9" w:rsidTr="00E86BE2">
        <w:tc>
          <w:tcPr>
            <w:tcW w:w="4815" w:type="dxa"/>
          </w:tcPr>
          <w:p w14:paraId="3AA20CFC" w14:textId="77777777" w:rsidR="00E86BE2" w:rsidRPr="0010524E" w:rsidRDefault="00E86BE2" w:rsidP="00E86BE2">
            <w:pPr>
              <w:spacing w:before="120" w:after="120"/>
              <w:ind w:left="24"/>
              <w:jc w:val="center"/>
              <w:rPr>
                <w:rFonts w:ascii="Calibri" w:eastAsia="Times New Roman" w:hAnsi="Calibri" w:cs="Times New Roman"/>
                <w:color w:val="000000"/>
                <w:sz w:val="24"/>
                <w:szCs w:val="24"/>
                <w:lang w:eastAsia="pt-BR"/>
              </w:rPr>
            </w:pPr>
          </w:p>
        </w:tc>
        <w:tc>
          <w:tcPr>
            <w:tcW w:w="4849" w:type="dxa"/>
          </w:tcPr>
          <w:p w14:paraId="7F0E71F3" w14:textId="77777777" w:rsidR="00E86BE2" w:rsidRDefault="00E86BE2" w:rsidP="00E86BE2">
            <w:pPr>
              <w:pStyle w:val="textojustificado"/>
              <w:spacing w:before="0" w:beforeAutospacing="0" w:after="0" w:afterAutospacing="0"/>
              <w:ind w:right="119"/>
              <w:jc w:val="center"/>
              <w:rPr>
                <w:rStyle w:val="Forte"/>
                <w:rFonts w:ascii="Calibri" w:hAnsi="Calibri"/>
                <w:color w:val="000000"/>
              </w:rPr>
            </w:pPr>
            <w:r w:rsidRPr="0010524E">
              <w:rPr>
                <w:rStyle w:val="Forte"/>
                <w:rFonts w:ascii="Calibri" w:hAnsi="Calibri"/>
                <w:color w:val="000000"/>
              </w:rPr>
              <w:t>Subseção V</w:t>
            </w:r>
          </w:p>
          <w:p w14:paraId="75D901C6" w14:textId="68366FD6" w:rsidR="00E86BE2" w:rsidRPr="0010524E" w:rsidRDefault="00E86BE2" w:rsidP="00E86BE2">
            <w:pPr>
              <w:pStyle w:val="textojustificado"/>
              <w:spacing w:before="0" w:beforeAutospacing="0" w:after="0" w:afterAutospacing="0"/>
              <w:ind w:right="119"/>
              <w:jc w:val="center"/>
              <w:rPr>
                <w:rStyle w:val="Forte"/>
                <w:rFonts w:ascii="Calibri" w:hAnsi="Calibri"/>
                <w:color w:val="000000"/>
              </w:rPr>
            </w:pPr>
            <w:r w:rsidRPr="0010524E">
              <w:rPr>
                <w:rStyle w:val="Forte"/>
                <w:rFonts w:ascii="Calibri" w:hAnsi="Calibri"/>
                <w:color w:val="000000"/>
              </w:rPr>
              <w:t>Seleção de fundo de investimento imobiliário (FII)</w:t>
            </w:r>
          </w:p>
        </w:tc>
        <w:tc>
          <w:tcPr>
            <w:tcW w:w="4648" w:type="dxa"/>
          </w:tcPr>
          <w:p w14:paraId="21260E28" w14:textId="77777777" w:rsidR="00E86BE2" w:rsidRPr="0010524E" w:rsidRDefault="00E86BE2" w:rsidP="00E86BE2">
            <w:pPr>
              <w:spacing w:before="120" w:after="120"/>
              <w:rPr>
                <w:rFonts w:eastAsia="Times New Roman" w:cstheme="minorHAnsi"/>
                <w:color w:val="000000"/>
                <w:sz w:val="24"/>
                <w:szCs w:val="24"/>
                <w:lang w:eastAsia="pt-BR"/>
              </w:rPr>
            </w:pPr>
          </w:p>
        </w:tc>
      </w:tr>
      <w:tr w:rsidR="00E86BE2" w:rsidRPr="0010524E" w14:paraId="565629AC" w14:textId="6B49FAD1" w:rsidTr="00E86BE2">
        <w:tc>
          <w:tcPr>
            <w:tcW w:w="4815" w:type="dxa"/>
          </w:tcPr>
          <w:p w14:paraId="6DDA5CBA"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lastRenderedPageBreak/>
              <w:t>Art. 6º  Na seleção de fundo de investimento imobiliário (FII), a EFPC deve, adicionalmente ao disposto no art. 3º, analisar:</w:t>
            </w:r>
          </w:p>
        </w:tc>
        <w:tc>
          <w:tcPr>
            <w:tcW w:w="4849" w:type="dxa"/>
          </w:tcPr>
          <w:p w14:paraId="6D242D59" w14:textId="5CFD1DCB"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Art. 318.  Na seleção de fundo de investimento imobiliário (FII), a EFPC deve, adicionalmente ao disposto no art. 315, analisar:</w:t>
            </w:r>
          </w:p>
        </w:tc>
        <w:tc>
          <w:tcPr>
            <w:tcW w:w="4648" w:type="dxa"/>
          </w:tcPr>
          <w:p w14:paraId="1FECB12F"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Renumerado.</w:t>
            </w:r>
          </w:p>
        </w:tc>
      </w:tr>
      <w:tr w:rsidR="00E86BE2" w:rsidRPr="0010524E" w14:paraId="13EBAA26" w14:textId="69CBF389" w:rsidTr="00E86BE2">
        <w:tc>
          <w:tcPr>
            <w:tcW w:w="4815" w:type="dxa"/>
          </w:tcPr>
          <w:p w14:paraId="42897DE8"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 - as características dos créditos imobiliários e garantias atreladas, caso existam;</w:t>
            </w:r>
          </w:p>
        </w:tc>
        <w:tc>
          <w:tcPr>
            <w:tcW w:w="4849" w:type="dxa"/>
          </w:tcPr>
          <w:p w14:paraId="2FAFFFA1" w14:textId="6A49A1A5"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 - as características dos créditos imobiliários e garantias atreladas, caso existam;</w:t>
            </w:r>
          </w:p>
        </w:tc>
        <w:tc>
          <w:tcPr>
            <w:tcW w:w="4648" w:type="dxa"/>
          </w:tcPr>
          <w:p w14:paraId="0DEE8EDF"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2CCCDAD4" w14:textId="5F5DAA5D" w:rsidTr="00E86BE2">
        <w:tc>
          <w:tcPr>
            <w:tcW w:w="4815" w:type="dxa"/>
          </w:tcPr>
          <w:p w14:paraId="52EB42EE"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II - a descrição dos riscos inerentes aos ativos-alvo que podem ser investidos pelo FII;</w:t>
            </w:r>
          </w:p>
        </w:tc>
        <w:tc>
          <w:tcPr>
            <w:tcW w:w="4849" w:type="dxa"/>
          </w:tcPr>
          <w:p w14:paraId="2673771C" w14:textId="7D8B7514"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II - a descrição dos riscos inerentes aos ativos-alvo que podem ser investidos pelo fundo de investimento imobiliário;</w:t>
            </w:r>
          </w:p>
        </w:tc>
        <w:tc>
          <w:tcPr>
            <w:tcW w:w="4648" w:type="dxa"/>
          </w:tcPr>
          <w:p w14:paraId="36AD2E10"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15F1DEF1" w14:textId="4B88A1DF" w:rsidTr="00E86BE2">
        <w:tc>
          <w:tcPr>
            <w:tcW w:w="4815" w:type="dxa"/>
          </w:tcPr>
          <w:p w14:paraId="49F3C7A3"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III - o laudo de avaliação quando houver definição específica dos ativos-alvo que integrarão a carteira do FII;</w:t>
            </w:r>
          </w:p>
        </w:tc>
        <w:tc>
          <w:tcPr>
            <w:tcW w:w="4849" w:type="dxa"/>
          </w:tcPr>
          <w:p w14:paraId="283EA324" w14:textId="22F309FB"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III - o laudo de avaliação quando houver definição específica dos ativos-alvo que integrarão a carteira do fundo de investimento imobiliário;</w:t>
            </w:r>
          </w:p>
        </w:tc>
        <w:tc>
          <w:tcPr>
            <w:tcW w:w="4648" w:type="dxa"/>
          </w:tcPr>
          <w:p w14:paraId="06055746"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185EAEB4" w14:textId="288793B8" w:rsidTr="00E86BE2">
        <w:tc>
          <w:tcPr>
            <w:tcW w:w="4815" w:type="dxa"/>
          </w:tcPr>
          <w:p w14:paraId="7B02741A"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IV - fato relativo ao FII, considerado relevante, que possa afetar a decisão do potencial investidor no que diz respeito à aquisição das cotas do FII.</w:t>
            </w:r>
          </w:p>
        </w:tc>
        <w:tc>
          <w:tcPr>
            <w:tcW w:w="4849" w:type="dxa"/>
          </w:tcPr>
          <w:p w14:paraId="282CFE43" w14:textId="0BEF0D1C"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IV - fato relativo ao fundo de investimento imobiliário, considerado relevante, que possa afetar a decisão do potencial investidor no que diz respeito à aquisição das cotas do fundo de investimento imobiliário.</w:t>
            </w:r>
          </w:p>
        </w:tc>
        <w:tc>
          <w:tcPr>
            <w:tcW w:w="4648" w:type="dxa"/>
          </w:tcPr>
          <w:p w14:paraId="61230AB5"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2F6204E3" w14:textId="0BCFC0AD" w:rsidTr="00E86BE2">
        <w:tc>
          <w:tcPr>
            <w:tcW w:w="4815" w:type="dxa"/>
          </w:tcPr>
          <w:p w14:paraId="0360E6EB"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V - os critérios e metodologias utilizados pelo gestor ou empresa avaliadora independente por ele contratada para realizar a avaliação dos investimentos do FII ao valor justo; e</w:t>
            </w:r>
          </w:p>
        </w:tc>
        <w:tc>
          <w:tcPr>
            <w:tcW w:w="4849" w:type="dxa"/>
          </w:tcPr>
          <w:p w14:paraId="37876956" w14:textId="0209A70A"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t>V - os critérios e metodologias utilizados pelo gestor ou empresa avaliadora independente por ele contratada para realizar a avaliação dos investimentos do fundo de investimento imobiliário ao valor justo; e</w:t>
            </w:r>
          </w:p>
        </w:tc>
        <w:tc>
          <w:tcPr>
            <w:tcW w:w="4648" w:type="dxa"/>
          </w:tcPr>
          <w:p w14:paraId="60E0E946"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5933C58A" w14:textId="1DEF7D19" w:rsidTr="00E86BE2">
        <w:tc>
          <w:tcPr>
            <w:tcW w:w="4815" w:type="dxa"/>
          </w:tcPr>
          <w:p w14:paraId="5E6245DD"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 xml:space="preserve">VI - a política para a contratação de consultores e terceiros para auxiliar na gestão </w:t>
            </w:r>
            <w:r w:rsidRPr="0010524E">
              <w:rPr>
                <w:rFonts w:ascii="Calibri" w:hAnsi="Calibri"/>
                <w:color w:val="000000"/>
              </w:rPr>
              <w:lastRenderedPageBreak/>
              <w:t>dos ativos do FII ou dos empreendimentos imobiliários.</w:t>
            </w:r>
          </w:p>
        </w:tc>
        <w:tc>
          <w:tcPr>
            <w:tcW w:w="4849" w:type="dxa"/>
          </w:tcPr>
          <w:p w14:paraId="7B1F2179" w14:textId="5D31EF47" w:rsidR="00E86BE2" w:rsidRPr="0010524E" w:rsidRDefault="00E86BE2" w:rsidP="00E86BE2">
            <w:pPr>
              <w:pStyle w:val="textojustificado"/>
              <w:spacing w:before="0" w:beforeAutospacing="0" w:after="120" w:afterAutospacing="0"/>
              <w:ind w:right="120"/>
              <w:jc w:val="both"/>
              <w:rPr>
                <w:rStyle w:val="Forte"/>
                <w:rFonts w:ascii="Calibri" w:hAnsi="Calibri"/>
                <w:b w:val="0"/>
                <w:bCs w:val="0"/>
                <w:color w:val="000000"/>
              </w:rPr>
            </w:pPr>
            <w:r w:rsidRPr="0010524E">
              <w:rPr>
                <w:rFonts w:ascii="Calibri" w:hAnsi="Calibri"/>
              </w:rPr>
              <w:lastRenderedPageBreak/>
              <w:t xml:space="preserve">VI - a política para a contratação de consultores e terceiros para auxiliar na gestão dos ativos do fundo de investimento </w:t>
            </w:r>
            <w:r w:rsidRPr="0010524E">
              <w:rPr>
                <w:rFonts w:ascii="Calibri" w:hAnsi="Calibri"/>
              </w:rPr>
              <w:lastRenderedPageBreak/>
              <w:t>imobiliário ou dos empreendimentos imobiliários.</w:t>
            </w:r>
          </w:p>
        </w:tc>
        <w:tc>
          <w:tcPr>
            <w:tcW w:w="4648" w:type="dxa"/>
          </w:tcPr>
          <w:p w14:paraId="74541843"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722A0623" w14:textId="771CEECE" w:rsidTr="00E86BE2">
        <w:tc>
          <w:tcPr>
            <w:tcW w:w="4815" w:type="dxa"/>
          </w:tcPr>
          <w:p w14:paraId="322E1B12" w14:textId="77777777" w:rsidR="00E86BE2" w:rsidRPr="0010524E" w:rsidRDefault="00E86BE2" w:rsidP="00E86BE2">
            <w:pPr>
              <w:spacing w:after="120"/>
              <w:ind w:left="24"/>
              <w:jc w:val="both"/>
              <w:rPr>
                <w:rFonts w:ascii="Calibri" w:eastAsia="Times New Roman" w:hAnsi="Calibri" w:cs="Times New Roman"/>
                <w:color w:val="000000"/>
                <w:sz w:val="24"/>
                <w:szCs w:val="24"/>
                <w:lang w:eastAsia="pt-BR"/>
              </w:rPr>
            </w:pPr>
          </w:p>
        </w:tc>
        <w:tc>
          <w:tcPr>
            <w:tcW w:w="4849" w:type="dxa"/>
          </w:tcPr>
          <w:p w14:paraId="7605F4A8" w14:textId="77777777" w:rsidR="00E86BE2" w:rsidRDefault="00E86BE2" w:rsidP="00E86BE2">
            <w:pPr>
              <w:ind w:right="119"/>
              <w:jc w:val="center"/>
              <w:rPr>
                <w:rFonts w:ascii="Calibri" w:hAnsi="Calibri" w:cs="Times New Roman"/>
                <w:b/>
                <w:bCs/>
                <w:color w:val="000000"/>
                <w:sz w:val="24"/>
                <w:szCs w:val="24"/>
              </w:rPr>
            </w:pPr>
            <w:r w:rsidRPr="0010524E">
              <w:rPr>
                <w:rFonts w:ascii="Calibri" w:hAnsi="Calibri" w:cs="Times New Roman"/>
                <w:b/>
                <w:bCs/>
                <w:color w:val="000000"/>
                <w:sz w:val="24"/>
                <w:szCs w:val="24"/>
              </w:rPr>
              <w:t>Subseção VI</w:t>
            </w:r>
          </w:p>
          <w:p w14:paraId="2DD15682" w14:textId="5D87C04C" w:rsidR="00E86BE2" w:rsidRPr="0010524E" w:rsidRDefault="00E86BE2" w:rsidP="00E86BE2">
            <w:pPr>
              <w:ind w:right="119"/>
              <w:jc w:val="center"/>
              <w:rPr>
                <w:rStyle w:val="Forte"/>
                <w:rFonts w:ascii="Calibri" w:hAnsi="Calibri" w:cs="Times New Roman"/>
                <w:color w:val="000000"/>
                <w:sz w:val="24"/>
                <w:szCs w:val="24"/>
              </w:rPr>
            </w:pPr>
            <w:r w:rsidRPr="0010524E">
              <w:rPr>
                <w:rFonts w:ascii="Calibri" w:hAnsi="Calibri" w:cs="Times New Roman"/>
                <w:b/>
                <w:bCs/>
                <w:color w:val="000000"/>
                <w:sz w:val="24"/>
                <w:szCs w:val="24"/>
              </w:rPr>
              <w:t>Monitoramento de prestador de serviço de administração de carteiras de valores mobiliários</w:t>
            </w:r>
          </w:p>
        </w:tc>
        <w:tc>
          <w:tcPr>
            <w:tcW w:w="4648" w:type="dxa"/>
          </w:tcPr>
          <w:p w14:paraId="52F09251"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00E1FF62" w14:textId="1F66F16B" w:rsidTr="00E86BE2">
        <w:tc>
          <w:tcPr>
            <w:tcW w:w="4815" w:type="dxa"/>
          </w:tcPr>
          <w:p w14:paraId="65210390" w14:textId="77777777" w:rsidR="00E86BE2" w:rsidRPr="0010524E" w:rsidRDefault="00E86BE2" w:rsidP="00E86BE2">
            <w:pPr>
              <w:spacing w:after="120"/>
              <w:ind w:left="24"/>
              <w:jc w:val="both"/>
              <w:rPr>
                <w:rFonts w:ascii="Calibri" w:hAnsi="Calibri" w:cs="Times New Roman"/>
                <w:color w:val="000000"/>
                <w:sz w:val="24"/>
                <w:szCs w:val="24"/>
              </w:rPr>
            </w:pPr>
            <w:r w:rsidRPr="0010524E">
              <w:rPr>
                <w:rFonts w:ascii="Calibri" w:hAnsi="Calibri" w:cs="Times New Roman"/>
                <w:color w:val="000000"/>
                <w:sz w:val="24"/>
                <w:szCs w:val="24"/>
              </w:rPr>
              <w:t>Art. 7º  A EFPC no monitoramento de prestador de serviço de administração de carteiras de valores mobiliários deve, no mínimo:</w:t>
            </w:r>
          </w:p>
        </w:tc>
        <w:tc>
          <w:tcPr>
            <w:tcW w:w="4849" w:type="dxa"/>
          </w:tcPr>
          <w:p w14:paraId="3E9292F0" w14:textId="2376FEA3" w:rsidR="00E86BE2" w:rsidRPr="0010524E" w:rsidRDefault="00E86BE2" w:rsidP="00E86BE2">
            <w:pPr>
              <w:spacing w:after="120"/>
              <w:ind w:right="120"/>
              <w:jc w:val="both"/>
              <w:rPr>
                <w:rStyle w:val="Forte"/>
                <w:rFonts w:ascii="Calibri" w:hAnsi="Calibri" w:cs="Times New Roman"/>
                <w:b w:val="0"/>
                <w:bCs w:val="0"/>
                <w:color w:val="000000"/>
                <w:sz w:val="24"/>
                <w:szCs w:val="24"/>
              </w:rPr>
            </w:pPr>
            <w:r w:rsidRPr="0010524E">
              <w:rPr>
                <w:rFonts w:ascii="Calibri" w:hAnsi="Calibri"/>
                <w:sz w:val="24"/>
                <w:szCs w:val="24"/>
              </w:rPr>
              <w:t>Art. 319.  A EFPC no monitoramento de prestador de serviço de administração de carteiras de valores mobiliários deve, no mínimo:</w:t>
            </w:r>
          </w:p>
        </w:tc>
        <w:tc>
          <w:tcPr>
            <w:tcW w:w="4648" w:type="dxa"/>
          </w:tcPr>
          <w:p w14:paraId="181BE30C"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0E3C616F" w14:textId="3277275F" w:rsidTr="00E86BE2">
        <w:tc>
          <w:tcPr>
            <w:tcW w:w="4815" w:type="dxa"/>
          </w:tcPr>
          <w:p w14:paraId="790EF2AB" w14:textId="77777777" w:rsidR="00E86BE2" w:rsidRPr="0010524E" w:rsidRDefault="00E86BE2" w:rsidP="00E86BE2">
            <w:pPr>
              <w:spacing w:after="120"/>
              <w:ind w:left="24"/>
              <w:jc w:val="both"/>
              <w:rPr>
                <w:rFonts w:ascii="Calibri" w:hAnsi="Calibri" w:cs="Times New Roman"/>
                <w:color w:val="000000"/>
                <w:sz w:val="24"/>
                <w:szCs w:val="24"/>
              </w:rPr>
            </w:pPr>
            <w:r w:rsidRPr="0010524E">
              <w:rPr>
                <w:rFonts w:ascii="Calibri" w:hAnsi="Calibri" w:cs="Times New Roman"/>
                <w:color w:val="000000"/>
                <w:sz w:val="24"/>
                <w:szCs w:val="24"/>
              </w:rPr>
              <w:t>I - zelar pela manutenção da relação fiduciária entre a EFPC e o administrador de carteiras de valores mobiliários;</w:t>
            </w:r>
          </w:p>
        </w:tc>
        <w:tc>
          <w:tcPr>
            <w:tcW w:w="4849" w:type="dxa"/>
          </w:tcPr>
          <w:p w14:paraId="4D80806F" w14:textId="2F0F5DB2" w:rsidR="00E86BE2" w:rsidRPr="0010524E" w:rsidRDefault="00E86BE2" w:rsidP="00E86BE2">
            <w:pPr>
              <w:spacing w:after="120"/>
              <w:ind w:right="120"/>
              <w:jc w:val="both"/>
              <w:rPr>
                <w:rStyle w:val="Forte"/>
                <w:rFonts w:ascii="Calibri" w:hAnsi="Calibri" w:cs="Times New Roman"/>
                <w:b w:val="0"/>
                <w:bCs w:val="0"/>
                <w:color w:val="000000"/>
                <w:sz w:val="24"/>
                <w:szCs w:val="24"/>
              </w:rPr>
            </w:pPr>
            <w:r w:rsidRPr="0010524E">
              <w:rPr>
                <w:rFonts w:ascii="Calibri" w:hAnsi="Calibri"/>
                <w:sz w:val="24"/>
                <w:szCs w:val="24"/>
              </w:rPr>
              <w:t>I - zelar pela manutenção da relação fiduciária entre a EFPC e o administrador de carteiras de valores mobiliários;</w:t>
            </w:r>
          </w:p>
        </w:tc>
        <w:tc>
          <w:tcPr>
            <w:tcW w:w="4648" w:type="dxa"/>
          </w:tcPr>
          <w:p w14:paraId="55CC0082"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0E1A688A" w14:textId="27FE5D58" w:rsidTr="00E86BE2">
        <w:tc>
          <w:tcPr>
            <w:tcW w:w="4815" w:type="dxa"/>
          </w:tcPr>
          <w:p w14:paraId="3D728982" w14:textId="77777777" w:rsidR="00E86BE2" w:rsidRPr="0010524E" w:rsidRDefault="00E86BE2" w:rsidP="00E86BE2">
            <w:pPr>
              <w:spacing w:after="120"/>
              <w:ind w:left="24"/>
              <w:jc w:val="both"/>
              <w:rPr>
                <w:rFonts w:ascii="Calibri" w:hAnsi="Calibri" w:cs="Times New Roman"/>
                <w:color w:val="000000"/>
                <w:sz w:val="24"/>
                <w:szCs w:val="24"/>
              </w:rPr>
            </w:pPr>
            <w:r w:rsidRPr="0010524E">
              <w:rPr>
                <w:rFonts w:ascii="Calibri" w:hAnsi="Calibri" w:cs="Times New Roman"/>
                <w:color w:val="000000"/>
                <w:sz w:val="24"/>
                <w:szCs w:val="24"/>
              </w:rPr>
              <w:t>II - utilizar procedimentos e metodologias com critérios quantitativos e qualitativos;</w:t>
            </w:r>
          </w:p>
        </w:tc>
        <w:tc>
          <w:tcPr>
            <w:tcW w:w="4849" w:type="dxa"/>
          </w:tcPr>
          <w:p w14:paraId="6E12242E" w14:textId="04BF920A" w:rsidR="00E86BE2" w:rsidRPr="0010524E" w:rsidRDefault="00E86BE2" w:rsidP="00E86BE2">
            <w:pPr>
              <w:spacing w:after="120"/>
              <w:ind w:right="120"/>
              <w:jc w:val="both"/>
              <w:rPr>
                <w:rStyle w:val="Forte"/>
                <w:rFonts w:ascii="Calibri" w:hAnsi="Calibri" w:cs="Times New Roman"/>
                <w:b w:val="0"/>
                <w:bCs w:val="0"/>
                <w:color w:val="000000"/>
                <w:sz w:val="24"/>
                <w:szCs w:val="24"/>
              </w:rPr>
            </w:pPr>
            <w:r w:rsidRPr="0010524E">
              <w:rPr>
                <w:rFonts w:ascii="Calibri" w:hAnsi="Calibri"/>
                <w:sz w:val="24"/>
                <w:szCs w:val="24"/>
              </w:rPr>
              <w:t>II - utilizar procedimentos e metodologias com critérios quantitativos e qualitativos;</w:t>
            </w:r>
          </w:p>
        </w:tc>
        <w:tc>
          <w:tcPr>
            <w:tcW w:w="4648" w:type="dxa"/>
          </w:tcPr>
          <w:p w14:paraId="4902DE63"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262C9021" w14:textId="64E1462C" w:rsidTr="00E86BE2">
        <w:tc>
          <w:tcPr>
            <w:tcW w:w="4815" w:type="dxa"/>
          </w:tcPr>
          <w:p w14:paraId="2629312E" w14:textId="77777777" w:rsidR="00E86BE2" w:rsidRPr="0010524E" w:rsidRDefault="00E86BE2" w:rsidP="00E86BE2">
            <w:pPr>
              <w:spacing w:after="120"/>
              <w:ind w:left="24"/>
              <w:jc w:val="both"/>
              <w:rPr>
                <w:rFonts w:ascii="Calibri" w:hAnsi="Calibri" w:cs="Times New Roman"/>
                <w:color w:val="000000"/>
                <w:sz w:val="24"/>
                <w:szCs w:val="24"/>
              </w:rPr>
            </w:pPr>
            <w:r w:rsidRPr="0010524E">
              <w:rPr>
                <w:rFonts w:ascii="Calibri" w:hAnsi="Calibri" w:cs="Times New Roman"/>
                <w:color w:val="000000"/>
                <w:sz w:val="24"/>
                <w:szCs w:val="24"/>
              </w:rPr>
              <w:t>III - zelar pela transparência de informações divulgadas pelo gestor de recursos;</w:t>
            </w:r>
          </w:p>
        </w:tc>
        <w:tc>
          <w:tcPr>
            <w:tcW w:w="4849" w:type="dxa"/>
          </w:tcPr>
          <w:p w14:paraId="15506A49" w14:textId="209ABCE2" w:rsidR="00E86BE2" w:rsidRPr="0010524E" w:rsidRDefault="00E86BE2" w:rsidP="00E86BE2">
            <w:pPr>
              <w:spacing w:after="120"/>
              <w:ind w:right="120"/>
              <w:jc w:val="both"/>
              <w:rPr>
                <w:rStyle w:val="Forte"/>
                <w:rFonts w:ascii="Calibri" w:hAnsi="Calibri" w:cs="Times New Roman"/>
                <w:b w:val="0"/>
                <w:bCs w:val="0"/>
                <w:color w:val="000000"/>
                <w:sz w:val="24"/>
                <w:szCs w:val="24"/>
              </w:rPr>
            </w:pPr>
            <w:r w:rsidRPr="0010524E">
              <w:rPr>
                <w:rFonts w:ascii="Calibri" w:hAnsi="Calibri"/>
                <w:sz w:val="24"/>
                <w:szCs w:val="24"/>
              </w:rPr>
              <w:t>III - zelar pela transparência de informações divulgadas pelo gestor de recursos;</w:t>
            </w:r>
          </w:p>
        </w:tc>
        <w:tc>
          <w:tcPr>
            <w:tcW w:w="4648" w:type="dxa"/>
          </w:tcPr>
          <w:p w14:paraId="490A2B51"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1656F470" w14:textId="15D23955" w:rsidTr="00E86BE2">
        <w:tc>
          <w:tcPr>
            <w:tcW w:w="4815" w:type="dxa"/>
          </w:tcPr>
          <w:p w14:paraId="16A20354" w14:textId="77777777" w:rsidR="00E86BE2" w:rsidRPr="0010524E" w:rsidRDefault="00E86BE2" w:rsidP="00E86BE2">
            <w:pPr>
              <w:spacing w:after="120"/>
              <w:jc w:val="both"/>
              <w:rPr>
                <w:rFonts w:ascii="Calibri" w:hAnsi="Calibri" w:cs="Times New Roman"/>
                <w:color w:val="000000"/>
                <w:sz w:val="24"/>
                <w:szCs w:val="24"/>
              </w:rPr>
            </w:pPr>
            <w:r w:rsidRPr="0010524E">
              <w:rPr>
                <w:rFonts w:ascii="Calibri" w:hAnsi="Calibri" w:cs="Times New Roman"/>
                <w:color w:val="000000"/>
                <w:sz w:val="24"/>
                <w:szCs w:val="24"/>
              </w:rPr>
              <w:t>IV - monitorar o risco e o retorno esperado dos investimentos;</w:t>
            </w:r>
          </w:p>
        </w:tc>
        <w:tc>
          <w:tcPr>
            <w:tcW w:w="4849" w:type="dxa"/>
          </w:tcPr>
          <w:p w14:paraId="60666FFA" w14:textId="00A37402" w:rsidR="00E86BE2" w:rsidRPr="0010524E" w:rsidRDefault="00E86BE2" w:rsidP="00E86BE2">
            <w:pPr>
              <w:spacing w:after="120"/>
              <w:ind w:right="120"/>
              <w:jc w:val="both"/>
              <w:rPr>
                <w:rStyle w:val="Forte"/>
                <w:rFonts w:ascii="Calibri" w:hAnsi="Calibri" w:cs="Times New Roman"/>
                <w:b w:val="0"/>
                <w:bCs w:val="0"/>
                <w:color w:val="000000"/>
                <w:sz w:val="24"/>
                <w:szCs w:val="24"/>
              </w:rPr>
            </w:pPr>
            <w:r w:rsidRPr="0010524E">
              <w:rPr>
                <w:rFonts w:ascii="Calibri" w:hAnsi="Calibri"/>
                <w:sz w:val="24"/>
                <w:szCs w:val="24"/>
              </w:rPr>
              <w:t>IV - monitorar o risco e o retorno esperado dos investimentos, considerando os custos inerentes à utilização do serviço de administração de carteiras de valores mobiliários;</w:t>
            </w:r>
          </w:p>
        </w:tc>
        <w:tc>
          <w:tcPr>
            <w:tcW w:w="4648" w:type="dxa"/>
          </w:tcPr>
          <w:p w14:paraId="54E2A814"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Alterado. Inserção para atendimento às recomendações do relatório de avaliação de resultado regulatório (ARR), de 2022.</w:t>
            </w:r>
          </w:p>
        </w:tc>
      </w:tr>
      <w:tr w:rsidR="00E86BE2" w:rsidRPr="0010524E" w14:paraId="38CCFFF1" w14:textId="19636B7B" w:rsidTr="00E86BE2">
        <w:tc>
          <w:tcPr>
            <w:tcW w:w="4815" w:type="dxa"/>
          </w:tcPr>
          <w:p w14:paraId="20EC391E" w14:textId="77777777" w:rsidR="00E86BE2" w:rsidRPr="0010524E" w:rsidRDefault="00E86BE2" w:rsidP="00E86BE2">
            <w:pPr>
              <w:pStyle w:val="textojustificado"/>
              <w:spacing w:before="0" w:beforeAutospacing="0" w:after="120" w:afterAutospacing="0"/>
              <w:ind w:left="24" w:right="120"/>
              <w:jc w:val="both"/>
              <w:rPr>
                <w:rFonts w:ascii="Calibri" w:eastAsiaTheme="minorHAnsi" w:hAnsi="Calibri"/>
                <w:color w:val="000000"/>
                <w:lang w:eastAsia="en-US"/>
              </w:rPr>
            </w:pPr>
            <w:r w:rsidRPr="0010524E">
              <w:rPr>
                <w:rFonts w:ascii="Calibri" w:eastAsiaTheme="minorHAnsi" w:hAnsi="Calibri"/>
                <w:color w:val="000000"/>
                <w:lang w:eastAsia="en-US"/>
              </w:rPr>
              <w:t xml:space="preserve">V - monitorar se o administrador de carteira de valores mobiliários mantém estrutura de </w:t>
            </w:r>
            <w:r w:rsidRPr="0010524E">
              <w:rPr>
                <w:rFonts w:ascii="Calibri" w:eastAsiaTheme="minorHAnsi" w:hAnsi="Calibri"/>
                <w:color w:val="000000"/>
                <w:lang w:eastAsia="en-US"/>
              </w:rPr>
              <w:lastRenderedPageBreak/>
              <w:t>gerenciamento de investimentos e riscos compatível com a complexidade do mandato;</w:t>
            </w:r>
          </w:p>
        </w:tc>
        <w:tc>
          <w:tcPr>
            <w:tcW w:w="4849" w:type="dxa"/>
          </w:tcPr>
          <w:p w14:paraId="2157F1DE" w14:textId="15DEAF88" w:rsidR="00E86BE2" w:rsidRPr="0010524E" w:rsidRDefault="00E86BE2" w:rsidP="00E86BE2">
            <w:pPr>
              <w:spacing w:after="120"/>
              <w:ind w:right="120"/>
              <w:jc w:val="both"/>
              <w:rPr>
                <w:rStyle w:val="Forte"/>
                <w:rFonts w:ascii="Calibri" w:hAnsi="Calibri" w:cs="Times New Roman"/>
                <w:b w:val="0"/>
                <w:bCs w:val="0"/>
                <w:color w:val="000000"/>
                <w:sz w:val="24"/>
                <w:szCs w:val="24"/>
              </w:rPr>
            </w:pPr>
            <w:r w:rsidRPr="0010524E">
              <w:rPr>
                <w:rFonts w:ascii="Calibri" w:hAnsi="Calibri"/>
                <w:sz w:val="24"/>
                <w:szCs w:val="24"/>
              </w:rPr>
              <w:lastRenderedPageBreak/>
              <w:t xml:space="preserve">V - monitorar se o administrador de carteira de valores mobiliários mantém estrutura de </w:t>
            </w:r>
            <w:r w:rsidRPr="0010524E">
              <w:rPr>
                <w:rFonts w:ascii="Calibri" w:hAnsi="Calibri"/>
                <w:sz w:val="24"/>
                <w:szCs w:val="24"/>
              </w:rPr>
              <w:lastRenderedPageBreak/>
              <w:t>gerenciamento de investimentos e riscos compatível com a complexidade do mandato;</w:t>
            </w:r>
          </w:p>
        </w:tc>
        <w:tc>
          <w:tcPr>
            <w:tcW w:w="4648" w:type="dxa"/>
          </w:tcPr>
          <w:p w14:paraId="45E68D71"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5D9FB665" w14:textId="3F87A78A" w:rsidTr="00E86BE2">
        <w:tc>
          <w:tcPr>
            <w:tcW w:w="4815" w:type="dxa"/>
          </w:tcPr>
          <w:p w14:paraId="2B839CDD" w14:textId="77777777" w:rsidR="00E86BE2" w:rsidRPr="0010524E" w:rsidRDefault="00E86BE2" w:rsidP="00E86BE2">
            <w:pPr>
              <w:pStyle w:val="textojustificado"/>
              <w:spacing w:before="0" w:beforeAutospacing="0" w:after="120" w:afterAutospacing="0"/>
              <w:ind w:left="24" w:right="120"/>
              <w:jc w:val="both"/>
              <w:rPr>
                <w:rFonts w:ascii="Calibri" w:eastAsiaTheme="minorHAnsi" w:hAnsi="Calibri"/>
                <w:color w:val="000000"/>
                <w:lang w:eastAsia="en-US"/>
              </w:rPr>
            </w:pPr>
            <w:r w:rsidRPr="0010524E">
              <w:rPr>
                <w:rFonts w:ascii="Calibri" w:eastAsiaTheme="minorHAnsi" w:hAnsi="Calibri"/>
                <w:color w:val="000000"/>
                <w:lang w:eastAsia="en-US"/>
              </w:rPr>
              <w:t>VI - atuar com diligência e tempestividade nos casos de descumprimento dos mandatos; e</w:t>
            </w:r>
          </w:p>
        </w:tc>
        <w:tc>
          <w:tcPr>
            <w:tcW w:w="4849" w:type="dxa"/>
          </w:tcPr>
          <w:p w14:paraId="73259BBB" w14:textId="05AC4E64" w:rsidR="00E86BE2" w:rsidRPr="0010524E" w:rsidRDefault="00E86BE2" w:rsidP="00E86BE2">
            <w:pPr>
              <w:spacing w:after="120"/>
              <w:ind w:right="120"/>
              <w:jc w:val="both"/>
              <w:rPr>
                <w:rStyle w:val="Forte"/>
                <w:rFonts w:ascii="Calibri" w:hAnsi="Calibri" w:cs="Times New Roman"/>
                <w:b w:val="0"/>
                <w:bCs w:val="0"/>
                <w:color w:val="000000"/>
                <w:sz w:val="24"/>
                <w:szCs w:val="24"/>
              </w:rPr>
            </w:pPr>
            <w:r w:rsidRPr="0010524E">
              <w:rPr>
                <w:rFonts w:ascii="Calibri" w:hAnsi="Calibri"/>
                <w:sz w:val="24"/>
                <w:szCs w:val="24"/>
              </w:rPr>
              <w:t>VI - atuar com diligência e tempestividade nos casos de descumprimento dos mandatos; e</w:t>
            </w:r>
          </w:p>
        </w:tc>
        <w:tc>
          <w:tcPr>
            <w:tcW w:w="4648" w:type="dxa"/>
          </w:tcPr>
          <w:p w14:paraId="04D43FC9"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78A7ACCE" w14:textId="11346C43" w:rsidTr="00E86BE2">
        <w:tc>
          <w:tcPr>
            <w:tcW w:w="4815" w:type="dxa"/>
          </w:tcPr>
          <w:p w14:paraId="53251941" w14:textId="77777777" w:rsidR="00E86BE2" w:rsidRPr="0010524E" w:rsidRDefault="00E86BE2" w:rsidP="00E86BE2">
            <w:pPr>
              <w:pStyle w:val="textojustificado"/>
              <w:spacing w:before="0" w:beforeAutospacing="0" w:after="120" w:afterAutospacing="0"/>
              <w:ind w:left="24" w:right="120"/>
              <w:jc w:val="both"/>
              <w:rPr>
                <w:rFonts w:ascii="Calibri" w:eastAsiaTheme="minorHAnsi" w:hAnsi="Calibri"/>
                <w:color w:val="000000"/>
                <w:lang w:eastAsia="en-US"/>
              </w:rPr>
            </w:pPr>
            <w:r w:rsidRPr="0010524E">
              <w:rPr>
                <w:rFonts w:ascii="Calibri" w:eastAsiaTheme="minorHAnsi" w:hAnsi="Calibri"/>
                <w:color w:val="000000"/>
                <w:lang w:eastAsia="en-US"/>
              </w:rPr>
              <w:t>VII - avaliar as demonstrações financeiras anuais do fundo investido e o respectivo parecer dos auditores independentes.</w:t>
            </w:r>
          </w:p>
        </w:tc>
        <w:tc>
          <w:tcPr>
            <w:tcW w:w="4849" w:type="dxa"/>
          </w:tcPr>
          <w:p w14:paraId="5146C747" w14:textId="6B8DD785" w:rsidR="00E86BE2" w:rsidRPr="0010524E" w:rsidRDefault="00E86BE2" w:rsidP="00E86BE2">
            <w:pPr>
              <w:spacing w:after="120"/>
              <w:ind w:right="120"/>
              <w:jc w:val="both"/>
              <w:rPr>
                <w:rFonts w:ascii="Calibri" w:hAnsi="Calibri" w:cs="Times New Roman"/>
                <w:color w:val="000000"/>
                <w:sz w:val="24"/>
                <w:szCs w:val="24"/>
              </w:rPr>
            </w:pPr>
            <w:r w:rsidRPr="0010524E">
              <w:rPr>
                <w:rFonts w:ascii="Calibri" w:hAnsi="Calibri"/>
                <w:sz w:val="24"/>
                <w:szCs w:val="24"/>
              </w:rPr>
              <w:t>VII - avaliar as demonstrações financeiras anuais do fundo investido e o respectivo parecer dos auditores independentes.</w:t>
            </w:r>
          </w:p>
        </w:tc>
        <w:tc>
          <w:tcPr>
            <w:tcW w:w="4648" w:type="dxa"/>
          </w:tcPr>
          <w:p w14:paraId="2357C184"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0BADAAA7" w14:textId="1CEE7243" w:rsidTr="00E86BE2">
        <w:tc>
          <w:tcPr>
            <w:tcW w:w="4815" w:type="dxa"/>
          </w:tcPr>
          <w:p w14:paraId="539D6275" w14:textId="77777777" w:rsidR="00E86BE2" w:rsidRPr="0010524E" w:rsidRDefault="00E86BE2" w:rsidP="00E86BE2">
            <w:pPr>
              <w:spacing w:after="120"/>
              <w:ind w:left="24"/>
              <w:jc w:val="both"/>
              <w:rPr>
                <w:rFonts w:ascii="Calibri" w:hAnsi="Calibri" w:cs="Times New Roman"/>
                <w:color w:val="000000"/>
                <w:sz w:val="24"/>
                <w:szCs w:val="24"/>
              </w:rPr>
            </w:pPr>
          </w:p>
        </w:tc>
        <w:tc>
          <w:tcPr>
            <w:tcW w:w="4849" w:type="dxa"/>
          </w:tcPr>
          <w:p w14:paraId="40E55FF0" w14:textId="77777777" w:rsidR="00E86BE2" w:rsidRDefault="00E86BE2" w:rsidP="00E86BE2">
            <w:pPr>
              <w:pStyle w:val="textojustificado"/>
              <w:spacing w:before="0" w:beforeAutospacing="0" w:after="0" w:afterAutospacing="0"/>
              <w:ind w:right="119"/>
              <w:jc w:val="center"/>
              <w:rPr>
                <w:rStyle w:val="Forte"/>
                <w:rFonts w:ascii="Calibri" w:hAnsi="Calibri"/>
                <w:color w:val="000000"/>
              </w:rPr>
            </w:pPr>
            <w:r w:rsidRPr="0010524E">
              <w:rPr>
                <w:rStyle w:val="Forte"/>
                <w:rFonts w:ascii="Calibri" w:hAnsi="Calibri"/>
                <w:color w:val="000000"/>
              </w:rPr>
              <w:t>Subseção VII</w:t>
            </w:r>
          </w:p>
          <w:p w14:paraId="57D6F3A6" w14:textId="3A9E40FF" w:rsidR="00E86BE2" w:rsidRPr="0010524E" w:rsidRDefault="00E86BE2" w:rsidP="00E86BE2">
            <w:pPr>
              <w:pStyle w:val="textojustificado"/>
              <w:spacing w:before="0" w:beforeAutospacing="0" w:after="0" w:afterAutospacing="0"/>
              <w:ind w:right="119"/>
              <w:jc w:val="center"/>
              <w:rPr>
                <w:rFonts w:ascii="Calibri" w:hAnsi="Calibri"/>
                <w:b/>
                <w:bCs/>
                <w:color w:val="000000"/>
              </w:rPr>
            </w:pPr>
            <w:r w:rsidRPr="0010524E">
              <w:rPr>
                <w:rStyle w:val="Forte"/>
                <w:rFonts w:ascii="Calibri" w:hAnsi="Calibri"/>
                <w:color w:val="000000"/>
              </w:rPr>
              <w:t>Monitoramento de fundos de investimento</w:t>
            </w:r>
          </w:p>
        </w:tc>
        <w:tc>
          <w:tcPr>
            <w:tcW w:w="4648" w:type="dxa"/>
          </w:tcPr>
          <w:p w14:paraId="6C4E1CA4"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3963AB24" w14:textId="774E9CE9" w:rsidTr="00E86BE2">
        <w:tc>
          <w:tcPr>
            <w:tcW w:w="4815" w:type="dxa"/>
          </w:tcPr>
          <w:p w14:paraId="2DF884EA" w14:textId="77777777" w:rsidR="00E86BE2" w:rsidRPr="0010524E" w:rsidRDefault="00E86BE2" w:rsidP="00E86BE2">
            <w:pPr>
              <w:pStyle w:val="textojustificado"/>
              <w:spacing w:before="0" w:beforeAutospacing="0" w:after="120" w:afterAutospacing="0"/>
              <w:ind w:left="24" w:right="120"/>
              <w:jc w:val="both"/>
              <w:rPr>
                <w:rFonts w:ascii="Calibri" w:eastAsiaTheme="minorHAnsi" w:hAnsi="Calibri"/>
                <w:color w:val="000000"/>
                <w:lang w:eastAsia="en-US"/>
              </w:rPr>
            </w:pPr>
            <w:r w:rsidRPr="0010524E">
              <w:rPr>
                <w:rFonts w:ascii="Calibri" w:eastAsiaTheme="minorHAnsi" w:hAnsi="Calibri"/>
                <w:color w:val="000000"/>
                <w:lang w:eastAsia="en-US"/>
              </w:rPr>
              <w:t>Art. 8º  No monitoramento de fundo de investimento, a EFPC deve, no mínimo:</w:t>
            </w:r>
          </w:p>
        </w:tc>
        <w:tc>
          <w:tcPr>
            <w:tcW w:w="4849" w:type="dxa"/>
          </w:tcPr>
          <w:p w14:paraId="320FDA21" w14:textId="4A2A25FB"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rPr>
              <w:t>Art. 320.  No monitoramento de fundo de investimento, a EFPC deve, no mínimo:</w:t>
            </w:r>
          </w:p>
        </w:tc>
        <w:tc>
          <w:tcPr>
            <w:tcW w:w="4648" w:type="dxa"/>
          </w:tcPr>
          <w:p w14:paraId="252FE4A7"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5D11D1B4" w14:textId="2E6A404B" w:rsidTr="00E86BE2">
        <w:tc>
          <w:tcPr>
            <w:tcW w:w="4815" w:type="dxa"/>
          </w:tcPr>
          <w:p w14:paraId="3FA96111" w14:textId="77777777" w:rsidR="00E86BE2" w:rsidRPr="0010524E" w:rsidRDefault="00E86BE2" w:rsidP="00E86BE2">
            <w:pPr>
              <w:pStyle w:val="textojustificado"/>
              <w:spacing w:before="0" w:beforeAutospacing="0" w:after="120" w:afterAutospacing="0"/>
              <w:ind w:left="24" w:right="120"/>
              <w:jc w:val="both"/>
              <w:rPr>
                <w:rFonts w:ascii="Calibri" w:eastAsiaTheme="minorHAnsi" w:hAnsi="Calibri"/>
                <w:color w:val="000000"/>
                <w:lang w:eastAsia="en-US"/>
              </w:rPr>
            </w:pPr>
            <w:r w:rsidRPr="0010524E">
              <w:rPr>
                <w:rFonts w:ascii="Calibri" w:eastAsiaTheme="minorHAnsi" w:hAnsi="Calibri"/>
                <w:color w:val="000000"/>
                <w:lang w:eastAsia="en-US"/>
              </w:rPr>
              <w:t>I - utilizar procedimentos e metodologias com critérios quantitativos e qualitativos;</w:t>
            </w:r>
          </w:p>
        </w:tc>
        <w:tc>
          <w:tcPr>
            <w:tcW w:w="4849" w:type="dxa"/>
          </w:tcPr>
          <w:p w14:paraId="5FFD8C9C" w14:textId="6FE1E3EA"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rPr>
              <w:t>I - utilizar procedimentos e metodologias com critérios quantitativos e qualitativos;</w:t>
            </w:r>
          </w:p>
        </w:tc>
        <w:tc>
          <w:tcPr>
            <w:tcW w:w="4648" w:type="dxa"/>
          </w:tcPr>
          <w:p w14:paraId="1D0828CC"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79BDD0B9" w14:textId="25E73B32" w:rsidTr="00E86BE2">
        <w:tc>
          <w:tcPr>
            <w:tcW w:w="4815" w:type="dxa"/>
          </w:tcPr>
          <w:p w14:paraId="0FA6DE0E" w14:textId="77777777" w:rsidR="00E86BE2" w:rsidRPr="0010524E" w:rsidRDefault="00E86BE2" w:rsidP="00E86BE2">
            <w:pPr>
              <w:pStyle w:val="textojustificado"/>
              <w:spacing w:before="0" w:beforeAutospacing="0" w:after="120" w:afterAutospacing="0"/>
              <w:ind w:left="24" w:right="120"/>
              <w:jc w:val="both"/>
              <w:rPr>
                <w:rFonts w:ascii="Calibri" w:eastAsiaTheme="minorHAnsi" w:hAnsi="Calibri"/>
                <w:color w:val="000000"/>
                <w:lang w:eastAsia="en-US"/>
              </w:rPr>
            </w:pPr>
            <w:r w:rsidRPr="0010524E">
              <w:rPr>
                <w:rFonts w:ascii="Calibri" w:eastAsiaTheme="minorHAnsi" w:hAnsi="Calibri"/>
                <w:color w:val="000000"/>
                <w:lang w:eastAsia="en-US"/>
              </w:rPr>
              <w:t>II - monitorar o risco e o retorno esperado dos investimentos;</w:t>
            </w:r>
          </w:p>
          <w:p w14:paraId="0FA175A3" w14:textId="77777777" w:rsidR="00E86BE2" w:rsidRPr="0010524E" w:rsidRDefault="00E86BE2" w:rsidP="00E86BE2">
            <w:pPr>
              <w:spacing w:after="120"/>
              <w:ind w:left="24"/>
              <w:jc w:val="both"/>
              <w:rPr>
                <w:rFonts w:ascii="Calibri" w:hAnsi="Calibri" w:cs="Times New Roman"/>
                <w:color w:val="000000"/>
                <w:sz w:val="24"/>
                <w:szCs w:val="24"/>
              </w:rPr>
            </w:pPr>
          </w:p>
        </w:tc>
        <w:tc>
          <w:tcPr>
            <w:tcW w:w="4849" w:type="dxa"/>
          </w:tcPr>
          <w:p w14:paraId="402AAAAF" w14:textId="16C71F98" w:rsidR="00E86BE2" w:rsidRPr="0010524E" w:rsidRDefault="00E86BE2" w:rsidP="00E86BE2">
            <w:pPr>
              <w:pStyle w:val="textojustificado"/>
              <w:spacing w:before="0" w:beforeAutospacing="0" w:after="120" w:afterAutospacing="0"/>
              <w:ind w:right="120"/>
              <w:jc w:val="both"/>
              <w:rPr>
                <w:rFonts w:ascii="Calibri" w:hAnsi="Calibri"/>
                <w:color w:val="FF0000"/>
              </w:rPr>
            </w:pPr>
            <w:r w:rsidRPr="0010524E">
              <w:rPr>
                <w:rFonts w:ascii="Calibri" w:hAnsi="Calibri"/>
              </w:rPr>
              <w:t>II - monitorar o risco e o retorno esperado dos investimentos, considerando as taxas de administração, gestão e performance efetivas dos fundos, principalmente daqueles que possam adquirir cotas de outros fundos de investimento;</w:t>
            </w:r>
          </w:p>
        </w:tc>
        <w:tc>
          <w:tcPr>
            <w:tcW w:w="4648" w:type="dxa"/>
          </w:tcPr>
          <w:p w14:paraId="3FE2C574"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Alterado. Inserção em atendimento às recomendações do relatório de avaliação de resultado regulatório (ARR).</w:t>
            </w:r>
          </w:p>
        </w:tc>
      </w:tr>
      <w:tr w:rsidR="00E86BE2" w:rsidRPr="0010524E" w14:paraId="520BCC25" w14:textId="72B778E3" w:rsidTr="00E86BE2">
        <w:tc>
          <w:tcPr>
            <w:tcW w:w="4815" w:type="dxa"/>
          </w:tcPr>
          <w:p w14:paraId="01FD4465"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III - analisar os relatórios divulgados pelos fundos de investimento, observando a ocorrência de fatos relevantes; e</w:t>
            </w:r>
          </w:p>
        </w:tc>
        <w:tc>
          <w:tcPr>
            <w:tcW w:w="4849" w:type="dxa"/>
          </w:tcPr>
          <w:p w14:paraId="6C357B7B" w14:textId="404D083E"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rPr>
              <w:t>III - analisar os relatórios divulgados pelo fundo de investimento, observando a ocorrência de fatos relevantes; e</w:t>
            </w:r>
          </w:p>
        </w:tc>
        <w:tc>
          <w:tcPr>
            <w:tcW w:w="4648" w:type="dxa"/>
          </w:tcPr>
          <w:p w14:paraId="5ACEFEA4"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074775FA" w14:textId="0449F45B" w:rsidTr="00E86BE2">
        <w:tc>
          <w:tcPr>
            <w:tcW w:w="4815" w:type="dxa"/>
          </w:tcPr>
          <w:p w14:paraId="29A376DE"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IV - analisar a aderência do fundo de investimento à política de investimento da EFPC.</w:t>
            </w:r>
          </w:p>
        </w:tc>
        <w:tc>
          <w:tcPr>
            <w:tcW w:w="4849" w:type="dxa"/>
          </w:tcPr>
          <w:p w14:paraId="7F13EACD" w14:textId="0D65AE88"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rPr>
              <w:t>IV - analisar a aderência do fundo de investimento à política de investimento da EFPC.</w:t>
            </w:r>
          </w:p>
        </w:tc>
        <w:tc>
          <w:tcPr>
            <w:tcW w:w="4648" w:type="dxa"/>
          </w:tcPr>
          <w:p w14:paraId="3A23B79B" w14:textId="77777777" w:rsidR="00E86BE2" w:rsidRPr="0010524E" w:rsidRDefault="00E86BE2" w:rsidP="00E86BE2">
            <w:pPr>
              <w:spacing w:after="120"/>
              <w:rPr>
                <w:rFonts w:eastAsia="Times New Roman" w:cstheme="minorHAnsi"/>
                <w:color w:val="000000"/>
                <w:sz w:val="24"/>
                <w:szCs w:val="24"/>
                <w:lang w:eastAsia="pt-BR"/>
              </w:rPr>
            </w:pPr>
          </w:p>
        </w:tc>
      </w:tr>
      <w:tr w:rsidR="00E86BE2" w:rsidRPr="0010524E" w14:paraId="471C3F41" w14:textId="691EA77B" w:rsidTr="00E86BE2">
        <w:tc>
          <w:tcPr>
            <w:tcW w:w="4815" w:type="dxa"/>
          </w:tcPr>
          <w:p w14:paraId="135792A0"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Style w:val="Forte"/>
                <w:rFonts w:ascii="Calibri" w:hAnsi="Calibri"/>
                <w:color w:val="000000"/>
              </w:rPr>
              <w:lastRenderedPageBreak/>
              <w:t>Fundo de investimento constituído no exterior</w:t>
            </w:r>
          </w:p>
        </w:tc>
        <w:tc>
          <w:tcPr>
            <w:tcW w:w="4849" w:type="dxa"/>
          </w:tcPr>
          <w:p w14:paraId="71692910" w14:textId="6A593821" w:rsidR="00E86BE2" w:rsidRDefault="00E86BE2" w:rsidP="00E86BE2">
            <w:pPr>
              <w:pStyle w:val="textojustificado"/>
              <w:spacing w:before="0" w:beforeAutospacing="0" w:after="120" w:afterAutospacing="0"/>
              <w:ind w:right="120"/>
              <w:jc w:val="center"/>
              <w:rPr>
                <w:rStyle w:val="Forte"/>
                <w:rFonts w:ascii="Calibri" w:hAnsi="Calibri"/>
                <w:color w:val="000000"/>
              </w:rPr>
            </w:pPr>
            <w:r w:rsidRPr="0010524E">
              <w:rPr>
                <w:rStyle w:val="Forte"/>
                <w:rFonts w:ascii="Calibri" w:hAnsi="Calibri"/>
                <w:color w:val="000000"/>
              </w:rPr>
              <w:t>Subseção VIII</w:t>
            </w:r>
          </w:p>
          <w:p w14:paraId="21A0AF10" w14:textId="7F1F5E14" w:rsidR="00E86BE2" w:rsidRPr="0010524E" w:rsidRDefault="00E86BE2" w:rsidP="00E86BE2">
            <w:pPr>
              <w:pStyle w:val="textojustificado"/>
              <w:spacing w:before="0" w:beforeAutospacing="0" w:after="120" w:afterAutospacing="0"/>
              <w:ind w:right="120"/>
              <w:jc w:val="center"/>
              <w:rPr>
                <w:rFonts w:ascii="Calibri" w:hAnsi="Calibri"/>
                <w:color w:val="000000"/>
              </w:rPr>
            </w:pPr>
            <w:r w:rsidRPr="0010524E">
              <w:rPr>
                <w:rStyle w:val="Forte"/>
                <w:rFonts w:ascii="Calibri" w:hAnsi="Calibri"/>
                <w:color w:val="000000"/>
              </w:rPr>
              <w:t>Fundo de investimento constituído no exterior</w:t>
            </w:r>
          </w:p>
        </w:tc>
        <w:tc>
          <w:tcPr>
            <w:tcW w:w="4648" w:type="dxa"/>
          </w:tcPr>
          <w:p w14:paraId="2C68AF5D" w14:textId="77777777" w:rsidR="00E86BE2" w:rsidRPr="0010524E" w:rsidRDefault="00E86BE2" w:rsidP="00E86BE2">
            <w:pPr>
              <w:spacing w:after="120"/>
              <w:rPr>
                <w:rFonts w:eastAsia="Times New Roman" w:cstheme="minorHAnsi"/>
                <w:color w:val="000000"/>
                <w:sz w:val="24"/>
                <w:szCs w:val="24"/>
                <w:lang w:eastAsia="pt-BR"/>
              </w:rPr>
            </w:pPr>
          </w:p>
        </w:tc>
      </w:tr>
      <w:tr w:rsidR="00E86BE2" w:rsidRPr="0010524E" w14:paraId="557684AD" w14:textId="61D71BD1" w:rsidTr="00E86BE2">
        <w:tc>
          <w:tcPr>
            <w:tcW w:w="4815" w:type="dxa"/>
          </w:tcPr>
          <w:p w14:paraId="21B36A7F" w14:textId="77777777" w:rsidR="00E86BE2" w:rsidRPr="0010524E" w:rsidRDefault="00E86BE2" w:rsidP="00E86BE2">
            <w:pPr>
              <w:pStyle w:val="textojustificado"/>
              <w:spacing w:before="0" w:beforeAutospacing="0" w:after="120" w:afterAutospacing="0"/>
              <w:ind w:left="24" w:right="120"/>
              <w:jc w:val="both"/>
              <w:rPr>
                <w:rFonts w:ascii="Calibri" w:eastAsiaTheme="minorHAnsi" w:hAnsi="Calibri"/>
                <w:color w:val="000000"/>
                <w:lang w:eastAsia="en-US"/>
              </w:rPr>
            </w:pPr>
            <w:r w:rsidRPr="0010524E">
              <w:rPr>
                <w:rFonts w:ascii="Calibri" w:eastAsiaTheme="minorHAnsi" w:hAnsi="Calibri"/>
                <w:color w:val="000000"/>
                <w:lang w:eastAsia="en-US"/>
              </w:rPr>
              <w:t>Art. 9º Para fins do disposto no inciso II do § 1º do art. 26 da Resolução nº 4.661, de 2018, do CMN, considera-se como gestor do fundo de investimento constituído no exterior:</w:t>
            </w:r>
          </w:p>
        </w:tc>
        <w:tc>
          <w:tcPr>
            <w:tcW w:w="4849" w:type="dxa"/>
          </w:tcPr>
          <w:p w14:paraId="7B09415B" w14:textId="3EBDB6AE"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rPr>
              <w:t>Art. 321.  Para fins do disposto no inciso II do §1º do art. 26 da Resolução CMN nº 4.994, de 2022, considera-se como gestor do fundo de investimento constituído no exterior:</w:t>
            </w:r>
          </w:p>
        </w:tc>
        <w:tc>
          <w:tcPr>
            <w:tcW w:w="4648" w:type="dxa"/>
          </w:tcPr>
          <w:p w14:paraId="2D1D3B3E" w14:textId="77777777" w:rsidR="00E86BE2" w:rsidRPr="0010524E" w:rsidRDefault="00E86BE2" w:rsidP="00E86BE2">
            <w:pPr>
              <w:spacing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Renumerado. Atualização da referência normativa.</w:t>
            </w:r>
          </w:p>
        </w:tc>
      </w:tr>
      <w:tr w:rsidR="00E86BE2" w:rsidRPr="0010524E" w14:paraId="5A68244D" w14:textId="5347AAE0" w:rsidTr="00E86BE2">
        <w:tc>
          <w:tcPr>
            <w:tcW w:w="4815" w:type="dxa"/>
          </w:tcPr>
          <w:p w14:paraId="3ECCC1CE" w14:textId="77777777" w:rsidR="00E86BE2" w:rsidRPr="0010524E" w:rsidRDefault="00E86BE2" w:rsidP="00E86BE2">
            <w:pPr>
              <w:pStyle w:val="textojustificado"/>
              <w:spacing w:before="0" w:beforeAutospacing="0" w:after="120" w:afterAutospacing="0"/>
              <w:ind w:right="120"/>
              <w:jc w:val="both"/>
              <w:rPr>
                <w:rFonts w:ascii="Calibri" w:eastAsiaTheme="minorHAnsi" w:hAnsi="Calibri"/>
                <w:color w:val="000000"/>
                <w:lang w:eastAsia="en-US"/>
              </w:rPr>
            </w:pPr>
            <w:r w:rsidRPr="0010524E">
              <w:rPr>
                <w:rFonts w:ascii="Calibri" w:eastAsiaTheme="minorHAnsi" w:hAnsi="Calibri"/>
                <w:color w:val="000000"/>
                <w:lang w:eastAsia="en-US"/>
              </w:rPr>
              <w:t>I - pessoa jurídica que realize diretamente a gestão da carteira de valores mobiliários do respectivo fundo de investimento constituído no exterior, com autorização e supervisão de autoridade local reconhecida conforme estabelecido na regulamentação da CVM; ou</w:t>
            </w:r>
          </w:p>
        </w:tc>
        <w:tc>
          <w:tcPr>
            <w:tcW w:w="4849" w:type="dxa"/>
          </w:tcPr>
          <w:p w14:paraId="5033D753" w14:textId="5CBE175E"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rPr>
              <w:t>I - pessoa jurídica que realize diretamente a gestão da carteira de valores mobiliários do respectivo fundo de investimento constituído no exterior, com autorização e supervisão de autoridade local reconhecida conforme estabelecido na regulamentação da Comissão de Valores Mobiliários; ou</w:t>
            </w:r>
          </w:p>
        </w:tc>
        <w:tc>
          <w:tcPr>
            <w:tcW w:w="4648" w:type="dxa"/>
          </w:tcPr>
          <w:p w14:paraId="6FD85CAC" w14:textId="77777777" w:rsidR="00E86BE2" w:rsidRPr="0010524E" w:rsidRDefault="00E86BE2" w:rsidP="00E86BE2">
            <w:pPr>
              <w:pStyle w:val="textojustificado"/>
              <w:spacing w:before="0" w:beforeAutospacing="0" w:after="120" w:afterAutospacing="0"/>
              <w:ind w:right="120"/>
              <w:rPr>
                <w:rFonts w:ascii="Calibri" w:hAnsi="Calibri"/>
                <w:color w:val="000000"/>
              </w:rPr>
            </w:pPr>
          </w:p>
        </w:tc>
      </w:tr>
      <w:tr w:rsidR="00E86BE2" w:rsidRPr="0010524E" w14:paraId="147549BE" w14:textId="0354E93B" w:rsidTr="00E86BE2">
        <w:tc>
          <w:tcPr>
            <w:tcW w:w="4815" w:type="dxa"/>
          </w:tcPr>
          <w:p w14:paraId="68457483" w14:textId="77777777"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color w:val="000000"/>
              </w:rPr>
              <w:t xml:space="preserve">II - pessoa jurídica pertencente ao mesmo grupo econômico do gestor referido no inciso I do </w:t>
            </w:r>
            <w:r w:rsidRPr="0010524E">
              <w:rPr>
                <w:rFonts w:ascii="Calibri" w:hAnsi="Calibri"/>
                <w:b/>
                <w:bCs/>
                <w:color w:val="000000"/>
              </w:rPr>
              <w:t>caput</w:t>
            </w:r>
            <w:r w:rsidRPr="0010524E">
              <w:rPr>
                <w:rFonts w:ascii="Calibri" w:hAnsi="Calibri"/>
                <w:color w:val="000000"/>
              </w:rPr>
              <w:t>.</w:t>
            </w:r>
          </w:p>
        </w:tc>
        <w:tc>
          <w:tcPr>
            <w:tcW w:w="4849" w:type="dxa"/>
          </w:tcPr>
          <w:p w14:paraId="4B93BDED" w14:textId="44ADBDB6" w:rsidR="00E86BE2" w:rsidRPr="0010524E" w:rsidRDefault="00E86BE2" w:rsidP="00E86BE2">
            <w:pPr>
              <w:pStyle w:val="textojustificado"/>
              <w:spacing w:before="0" w:beforeAutospacing="0" w:after="120" w:afterAutospacing="0"/>
              <w:ind w:right="120"/>
              <w:jc w:val="both"/>
              <w:rPr>
                <w:rFonts w:ascii="Calibri" w:hAnsi="Calibri"/>
                <w:color w:val="000000"/>
              </w:rPr>
            </w:pPr>
            <w:r w:rsidRPr="0010524E">
              <w:rPr>
                <w:rFonts w:ascii="Calibri" w:hAnsi="Calibri"/>
              </w:rPr>
              <w:t>II - pessoa jurídica pertencente ao mesmo grupo econômico do gestor referido no inciso I.</w:t>
            </w:r>
          </w:p>
        </w:tc>
        <w:tc>
          <w:tcPr>
            <w:tcW w:w="4648" w:type="dxa"/>
          </w:tcPr>
          <w:p w14:paraId="7DE9FBFE" w14:textId="77777777" w:rsidR="00E86BE2" w:rsidRPr="0010524E" w:rsidRDefault="00E86BE2" w:rsidP="00E86BE2">
            <w:pPr>
              <w:spacing w:after="120"/>
              <w:rPr>
                <w:rFonts w:eastAsia="Times New Roman" w:cstheme="minorHAnsi"/>
                <w:color w:val="000000"/>
                <w:sz w:val="24"/>
                <w:szCs w:val="24"/>
                <w:lang w:eastAsia="pt-BR"/>
              </w:rPr>
            </w:pPr>
          </w:p>
        </w:tc>
      </w:tr>
      <w:tr w:rsidR="00E86BE2" w:rsidRPr="0010524E" w14:paraId="28F03898" w14:textId="488816D2" w:rsidTr="00E86BE2">
        <w:tc>
          <w:tcPr>
            <w:tcW w:w="4815" w:type="dxa"/>
          </w:tcPr>
          <w:p w14:paraId="729ACB46" w14:textId="77777777" w:rsidR="00E86BE2" w:rsidRPr="0010524E" w:rsidRDefault="00E86BE2" w:rsidP="00E86BE2">
            <w:pPr>
              <w:pStyle w:val="textojustificado"/>
              <w:spacing w:before="0" w:beforeAutospacing="0" w:after="120" w:afterAutospacing="0"/>
              <w:ind w:left="24" w:right="120"/>
              <w:jc w:val="both"/>
              <w:rPr>
                <w:rFonts w:ascii="Calibri" w:hAnsi="Calibri"/>
                <w:color w:val="000000"/>
              </w:rPr>
            </w:pPr>
            <w:r w:rsidRPr="0010524E">
              <w:rPr>
                <w:rFonts w:ascii="Calibri" w:hAnsi="Calibri"/>
                <w:color w:val="000000"/>
              </w:rPr>
              <w:t>Art. 10.  Esta Instrução entra em vigor na data de sua publicação.</w:t>
            </w:r>
          </w:p>
        </w:tc>
        <w:tc>
          <w:tcPr>
            <w:tcW w:w="4849" w:type="dxa"/>
          </w:tcPr>
          <w:p w14:paraId="377520AF" w14:textId="77777777" w:rsidR="00E86BE2" w:rsidRPr="0010524E" w:rsidRDefault="00E86BE2" w:rsidP="00E86BE2">
            <w:pPr>
              <w:spacing w:after="120"/>
              <w:ind w:right="120"/>
              <w:jc w:val="both"/>
              <w:rPr>
                <w:rFonts w:ascii="Calibri" w:hAnsi="Calibri" w:cs="Times New Roman"/>
                <w:color w:val="000000"/>
                <w:sz w:val="24"/>
                <w:szCs w:val="24"/>
              </w:rPr>
            </w:pPr>
          </w:p>
        </w:tc>
        <w:tc>
          <w:tcPr>
            <w:tcW w:w="4648" w:type="dxa"/>
          </w:tcPr>
          <w:p w14:paraId="2373B4EA" w14:textId="77777777" w:rsidR="00E86BE2" w:rsidRPr="0010524E" w:rsidRDefault="00E86BE2" w:rsidP="00E86BE2">
            <w:pPr>
              <w:spacing w:after="120"/>
              <w:rPr>
                <w:rFonts w:eastAsia="Times New Roman" w:cstheme="minorHAnsi"/>
                <w:color w:val="000000"/>
                <w:sz w:val="24"/>
                <w:szCs w:val="24"/>
                <w:lang w:eastAsia="pt-BR"/>
              </w:rPr>
            </w:pPr>
            <w:r w:rsidRPr="0010524E">
              <w:rPr>
                <w:rFonts w:eastAsia="Times New Roman" w:cstheme="minorHAnsi"/>
                <w:color w:val="000000"/>
                <w:sz w:val="24"/>
                <w:szCs w:val="24"/>
                <w:lang w:eastAsia="pt-BR"/>
              </w:rPr>
              <w:t>Excluído.</w:t>
            </w:r>
          </w:p>
        </w:tc>
      </w:tr>
      <w:tr w:rsidR="00E86BE2" w:rsidRPr="0010524E" w14:paraId="7AF2A803" w14:textId="62665F8E" w:rsidTr="00E86BE2">
        <w:tc>
          <w:tcPr>
            <w:tcW w:w="4815" w:type="dxa"/>
          </w:tcPr>
          <w:p w14:paraId="0EF193BE" w14:textId="77777777" w:rsidR="00E86BE2" w:rsidRPr="0010524E" w:rsidRDefault="00E86BE2" w:rsidP="00E86BE2">
            <w:pPr>
              <w:spacing w:after="120"/>
              <w:jc w:val="center"/>
              <w:rPr>
                <w:sz w:val="24"/>
                <w:szCs w:val="24"/>
              </w:rPr>
            </w:pPr>
          </w:p>
        </w:tc>
        <w:tc>
          <w:tcPr>
            <w:tcW w:w="4849" w:type="dxa"/>
          </w:tcPr>
          <w:p w14:paraId="272B4300" w14:textId="77777777" w:rsidR="00E86BE2" w:rsidRPr="0010524E" w:rsidRDefault="00E86BE2" w:rsidP="00E86BE2">
            <w:pPr>
              <w:spacing w:after="120"/>
              <w:jc w:val="center"/>
              <w:rPr>
                <w:sz w:val="24"/>
                <w:szCs w:val="24"/>
              </w:rPr>
            </w:pPr>
            <w:r w:rsidRPr="0010524E">
              <w:rPr>
                <w:sz w:val="24"/>
                <w:szCs w:val="24"/>
              </w:rPr>
              <w:t>CAPÍTULO VII</w:t>
            </w:r>
          </w:p>
          <w:p w14:paraId="64BD9260" w14:textId="483009B0" w:rsidR="00E86BE2" w:rsidRPr="0010524E" w:rsidRDefault="00E86BE2" w:rsidP="00E86BE2">
            <w:pPr>
              <w:spacing w:after="120"/>
              <w:jc w:val="center"/>
              <w:rPr>
                <w:sz w:val="24"/>
                <w:szCs w:val="24"/>
              </w:rPr>
            </w:pPr>
            <w:r w:rsidRPr="0010524E">
              <w:rPr>
                <w:sz w:val="24"/>
                <w:szCs w:val="24"/>
              </w:rPr>
              <w:t>GOVERNANÇA</w:t>
            </w:r>
          </w:p>
        </w:tc>
        <w:tc>
          <w:tcPr>
            <w:tcW w:w="4648" w:type="dxa"/>
          </w:tcPr>
          <w:p w14:paraId="57A5491C" w14:textId="77777777" w:rsidR="00E86BE2" w:rsidRPr="0010524E" w:rsidRDefault="00E86BE2" w:rsidP="00E86BE2">
            <w:pPr>
              <w:spacing w:after="120"/>
              <w:jc w:val="center"/>
              <w:rPr>
                <w:sz w:val="24"/>
                <w:szCs w:val="24"/>
              </w:rPr>
            </w:pPr>
            <w:r w:rsidRPr="0010524E">
              <w:rPr>
                <w:sz w:val="24"/>
                <w:szCs w:val="24"/>
              </w:rPr>
              <w:t>Consolidação Normativa</w:t>
            </w:r>
          </w:p>
        </w:tc>
      </w:tr>
      <w:tr w:rsidR="00E86BE2" w:rsidRPr="0010524E" w14:paraId="647CB345" w14:textId="558C5429" w:rsidTr="00E86BE2">
        <w:tc>
          <w:tcPr>
            <w:tcW w:w="4815" w:type="dxa"/>
          </w:tcPr>
          <w:p w14:paraId="7B62F542" w14:textId="77777777" w:rsidR="00E86BE2" w:rsidRPr="0010524E" w:rsidRDefault="00E86BE2" w:rsidP="00E86BE2">
            <w:pPr>
              <w:spacing w:after="120"/>
              <w:jc w:val="center"/>
              <w:rPr>
                <w:b/>
                <w:sz w:val="24"/>
                <w:szCs w:val="24"/>
              </w:rPr>
            </w:pPr>
          </w:p>
        </w:tc>
        <w:tc>
          <w:tcPr>
            <w:tcW w:w="4849" w:type="dxa"/>
          </w:tcPr>
          <w:p w14:paraId="726A7AB5" w14:textId="77777777" w:rsidR="00E86BE2" w:rsidRDefault="00E86BE2" w:rsidP="00E86BE2">
            <w:pPr>
              <w:spacing w:after="120"/>
              <w:jc w:val="center"/>
              <w:rPr>
                <w:b/>
                <w:sz w:val="24"/>
                <w:szCs w:val="24"/>
              </w:rPr>
            </w:pPr>
            <w:r w:rsidRPr="0010524E">
              <w:rPr>
                <w:b/>
                <w:sz w:val="24"/>
                <w:szCs w:val="24"/>
              </w:rPr>
              <w:t>Seção I</w:t>
            </w:r>
          </w:p>
          <w:p w14:paraId="1E67E854" w14:textId="79F25A0D" w:rsidR="00E86BE2" w:rsidRPr="0010524E" w:rsidRDefault="00E86BE2" w:rsidP="00E86BE2">
            <w:pPr>
              <w:spacing w:after="120"/>
              <w:jc w:val="center"/>
              <w:rPr>
                <w:b/>
                <w:sz w:val="24"/>
                <w:szCs w:val="24"/>
              </w:rPr>
            </w:pPr>
            <w:r w:rsidRPr="0010524E">
              <w:rPr>
                <w:b/>
                <w:sz w:val="24"/>
                <w:szCs w:val="24"/>
              </w:rPr>
              <w:t>Estrutura da governança</w:t>
            </w:r>
          </w:p>
        </w:tc>
        <w:tc>
          <w:tcPr>
            <w:tcW w:w="4648" w:type="dxa"/>
          </w:tcPr>
          <w:p w14:paraId="1348A207" w14:textId="77777777" w:rsidR="00E86BE2" w:rsidRPr="0010524E" w:rsidRDefault="00E86BE2" w:rsidP="00E86BE2">
            <w:pPr>
              <w:spacing w:after="120"/>
              <w:jc w:val="center"/>
              <w:rPr>
                <w:b/>
                <w:sz w:val="24"/>
                <w:szCs w:val="24"/>
              </w:rPr>
            </w:pPr>
            <w:r w:rsidRPr="0010524E">
              <w:rPr>
                <w:sz w:val="24"/>
                <w:szCs w:val="24"/>
              </w:rPr>
              <w:t>Inserido</w:t>
            </w:r>
          </w:p>
        </w:tc>
      </w:tr>
      <w:tr w:rsidR="00E86BE2" w:rsidRPr="0010524E" w14:paraId="7B635B6F" w14:textId="5666910D" w:rsidTr="00E86BE2">
        <w:tc>
          <w:tcPr>
            <w:tcW w:w="4815" w:type="dxa"/>
          </w:tcPr>
          <w:p w14:paraId="28D64B1B"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400C16C9" w14:textId="52AB5335"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Art. 322.  A estrutura organizacional mínima das EFPC é constituída de conselho deliberativo, conselho fiscal e diretoria-executiva.</w:t>
            </w:r>
          </w:p>
        </w:tc>
        <w:tc>
          <w:tcPr>
            <w:tcW w:w="4648" w:type="dxa"/>
          </w:tcPr>
          <w:p w14:paraId="2AD2FDE7"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sz w:val="24"/>
                <w:szCs w:val="24"/>
              </w:rPr>
              <w:t>Inserido. Aprimoramento das regras de governança com base no relatório de transição governamental.</w:t>
            </w:r>
          </w:p>
        </w:tc>
      </w:tr>
      <w:tr w:rsidR="00E86BE2" w:rsidRPr="0010524E" w14:paraId="194F09ED" w14:textId="612891EE" w:rsidTr="00E86BE2">
        <w:tc>
          <w:tcPr>
            <w:tcW w:w="4815" w:type="dxa"/>
          </w:tcPr>
          <w:p w14:paraId="2DB7AD55"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7A816107" w14:textId="58B3BE1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 xml:space="preserve">Parágrafo único.  De acordo com o porte, a complexidade e o número de planos de benefícios e patrocinadores da EFPC, podem ser criadas outras instâncias de governança de caráter consultivo ou deliberativo, desde que vinculadas e subordinadas àquelas previstas no </w:t>
            </w:r>
            <w:r w:rsidRPr="0010524E">
              <w:rPr>
                <w:rFonts w:ascii="Calibri" w:eastAsia="Times New Roman" w:hAnsi="Calibri" w:cstheme="minorHAnsi"/>
                <w:b/>
                <w:sz w:val="24"/>
                <w:szCs w:val="24"/>
                <w:lang w:eastAsia="pt-BR"/>
              </w:rPr>
              <w:t>caput</w:t>
            </w:r>
            <w:r w:rsidRPr="0010524E">
              <w:rPr>
                <w:rFonts w:ascii="Calibri" w:eastAsia="Times New Roman" w:hAnsi="Calibri" w:cstheme="minorHAnsi"/>
                <w:sz w:val="24"/>
                <w:szCs w:val="24"/>
                <w:lang w:eastAsia="pt-BR"/>
              </w:rPr>
              <w:t>.</w:t>
            </w:r>
          </w:p>
        </w:tc>
        <w:tc>
          <w:tcPr>
            <w:tcW w:w="4648" w:type="dxa"/>
          </w:tcPr>
          <w:p w14:paraId="507450DD"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sz w:val="24"/>
                <w:szCs w:val="24"/>
              </w:rPr>
              <w:t>Inserido. Aprimoramento das regras de governança com base no relatório de transição governamental.</w:t>
            </w:r>
          </w:p>
        </w:tc>
      </w:tr>
      <w:tr w:rsidR="00E86BE2" w:rsidRPr="0010524E" w14:paraId="493301AE" w14:textId="1CE9099C" w:rsidTr="00E86BE2">
        <w:tc>
          <w:tcPr>
            <w:tcW w:w="4815" w:type="dxa"/>
          </w:tcPr>
          <w:p w14:paraId="083C8232" w14:textId="77777777" w:rsidR="00E86BE2" w:rsidRPr="0010524E" w:rsidRDefault="00E86BE2" w:rsidP="00E86BE2">
            <w:pPr>
              <w:spacing w:before="120" w:after="120"/>
              <w:jc w:val="center"/>
              <w:rPr>
                <w:b/>
                <w:sz w:val="24"/>
                <w:szCs w:val="24"/>
              </w:rPr>
            </w:pPr>
          </w:p>
        </w:tc>
        <w:tc>
          <w:tcPr>
            <w:tcW w:w="4849" w:type="dxa"/>
          </w:tcPr>
          <w:p w14:paraId="43EA11B0" w14:textId="77777777" w:rsidR="00E86BE2" w:rsidRDefault="00E86BE2" w:rsidP="00E86BE2">
            <w:pPr>
              <w:spacing w:after="120"/>
              <w:jc w:val="center"/>
              <w:rPr>
                <w:b/>
                <w:sz w:val="24"/>
                <w:szCs w:val="24"/>
              </w:rPr>
            </w:pPr>
            <w:r w:rsidRPr="0010524E">
              <w:rPr>
                <w:b/>
                <w:sz w:val="24"/>
                <w:szCs w:val="24"/>
              </w:rPr>
              <w:t>Seção II</w:t>
            </w:r>
          </w:p>
          <w:p w14:paraId="145B7B61" w14:textId="174A2180" w:rsidR="00E86BE2" w:rsidRPr="0010524E" w:rsidRDefault="00E86BE2" w:rsidP="00E86BE2">
            <w:pPr>
              <w:spacing w:after="120"/>
              <w:jc w:val="center"/>
              <w:rPr>
                <w:b/>
                <w:sz w:val="24"/>
                <w:szCs w:val="24"/>
              </w:rPr>
            </w:pPr>
            <w:r>
              <w:rPr>
                <w:b/>
                <w:sz w:val="24"/>
                <w:szCs w:val="24"/>
              </w:rPr>
              <w:t>F</w:t>
            </w:r>
            <w:r w:rsidRPr="0010524E">
              <w:rPr>
                <w:b/>
                <w:sz w:val="24"/>
                <w:szCs w:val="24"/>
              </w:rPr>
              <w:t>uncionamento dos órgãos estatutários</w:t>
            </w:r>
          </w:p>
        </w:tc>
        <w:tc>
          <w:tcPr>
            <w:tcW w:w="4648" w:type="dxa"/>
          </w:tcPr>
          <w:p w14:paraId="1498E918" w14:textId="77777777" w:rsidR="00E86BE2" w:rsidRPr="0010524E" w:rsidRDefault="00E86BE2" w:rsidP="00E86BE2">
            <w:pPr>
              <w:spacing w:after="120"/>
              <w:jc w:val="both"/>
              <w:rPr>
                <w:b/>
                <w:sz w:val="24"/>
                <w:szCs w:val="24"/>
              </w:rPr>
            </w:pPr>
          </w:p>
        </w:tc>
      </w:tr>
      <w:tr w:rsidR="00E86BE2" w:rsidRPr="0010524E" w14:paraId="4ACE2064" w14:textId="52027F3E" w:rsidTr="00E86BE2">
        <w:tc>
          <w:tcPr>
            <w:tcW w:w="4815" w:type="dxa"/>
          </w:tcPr>
          <w:p w14:paraId="648377B5"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2294581C" w14:textId="5393B1AF"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 xml:space="preserve">Art. 323.  Os membros dos órgãos estatutários das EFPC devem exercer suas funções nos termos da lei, do estatuto e do regimento interno, quando houver. </w:t>
            </w:r>
          </w:p>
        </w:tc>
        <w:tc>
          <w:tcPr>
            <w:tcW w:w="4648" w:type="dxa"/>
          </w:tcPr>
          <w:p w14:paraId="3004FF97"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sz w:val="24"/>
                <w:szCs w:val="24"/>
              </w:rPr>
              <w:t>Inserido. Aprimoramento das regras de governança com base no relatório de transição governamental.</w:t>
            </w:r>
          </w:p>
        </w:tc>
      </w:tr>
      <w:tr w:rsidR="00E86BE2" w:rsidRPr="0010524E" w14:paraId="4E6B744D" w14:textId="36989F15" w:rsidTr="00E86BE2">
        <w:tc>
          <w:tcPr>
            <w:tcW w:w="4815" w:type="dxa"/>
          </w:tcPr>
          <w:p w14:paraId="60BD82AE"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614B2BB2" w14:textId="7E560212"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Art. 324.  O conselho deliberativo, órgão máximo da estrutura organizacional, é responsável pela definição da política geral de administração da EFPC e planos de benefícios por ela administrados e sua ação deve ser exercida por meio do estabelecimento de diretrizes e normas gerais de organização, funcionamento, administração e operação.</w:t>
            </w:r>
          </w:p>
        </w:tc>
        <w:tc>
          <w:tcPr>
            <w:tcW w:w="4648" w:type="dxa"/>
          </w:tcPr>
          <w:p w14:paraId="1BD82761"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sz w:val="24"/>
                <w:szCs w:val="24"/>
              </w:rPr>
              <w:t>Inserido. Aprimoramento das regras de governança com base no relatório de transição governamental.</w:t>
            </w:r>
          </w:p>
        </w:tc>
      </w:tr>
      <w:tr w:rsidR="00E86BE2" w:rsidRPr="0010524E" w14:paraId="30ABF218" w14:textId="78E12B37" w:rsidTr="00E86BE2">
        <w:tc>
          <w:tcPr>
            <w:tcW w:w="4815" w:type="dxa"/>
          </w:tcPr>
          <w:p w14:paraId="0B59936E"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06799431" w14:textId="72FFCA21"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Parágrafo único.  O conselho deliberativo, no desempenho de suas funções, deve observar os princípios, regras e práticas de governança, a gestão e os controles internos aplicáveis segundo o porte da EFPC e dos planos, a complexidade e os riscos inerentes a estes, visando a sua segurança da situação econômico-financeira e atuarial.</w:t>
            </w:r>
          </w:p>
        </w:tc>
        <w:tc>
          <w:tcPr>
            <w:tcW w:w="4648" w:type="dxa"/>
          </w:tcPr>
          <w:p w14:paraId="0136DC3E"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sz w:val="24"/>
                <w:szCs w:val="24"/>
              </w:rPr>
              <w:t>Inserido. Aprimoramento das regras de governança com base no relatório de transição governamental.</w:t>
            </w:r>
          </w:p>
        </w:tc>
      </w:tr>
      <w:tr w:rsidR="00E86BE2" w:rsidRPr="0010524E" w14:paraId="32E922B4" w14:textId="52AEAFA6" w:rsidTr="00E86BE2">
        <w:tc>
          <w:tcPr>
            <w:tcW w:w="4815" w:type="dxa"/>
          </w:tcPr>
          <w:p w14:paraId="4F7345B5"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1445FE92" w14:textId="73460FED"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Art. 325.  O conselho fiscal é o órgão de fiscalização e controle interno, responsável pela fiscalização da gestão administrativa e econômico-financeira da EFPC e de seus planos de benefícios, e deve exercer suas funções nos termos da lei, do estatuto e na forma disciplinada regimento interno, quando houver.</w:t>
            </w:r>
          </w:p>
        </w:tc>
        <w:tc>
          <w:tcPr>
            <w:tcW w:w="4648" w:type="dxa"/>
          </w:tcPr>
          <w:p w14:paraId="5C43DFAF"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sz w:val="24"/>
                <w:szCs w:val="24"/>
              </w:rPr>
              <w:t>Inserido. Aprimoramento das regras de governança com base no relatório de transição governamental.</w:t>
            </w:r>
          </w:p>
        </w:tc>
      </w:tr>
      <w:tr w:rsidR="00E86BE2" w:rsidRPr="0010524E" w14:paraId="29EE39C1" w14:textId="06ABBFDF" w:rsidTr="00E86BE2">
        <w:tc>
          <w:tcPr>
            <w:tcW w:w="4815" w:type="dxa"/>
          </w:tcPr>
          <w:p w14:paraId="34E51CF9"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54953E2B" w14:textId="1B9034DB"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 1º  O conselho fiscal, no desempenho de suas funções, deve zelar pela gestão econômico-financeira da EFPC e dos seus planos de benefícios, observando, sempre, os princípios, regras e práticas de governança, gestão e controles internos adequados ao porte, à complexidade e aos riscos inerentes aos planos operados.</w:t>
            </w:r>
          </w:p>
        </w:tc>
        <w:tc>
          <w:tcPr>
            <w:tcW w:w="4648" w:type="dxa"/>
          </w:tcPr>
          <w:p w14:paraId="7C7EDCEC"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sz w:val="24"/>
                <w:szCs w:val="24"/>
              </w:rPr>
              <w:t>Inserido. Aprimoramento das regras de governança com base no relatório de transição governamental.</w:t>
            </w:r>
          </w:p>
        </w:tc>
      </w:tr>
      <w:tr w:rsidR="00E86BE2" w:rsidRPr="0010524E" w14:paraId="5D34D435" w14:textId="60218832" w:rsidTr="00E86BE2">
        <w:tc>
          <w:tcPr>
            <w:tcW w:w="4815" w:type="dxa"/>
          </w:tcPr>
          <w:p w14:paraId="332A69DF"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7D2C51CC" w14:textId="2733BEEE"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sz w:val="24"/>
                <w:szCs w:val="24"/>
                <w:lang w:eastAsia="pt-BR"/>
              </w:rPr>
              <w:t xml:space="preserve">§ 2º  O conselho fiscal deve pautar sua atuação na análise </w:t>
            </w:r>
            <w:r w:rsidRPr="0010524E">
              <w:rPr>
                <w:rFonts w:ascii="Calibri" w:eastAsia="Times New Roman" w:hAnsi="Calibri"/>
                <w:b/>
                <w:bCs/>
                <w:sz w:val="24"/>
                <w:szCs w:val="24"/>
                <w:lang w:eastAsia="pt-BR"/>
              </w:rPr>
              <w:t>a posteriori</w:t>
            </w:r>
            <w:r w:rsidRPr="0010524E">
              <w:rPr>
                <w:rFonts w:ascii="Calibri" w:eastAsia="Times New Roman" w:hAnsi="Calibri"/>
                <w:sz w:val="24"/>
                <w:szCs w:val="24"/>
                <w:lang w:eastAsia="pt-BR"/>
              </w:rPr>
              <w:t xml:space="preserve"> dos atos e decisões de gestão, comunicando eventuais irregularidades </w:t>
            </w:r>
            <w:r w:rsidRPr="0010524E">
              <w:rPr>
                <w:rFonts w:ascii="Calibri" w:eastAsia="Times New Roman" w:hAnsi="Calibri"/>
                <w:sz w:val="24"/>
                <w:szCs w:val="24"/>
                <w:lang w:eastAsia="pt-BR"/>
              </w:rPr>
              <w:lastRenderedPageBreak/>
              <w:t>e recomendando providências sem interferência na gestão da EFPC.</w:t>
            </w:r>
          </w:p>
        </w:tc>
        <w:tc>
          <w:tcPr>
            <w:tcW w:w="4648" w:type="dxa"/>
          </w:tcPr>
          <w:p w14:paraId="284AEB62"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sz w:val="24"/>
                <w:szCs w:val="24"/>
              </w:rPr>
              <w:lastRenderedPageBreak/>
              <w:t>Inserido. Aprimoramento das regras de governança com base no relatório de transição governamental.</w:t>
            </w:r>
          </w:p>
        </w:tc>
      </w:tr>
      <w:tr w:rsidR="00E86BE2" w:rsidRPr="0010524E" w14:paraId="63086452" w14:textId="2F16802B" w:rsidTr="00E86BE2">
        <w:tc>
          <w:tcPr>
            <w:tcW w:w="4815" w:type="dxa"/>
          </w:tcPr>
          <w:p w14:paraId="4EBDEBA4"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6705CC1E" w14:textId="0482C0B5"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Art. 326.  A diretoria-executiva é o órgão de administração e gestão da EFPC, cabendo-lhe executar as diretrizes e a política de administração estabelecidas pelo conselho deliberativo.</w:t>
            </w:r>
          </w:p>
        </w:tc>
        <w:tc>
          <w:tcPr>
            <w:tcW w:w="4648" w:type="dxa"/>
          </w:tcPr>
          <w:p w14:paraId="6474770F"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sz w:val="24"/>
                <w:szCs w:val="24"/>
              </w:rPr>
              <w:t>Inserido. Aprimoramento das regras de governança com base no relatório de transição governamental.</w:t>
            </w:r>
          </w:p>
        </w:tc>
      </w:tr>
      <w:tr w:rsidR="00E86BE2" w:rsidRPr="0010524E" w14:paraId="7CBEEE13" w14:textId="610626B7" w:rsidTr="00E86BE2">
        <w:tc>
          <w:tcPr>
            <w:tcW w:w="4815" w:type="dxa"/>
          </w:tcPr>
          <w:p w14:paraId="53FD90E1"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41ABE194" w14:textId="3613FB6A"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Parágrafo único.  A diretoria-executiva deve zelar pelos interesses da EFPC e pela consecução de suas finalidades, observando, sempre, os princípios, regras e práticas de governança, gestão e controles internos adequados ao porte, à complexidade e aos riscos inerentes aos planos administrados, visando a segurança da situação econômico-financeira e atuarial.</w:t>
            </w:r>
          </w:p>
        </w:tc>
        <w:tc>
          <w:tcPr>
            <w:tcW w:w="4648" w:type="dxa"/>
          </w:tcPr>
          <w:p w14:paraId="79F9BC6F"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sz w:val="24"/>
                <w:szCs w:val="24"/>
              </w:rPr>
              <w:t>Inserido. Aprimoramento das regras de governança com base no relatório de transição governamental.</w:t>
            </w:r>
          </w:p>
        </w:tc>
      </w:tr>
      <w:tr w:rsidR="00E86BE2" w:rsidRPr="0010524E" w14:paraId="505B09CB" w14:textId="070FD7C5" w:rsidTr="00E86BE2">
        <w:tc>
          <w:tcPr>
            <w:tcW w:w="4815" w:type="dxa"/>
          </w:tcPr>
          <w:p w14:paraId="43C04391" w14:textId="77777777" w:rsidR="00E86BE2" w:rsidRPr="0010524E" w:rsidRDefault="00E86BE2" w:rsidP="00E86BE2">
            <w:pPr>
              <w:spacing w:before="120" w:after="120"/>
              <w:jc w:val="center"/>
              <w:rPr>
                <w:b/>
                <w:sz w:val="24"/>
                <w:szCs w:val="24"/>
              </w:rPr>
            </w:pPr>
          </w:p>
        </w:tc>
        <w:tc>
          <w:tcPr>
            <w:tcW w:w="4849" w:type="dxa"/>
          </w:tcPr>
          <w:p w14:paraId="4E2CFD07" w14:textId="77777777" w:rsidR="00E86BE2" w:rsidRDefault="00E86BE2" w:rsidP="00E86BE2">
            <w:pPr>
              <w:spacing w:after="120"/>
              <w:jc w:val="center"/>
              <w:rPr>
                <w:b/>
                <w:sz w:val="24"/>
                <w:szCs w:val="24"/>
              </w:rPr>
            </w:pPr>
            <w:r w:rsidRPr="0010524E">
              <w:rPr>
                <w:b/>
                <w:sz w:val="24"/>
                <w:szCs w:val="24"/>
              </w:rPr>
              <w:t>Seção III</w:t>
            </w:r>
          </w:p>
          <w:p w14:paraId="41ECE479" w14:textId="4F7AE664" w:rsidR="00E86BE2" w:rsidRPr="0010524E" w:rsidRDefault="00E86BE2" w:rsidP="00E86BE2">
            <w:pPr>
              <w:spacing w:after="120"/>
              <w:jc w:val="center"/>
              <w:rPr>
                <w:b/>
                <w:sz w:val="24"/>
                <w:szCs w:val="24"/>
              </w:rPr>
            </w:pPr>
            <w:r>
              <w:rPr>
                <w:b/>
                <w:sz w:val="24"/>
                <w:szCs w:val="24"/>
              </w:rPr>
              <w:t>R</w:t>
            </w:r>
            <w:r w:rsidRPr="0010524E">
              <w:rPr>
                <w:b/>
                <w:sz w:val="24"/>
                <w:szCs w:val="24"/>
              </w:rPr>
              <w:t>euniões dos órgãos estatutários</w:t>
            </w:r>
          </w:p>
        </w:tc>
        <w:tc>
          <w:tcPr>
            <w:tcW w:w="4648" w:type="dxa"/>
          </w:tcPr>
          <w:p w14:paraId="3805C4C8" w14:textId="77777777" w:rsidR="00E86BE2" w:rsidRPr="0010524E" w:rsidRDefault="00E86BE2" w:rsidP="00E86BE2">
            <w:pPr>
              <w:spacing w:after="120"/>
              <w:jc w:val="both"/>
              <w:rPr>
                <w:b/>
                <w:sz w:val="24"/>
                <w:szCs w:val="24"/>
              </w:rPr>
            </w:pPr>
          </w:p>
        </w:tc>
      </w:tr>
      <w:tr w:rsidR="00E86BE2" w:rsidRPr="0010524E" w14:paraId="7470552E" w14:textId="521C5DEF" w:rsidTr="00E86BE2">
        <w:tc>
          <w:tcPr>
            <w:tcW w:w="4815" w:type="dxa"/>
          </w:tcPr>
          <w:p w14:paraId="354BBC77"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3589E198" w14:textId="66D9449D"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 xml:space="preserve">Art. 327.  As reuniões ordinárias e extraordinárias dos órgãos estatutários das EFPC devem seguir o disposto no estatuto e no regimento interno, quando houver. </w:t>
            </w:r>
          </w:p>
        </w:tc>
        <w:tc>
          <w:tcPr>
            <w:tcW w:w="4648" w:type="dxa"/>
          </w:tcPr>
          <w:p w14:paraId="05A05F30"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sz w:val="24"/>
                <w:szCs w:val="24"/>
              </w:rPr>
              <w:t>Inserido. Aprimoramento das regras de governança com base no relatório de transição governamental.</w:t>
            </w:r>
          </w:p>
        </w:tc>
      </w:tr>
      <w:tr w:rsidR="00E86BE2" w:rsidRPr="0010524E" w14:paraId="5315F87D" w14:textId="0325F99A" w:rsidTr="00E86BE2">
        <w:tc>
          <w:tcPr>
            <w:tcW w:w="4815" w:type="dxa"/>
          </w:tcPr>
          <w:p w14:paraId="1480AE04"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27A07CF0" w14:textId="42CE5745"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 xml:space="preserve">Art. 328.  Os conselheiros suplentes de órgãos estatutários previstos no estatuto ou no regimento interno, quando houver, somente devem substituir os respectivos titulares nas </w:t>
            </w:r>
            <w:r w:rsidRPr="0010524E">
              <w:rPr>
                <w:rFonts w:ascii="Calibri" w:eastAsia="Times New Roman" w:hAnsi="Calibri" w:cstheme="minorHAnsi"/>
                <w:sz w:val="24"/>
                <w:szCs w:val="24"/>
                <w:lang w:eastAsia="pt-BR"/>
              </w:rPr>
              <w:lastRenderedPageBreak/>
              <w:t>hipóteses de impedimentos e afastamentos registrados em ata.</w:t>
            </w:r>
          </w:p>
        </w:tc>
        <w:tc>
          <w:tcPr>
            <w:tcW w:w="4648" w:type="dxa"/>
          </w:tcPr>
          <w:p w14:paraId="52E5C07A"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sz w:val="24"/>
                <w:szCs w:val="24"/>
              </w:rPr>
              <w:lastRenderedPageBreak/>
              <w:t>Inserido. Aprimoramento das regras de governança com base no relatório de transição governamental.</w:t>
            </w:r>
          </w:p>
        </w:tc>
      </w:tr>
      <w:tr w:rsidR="00E86BE2" w:rsidRPr="0010524E" w14:paraId="2C0B2522" w14:textId="116274DB" w:rsidTr="00E86BE2">
        <w:tc>
          <w:tcPr>
            <w:tcW w:w="4815" w:type="dxa"/>
          </w:tcPr>
          <w:p w14:paraId="0CEAAA08" w14:textId="77777777" w:rsidR="00E86BE2" w:rsidRPr="0010524E" w:rsidRDefault="00E86BE2" w:rsidP="00E86BE2">
            <w:pPr>
              <w:adjustRightInd w:val="0"/>
              <w:spacing w:before="120" w:after="120"/>
              <w:jc w:val="center"/>
              <w:rPr>
                <w:rFonts w:ascii="Calibri" w:eastAsia="Times New Roman" w:hAnsi="Calibri" w:cs="Calibri"/>
                <w:b/>
                <w:sz w:val="24"/>
                <w:szCs w:val="24"/>
                <w:lang w:eastAsia="pt-BR"/>
              </w:rPr>
            </w:pPr>
          </w:p>
        </w:tc>
        <w:tc>
          <w:tcPr>
            <w:tcW w:w="4849" w:type="dxa"/>
          </w:tcPr>
          <w:p w14:paraId="11E9960A" w14:textId="77777777" w:rsidR="00E86BE2" w:rsidRDefault="00E86BE2" w:rsidP="00E86BE2">
            <w:pPr>
              <w:adjustRightInd w:val="0"/>
              <w:spacing w:after="120"/>
              <w:jc w:val="center"/>
              <w:rPr>
                <w:rFonts w:ascii="Calibri" w:eastAsia="Times New Roman" w:hAnsi="Calibri" w:cs="Calibri"/>
                <w:b/>
                <w:sz w:val="24"/>
                <w:szCs w:val="24"/>
                <w:lang w:eastAsia="pt-BR"/>
              </w:rPr>
            </w:pPr>
            <w:r w:rsidRPr="0010524E">
              <w:rPr>
                <w:rFonts w:ascii="Calibri" w:eastAsia="Times New Roman" w:hAnsi="Calibri" w:cs="Calibri"/>
                <w:b/>
                <w:sz w:val="24"/>
                <w:szCs w:val="24"/>
                <w:lang w:eastAsia="pt-BR"/>
              </w:rPr>
              <w:t>Seção IV</w:t>
            </w:r>
          </w:p>
          <w:p w14:paraId="2189A77C" w14:textId="4F03B91A" w:rsidR="00E86BE2" w:rsidRPr="0010524E" w:rsidRDefault="00E86BE2" w:rsidP="00E86BE2">
            <w:pPr>
              <w:adjustRightInd w:val="0"/>
              <w:spacing w:after="120"/>
              <w:jc w:val="center"/>
              <w:rPr>
                <w:rFonts w:ascii="Calibri" w:eastAsia="Times New Roman" w:hAnsi="Calibri" w:cs="Calibri"/>
                <w:b/>
                <w:sz w:val="24"/>
                <w:szCs w:val="24"/>
                <w:lang w:eastAsia="pt-BR"/>
              </w:rPr>
            </w:pPr>
            <w:r>
              <w:rPr>
                <w:rFonts w:ascii="Calibri" w:eastAsia="Times New Roman" w:hAnsi="Calibri" w:cstheme="minorHAnsi"/>
                <w:b/>
                <w:color w:val="000000"/>
                <w:sz w:val="24"/>
                <w:szCs w:val="24"/>
                <w:lang w:eastAsia="pt-BR"/>
              </w:rPr>
              <w:t>A</w:t>
            </w:r>
            <w:r w:rsidRPr="0010524E">
              <w:rPr>
                <w:rFonts w:ascii="Calibri" w:eastAsia="Times New Roman" w:hAnsi="Calibri" w:cstheme="minorHAnsi"/>
                <w:b/>
                <w:color w:val="000000"/>
                <w:sz w:val="24"/>
                <w:szCs w:val="24"/>
                <w:lang w:eastAsia="pt-BR"/>
              </w:rPr>
              <w:t>dministrador ou comitê responsável pela gestão de riscos</w:t>
            </w:r>
          </w:p>
        </w:tc>
        <w:tc>
          <w:tcPr>
            <w:tcW w:w="4648" w:type="dxa"/>
          </w:tcPr>
          <w:p w14:paraId="38EB0AD3" w14:textId="60BFD5CC" w:rsidR="00E86BE2" w:rsidRPr="00E63C7E" w:rsidRDefault="00E86BE2" w:rsidP="00E86BE2">
            <w:pPr>
              <w:adjustRightInd w:val="0"/>
              <w:spacing w:after="120"/>
              <w:jc w:val="both"/>
              <w:rPr>
                <w:rFonts w:ascii="Calibri" w:eastAsia="Times New Roman" w:hAnsi="Calibri" w:cs="Calibri"/>
                <w:sz w:val="24"/>
                <w:szCs w:val="24"/>
                <w:lang w:eastAsia="pt-BR"/>
              </w:rPr>
            </w:pPr>
            <w:r w:rsidRPr="00E63C7E">
              <w:rPr>
                <w:rFonts w:ascii="Calibri" w:hAnsi="Calibri" w:cs="Calibri"/>
                <w:color w:val="000000"/>
                <w:sz w:val="24"/>
                <w:szCs w:val="24"/>
              </w:rPr>
              <w:t>Realocada. Instrução Previc nº 35, de 11 de novembro de 2020</w:t>
            </w:r>
          </w:p>
        </w:tc>
      </w:tr>
      <w:tr w:rsidR="00E86BE2" w:rsidRPr="0010524E" w14:paraId="0A8C79A5" w14:textId="502CFFD6" w:rsidTr="00E86BE2">
        <w:tc>
          <w:tcPr>
            <w:tcW w:w="4815" w:type="dxa"/>
          </w:tcPr>
          <w:p w14:paraId="7375375E"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72DA0CC7" w14:textId="08767681"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sz w:val="24"/>
                <w:szCs w:val="24"/>
                <w:lang w:eastAsia="pt-BR"/>
              </w:rPr>
              <w:t>Art. 329.  A EFPC classificada conforme segmentação a ser definida pela Previc deve segregar a gestão de recursos da gestão de risco e designar:</w:t>
            </w:r>
          </w:p>
        </w:tc>
        <w:tc>
          <w:tcPr>
            <w:tcW w:w="4648" w:type="dxa"/>
          </w:tcPr>
          <w:p w14:paraId="32292368"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color w:val="000000"/>
                <w:sz w:val="24"/>
                <w:szCs w:val="24"/>
                <w:lang w:eastAsia="pt-BR"/>
              </w:rPr>
              <w:t xml:space="preserve">Realocado. </w:t>
            </w:r>
          </w:p>
          <w:p w14:paraId="6F402305"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hAnsi="Calibri" w:cs="Calibri"/>
                <w:color w:val="000000"/>
                <w:sz w:val="24"/>
                <w:szCs w:val="24"/>
              </w:rPr>
              <w:t>Instrução Previc nº 35, de 11 de novembro de 2020.</w:t>
            </w:r>
          </w:p>
        </w:tc>
      </w:tr>
      <w:tr w:rsidR="00E86BE2" w:rsidRPr="0010524E" w14:paraId="6670A518" w14:textId="1269563E" w:rsidTr="00E86BE2">
        <w:tc>
          <w:tcPr>
            <w:tcW w:w="4815" w:type="dxa"/>
          </w:tcPr>
          <w:p w14:paraId="4A23681D"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4B5DEAB7" w14:textId="5C077E06"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sz w:val="24"/>
                <w:szCs w:val="24"/>
                <w:lang w:eastAsia="pt-BR"/>
              </w:rPr>
              <w:t>I – administrador estatutário tecnicamente qualificado como principal responsável pela gestão, alocação, supervisão e acompanhamento dos recursos garantidores de seus planos; e</w:t>
            </w:r>
          </w:p>
        </w:tc>
        <w:tc>
          <w:tcPr>
            <w:tcW w:w="4648" w:type="dxa"/>
          </w:tcPr>
          <w:p w14:paraId="6D024193"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color w:val="000000"/>
                <w:sz w:val="24"/>
                <w:szCs w:val="24"/>
                <w:lang w:eastAsia="pt-BR"/>
              </w:rPr>
              <w:t xml:space="preserve">Realocado. </w:t>
            </w:r>
          </w:p>
          <w:p w14:paraId="0A9A8F1B"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hAnsi="Calibri" w:cs="Calibri"/>
                <w:color w:val="000000"/>
                <w:sz w:val="24"/>
                <w:szCs w:val="24"/>
              </w:rPr>
              <w:t>Instrução Previc nº 35, de 11 de novembro de 2020.</w:t>
            </w:r>
          </w:p>
        </w:tc>
      </w:tr>
      <w:tr w:rsidR="00E86BE2" w:rsidRPr="0010524E" w14:paraId="66EE9F20" w14:textId="1B0FE53B" w:rsidTr="00E86BE2">
        <w:tc>
          <w:tcPr>
            <w:tcW w:w="4815" w:type="dxa"/>
          </w:tcPr>
          <w:p w14:paraId="0A7A82F5"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18FEA070" w14:textId="4925F4F1"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II -</w:t>
            </w:r>
            <w:r w:rsidRPr="0010524E" w:rsidDel="00977767">
              <w:rPr>
                <w:rFonts w:ascii="Calibri" w:eastAsia="Times New Roman" w:hAnsi="Calibri" w:cstheme="minorHAnsi"/>
                <w:sz w:val="24"/>
                <w:szCs w:val="24"/>
                <w:lang w:eastAsia="pt-BR"/>
              </w:rPr>
              <w:t xml:space="preserve"> </w:t>
            </w:r>
            <w:r w:rsidRPr="0010524E">
              <w:rPr>
                <w:rFonts w:ascii="Calibri" w:eastAsia="Times New Roman" w:hAnsi="Calibri" w:cstheme="minorHAnsi"/>
                <w:sz w:val="24"/>
                <w:szCs w:val="24"/>
                <w:lang w:eastAsia="pt-BR"/>
              </w:rPr>
              <w:t>administrador ou comitê responsável pela gestão de riscos.</w:t>
            </w:r>
          </w:p>
        </w:tc>
        <w:tc>
          <w:tcPr>
            <w:tcW w:w="4648" w:type="dxa"/>
          </w:tcPr>
          <w:p w14:paraId="7B5D9B56"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color w:val="000000"/>
                <w:sz w:val="24"/>
                <w:szCs w:val="24"/>
                <w:lang w:eastAsia="pt-BR"/>
              </w:rPr>
              <w:t xml:space="preserve">Realocado. </w:t>
            </w:r>
          </w:p>
          <w:p w14:paraId="511D2A5A"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hAnsi="Calibri" w:cs="Calibri"/>
                <w:color w:val="000000"/>
                <w:sz w:val="24"/>
                <w:szCs w:val="24"/>
              </w:rPr>
              <w:t>Instrução Previc nº 35, de 11 de novembro de 2020.</w:t>
            </w:r>
          </w:p>
        </w:tc>
      </w:tr>
      <w:tr w:rsidR="00E86BE2" w:rsidRPr="0010524E" w14:paraId="27CF317F" w14:textId="7EFE7DCA" w:rsidTr="00E86BE2">
        <w:tc>
          <w:tcPr>
            <w:tcW w:w="4815" w:type="dxa"/>
          </w:tcPr>
          <w:p w14:paraId="6B5B860F"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3132DBD2" w14:textId="3E77D469"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sz w:val="24"/>
                <w:szCs w:val="24"/>
                <w:lang w:eastAsia="pt-BR"/>
              </w:rPr>
              <w:t>§1º  O administrador estatutário tecnicamente qualificado e o responsável pela gestão de risco devem exercer suas funções com independência e sem qualquer subordinação hierárquica entre si.</w:t>
            </w:r>
          </w:p>
        </w:tc>
        <w:tc>
          <w:tcPr>
            <w:tcW w:w="4648" w:type="dxa"/>
          </w:tcPr>
          <w:p w14:paraId="0727D033"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color w:val="000000"/>
                <w:sz w:val="24"/>
                <w:szCs w:val="24"/>
                <w:lang w:eastAsia="pt-BR"/>
              </w:rPr>
              <w:t xml:space="preserve">Realocado. </w:t>
            </w:r>
          </w:p>
          <w:p w14:paraId="1D6ADDE4"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hAnsi="Calibri" w:cs="Calibri"/>
                <w:color w:val="000000"/>
                <w:sz w:val="24"/>
                <w:szCs w:val="24"/>
              </w:rPr>
              <w:t>Instrução Previc nº 35, de 11 de novembro de 2020.</w:t>
            </w:r>
          </w:p>
        </w:tc>
      </w:tr>
      <w:tr w:rsidR="00E86BE2" w:rsidRPr="0010524E" w14:paraId="54582B7E" w14:textId="4235369A" w:rsidTr="00E86BE2">
        <w:tc>
          <w:tcPr>
            <w:tcW w:w="4815" w:type="dxa"/>
          </w:tcPr>
          <w:p w14:paraId="52AA9B6B"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7619403E" w14:textId="5F07AFDA"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§2º  É vedada a participação do administrador estatutário tecnicamente qualificado no comitê responsável pela gestão de riscos.</w:t>
            </w:r>
          </w:p>
        </w:tc>
        <w:tc>
          <w:tcPr>
            <w:tcW w:w="4648" w:type="dxa"/>
          </w:tcPr>
          <w:p w14:paraId="41C28BB3"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color w:val="000000"/>
                <w:sz w:val="24"/>
                <w:szCs w:val="24"/>
                <w:lang w:eastAsia="pt-BR"/>
              </w:rPr>
              <w:t xml:space="preserve">Realocado. </w:t>
            </w:r>
          </w:p>
          <w:p w14:paraId="5F76318F"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hAnsi="Calibri" w:cs="Calibri"/>
                <w:color w:val="000000"/>
                <w:sz w:val="24"/>
                <w:szCs w:val="24"/>
              </w:rPr>
              <w:lastRenderedPageBreak/>
              <w:t>Instrução Previc nº 35, de 11 de novembro de 2020.</w:t>
            </w:r>
          </w:p>
        </w:tc>
      </w:tr>
      <w:tr w:rsidR="00E86BE2" w:rsidRPr="0010524E" w14:paraId="3339766B" w14:textId="582E70AB" w:rsidTr="00E86BE2">
        <w:tc>
          <w:tcPr>
            <w:tcW w:w="4815" w:type="dxa"/>
          </w:tcPr>
          <w:p w14:paraId="558953DE" w14:textId="77777777" w:rsidR="00E86BE2" w:rsidRPr="0010524E" w:rsidRDefault="00E86BE2" w:rsidP="00E86BE2">
            <w:pPr>
              <w:spacing w:before="120" w:after="120"/>
              <w:jc w:val="center"/>
              <w:rPr>
                <w:b/>
                <w:sz w:val="24"/>
                <w:szCs w:val="24"/>
              </w:rPr>
            </w:pPr>
          </w:p>
        </w:tc>
        <w:tc>
          <w:tcPr>
            <w:tcW w:w="4849" w:type="dxa"/>
          </w:tcPr>
          <w:p w14:paraId="4D29AA7E" w14:textId="77777777" w:rsidR="00E86BE2" w:rsidRDefault="00E86BE2" w:rsidP="00E86BE2">
            <w:pPr>
              <w:spacing w:after="120"/>
              <w:jc w:val="center"/>
              <w:rPr>
                <w:b/>
                <w:sz w:val="24"/>
                <w:szCs w:val="24"/>
              </w:rPr>
            </w:pPr>
            <w:r w:rsidRPr="0010524E">
              <w:rPr>
                <w:b/>
                <w:sz w:val="24"/>
                <w:szCs w:val="24"/>
              </w:rPr>
              <w:t>Seção V</w:t>
            </w:r>
          </w:p>
          <w:p w14:paraId="10635659" w14:textId="7B448B95" w:rsidR="00E86BE2" w:rsidRPr="0010524E" w:rsidRDefault="00E86BE2" w:rsidP="00E86BE2">
            <w:pPr>
              <w:spacing w:after="120"/>
              <w:jc w:val="center"/>
              <w:rPr>
                <w:b/>
                <w:sz w:val="24"/>
                <w:szCs w:val="24"/>
              </w:rPr>
            </w:pPr>
            <w:r>
              <w:rPr>
                <w:b/>
                <w:sz w:val="24"/>
                <w:szCs w:val="24"/>
              </w:rPr>
              <w:t>R</w:t>
            </w:r>
            <w:r w:rsidRPr="0010524E">
              <w:rPr>
                <w:b/>
                <w:sz w:val="24"/>
                <w:szCs w:val="24"/>
              </w:rPr>
              <w:t>egimento interno</w:t>
            </w:r>
          </w:p>
        </w:tc>
        <w:tc>
          <w:tcPr>
            <w:tcW w:w="4648" w:type="dxa"/>
          </w:tcPr>
          <w:p w14:paraId="4DF460FC" w14:textId="77777777" w:rsidR="00E86BE2" w:rsidRPr="0010524E" w:rsidRDefault="00E86BE2" w:rsidP="00E86BE2">
            <w:pPr>
              <w:spacing w:after="120"/>
              <w:jc w:val="both"/>
              <w:rPr>
                <w:b/>
                <w:sz w:val="24"/>
                <w:szCs w:val="24"/>
              </w:rPr>
            </w:pPr>
            <w:r w:rsidRPr="0010524E">
              <w:rPr>
                <w:sz w:val="24"/>
                <w:szCs w:val="24"/>
              </w:rPr>
              <w:t>Inserido</w:t>
            </w:r>
          </w:p>
        </w:tc>
      </w:tr>
      <w:tr w:rsidR="00E86BE2" w:rsidRPr="0010524E" w14:paraId="684A83DB" w14:textId="2B1254F2" w:rsidTr="00E86BE2">
        <w:tc>
          <w:tcPr>
            <w:tcW w:w="4815" w:type="dxa"/>
          </w:tcPr>
          <w:p w14:paraId="10D04F3B"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227C5271" w14:textId="2E4522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Art. 330.  Em acréscimo ao estatuto e aos regulamentos dos planos, as EFPC podem adotar regimento interno para disciplinar sobre o funcionamento e as competências dos órgãos estatutários e das unidades singulares.</w:t>
            </w:r>
          </w:p>
        </w:tc>
        <w:tc>
          <w:tcPr>
            <w:tcW w:w="4648" w:type="dxa"/>
          </w:tcPr>
          <w:p w14:paraId="167381E2"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sz w:val="24"/>
                <w:szCs w:val="24"/>
              </w:rPr>
              <w:t>Inserido. Aprimoramento das regras de governança com base no relatório de transição governamental.</w:t>
            </w:r>
          </w:p>
        </w:tc>
      </w:tr>
      <w:tr w:rsidR="00E86BE2" w:rsidRPr="0010524E" w14:paraId="0E850E53" w14:textId="4A2D6C81" w:rsidTr="00E86BE2">
        <w:tc>
          <w:tcPr>
            <w:tcW w:w="4815" w:type="dxa"/>
          </w:tcPr>
          <w:p w14:paraId="0DB150B6"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66721C06" w14:textId="3AE7DEE2"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 1º  O regimento interno é norma complementar ao estatuto da EFPC, que é a sua norma soberana, devendo ser único para todos os órgãos estatuários e aprovado pelo Conselho Deliberativo.</w:t>
            </w:r>
          </w:p>
        </w:tc>
        <w:tc>
          <w:tcPr>
            <w:tcW w:w="4648" w:type="dxa"/>
          </w:tcPr>
          <w:p w14:paraId="42A9FE14"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sz w:val="24"/>
                <w:szCs w:val="24"/>
              </w:rPr>
              <w:t>Inserido. Aprimoramento das regras de governança com base no relatório de transição governamental.</w:t>
            </w:r>
          </w:p>
        </w:tc>
      </w:tr>
      <w:tr w:rsidR="00E86BE2" w:rsidRPr="0010524E" w14:paraId="36AA1E16" w14:textId="15632077" w:rsidTr="00E86BE2">
        <w:tc>
          <w:tcPr>
            <w:tcW w:w="4815" w:type="dxa"/>
          </w:tcPr>
          <w:p w14:paraId="21833D74" w14:textId="77777777" w:rsidR="00E86BE2" w:rsidRPr="0010524E" w:rsidRDefault="00E86BE2" w:rsidP="00E86BE2">
            <w:pPr>
              <w:spacing w:before="120" w:after="120"/>
              <w:jc w:val="both"/>
              <w:rPr>
                <w:rFonts w:ascii="Calibri" w:eastAsia="Times New Roman" w:hAnsi="Calibri" w:cstheme="minorHAnsi"/>
                <w:color w:val="000000"/>
                <w:sz w:val="24"/>
                <w:szCs w:val="24"/>
                <w:lang w:eastAsia="pt-BR"/>
              </w:rPr>
            </w:pPr>
          </w:p>
        </w:tc>
        <w:tc>
          <w:tcPr>
            <w:tcW w:w="4849" w:type="dxa"/>
          </w:tcPr>
          <w:p w14:paraId="42D94091" w14:textId="78CB74CD"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 xml:space="preserve">§ 2º  O regimento interno deve dispor, no mínimo, sobre as reuniões ordinárias e extraordinárias dos órgãos estatutários, seu sistema de deliberação e de documentação, hipóteses e modo de substituição temporária dos membros dos órgãos estatutários. </w:t>
            </w:r>
          </w:p>
        </w:tc>
        <w:tc>
          <w:tcPr>
            <w:tcW w:w="4648" w:type="dxa"/>
          </w:tcPr>
          <w:p w14:paraId="238EC1B6"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sz w:val="24"/>
                <w:szCs w:val="24"/>
              </w:rPr>
              <w:t>Inserido. Aprimoramento das regras de governança com base no relatório de transição governamental.</w:t>
            </w:r>
          </w:p>
        </w:tc>
      </w:tr>
      <w:tr w:rsidR="00E86BE2" w:rsidRPr="0010524E" w14:paraId="261C09B1" w14:textId="5778F2B3" w:rsidTr="00E86BE2">
        <w:tc>
          <w:tcPr>
            <w:tcW w:w="4815" w:type="dxa"/>
          </w:tcPr>
          <w:p w14:paraId="375109F5" w14:textId="77777777" w:rsidR="00E86BE2" w:rsidRPr="0010524E" w:rsidRDefault="00E86BE2" w:rsidP="00E86BE2">
            <w:pPr>
              <w:jc w:val="both"/>
              <w:rPr>
                <w:rFonts w:ascii="Calibri" w:eastAsia="Times New Roman" w:hAnsi="Calibri" w:cstheme="minorHAnsi"/>
                <w:color w:val="000000"/>
                <w:sz w:val="24"/>
                <w:szCs w:val="24"/>
                <w:lang w:eastAsia="pt-BR"/>
              </w:rPr>
            </w:pPr>
          </w:p>
        </w:tc>
        <w:tc>
          <w:tcPr>
            <w:tcW w:w="4849" w:type="dxa"/>
          </w:tcPr>
          <w:p w14:paraId="3AF7DF49" w14:textId="0E2DFC72"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rFonts w:ascii="Calibri" w:eastAsia="Times New Roman" w:hAnsi="Calibri" w:cstheme="minorHAnsi"/>
                <w:sz w:val="24"/>
                <w:szCs w:val="24"/>
                <w:lang w:eastAsia="pt-BR"/>
              </w:rPr>
              <w:t>§ 3º  O regimento interno não deve ser submetido à análise e aprovação da Diretoria de Licenciamento, devendo, contudo, permanecer na EFPC, à disposição da Previc.</w:t>
            </w:r>
          </w:p>
        </w:tc>
        <w:tc>
          <w:tcPr>
            <w:tcW w:w="4648" w:type="dxa"/>
          </w:tcPr>
          <w:p w14:paraId="523DC0D8" w14:textId="77777777" w:rsidR="00E86BE2" w:rsidRPr="0010524E" w:rsidRDefault="00E86BE2" w:rsidP="00E86BE2">
            <w:pPr>
              <w:spacing w:after="120"/>
              <w:jc w:val="both"/>
              <w:rPr>
                <w:rFonts w:ascii="Calibri" w:eastAsia="Times New Roman" w:hAnsi="Calibri" w:cstheme="minorHAnsi"/>
                <w:color w:val="000000"/>
                <w:sz w:val="24"/>
                <w:szCs w:val="24"/>
                <w:lang w:eastAsia="pt-BR"/>
              </w:rPr>
            </w:pPr>
            <w:r w:rsidRPr="0010524E">
              <w:rPr>
                <w:sz w:val="24"/>
                <w:szCs w:val="24"/>
              </w:rPr>
              <w:t>Inserido. Aprimoramento das regras de governança com base no relatório de transição governamental.</w:t>
            </w:r>
          </w:p>
        </w:tc>
      </w:tr>
      <w:tr w:rsidR="00E86BE2" w:rsidRPr="0010524E" w14:paraId="6057CC92" w14:textId="0D6B2ACC" w:rsidTr="00E86BE2">
        <w:tc>
          <w:tcPr>
            <w:tcW w:w="4815" w:type="dxa"/>
          </w:tcPr>
          <w:p w14:paraId="1D1251AB" w14:textId="77777777" w:rsidR="00E86BE2" w:rsidRPr="0010524E" w:rsidRDefault="00E86BE2" w:rsidP="00E86BE2">
            <w:pPr>
              <w:jc w:val="both"/>
              <w:rPr>
                <w:rFonts w:cstheme="minorHAnsi"/>
                <w:sz w:val="24"/>
                <w:szCs w:val="24"/>
              </w:rPr>
            </w:pPr>
            <w:r w:rsidRPr="0010524E">
              <w:rPr>
                <w:rFonts w:cstheme="minorHAnsi"/>
                <w:b/>
                <w:bCs/>
                <w:sz w:val="24"/>
                <w:szCs w:val="24"/>
              </w:rPr>
              <w:lastRenderedPageBreak/>
              <w:t>Resolução PREVIC nº 14, de 13 de setembro de 2022</w:t>
            </w:r>
          </w:p>
        </w:tc>
        <w:tc>
          <w:tcPr>
            <w:tcW w:w="4849" w:type="dxa"/>
          </w:tcPr>
          <w:p w14:paraId="62D3CF48" w14:textId="5874B8F6" w:rsidR="00E86BE2" w:rsidRPr="0010524E" w:rsidRDefault="00E86BE2" w:rsidP="00E86BE2">
            <w:pPr>
              <w:spacing w:after="120"/>
              <w:jc w:val="both"/>
              <w:rPr>
                <w:rFonts w:cstheme="minorHAnsi"/>
                <w:b/>
                <w:bCs/>
                <w:sz w:val="24"/>
                <w:szCs w:val="24"/>
              </w:rPr>
            </w:pPr>
          </w:p>
        </w:tc>
        <w:tc>
          <w:tcPr>
            <w:tcW w:w="4648" w:type="dxa"/>
          </w:tcPr>
          <w:p w14:paraId="72C3E5E7" w14:textId="77777777" w:rsidR="00E86BE2" w:rsidRPr="0010524E" w:rsidRDefault="00E86BE2" w:rsidP="00E86BE2">
            <w:pPr>
              <w:spacing w:after="120"/>
              <w:jc w:val="both"/>
              <w:rPr>
                <w:rFonts w:cstheme="minorHAnsi"/>
                <w:sz w:val="24"/>
                <w:szCs w:val="24"/>
              </w:rPr>
            </w:pPr>
          </w:p>
        </w:tc>
      </w:tr>
      <w:tr w:rsidR="00E86BE2" w:rsidRPr="0010524E" w14:paraId="19A995AA" w14:textId="649E0762" w:rsidTr="00E86BE2">
        <w:tc>
          <w:tcPr>
            <w:tcW w:w="4815" w:type="dxa"/>
          </w:tcPr>
          <w:p w14:paraId="234FEE68" w14:textId="77777777" w:rsidR="00E86BE2" w:rsidRPr="0010524E" w:rsidRDefault="00E86BE2" w:rsidP="00E86BE2">
            <w:pPr>
              <w:jc w:val="both"/>
              <w:rPr>
                <w:rFonts w:cstheme="minorHAnsi"/>
                <w:sz w:val="24"/>
                <w:szCs w:val="24"/>
              </w:rPr>
            </w:pPr>
            <w:r w:rsidRPr="0010524E">
              <w:rPr>
                <w:rFonts w:cstheme="minorHAnsi"/>
                <w:sz w:val="24"/>
                <w:szCs w:val="24"/>
              </w:rPr>
              <w:t>Dispõe sobre as consultas submetidas à Superintendência Nacional de Previdência Complementar pelas entidades fechadas de previdência complementar.</w:t>
            </w:r>
          </w:p>
        </w:tc>
        <w:tc>
          <w:tcPr>
            <w:tcW w:w="4849" w:type="dxa"/>
          </w:tcPr>
          <w:p w14:paraId="4C79DECD" w14:textId="77777777" w:rsidR="00E86BE2" w:rsidRPr="0010524E" w:rsidRDefault="00E86BE2" w:rsidP="00E86BE2">
            <w:pPr>
              <w:spacing w:after="120"/>
              <w:jc w:val="both"/>
              <w:rPr>
                <w:rFonts w:cstheme="minorHAnsi"/>
                <w:sz w:val="24"/>
                <w:szCs w:val="24"/>
              </w:rPr>
            </w:pPr>
          </w:p>
        </w:tc>
        <w:tc>
          <w:tcPr>
            <w:tcW w:w="4648" w:type="dxa"/>
          </w:tcPr>
          <w:p w14:paraId="7A654233" w14:textId="77777777" w:rsidR="00E86BE2" w:rsidRPr="0010524E" w:rsidRDefault="00E86BE2" w:rsidP="00E86BE2">
            <w:pPr>
              <w:spacing w:after="120"/>
              <w:jc w:val="both"/>
              <w:rPr>
                <w:rFonts w:cstheme="minorHAnsi"/>
                <w:sz w:val="24"/>
                <w:szCs w:val="24"/>
              </w:rPr>
            </w:pPr>
            <w:r w:rsidRPr="0010524E">
              <w:rPr>
                <w:rFonts w:cstheme="minorHAnsi"/>
                <w:sz w:val="24"/>
                <w:szCs w:val="24"/>
              </w:rPr>
              <w:t>Excluído</w:t>
            </w:r>
          </w:p>
        </w:tc>
      </w:tr>
      <w:tr w:rsidR="00E86BE2" w:rsidRPr="0010524E" w14:paraId="741EF71F" w14:textId="73C64A44" w:rsidTr="00E86BE2">
        <w:tc>
          <w:tcPr>
            <w:tcW w:w="4815" w:type="dxa"/>
          </w:tcPr>
          <w:p w14:paraId="19DF6D68" w14:textId="77777777" w:rsidR="00E86BE2" w:rsidRPr="0010524E" w:rsidRDefault="00E86BE2" w:rsidP="00E86BE2">
            <w:pPr>
              <w:jc w:val="both"/>
              <w:rPr>
                <w:rFonts w:cstheme="minorHAnsi"/>
                <w:sz w:val="24"/>
                <w:szCs w:val="24"/>
              </w:rPr>
            </w:pPr>
            <w:r w:rsidRPr="0010524E">
              <w:rPr>
                <w:rFonts w:cstheme="minorHAnsi"/>
                <w:sz w:val="24"/>
                <w:szCs w:val="24"/>
              </w:rPr>
              <w:t>A DIRETORIA COLEGIADA DA SUPERINTENDÊNCIA NACIONAL DE PREVIDÊNCIA COMPLEMENTAR (PREVIC), na sessão 608ª realizada em 13 de Setembro de 2022, com fundamento no inciso III do art. 2º da Lei nº 12.154, de 23 de dezembro de 2009, no inciso III do art. 2º e no inciso VIII do art. 10 do Anexo I do Decreto nº 8.992, de 20 de fevereiro de 2017, e em conformidade com o inciso II do art. 2º do Decreto nº 10.139, de 28 de novembro de 2019, resolve:</w:t>
            </w:r>
          </w:p>
        </w:tc>
        <w:tc>
          <w:tcPr>
            <w:tcW w:w="4849" w:type="dxa"/>
          </w:tcPr>
          <w:p w14:paraId="2B74EFAC" w14:textId="77777777" w:rsidR="00E86BE2" w:rsidRPr="0010524E" w:rsidRDefault="00E86BE2" w:rsidP="00E86BE2">
            <w:pPr>
              <w:spacing w:after="120"/>
              <w:jc w:val="both"/>
              <w:rPr>
                <w:rFonts w:cstheme="minorHAnsi"/>
                <w:sz w:val="24"/>
                <w:szCs w:val="24"/>
              </w:rPr>
            </w:pPr>
          </w:p>
        </w:tc>
        <w:tc>
          <w:tcPr>
            <w:tcW w:w="4648" w:type="dxa"/>
          </w:tcPr>
          <w:p w14:paraId="401B5880" w14:textId="77777777" w:rsidR="00E86BE2" w:rsidRPr="0010524E" w:rsidRDefault="00E86BE2" w:rsidP="00E86BE2">
            <w:pPr>
              <w:spacing w:after="120"/>
              <w:jc w:val="both"/>
              <w:rPr>
                <w:rFonts w:cstheme="minorHAnsi"/>
                <w:sz w:val="24"/>
                <w:szCs w:val="24"/>
              </w:rPr>
            </w:pPr>
            <w:r w:rsidRPr="0010524E">
              <w:rPr>
                <w:rFonts w:cstheme="minorHAnsi"/>
                <w:sz w:val="24"/>
                <w:szCs w:val="24"/>
              </w:rPr>
              <w:t>Excluído</w:t>
            </w:r>
          </w:p>
        </w:tc>
      </w:tr>
      <w:tr w:rsidR="00E86BE2" w:rsidRPr="0010524E" w14:paraId="45832CDE" w14:textId="77777777" w:rsidTr="00E86BE2">
        <w:tc>
          <w:tcPr>
            <w:tcW w:w="4815" w:type="dxa"/>
          </w:tcPr>
          <w:p w14:paraId="02DA1E8D" w14:textId="77777777" w:rsidR="00E86BE2" w:rsidRPr="0010524E" w:rsidRDefault="00E86BE2" w:rsidP="00E86BE2">
            <w:pPr>
              <w:jc w:val="center"/>
              <w:rPr>
                <w:rFonts w:cstheme="minorHAnsi"/>
                <w:sz w:val="24"/>
                <w:szCs w:val="24"/>
              </w:rPr>
            </w:pPr>
          </w:p>
        </w:tc>
        <w:tc>
          <w:tcPr>
            <w:tcW w:w="4849" w:type="dxa"/>
          </w:tcPr>
          <w:p w14:paraId="35D249C0" w14:textId="77777777" w:rsidR="00E86BE2" w:rsidRDefault="00E86BE2" w:rsidP="00E86BE2">
            <w:pPr>
              <w:jc w:val="center"/>
              <w:rPr>
                <w:rFonts w:cstheme="minorHAnsi"/>
                <w:sz w:val="24"/>
                <w:szCs w:val="24"/>
              </w:rPr>
            </w:pPr>
            <w:r w:rsidRPr="00E63C7E">
              <w:rPr>
                <w:rFonts w:cstheme="minorHAnsi"/>
                <w:sz w:val="24"/>
                <w:szCs w:val="24"/>
              </w:rPr>
              <w:t>CAPÍTULO VII</w:t>
            </w:r>
            <w:r>
              <w:rPr>
                <w:rFonts w:cstheme="minorHAnsi"/>
                <w:sz w:val="24"/>
                <w:szCs w:val="24"/>
              </w:rPr>
              <w:t>I</w:t>
            </w:r>
          </w:p>
          <w:p w14:paraId="04D2ABB7" w14:textId="1B9B178B" w:rsidR="00E86BE2" w:rsidRPr="0010524E" w:rsidRDefault="00E86BE2" w:rsidP="00E86BE2">
            <w:pPr>
              <w:jc w:val="center"/>
              <w:rPr>
                <w:rFonts w:cstheme="minorHAnsi"/>
                <w:b/>
                <w:bCs/>
                <w:sz w:val="24"/>
                <w:szCs w:val="24"/>
              </w:rPr>
            </w:pPr>
            <w:r w:rsidRPr="00E63C7E">
              <w:rPr>
                <w:rFonts w:cstheme="minorHAnsi"/>
                <w:sz w:val="24"/>
                <w:szCs w:val="24"/>
              </w:rPr>
              <w:t>CONSULTAS E PARTICIPAÇÃO SOCIAL</w:t>
            </w:r>
          </w:p>
        </w:tc>
        <w:tc>
          <w:tcPr>
            <w:tcW w:w="4648" w:type="dxa"/>
          </w:tcPr>
          <w:p w14:paraId="21125092" w14:textId="77777777" w:rsidR="00E86BE2" w:rsidRPr="0010524E" w:rsidRDefault="00E86BE2" w:rsidP="00E86BE2">
            <w:pPr>
              <w:rPr>
                <w:rFonts w:cstheme="minorHAnsi"/>
                <w:sz w:val="24"/>
                <w:szCs w:val="24"/>
              </w:rPr>
            </w:pPr>
          </w:p>
        </w:tc>
      </w:tr>
      <w:tr w:rsidR="00E86BE2" w:rsidRPr="0010524E" w14:paraId="41A4545E" w14:textId="77777777" w:rsidTr="00E86BE2">
        <w:tc>
          <w:tcPr>
            <w:tcW w:w="4815" w:type="dxa"/>
          </w:tcPr>
          <w:p w14:paraId="636849D1" w14:textId="77777777" w:rsidR="00E86BE2" w:rsidRPr="0010524E" w:rsidRDefault="00E86BE2" w:rsidP="00E86BE2">
            <w:pPr>
              <w:jc w:val="center"/>
              <w:rPr>
                <w:rFonts w:cstheme="minorHAnsi"/>
                <w:sz w:val="24"/>
                <w:szCs w:val="24"/>
              </w:rPr>
            </w:pPr>
          </w:p>
        </w:tc>
        <w:tc>
          <w:tcPr>
            <w:tcW w:w="4849" w:type="dxa"/>
          </w:tcPr>
          <w:p w14:paraId="2E5DDFC8" w14:textId="77777777" w:rsidR="00E86BE2" w:rsidRDefault="00E86BE2" w:rsidP="00E86BE2">
            <w:pPr>
              <w:jc w:val="center"/>
              <w:rPr>
                <w:rFonts w:cstheme="minorHAnsi"/>
                <w:b/>
                <w:bCs/>
                <w:sz w:val="24"/>
                <w:szCs w:val="24"/>
              </w:rPr>
            </w:pPr>
            <w:r w:rsidRPr="0010524E">
              <w:rPr>
                <w:rFonts w:cstheme="minorHAnsi"/>
                <w:b/>
                <w:bCs/>
                <w:sz w:val="24"/>
                <w:szCs w:val="24"/>
              </w:rPr>
              <w:t>Seção I</w:t>
            </w:r>
          </w:p>
          <w:p w14:paraId="32E4CA3E" w14:textId="5EF42D24" w:rsidR="00E86BE2" w:rsidRPr="0010524E" w:rsidRDefault="00E86BE2" w:rsidP="00E86BE2">
            <w:pPr>
              <w:jc w:val="center"/>
              <w:rPr>
                <w:rFonts w:cstheme="minorHAnsi"/>
                <w:b/>
                <w:bCs/>
                <w:sz w:val="24"/>
                <w:szCs w:val="24"/>
              </w:rPr>
            </w:pPr>
            <w:r w:rsidRPr="0010524E">
              <w:rPr>
                <w:rFonts w:cstheme="minorHAnsi"/>
                <w:b/>
                <w:bCs/>
                <w:sz w:val="24"/>
                <w:szCs w:val="24"/>
              </w:rPr>
              <w:t>Consultas submetidas à Superintendência Nacional de Previdência Complementar</w:t>
            </w:r>
          </w:p>
        </w:tc>
        <w:tc>
          <w:tcPr>
            <w:tcW w:w="4648" w:type="dxa"/>
          </w:tcPr>
          <w:p w14:paraId="0E2F74E8" w14:textId="77777777" w:rsidR="00E86BE2" w:rsidRPr="0010524E" w:rsidRDefault="00E86BE2" w:rsidP="00E86BE2">
            <w:pPr>
              <w:rPr>
                <w:rFonts w:cstheme="minorHAnsi"/>
                <w:sz w:val="24"/>
                <w:szCs w:val="24"/>
              </w:rPr>
            </w:pPr>
          </w:p>
        </w:tc>
      </w:tr>
      <w:tr w:rsidR="00E86BE2" w:rsidRPr="0010524E" w14:paraId="17FC451D" w14:textId="61CC8588" w:rsidTr="00E86BE2">
        <w:tc>
          <w:tcPr>
            <w:tcW w:w="4815" w:type="dxa"/>
          </w:tcPr>
          <w:p w14:paraId="62FB4B2F" w14:textId="77777777" w:rsidR="00E86BE2" w:rsidRPr="0010524E" w:rsidRDefault="00E86BE2" w:rsidP="00E86BE2">
            <w:pPr>
              <w:jc w:val="center"/>
              <w:rPr>
                <w:rFonts w:cstheme="minorHAnsi"/>
                <w:sz w:val="24"/>
                <w:szCs w:val="24"/>
              </w:rPr>
            </w:pPr>
            <w:r w:rsidRPr="0010524E">
              <w:rPr>
                <w:rFonts w:cstheme="minorHAnsi"/>
                <w:sz w:val="24"/>
                <w:szCs w:val="24"/>
              </w:rPr>
              <w:t>CAPÍTULO I</w:t>
            </w:r>
          </w:p>
          <w:p w14:paraId="5D802BB4" w14:textId="77777777" w:rsidR="00E86BE2" w:rsidRPr="0010524E" w:rsidRDefault="00E86BE2" w:rsidP="00E86BE2">
            <w:pPr>
              <w:jc w:val="center"/>
              <w:rPr>
                <w:rFonts w:cstheme="minorHAnsi"/>
                <w:sz w:val="24"/>
                <w:szCs w:val="24"/>
              </w:rPr>
            </w:pPr>
            <w:r w:rsidRPr="0010524E">
              <w:rPr>
                <w:rFonts w:cstheme="minorHAnsi"/>
                <w:sz w:val="24"/>
                <w:szCs w:val="24"/>
              </w:rPr>
              <w:t>CONSULTA E SEU OBJETO</w:t>
            </w:r>
          </w:p>
        </w:tc>
        <w:tc>
          <w:tcPr>
            <w:tcW w:w="4849" w:type="dxa"/>
          </w:tcPr>
          <w:p w14:paraId="19198C3C" w14:textId="77777777" w:rsidR="00E86BE2" w:rsidRPr="0010524E" w:rsidRDefault="00E86BE2" w:rsidP="00E86BE2">
            <w:pPr>
              <w:jc w:val="center"/>
              <w:rPr>
                <w:rFonts w:cstheme="minorHAnsi"/>
                <w:b/>
                <w:bCs/>
                <w:sz w:val="24"/>
                <w:szCs w:val="24"/>
              </w:rPr>
            </w:pPr>
            <w:r w:rsidRPr="0010524E">
              <w:rPr>
                <w:rFonts w:cstheme="minorHAnsi"/>
                <w:b/>
                <w:bCs/>
                <w:sz w:val="24"/>
                <w:szCs w:val="24"/>
              </w:rPr>
              <w:t>Subseção I</w:t>
            </w:r>
          </w:p>
          <w:p w14:paraId="0425863C" w14:textId="77777777" w:rsidR="00E86BE2" w:rsidRPr="0010524E" w:rsidRDefault="00E86BE2" w:rsidP="00E86BE2">
            <w:pPr>
              <w:jc w:val="center"/>
              <w:rPr>
                <w:rFonts w:cstheme="minorHAnsi"/>
                <w:sz w:val="24"/>
                <w:szCs w:val="24"/>
              </w:rPr>
            </w:pPr>
            <w:r w:rsidRPr="0010524E">
              <w:rPr>
                <w:rFonts w:cstheme="minorHAnsi"/>
                <w:b/>
                <w:bCs/>
                <w:sz w:val="24"/>
                <w:szCs w:val="24"/>
              </w:rPr>
              <w:t>Consulta e seu objeto</w:t>
            </w:r>
          </w:p>
        </w:tc>
        <w:tc>
          <w:tcPr>
            <w:tcW w:w="4648" w:type="dxa"/>
          </w:tcPr>
          <w:p w14:paraId="2E9B5442" w14:textId="77777777" w:rsidR="00E86BE2" w:rsidRPr="0010524E" w:rsidRDefault="00E86BE2" w:rsidP="00E86BE2">
            <w:pPr>
              <w:rPr>
                <w:rFonts w:cstheme="minorHAnsi"/>
                <w:sz w:val="24"/>
                <w:szCs w:val="24"/>
              </w:rPr>
            </w:pPr>
          </w:p>
        </w:tc>
      </w:tr>
      <w:tr w:rsidR="00E86BE2" w:rsidRPr="0010524E" w14:paraId="12062591" w14:textId="698A6938" w:rsidTr="00E86BE2">
        <w:tc>
          <w:tcPr>
            <w:tcW w:w="4815" w:type="dxa"/>
          </w:tcPr>
          <w:p w14:paraId="43F43AE8" w14:textId="77777777" w:rsidR="00E86BE2" w:rsidRPr="0010524E" w:rsidRDefault="00E86BE2" w:rsidP="00E86BE2">
            <w:pPr>
              <w:spacing w:after="120"/>
              <w:jc w:val="both"/>
              <w:rPr>
                <w:rFonts w:cstheme="minorHAnsi"/>
                <w:sz w:val="24"/>
                <w:szCs w:val="24"/>
              </w:rPr>
            </w:pPr>
            <w:r w:rsidRPr="0010524E">
              <w:rPr>
                <w:rFonts w:cstheme="minorHAnsi"/>
                <w:sz w:val="24"/>
                <w:szCs w:val="24"/>
              </w:rPr>
              <w:t xml:space="preserve">Art. 1º Esta Resolução dispõe sobre as consultas submetidas à Superintendência Nacional de Previdência Complementar (Previc) pelas </w:t>
            </w:r>
            <w:r w:rsidRPr="0010524E">
              <w:rPr>
                <w:rFonts w:cstheme="minorHAnsi"/>
                <w:sz w:val="24"/>
                <w:szCs w:val="24"/>
              </w:rPr>
              <w:lastRenderedPageBreak/>
              <w:t>entidades fechadas de previdência complementar (EFPC).</w:t>
            </w:r>
          </w:p>
        </w:tc>
        <w:tc>
          <w:tcPr>
            <w:tcW w:w="4849" w:type="dxa"/>
          </w:tcPr>
          <w:p w14:paraId="0B84BA2A" w14:textId="2BD348E7" w:rsidR="00E86BE2" w:rsidRPr="0010524E" w:rsidRDefault="00E86BE2" w:rsidP="00E86BE2">
            <w:pPr>
              <w:spacing w:after="120"/>
              <w:jc w:val="both"/>
              <w:rPr>
                <w:rFonts w:cstheme="minorHAnsi"/>
                <w:sz w:val="24"/>
                <w:szCs w:val="24"/>
              </w:rPr>
            </w:pPr>
            <w:r w:rsidRPr="0010524E">
              <w:rPr>
                <w:rFonts w:ascii="Calibri" w:eastAsia="Calibri" w:hAnsi="Calibri" w:cs="Calibri"/>
                <w:sz w:val="24"/>
                <w:szCs w:val="24"/>
              </w:rPr>
              <w:lastRenderedPageBreak/>
              <w:t>Art. 331.  Esta Seção dispõe sobre as consultas submetidas à Previc pelas EFPC.</w:t>
            </w:r>
          </w:p>
        </w:tc>
        <w:tc>
          <w:tcPr>
            <w:tcW w:w="4648" w:type="dxa"/>
          </w:tcPr>
          <w:p w14:paraId="7DE6959A" w14:textId="77777777" w:rsidR="00E86BE2" w:rsidRPr="0010524E" w:rsidRDefault="00E86BE2" w:rsidP="00E86BE2">
            <w:pPr>
              <w:spacing w:after="120"/>
              <w:jc w:val="both"/>
              <w:rPr>
                <w:rFonts w:cstheme="minorHAnsi"/>
                <w:sz w:val="24"/>
                <w:szCs w:val="24"/>
              </w:rPr>
            </w:pPr>
            <w:r w:rsidRPr="0010524E">
              <w:rPr>
                <w:rFonts w:cstheme="minorHAnsi"/>
                <w:sz w:val="24"/>
                <w:szCs w:val="24"/>
              </w:rPr>
              <w:t>Ajuste de redação.</w:t>
            </w:r>
          </w:p>
        </w:tc>
      </w:tr>
      <w:tr w:rsidR="00E86BE2" w:rsidRPr="0010524E" w14:paraId="3F25502C" w14:textId="7EB7C227" w:rsidTr="00E86BE2">
        <w:tc>
          <w:tcPr>
            <w:tcW w:w="4815" w:type="dxa"/>
          </w:tcPr>
          <w:p w14:paraId="10DBDF74" w14:textId="77777777" w:rsidR="00E86BE2" w:rsidRPr="0010524E" w:rsidRDefault="00E86BE2" w:rsidP="00E86BE2">
            <w:pPr>
              <w:spacing w:after="120"/>
              <w:jc w:val="both"/>
              <w:rPr>
                <w:rFonts w:cstheme="minorHAnsi"/>
                <w:sz w:val="24"/>
                <w:szCs w:val="24"/>
              </w:rPr>
            </w:pPr>
            <w:r w:rsidRPr="0010524E">
              <w:rPr>
                <w:rFonts w:cstheme="minorHAnsi"/>
                <w:sz w:val="24"/>
                <w:szCs w:val="24"/>
              </w:rPr>
              <w:t>Parágrafo único. Para os fins do disposto nesta Resolução, entende-se por consulta o requerimento que tenha por objeto a elucidação de dúvida relativa à aplicação, em caso concreto, das normas que disciplinam o regime de previdência complementar fechado.</w:t>
            </w:r>
          </w:p>
        </w:tc>
        <w:tc>
          <w:tcPr>
            <w:tcW w:w="4849" w:type="dxa"/>
          </w:tcPr>
          <w:p w14:paraId="5E182C52" w14:textId="219F83DC" w:rsidR="00E86BE2" w:rsidRPr="0010524E" w:rsidRDefault="00E86BE2" w:rsidP="00E86BE2">
            <w:pPr>
              <w:spacing w:after="120"/>
              <w:jc w:val="both"/>
              <w:rPr>
                <w:rFonts w:cstheme="minorHAnsi"/>
                <w:sz w:val="24"/>
                <w:szCs w:val="24"/>
              </w:rPr>
            </w:pPr>
            <w:r w:rsidRPr="0010524E">
              <w:rPr>
                <w:rFonts w:ascii="Calibri" w:eastAsia="Calibri" w:hAnsi="Calibri" w:cs="Calibri"/>
                <w:sz w:val="24"/>
                <w:szCs w:val="24"/>
              </w:rPr>
              <w:t>Parágrafo único.  Para os fins do disposto nesta Resolução, entende-se por consulta o requerimento que tenha por objeto a elucidação de dúvida relativa à aplicação, em caso concreto, das normas que disciplinam o regime de previdência complementar fechado.</w:t>
            </w:r>
          </w:p>
        </w:tc>
        <w:tc>
          <w:tcPr>
            <w:tcW w:w="4648" w:type="dxa"/>
          </w:tcPr>
          <w:p w14:paraId="6069350E" w14:textId="2A58262E" w:rsidR="00E86BE2" w:rsidRPr="0010524E" w:rsidRDefault="00E86BE2" w:rsidP="00E86BE2">
            <w:pPr>
              <w:spacing w:after="120"/>
              <w:jc w:val="both"/>
              <w:rPr>
                <w:rFonts w:cstheme="minorHAnsi"/>
                <w:sz w:val="24"/>
                <w:szCs w:val="24"/>
              </w:rPr>
            </w:pPr>
            <w:r w:rsidRPr="0010524E">
              <w:rPr>
                <w:rFonts w:cstheme="minorHAnsi"/>
                <w:sz w:val="24"/>
                <w:szCs w:val="24"/>
              </w:rPr>
              <w:t>.</w:t>
            </w:r>
          </w:p>
        </w:tc>
      </w:tr>
      <w:tr w:rsidR="00E86BE2" w:rsidRPr="0010524E" w14:paraId="1495384D" w14:textId="25B83EEA" w:rsidTr="00E86BE2">
        <w:trPr>
          <w:trHeight w:val="1050"/>
        </w:trPr>
        <w:tc>
          <w:tcPr>
            <w:tcW w:w="4815" w:type="dxa"/>
            <w:noWrap/>
            <w:hideMark/>
          </w:tcPr>
          <w:p w14:paraId="15818C04"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Art. 2º A EFPC deve encaminhar o requerimento para análise da diretoria competente, de acordo com a matéria objeto da consulta, observadas as seguintes competências:</w:t>
            </w:r>
          </w:p>
        </w:tc>
        <w:tc>
          <w:tcPr>
            <w:tcW w:w="4849" w:type="dxa"/>
            <w:noWrap/>
            <w:hideMark/>
          </w:tcPr>
          <w:p w14:paraId="25E53BBD" w14:textId="2DD85D60"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Art. 332.  A entidade fechada de previdência complementar deve encaminhar o requerimento para análise da diretoria competente, de acordo com a matéria objeto da consulta, observadas as seguintes competências:</w:t>
            </w:r>
          </w:p>
        </w:tc>
        <w:tc>
          <w:tcPr>
            <w:tcW w:w="4648" w:type="dxa"/>
            <w:noWrap/>
            <w:hideMark/>
          </w:tcPr>
          <w:p w14:paraId="663183AC" w14:textId="12BD6E35"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2973CE42" w14:textId="78A9E116" w:rsidTr="00E86BE2">
        <w:trPr>
          <w:trHeight w:val="350"/>
        </w:trPr>
        <w:tc>
          <w:tcPr>
            <w:tcW w:w="4815" w:type="dxa"/>
            <w:noWrap/>
            <w:hideMark/>
          </w:tcPr>
          <w:p w14:paraId="3B9D9B25"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I - Diretoria de Licenciamento:</w:t>
            </w:r>
          </w:p>
        </w:tc>
        <w:tc>
          <w:tcPr>
            <w:tcW w:w="4849" w:type="dxa"/>
            <w:noWrap/>
            <w:hideMark/>
          </w:tcPr>
          <w:p w14:paraId="2855A49F" w14:textId="1D960E1F"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I - Diretoria de Licenciamento:</w:t>
            </w:r>
          </w:p>
        </w:tc>
        <w:tc>
          <w:tcPr>
            <w:tcW w:w="4648" w:type="dxa"/>
            <w:noWrap/>
            <w:hideMark/>
          </w:tcPr>
          <w:p w14:paraId="78993ADB" w14:textId="0839A346"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4C2342FF" w14:textId="60C40BFC" w:rsidTr="00E86BE2">
        <w:trPr>
          <w:trHeight w:val="380"/>
        </w:trPr>
        <w:tc>
          <w:tcPr>
            <w:tcW w:w="4815" w:type="dxa"/>
            <w:noWrap/>
            <w:hideMark/>
          </w:tcPr>
          <w:p w14:paraId="5ABC86A0"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a) constituição de EFPC;</w:t>
            </w:r>
          </w:p>
        </w:tc>
        <w:tc>
          <w:tcPr>
            <w:tcW w:w="4849" w:type="dxa"/>
            <w:noWrap/>
            <w:hideMark/>
          </w:tcPr>
          <w:p w14:paraId="0D85A15D" w14:textId="796AD1CB"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a) constituição de entidades fechadas de previdência complementar;</w:t>
            </w:r>
          </w:p>
        </w:tc>
        <w:tc>
          <w:tcPr>
            <w:tcW w:w="4648" w:type="dxa"/>
            <w:noWrap/>
            <w:hideMark/>
          </w:tcPr>
          <w:p w14:paraId="5A8C1C37" w14:textId="26397ADD"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43C4A9D3" w14:textId="6C176547" w:rsidTr="00E86BE2">
        <w:trPr>
          <w:trHeight w:val="414"/>
        </w:trPr>
        <w:tc>
          <w:tcPr>
            <w:tcW w:w="4815" w:type="dxa"/>
            <w:noWrap/>
            <w:hideMark/>
          </w:tcPr>
          <w:p w14:paraId="7FCE0261"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b) aplicação ou alteração de estatuto;</w:t>
            </w:r>
          </w:p>
        </w:tc>
        <w:tc>
          <w:tcPr>
            <w:tcW w:w="4849" w:type="dxa"/>
            <w:noWrap/>
            <w:hideMark/>
          </w:tcPr>
          <w:p w14:paraId="1D3E49F6" w14:textId="0B6EBAC1"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b) aplicação ou alteração de estatuto;</w:t>
            </w:r>
          </w:p>
        </w:tc>
        <w:tc>
          <w:tcPr>
            <w:tcW w:w="4648" w:type="dxa"/>
            <w:noWrap/>
            <w:hideMark/>
          </w:tcPr>
          <w:p w14:paraId="79A82C9E" w14:textId="062B403D"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1EDAE1F0" w14:textId="7449680A" w:rsidTr="00E86BE2">
        <w:trPr>
          <w:trHeight w:val="420"/>
        </w:trPr>
        <w:tc>
          <w:tcPr>
            <w:tcW w:w="4815" w:type="dxa"/>
            <w:noWrap/>
            <w:hideMark/>
          </w:tcPr>
          <w:p w14:paraId="6AB3EA60"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c) habilitação ou certificação de dirigentes;</w:t>
            </w:r>
          </w:p>
        </w:tc>
        <w:tc>
          <w:tcPr>
            <w:tcW w:w="4849" w:type="dxa"/>
            <w:noWrap/>
            <w:hideMark/>
          </w:tcPr>
          <w:p w14:paraId="13336634" w14:textId="24B6EFB2"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c) habilitação ou certificação de dirigentes;</w:t>
            </w:r>
          </w:p>
        </w:tc>
        <w:tc>
          <w:tcPr>
            <w:tcW w:w="4648" w:type="dxa"/>
            <w:noWrap/>
            <w:hideMark/>
          </w:tcPr>
          <w:p w14:paraId="35E4A000" w14:textId="444C105E"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77936996" w14:textId="2A82736C" w:rsidTr="00E86BE2">
        <w:trPr>
          <w:trHeight w:val="394"/>
        </w:trPr>
        <w:tc>
          <w:tcPr>
            <w:tcW w:w="4815" w:type="dxa"/>
            <w:noWrap/>
            <w:hideMark/>
          </w:tcPr>
          <w:p w14:paraId="4E1A8808"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d) aplicação ou alteração de regulamento;</w:t>
            </w:r>
          </w:p>
        </w:tc>
        <w:tc>
          <w:tcPr>
            <w:tcW w:w="4849" w:type="dxa"/>
            <w:noWrap/>
            <w:hideMark/>
          </w:tcPr>
          <w:p w14:paraId="6AE17E8F" w14:textId="06190235"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d) aplicação ou alteração de regulamento;</w:t>
            </w:r>
          </w:p>
        </w:tc>
        <w:tc>
          <w:tcPr>
            <w:tcW w:w="4648" w:type="dxa"/>
            <w:noWrap/>
            <w:hideMark/>
          </w:tcPr>
          <w:p w14:paraId="67C1241D" w14:textId="351CC66F"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282FAA60" w14:textId="40145CC6" w:rsidTr="00E86BE2">
        <w:trPr>
          <w:trHeight w:val="423"/>
        </w:trPr>
        <w:tc>
          <w:tcPr>
            <w:tcW w:w="4815" w:type="dxa"/>
            <w:noWrap/>
            <w:hideMark/>
          </w:tcPr>
          <w:p w14:paraId="6D46A5C3"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e) aplicação ou alteração de convênio de adesão;</w:t>
            </w:r>
          </w:p>
        </w:tc>
        <w:tc>
          <w:tcPr>
            <w:tcW w:w="4849" w:type="dxa"/>
            <w:noWrap/>
            <w:hideMark/>
          </w:tcPr>
          <w:p w14:paraId="4A5216DC" w14:textId="40BB167E"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e) aplicação ou alteração de convênio de adesão;</w:t>
            </w:r>
          </w:p>
        </w:tc>
        <w:tc>
          <w:tcPr>
            <w:tcW w:w="4648" w:type="dxa"/>
            <w:noWrap/>
            <w:hideMark/>
          </w:tcPr>
          <w:p w14:paraId="4A43DADA" w14:textId="2BF55376"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7F5F2EAF" w14:textId="4431D086" w:rsidTr="00E86BE2">
        <w:trPr>
          <w:trHeight w:val="423"/>
        </w:trPr>
        <w:tc>
          <w:tcPr>
            <w:tcW w:w="4815" w:type="dxa"/>
            <w:noWrap/>
            <w:hideMark/>
          </w:tcPr>
          <w:p w14:paraId="47A7DBCC"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f) saldamento de plano de benefícios;</w:t>
            </w:r>
          </w:p>
        </w:tc>
        <w:tc>
          <w:tcPr>
            <w:tcW w:w="4849" w:type="dxa"/>
            <w:noWrap/>
            <w:hideMark/>
          </w:tcPr>
          <w:p w14:paraId="0DA8006C" w14:textId="08056869"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f) saldamento de plano de benefícios;</w:t>
            </w:r>
          </w:p>
        </w:tc>
        <w:tc>
          <w:tcPr>
            <w:tcW w:w="4648" w:type="dxa"/>
            <w:noWrap/>
            <w:hideMark/>
          </w:tcPr>
          <w:p w14:paraId="0124E483" w14:textId="7D8FA61D"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5EEBEDC4" w14:textId="5C34192F" w:rsidTr="00E86BE2">
        <w:trPr>
          <w:trHeight w:val="428"/>
        </w:trPr>
        <w:tc>
          <w:tcPr>
            <w:tcW w:w="4815" w:type="dxa"/>
            <w:noWrap/>
            <w:hideMark/>
          </w:tcPr>
          <w:p w14:paraId="018ED927"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lastRenderedPageBreak/>
              <w:t>g) transferência de gerenciamento de plano de benefícios;</w:t>
            </w:r>
          </w:p>
        </w:tc>
        <w:tc>
          <w:tcPr>
            <w:tcW w:w="4849" w:type="dxa"/>
            <w:noWrap/>
            <w:hideMark/>
          </w:tcPr>
          <w:p w14:paraId="602D69A2" w14:textId="0C955BFC"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g) transferência de gerenciamento de plano de benefícios;</w:t>
            </w:r>
          </w:p>
        </w:tc>
        <w:tc>
          <w:tcPr>
            <w:tcW w:w="4648" w:type="dxa"/>
            <w:noWrap/>
            <w:hideMark/>
          </w:tcPr>
          <w:p w14:paraId="493A5C18" w14:textId="0AE494FC"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485B525A" w14:textId="69A6A045" w:rsidTr="00E86BE2">
        <w:trPr>
          <w:trHeight w:val="692"/>
        </w:trPr>
        <w:tc>
          <w:tcPr>
            <w:tcW w:w="4815" w:type="dxa"/>
            <w:noWrap/>
            <w:hideMark/>
          </w:tcPr>
          <w:p w14:paraId="1C0D6B5F"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h) fusão, cisão e incorporação de planos de benefícios e de EFPC;</w:t>
            </w:r>
          </w:p>
        </w:tc>
        <w:tc>
          <w:tcPr>
            <w:tcW w:w="4849" w:type="dxa"/>
            <w:noWrap/>
            <w:hideMark/>
          </w:tcPr>
          <w:p w14:paraId="49DCD5F5" w14:textId="03BFCE85"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h) fusão, cisão e incorporação de planos de benefícios e de entidades fechadas de previdência complementar;</w:t>
            </w:r>
          </w:p>
        </w:tc>
        <w:tc>
          <w:tcPr>
            <w:tcW w:w="4648" w:type="dxa"/>
            <w:noWrap/>
            <w:hideMark/>
          </w:tcPr>
          <w:p w14:paraId="3808E58E" w14:textId="7E343121"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268B9D52" w14:textId="3ED1A1DF" w:rsidTr="00E86BE2">
        <w:trPr>
          <w:trHeight w:val="450"/>
        </w:trPr>
        <w:tc>
          <w:tcPr>
            <w:tcW w:w="4815" w:type="dxa"/>
            <w:noWrap/>
            <w:hideMark/>
          </w:tcPr>
          <w:p w14:paraId="72731165"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i) migração de participantes e assistidos;</w:t>
            </w:r>
          </w:p>
        </w:tc>
        <w:tc>
          <w:tcPr>
            <w:tcW w:w="4849" w:type="dxa"/>
            <w:noWrap/>
            <w:hideMark/>
          </w:tcPr>
          <w:p w14:paraId="436F5391" w14:textId="0DAB8C23"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i) migração de participantes e assistidos;</w:t>
            </w:r>
          </w:p>
        </w:tc>
        <w:tc>
          <w:tcPr>
            <w:tcW w:w="4648" w:type="dxa"/>
            <w:noWrap/>
            <w:hideMark/>
          </w:tcPr>
          <w:p w14:paraId="20E5AF87" w14:textId="334DB7EC"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3F8DAD2D" w14:textId="0EA278B5" w:rsidTr="00E86BE2">
        <w:trPr>
          <w:trHeight w:val="414"/>
        </w:trPr>
        <w:tc>
          <w:tcPr>
            <w:tcW w:w="4815" w:type="dxa"/>
            <w:noWrap/>
            <w:hideMark/>
          </w:tcPr>
          <w:p w14:paraId="551F0D02"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j) operações estruturais relacionadas;</w:t>
            </w:r>
          </w:p>
        </w:tc>
        <w:tc>
          <w:tcPr>
            <w:tcW w:w="4849" w:type="dxa"/>
            <w:noWrap/>
            <w:hideMark/>
          </w:tcPr>
          <w:p w14:paraId="2342E4BD" w14:textId="6F55CDB2"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j) operações estruturais relacionadas;</w:t>
            </w:r>
          </w:p>
        </w:tc>
        <w:tc>
          <w:tcPr>
            <w:tcW w:w="4648" w:type="dxa"/>
            <w:noWrap/>
            <w:hideMark/>
          </w:tcPr>
          <w:p w14:paraId="584DE66C" w14:textId="4795B92B"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51ED7823" w14:textId="5A2726AE" w:rsidTr="00E86BE2">
        <w:trPr>
          <w:trHeight w:val="423"/>
        </w:trPr>
        <w:tc>
          <w:tcPr>
            <w:tcW w:w="4815" w:type="dxa"/>
            <w:noWrap/>
            <w:hideMark/>
          </w:tcPr>
          <w:p w14:paraId="39397F6C"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k) retirada de patrocínio;</w:t>
            </w:r>
          </w:p>
        </w:tc>
        <w:tc>
          <w:tcPr>
            <w:tcW w:w="4849" w:type="dxa"/>
            <w:noWrap/>
            <w:hideMark/>
          </w:tcPr>
          <w:p w14:paraId="6DDA3789" w14:textId="10B71455"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k) retirada de patrocínio;</w:t>
            </w:r>
          </w:p>
        </w:tc>
        <w:tc>
          <w:tcPr>
            <w:tcW w:w="4648" w:type="dxa"/>
            <w:noWrap/>
            <w:hideMark/>
          </w:tcPr>
          <w:p w14:paraId="679172C9" w14:textId="55ED77B1"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49D7751A" w14:textId="4DCEDDFB" w:rsidTr="00E86BE2">
        <w:trPr>
          <w:trHeight w:val="415"/>
        </w:trPr>
        <w:tc>
          <w:tcPr>
            <w:tcW w:w="4815" w:type="dxa"/>
            <w:noWrap/>
            <w:hideMark/>
          </w:tcPr>
          <w:p w14:paraId="1E26BEDE"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l) rescisão unilateral de convênio de adesão;</w:t>
            </w:r>
          </w:p>
        </w:tc>
        <w:tc>
          <w:tcPr>
            <w:tcW w:w="4849" w:type="dxa"/>
            <w:noWrap/>
            <w:hideMark/>
          </w:tcPr>
          <w:p w14:paraId="4F75108E" w14:textId="6EF97E8C"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l) rescisão unilateral de convênio de adesão;</w:t>
            </w:r>
          </w:p>
        </w:tc>
        <w:tc>
          <w:tcPr>
            <w:tcW w:w="4648" w:type="dxa"/>
            <w:noWrap/>
            <w:hideMark/>
          </w:tcPr>
          <w:p w14:paraId="5909037B" w14:textId="1215AFAC"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494A7F5E" w14:textId="31366E99" w:rsidTr="00E86BE2">
        <w:trPr>
          <w:trHeight w:val="832"/>
        </w:trPr>
        <w:tc>
          <w:tcPr>
            <w:tcW w:w="4815" w:type="dxa"/>
            <w:noWrap/>
            <w:hideMark/>
          </w:tcPr>
          <w:p w14:paraId="69B4441A"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m) destinação de reserva especial que envolva reversão de valores;</w:t>
            </w:r>
          </w:p>
        </w:tc>
        <w:tc>
          <w:tcPr>
            <w:tcW w:w="4849" w:type="dxa"/>
            <w:noWrap/>
            <w:hideMark/>
          </w:tcPr>
          <w:p w14:paraId="43A59B99" w14:textId="568DC040"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m) destinação de reserva especial que envolva reversão de valores;</w:t>
            </w:r>
          </w:p>
        </w:tc>
        <w:tc>
          <w:tcPr>
            <w:tcW w:w="4648" w:type="dxa"/>
            <w:noWrap/>
            <w:hideMark/>
          </w:tcPr>
          <w:p w14:paraId="434F039D" w14:textId="65012250"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6F2F6D78" w14:textId="29FD9C67" w:rsidTr="00E86BE2">
        <w:trPr>
          <w:trHeight w:val="559"/>
        </w:trPr>
        <w:tc>
          <w:tcPr>
            <w:tcW w:w="4815" w:type="dxa"/>
            <w:noWrap/>
            <w:hideMark/>
          </w:tcPr>
          <w:p w14:paraId="4A05111D"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n) encerramento de plano de benefícios e de EFPC;</w:t>
            </w:r>
          </w:p>
        </w:tc>
        <w:tc>
          <w:tcPr>
            <w:tcW w:w="4849" w:type="dxa"/>
            <w:noWrap/>
            <w:hideMark/>
          </w:tcPr>
          <w:p w14:paraId="3F6E68D1" w14:textId="276FDE55"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n) encerramento de plano de benefícios e de entidades fechadas de previdência complementar;</w:t>
            </w:r>
          </w:p>
        </w:tc>
        <w:tc>
          <w:tcPr>
            <w:tcW w:w="4648" w:type="dxa"/>
            <w:noWrap/>
            <w:hideMark/>
          </w:tcPr>
          <w:p w14:paraId="09B7E741" w14:textId="778E462E"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08BBBFDE" w14:textId="3BC181B7" w:rsidTr="00E86BE2">
        <w:trPr>
          <w:trHeight w:val="854"/>
        </w:trPr>
        <w:tc>
          <w:tcPr>
            <w:tcW w:w="4815" w:type="dxa"/>
            <w:noWrap/>
            <w:hideMark/>
          </w:tcPr>
          <w:p w14:paraId="09879207"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o) certificação de modelo de regulamento de plano de benefícios e de convênio de adesão;</w:t>
            </w:r>
          </w:p>
        </w:tc>
        <w:tc>
          <w:tcPr>
            <w:tcW w:w="4849" w:type="dxa"/>
            <w:noWrap/>
            <w:hideMark/>
          </w:tcPr>
          <w:p w14:paraId="30F9CCB8" w14:textId="6EC0F888"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o) certificação de modelo de regulamento de plano de benefícios e de convênio de adesão;</w:t>
            </w:r>
          </w:p>
        </w:tc>
        <w:tc>
          <w:tcPr>
            <w:tcW w:w="4648" w:type="dxa"/>
            <w:noWrap/>
            <w:hideMark/>
          </w:tcPr>
          <w:p w14:paraId="7A2F6ED4" w14:textId="28273ADD"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2B2C2880" w14:textId="77E84DD4" w:rsidTr="00E86BE2">
        <w:trPr>
          <w:trHeight w:val="706"/>
        </w:trPr>
        <w:tc>
          <w:tcPr>
            <w:tcW w:w="4815" w:type="dxa"/>
            <w:noWrap/>
            <w:hideMark/>
          </w:tcPr>
          <w:p w14:paraId="25BC5D13"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p) reconhecimento de instituição certificadora e de seus certificados; e</w:t>
            </w:r>
          </w:p>
        </w:tc>
        <w:tc>
          <w:tcPr>
            <w:tcW w:w="4849" w:type="dxa"/>
            <w:noWrap/>
            <w:hideMark/>
          </w:tcPr>
          <w:p w14:paraId="464B68EF" w14:textId="5D3FBEB2"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p) reconhecimento de instituição certificadora e de seus certificados; e</w:t>
            </w:r>
          </w:p>
        </w:tc>
        <w:tc>
          <w:tcPr>
            <w:tcW w:w="4648" w:type="dxa"/>
            <w:noWrap/>
            <w:hideMark/>
          </w:tcPr>
          <w:p w14:paraId="56057A28" w14:textId="0409F659"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621A1708" w14:textId="38C8BC9C" w:rsidTr="00E86BE2">
        <w:trPr>
          <w:trHeight w:val="690"/>
        </w:trPr>
        <w:tc>
          <w:tcPr>
            <w:tcW w:w="4815" w:type="dxa"/>
            <w:noWrap/>
            <w:hideMark/>
          </w:tcPr>
          <w:p w14:paraId="581A736A"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q) outros assuntos relativos a requerimentos de licenciamento.</w:t>
            </w:r>
          </w:p>
        </w:tc>
        <w:tc>
          <w:tcPr>
            <w:tcW w:w="4849" w:type="dxa"/>
            <w:noWrap/>
            <w:hideMark/>
          </w:tcPr>
          <w:p w14:paraId="09CA9D33" w14:textId="619D60E9"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q) outros assuntos relativos a requerimentos de licenciamento.</w:t>
            </w:r>
          </w:p>
        </w:tc>
        <w:tc>
          <w:tcPr>
            <w:tcW w:w="4648" w:type="dxa"/>
            <w:noWrap/>
            <w:hideMark/>
          </w:tcPr>
          <w:p w14:paraId="3CFD7263" w14:textId="0D3C6171"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3386214D" w14:textId="61FFDBC6" w:rsidTr="00E86BE2">
        <w:trPr>
          <w:trHeight w:val="392"/>
        </w:trPr>
        <w:tc>
          <w:tcPr>
            <w:tcW w:w="4815" w:type="dxa"/>
            <w:noWrap/>
            <w:hideMark/>
          </w:tcPr>
          <w:p w14:paraId="1DF26A4C"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II - Diretoria de Fiscalização e Monitoramento:</w:t>
            </w:r>
          </w:p>
        </w:tc>
        <w:tc>
          <w:tcPr>
            <w:tcW w:w="4849" w:type="dxa"/>
            <w:noWrap/>
            <w:hideMark/>
          </w:tcPr>
          <w:p w14:paraId="77E497A9" w14:textId="075DF696"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II - Diretoria de Normas:</w:t>
            </w:r>
          </w:p>
        </w:tc>
        <w:tc>
          <w:tcPr>
            <w:tcW w:w="4648" w:type="dxa"/>
            <w:noWrap/>
            <w:hideMark/>
          </w:tcPr>
          <w:p w14:paraId="179B1520" w14:textId="77777777"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120C6FD5" w14:textId="04FAFA98" w:rsidTr="00E86BE2">
        <w:trPr>
          <w:trHeight w:val="1050"/>
        </w:trPr>
        <w:tc>
          <w:tcPr>
            <w:tcW w:w="4815" w:type="dxa"/>
            <w:noWrap/>
            <w:hideMark/>
          </w:tcPr>
          <w:p w14:paraId="3BB8550C"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lastRenderedPageBreak/>
              <w:t>a) plano de custeio, equacionamento de déficit, destinação de reserva especial que não envolva reversão de valores ou constituição de provisões ou fundos;</w:t>
            </w:r>
          </w:p>
        </w:tc>
        <w:tc>
          <w:tcPr>
            <w:tcW w:w="4849" w:type="dxa"/>
            <w:noWrap/>
            <w:hideMark/>
          </w:tcPr>
          <w:p w14:paraId="29A3918A" w14:textId="5E7C1840"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a) plano de custeio, equacionamento de déficit, destinação de reserva especial que não envolva reversão de valores ou constituição de provisões ou fundos;</w:t>
            </w:r>
          </w:p>
        </w:tc>
        <w:tc>
          <w:tcPr>
            <w:tcW w:w="4648" w:type="dxa"/>
            <w:noWrap/>
            <w:hideMark/>
          </w:tcPr>
          <w:p w14:paraId="03132F5B" w14:textId="6072ECDD"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13C454FB" w14:textId="775F1C75" w:rsidTr="00E86BE2">
        <w:trPr>
          <w:trHeight w:val="350"/>
        </w:trPr>
        <w:tc>
          <w:tcPr>
            <w:tcW w:w="4815" w:type="dxa"/>
            <w:noWrap/>
            <w:hideMark/>
          </w:tcPr>
          <w:p w14:paraId="022AF396"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b) demonstrações atuariais, contábeis ou de investimentos;</w:t>
            </w:r>
          </w:p>
        </w:tc>
        <w:tc>
          <w:tcPr>
            <w:tcW w:w="4849" w:type="dxa"/>
            <w:noWrap/>
            <w:hideMark/>
          </w:tcPr>
          <w:p w14:paraId="44CF6442" w14:textId="7EE74936"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b) demonstrações atuariais, contábeis ou de investimentos;</w:t>
            </w:r>
          </w:p>
        </w:tc>
        <w:tc>
          <w:tcPr>
            <w:tcW w:w="4648" w:type="dxa"/>
            <w:noWrap/>
            <w:hideMark/>
          </w:tcPr>
          <w:p w14:paraId="63461C9B" w14:textId="33F5B8B2"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13C8B82D" w14:textId="53C829EA" w:rsidTr="00E86BE2">
        <w:trPr>
          <w:trHeight w:val="394"/>
        </w:trPr>
        <w:tc>
          <w:tcPr>
            <w:tcW w:w="4815" w:type="dxa"/>
            <w:noWrap/>
            <w:hideMark/>
          </w:tcPr>
          <w:p w14:paraId="6DFCDF85"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c)  aplicações dos recursos garantidores; e</w:t>
            </w:r>
          </w:p>
        </w:tc>
        <w:tc>
          <w:tcPr>
            <w:tcW w:w="4849" w:type="dxa"/>
            <w:noWrap/>
            <w:hideMark/>
          </w:tcPr>
          <w:p w14:paraId="1917F651" w14:textId="6C391301"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c) aplicações dos recursos garantidores; e</w:t>
            </w:r>
          </w:p>
        </w:tc>
        <w:tc>
          <w:tcPr>
            <w:tcW w:w="4648" w:type="dxa"/>
            <w:noWrap/>
            <w:hideMark/>
          </w:tcPr>
          <w:p w14:paraId="475144C9" w14:textId="74BB5968"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1714FB07" w14:textId="40340D2F" w:rsidTr="00E86BE2">
        <w:trPr>
          <w:trHeight w:val="700"/>
        </w:trPr>
        <w:tc>
          <w:tcPr>
            <w:tcW w:w="4815" w:type="dxa"/>
            <w:noWrap/>
            <w:hideMark/>
          </w:tcPr>
          <w:p w14:paraId="164E5212" w14:textId="77777777" w:rsidR="00E86BE2" w:rsidRPr="0010524E" w:rsidRDefault="00E86BE2" w:rsidP="00E86BE2">
            <w:pPr>
              <w:spacing w:after="120"/>
              <w:jc w:val="both"/>
              <w:rPr>
                <w:rFonts w:eastAsia="Times New Roman" w:cstheme="minorHAnsi"/>
                <w:sz w:val="24"/>
                <w:szCs w:val="24"/>
                <w:lang w:eastAsia="pt-BR"/>
              </w:rPr>
            </w:pPr>
            <w:r w:rsidRPr="0010524E">
              <w:rPr>
                <w:rFonts w:eastAsia="Times New Roman" w:cstheme="minorHAnsi"/>
                <w:sz w:val="24"/>
                <w:szCs w:val="24"/>
                <w:lang w:eastAsia="pt-BR"/>
              </w:rPr>
              <w:t>d) outros assuntos relativos a matérias atinentes ao regime de previdência complementar fechado.</w:t>
            </w:r>
          </w:p>
        </w:tc>
        <w:tc>
          <w:tcPr>
            <w:tcW w:w="4849" w:type="dxa"/>
            <w:noWrap/>
            <w:hideMark/>
          </w:tcPr>
          <w:p w14:paraId="55AF2719" w14:textId="26FA9853" w:rsidR="00E86BE2" w:rsidRPr="0010524E" w:rsidRDefault="00E86BE2" w:rsidP="00E86BE2">
            <w:pPr>
              <w:spacing w:after="120"/>
              <w:jc w:val="both"/>
              <w:rPr>
                <w:rFonts w:eastAsia="Times New Roman" w:cstheme="minorHAnsi"/>
                <w:sz w:val="24"/>
                <w:szCs w:val="24"/>
                <w:lang w:eastAsia="pt-BR"/>
              </w:rPr>
            </w:pPr>
            <w:r w:rsidRPr="0010524E">
              <w:rPr>
                <w:rFonts w:ascii="Calibri" w:eastAsia="Calibri" w:hAnsi="Calibri" w:cs="Calibri"/>
                <w:sz w:val="24"/>
                <w:szCs w:val="24"/>
              </w:rPr>
              <w:t>d) outros assuntos relativos a matérias atinentes ao regime de previdência complementar fechado.</w:t>
            </w:r>
          </w:p>
        </w:tc>
        <w:tc>
          <w:tcPr>
            <w:tcW w:w="4648" w:type="dxa"/>
            <w:noWrap/>
            <w:hideMark/>
          </w:tcPr>
          <w:p w14:paraId="3B7BCA84" w14:textId="5261D554" w:rsidR="00E86BE2" w:rsidRPr="0010524E" w:rsidRDefault="00E86BE2" w:rsidP="00E86BE2">
            <w:pPr>
              <w:spacing w:after="120"/>
              <w:jc w:val="both"/>
              <w:rPr>
                <w:rFonts w:eastAsia="Times New Roman" w:cstheme="minorHAnsi"/>
                <w:sz w:val="24"/>
                <w:szCs w:val="24"/>
                <w:lang w:eastAsia="pt-BR"/>
              </w:rPr>
            </w:pPr>
            <w:r w:rsidRPr="0010524E">
              <w:rPr>
                <w:rFonts w:cstheme="minorHAnsi"/>
                <w:sz w:val="24"/>
                <w:szCs w:val="24"/>
              </w:rPr>
              <w:t>.</w:t>
            </w:r>
          </w:p>
        </w:tc>
      </w:tr>
      <w:tr w:rsidR="00E86BE2" w:rsidRPr="0010524E" w14:paraId="719368D2" w14:textId="7E04F98E" w:rsidTr="00E86BE2">
        <w:trPr>
          <w:trHeight w:val="350"/>
        </w:trPr>
        <w:tc>
          <w:tcPr>
            <w:tcW w:w="4815" w:type="dxa"/>
            <w:noWrap/>
            <w:hideMark/>
          </w:tcPr>
          <w:p w14:paraId="062EB682" w14:textId="77777777" w:rsidR="00E86BE2" w:rsidRDefault="00E86BE2" w:rsidP="00E86BE2">
            <w:pPr>
              <w:jc w:val="center"/>
              <w:rPr>
                <w:rFonts w:eastAsia="Times New Roman" w:cstheme="minorHAnsi"/>
                <w:sz w:val="24"/>
                <w:szCs w:val="24"/>
                <w:lang w:eastAsia="pt-BR"/>
              </w:rPr>
            </w:pPr>
            <w:r w:rsidRPr="0010524E">
              <w:rPr>
                <w:rFonts w:eastAsia="Times New Roman" w:cstheme="minorHAnsi"/>
                <w:sz w:val="24"/>
                <w:szCs w:val="24"/>
                <w:lang w:eastAsia="pt-BR"/>
              </w:rPr>
              <w:t>CAPÍTULO II</w:t>
            </w:r>
          </w:p>
          <w:p w14:paraId="32D6F7E3" w14:textId="491C4090" w:rsidR="00E86BE2" w:rsidRPr="0010524E" w:rsidRDefault="00E86BE2" w:rsidP="00E86BE2">
            <w:pPr>
              <w:jc w:val="center"/>
              <w:rPr>
                <w:rFonts w:eastAsia="Times New Roman" w:cstheme="minorHAnsi"/>
                <w:sz w:val="24"/>
                <w:szCs w:val="24"/>
                <w:lang w:eastAsia="pt-BR"/>
              </w:rPr>
            </w:pPr>
            <w:r w:rsidRPr="0010524E">
              <w:rPr>
                <w:rFonts w:eastAsia="Times New Roman" w:cstheme="minorHAnsi"/>
                <w:sz w:val="24"/>
                <w:szCs w:val="24"/>
                <w:lang w:eastAsia="pt-BR"/>
              </w:rPr>
              <w:t>INSTRUÇÃO DA CONSULTA</w:t>
            </w:r>
          </w:p>
        </w:tc>
        <w:tc>
          <w:tcPr>
            <w:tcW w:w="4849" w:type="dxa"/>
            <w:noWrap/>
            <w:hideMark/>
          </w:tcPr>
          <w:p w14:paraId="176AA7EB" w14:textId="70A024FF" w:rsidR="00E86BE2" w:rsidRDefault="00E86BE2" w:rsidP="00E86BE2">
            <w:pPr>
              <w:jc w:val="center"/>
              <w:rPr>
                <w:rFonts w:eastAsia="Times New Roman" w:cstheme="minorHAnsi"/>
                <w:b/>
                <w:bCs/>
                <w:sz w:val="24"/>
                <w:szCs w:val="24"/>
                <w:lang w:eastAsia="pt-BR"/>
              </w:rPr>
            </w:pPr>
            <w:r>
              <w:rPr>
                <w:rFonts w:eastAsia="Times New Roman" w:cstheme="minorHAnsi"/>
                <w:b/>
                <w:bCs/>
                <w:sz w:val="24"/>
                <w:szCs w:val="24"/>
                <w:lang w:eastAsia="pt-BR"/>
              </w:rPr>
              <w:t>Subseção II</w:t>
            </w:r>
          </w:p>
          <w:p w14:paraId="7BF084FF" w14:textId="5BE5BC03" w:rsidR="00E86BE2" w:rsidRPr="0010524E" w:rsidRDefault="00E86BE2" w:rsidP="00E86BE2">
            <w:pPr>
              <w:jc w:val="center"/>
              <w:rPr>
                <w:rFonts w:eastAsia="Times New Roman" w:cstheme="minorHAnsi"/>
                <w:b/>
                <w:bCs/>
                <w:sz w:val="24"/>
                <w:szCs w:val="24"/>
                <w:lang w:eastAsia="pt-BR"/>
              </w:rPr>
            </w:pPr>
            <w:r w:rsidRPr="0010524E">
              <w:rPr>
                <w:rFonts w:eastAsia="Times New Roman" w:cstheme="minorHAnsi"/>
                <w:b/>
                <w:bCs/>
                <w:sz w:val="24"/>
                <w:szCs w:val="24"/>
                <w:lang w:eastAsia="pt-BR"/>
              </w:rPr>
              <w:t>Instrução da consulta</w:t>
            </w:r>
          </w:p>
        </w:tc>
        <w:tc>
          <w:tcPr>
            <w:tcW w:w="4648" w:type="dxa"/>
            <w:noWrap/>
            <w:hideMark/>
          </w:tcPr>
          <w:p w14:paraId="552B1A0E" w14:textId="77777777" w:rsidR="00E86BE2" w:rsidRPr="0010524E" w:rsidRDefault="00E86BE2" w:rsidP="00E86BE2">
            <w:pPr>
              <w:rPr>
                <w:rFonts w:eastAsia="Times New Roman" w:cstheme="minorHAnsi"/>
                <w:sz w:val="24"/>
                <w:szCs w:val="24"/>
                <w:lang w:eastAsia="pt-BR"/>
              </w:rPr>
            </w:pPr>
          </w:p>
        </w:tc>
      </w:tr>
      <w:tr w:rsidR="00E86BE2" w:rsidRPr="0010524E" w14:paraId="6B526345" w14:textId="3DE2186B" w:rsidTr="00E86BE2">
        <w:trPr>
          <w:trHeight w:val="428"/>
        </w:trPr>
        <w:tc>
          <w:tcPr>
            <w:tcW w:w="4815" w:type="dxa"/>
            <w:noWrap/>
            <w:hideMark/>
          </w:tcPr>
          <w:p w14:paraId="4262A7F5"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3º A formulação da consulta pela EFPC deve conter:</w:t>
            </w:r>
          </w:p>
        </w:tc>
        <w:tc>
          <w:tcPr>
            <w:tcW w:w="4849" w:type="dxa"/>
            <w:noWrap/>
            <w:hideMark/>
          </w:tcPr>
          <w:p w14:paraId="5DD22A29" w14:textId="58C7CAC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333.  A formulação da consulta pela entidade fechada de previdência complementar deve conter:</w:t>
            </w:r>
          </w:p>
        </w:tc>
        <w:tc>
          <w:tcPr>
            <w:tcW w:w="4648" w:type="dxa"/>
            <w:noWrap/>
            <w:hideMark/>
          </w:tcPr>
          <w:p w14:paraId="62A83DA9" w14:textId="0E41DCBF"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66113BE3" w14:textId="26D9BC07" w:rsidTr="00E86BE2">
        <w:trPr>
          <w:trHeight w:val="715"/>
        </w:trPr>
        <w:tc>
          <w:tcPr>
            <w:tcW w:w="4815" w:type="dxa"/>
            <w:noWrap/>
            <w:hideMark/>
          </w:tcPr>
          <w:p w14:paraId="52B736F7"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I - identificação da EFPC ou do plano de benefícios objeto da consulta;</w:t>
            </w:r>
          </w:p>
        </w:tc>
        <w:tc>
          <w:tcPr>
            <w:tcW w:w="4849" w:type="dxa"/>
            <w:noWrap/>
            <w:hideMark/>
          </w:tcPr>
          <w:p w14:paraId="59C486F5" w14:textId="4645F3D6"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 - identificação da entidade fechada de previdência complementar ou do plano de benefícios objeto da consulta;</w:t>
            </w:r>
          </w:p>
        </w:tc>
        <w:tc>
          <w:tcPr>
            <w:tcW w:w="4648" w:type="dxa"/>
            <w:noWrap/>
            <w:hideMark/>
          </w:tcPr>
          <w:p w14:paraId="637A4E0D" w14:textId="0FBE4E14"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3395D0FB" w14:textId="7F134490" w:rsidTr="00E86BE2">
        <w:trPr>
          <w:trHeight w:val="1050"/>
        </w:trPr>
        <w:tc>
          <w:tcPr>
            <w:tcW w:w="4815" w:type="dxa"/>
            <w:noWrap/>
            <w:hideMark/>
          </w:tcPr>
          <w:p w14:paraId="3E335446"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II - indicação do objeto da consulta, dentre as matérias relacionadas no art. 2º, bem como a indicação dos dispositivos legais e normativos pertinentes;</w:t>
            </w:r>
          </w:p>
        </w:tc>
        <w:tc>
          <w:tcPr>
            <w:tcW w:w="4849" w:type="dxa"/>
            <w:noWrap/>
            <w:hideMark/>
          </w:tcPr>
          <w:p w14:paraId="5234CEFB" w14:textId="4108AE10"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II - indicação do objeto da consulta, dentre as matérias relacionadas no art. 332, bem como a indicação dos dispositivos legais e normativos pertinentes;</w:t>
            </w:r>
          </w:p>
        </w:tc>
        <w:tc>
          <w:tcPr>
            <w:tcW w:w="4648" w:type="dxa"/>
            <w:noWrap/>
            <w:hideMark/>
          </w:tcPr>
          <w:p w14:paraId="4EF54CF2" w14:textId="12C5FBB5"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32B268A7" w14:textId="518CFDD6" w:rsidTr="00E86BE2">
        <w:trPr>
          <w:trHeight w:val="1400"/>
        </w:trPr>
        <w:tc>
          <w:tcPr>
            <w:tcW w:w="4815" w:type="dxa"/>
            <w:noWrap/>
            <w:hideMark/>
          </w:tcPr>
          <w:p w14:paraId="157F0AB2"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III - formulação do questionamento de forma clara e precisa, expresso sob a forma de quesitos, com indicação objetiva dos procedimentos, conceitos ou dispositivos normativos sobre os quais há dúvida; e</w:t>
            </w:r>
          </w:p>
        </w:tc>
        <w:tc>
          <w:tcPr>
            <w:tcW w:w="4849" w:type="dxa"/>
            <w:noWrap/>
            <w:hideMark/>
          </w:tcPr>
          <w:p w14:paraId="45CA1C84" w14:textId="7E08510F"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III - formulação do questionamento de forma clara e precisa, expresso sob a forma de quesitos, com indicação objetiva dos procedimentos, conceitos ou dispositivos normativos sobre os quais há dúvida; e</w:t>
            </w:r>
          </w:p>
        </w:tc>
        <w:tc>
          <w:tcPr>
            <w:tcW w:w="4648" w:type="dxa"/>
            <w:noWrap/>
            <w:hideMark/>
          </w:tcPr>
          <w:p w14:paraId="75B4C339" w14:textId="50560933"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2AD30FD6" w14:textId="0AA09DF6" w:rsidTr="00E86BE2">
        <w:trPr>
          <w:trHeight w:val="350"/>
        </w:trPr>
        <w:tc>
          <w:tcPr>
            <w:tcW w:w="4815" w:type="dxa"/>
            <w:noWrap/>
            <w:hideMark/>
          </w:tcPr>
          <w:p w14:paraId="0165ADC2"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lastRenderedPageBreak/>
              <w:t>IV - entendimento da EFPC sobre a matéria.</w:t>
            </w:r>
          </w:p>
        </w:tc>
        <w:tc>
          <w:tcPr>
            <w:tcW w:w="4849" w:type="dxa"/>
            <w:noWrap/>
            <w:hideMark/>
          </w:tcPr>
          <w:p w14:paraId="34C78BD9" w14:textId="3B050CEA"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IV - entendimento da entidade fechada de previdência complementar sobre a matéria.</w:t>
            </w:r>
          </w:p>
        </w:tc>
        <w:tc>
          <w:tcPr>
            <w:tcW w:w="4648" w:type="dxa"/>
            <w:noWrap/>
            <w:hideMark/>
          </w:tcPr>
          <w:p w14:paraId="664CC94A" w14:textId="0FABB715"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275E4199" w14:textId="69DCFF3F" w:rsidTr="00E86BE2">
        <w:trPr>
          <w:trHeight w:val="1050"/>
        </w:trPr>
        <w:tc>
          <w:tcPr>
            <w:tcW w:w="4815" w:type="dxa"/>
            <w:noWrap/>
            <w:hideMark/>
          </w:tcPr>
          <w:p w14:paraId="7E134EC5"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Parágrafo único. A consulta deve ser instruída com todas as informações e documentos necessários à completa compreensão da matéria.</w:t>
            </w:r>
          </w:p>
        </w:tc>
        <w:tc>
          <w:tcPr>
            <w:tcW w:w="4849" w:type="dxa"/>
            <w:noWrap/>
            <w:hideMark/>
          </w:tcPr>
          <w:p w14:paraId="45C1C717" w14:textId="1CCAA884"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Parágrafo único.  A consulta deve ser instruída com todas as informações e documentos necessários à completa compreensão da matéria.</w:t>
            </w:r>
          </w:p>
        </w:tc>
        <w:tc>
          <w:tcPr>
            <w:tcW w:w="4648" w:type="dxa"/>
            <w:noWrap/>
            <w:hideMark/>
          </w:tcPr>
          <w:p w14:paraId="35FF8A02" w14:textId="499B5408"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3DB1A6C3" w14:textId="4BF8C83B" w:rsidTr="00E86BE2">
        <w:trPr>
          <w:trHeight w:val="350"/>
        </w:trPr>
        <w:tc>
          <w:tcPr>
            <w:tcW w:w="4815" w:type="dxa"/>
            <w:noWrap/>
            <w:hideMark/>
          </w:tcPr>
          <w:p w14:paraId="6607605F"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4º Não se conhece a consulta:</w:t>
            </w:r>
          </w:p>
        </w:tc>
        <w:tc>
          <w:tcPr>
            <w:tcW w:w="4849" w:type="dxa"/>
            <w:noWrap/>
            <w:hideMark/>
          </w:tcPr>
          <w:p w14:paraId="44091BE4" w14:textId="5B266F8D"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334.  Não se conhece a consulta:</w:t>
            </w:r>
          </w:p>
        </w:tc>
        <w:tc>
          <w:tcPr>
            <w:tcW w:w="4648" w:type="dxa"/>
            <w:noWrap/>
            <w:hideMark/>
          </w:tcPr>
          <w:p w14:paraId="2C7FCB94" w14:textId="66F3819C"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2D3A446B" w14:textId="32B79590" w:rsidTr="00E86BE2">
        <w:trPr>
          <w:trHeight w:val="462"/>
        </w:trPr>
        <w:tc>
          <w:tcPr>
            <w:tcW w:w="4815" w:type="dxa"/>
            <w:noWrap/>
            <w:hideMark/>
          </w:tcPr>
          <w:p w14:paraId="635750F1"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I - sem a observância do disposto no art. 3º;</w:t>
            </w:r>
          </w:p>
        </w:tc>
        <w:tc>
          <w:tcPr>
            <w:tcW w:w="4849" w:type="dxa"/>
            <w:noWrap/>
            <w:hideMark/>
          </w:tcPr>
          <w:p w14:paraId="27C9200B" w14:textId="4689CDCD"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 - sem a observância do disposto no art. 333;</w:t>
            </w:r>
          </w:p>
        </w:tc>
        <w:tc>
          <w:tcPr>
            <w:tcW w:w="4648" w:type="dxa"/>
            <w:noWrap/>
            <w:hideMark/>
          </w:tcPr>
          <w:p w14:paraId="69DF0E73" w14:textId="26C01B2F"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1914F3D5" w14:textId="161F5E99" w:rsidTr="00E86BE2">
        <w:trPr>
          <w:trHeight w:val="1400"/>
        </w:trPr>
        <w:tc>
          <w:tcPr>
            <w:tcW w:w="4815" w:type="dxa"/>
            <w:noWrap/>
            <w:hideMark/>
          </w:tcPr>
          <w:p w14:paraId="2F5F9344"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II - que tenha sido objeto de manifestação anterior por parte da Previc ou do Ministério do Trabalho e Previdência, proferida em procedimento administrativo no qual tenha tomado parte a EFPC;</w:t>
            </w:r>
          </w:p>
        </w:tc>
        <w:tc>
          <w:tcPr>
            <w:tcW w:w="4849" w:type="dxa"/>
            <w:noWrap/>
            <w:hideMark/>
          </w:tcPr>
          <w:p w14:paraId="00A15BBE" w14:textId="0140E377"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II - que tenha sido objeto de manifestação anterior por parte da Previc ou do Ministério da Previdência Social, proferida em procedimento administrativo no qual tenha tomado parte a entidade fechada de previdência complementar;</w:t>
            </w:r>
          </w:p>
        </w:tc>
        <w:tc>
          <w:tcPr>
            <w:tcW w:w="4648" w:type="dxa"/>
            <w:noWrap/>
            <w:hideMark/>
          </w:tcPr>
          <w:p w14:paraId="494938CD" w14:textId="77777777" w:rsidR="00E86BE2" w:rsidRPr="0010524E" w:rsidRDefault="00E86BE2" w:rsidP="00E86BE2">
            <w:pPr>
              <w:rPr>
                <w:rFonts w:eastAsia="Times New Roman" w:cstheme="minorHAnsi"/>
                <w:sz w:val="24"/>
                <w:szCs w:val="24"/>
                <w:lang w:eastAsia="pt-BR"/>
              </w:rPr>
            </w:pPr>
            <w:r w:rsidRPr="0010524E">
              <w:rPr>
                <w:rFonts w:cstheme="minorHAnsi"/>
                <w:sz w:val="24"/>
                <w:szCs w:val="24"/>
              </w:rPr>
              <w:t>Ajuste de redação.</w:t>
            </w:r>
          </w:p>
        </w:tc>
      </w:tr>
      <w:tr w:rsidR="00E86BE2" w:rsidRPr="0010524E" w14:paraId="391490E6" w14:textId="6A12BA70" w:rsidTr="00E86BE2">
        <w:trPr>
          <w:trHeight w:val="1050"/>
        </w:trPr>
        <w:tc>
          <w:tcPr>
            <w:tcW w:w="4815" w:type="dxa"/>
            <w:noWrap/>
            <w:hideMark/>
          </w:tcPr>
          <w:p w14:paraId="53DAEBC6"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III - que tenha sido ou venha a ser, no decurso do processo de sua análise, objeto de manifestação tornada pública por parte da Previc;</w:t>
            </w:r>
          </w:p>
        </w:tc>
        <w:tc>
          <w:tcPr>
            <w:tcW w:w="4849" w:type="dxa"/>
            <w:noWrap/>
            <w:hideMark/>
          </w:tcPr>
          <w:p w14:paraId="1093EA04" w14:textId="3E2C521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III - que tenha sido ou venha a ser, no decurso do processo de sua análise, objeto de manifestação tornada pública por parte da Previc;</w:t>
            </w:r>
          </w:p>
        </w:tc>
        <w:tc>
          <w:tcPr>
            <w:tcW w:w="4648" w:type="dxa"/>
            <w:noWrap/>
            <w:hideMark/>
          </w:tcPr>
          <w:p w14:paraId="15856230" w14:textId="32DFA7ED"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7229FA4B" w14:textId="405DE988" w:rsidTr="00E86BE2">
        <w:trPr>
          <w:trHeight w:val="350"/>
        </w:trPr>
        <w:tc>
          <w:tcPr>
            <w:tcW w:w="4815" w:type="dxa"/>
            <w:noWrap/>
            <w:hideMark/>
          </w:tcPr>
          <w:p w14:paraId="650789A4"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IV - relativa a ato de gestão de responsabilidade da EFPC;</w:t>
            </w:r>
          </w:p>
        </w:tc>
        <w:tc>
          <w:tcPr>
            <w:tcW w:w="4849" w:type="dxa"/>
            <w:noWrap/>
            <w:hideMark/>
          </w:tcPr>
          <w:p w14:paraId="6D383A5B" w14:textId="202781F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IV - relativa a ato de gestão de responsabilidade da entidade fechada de previdência complementar;</w:t>
            </w:r>
          </w:p>
        </w:tc>
        <w:tc>
          <w:tcPr>
            <w:tcW w:w="4648" w:type="dxa"/>
            <w:noWrap/>
            <w:hideMark/>
          </w:tcPr>
          <w:p w14:paraId="2123B6D6" w14:textId="4939FE5F"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480248D9" w14:textId="1775878C" w:rsidTr="00E86BE2">
        <w:trPr>
          <w:trHeight w:val="1050"/>
        </w:trPr>
        <w:tc>
          <w:tcPr>
            <w:tcW w:w="4815" w:type="dxa"/>
            <w:noWrap/>
            <w:hideMark/>
          </w:tcPr>
          <w:p w14:paraId="4F74052F"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V - que caracterize pleito de autorização para execução de procedimento pela EFPC em relação ao qual a legislação não exija prévia autorização pela Previc;</w:t>
            </w:r>
          </w:p>
        </w:tc>
        <w:tc>
          <w:tcPr>
            <w:tcW w:w="4849" w:type="dxa"/>
            <w:noWrap/>
            <w:hideMark/>
          </w:tcPr>
          <w:p w14:paraId="30F7B251" w14:textId="14679BF6"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V - que caracterize pleito de autorização para execução de procedimento pela entidade fechada de previdência complementar em relação ao qual a legislação não exija prévia autorização pela Previc;</w:t>
            </w:r>
          </w:p>
        </w:tc>
        <w:tc>
          <w:tcPr>
            <w:tcW w:w="4648" w:type="dxa"/>
            <w:noWrap/>
            <w:hideMark/>
          </w:tcPr>
          <w:p w14:paraId="2980A9E4" w14:textId="50E06318"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1E7FE4B0" w14:textId="63323AD6" w:rsidTr="00E86BE2">
        <w:trPr>
          <w:trHeight w:val="700"/>
        </w:trPr>
        <w:tc>
          <w:tcPr>
            <w:tcW w:w="4815" w:type="dxa"/>
            <w:noWrap/>
            <w:hideMark/>
          </w:tcPr>
          <w:p w14:paraId="1AB18F71"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lastRenderedPageBreak/>
              <w:t>VI - que verse sobre a constitucionalidade de lei ou outro ato normativo;</w:t>
            </w:r>
          </w:p>
        </w:tc>
        <w:tc>
          <w:tcPr>
            <w:tcW w:w="4849" w:type="dxa"/>
            <w:noWrap/>
            <w:hideMark/>
          </w:tcPr>
          <w:p w14:paraId="28D89707" w14:textId="7F33B4B0"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VI - que verse sobre a constitucionalidade de lei ou outro ato normativo;</w:t>
            </w:r>
          </w:p>
        </w:tc>
        <w:tc>
          <w:tcPr>
            <w:tcW w:w="4648" w:type="dxa"/>
            <w:noWrap/>
            <w:hideMark/>
          </w:tcPr>
          <w:p w14:paraId="1826AB22" w14:textId="4B466EBA"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03395586" w14:textId="67B11416" w:rsidTr="00E86BE2">
        <w:trPr>
          <w:trHeight w:val="1050"/>
        </w:trPr>
        <w:tc>
          <w:tcPr>
            <w:tcW w:w="4815" w:type="dxa"/>
            <w:noWrap/>
            <w:hideMark/>
          </w:tcPr>
          <w:p w14:paraId="2B74E34B"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VII - cujo objeto venha a ser disciplinado por ato normativo editado depois de sua formulação, hipótese em que, se a EFPC entender necessário, poderá encaminhar nova consulta;</w:t>
            </w:r>
          </w:p>
        </w:tc>
        <w:tc>
          <w:tcPr>
            <w:tcW w:w="4849" w:type="dxa"/>
            <w:noWrap/>
            <w:hideMark/>
          </w:tcPr>
          <w:p w14:paraId="3E40864B" w14:textId="29B49876"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VII - cujo objeto venha a ser disciplinado por ato normativo editado depois de sua formulação, hipótese em que, se a entidade fechada de previdência complementar entender necessário, poderá encaminhar nova consulta;</w:t>
            </w:r>
          </w:p>
        </w:tc>
        <w:tc>
          <w:tcPr>
            <w:tcW w:w="4648" w:type="dxa"/>
            <w:noWrap/>
            <w:hideMark/>
          </w:tcPr>
          <w:p w14:paraId="4C6CC11D" w14:textId="6812BBB2"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100530A1" w14:textId="6896D390" w:rsidTr="00E86BE2">
        <w:trPr>
          <w:trHeight w:val="1050"/>
        </w:trPr>
        <w:tc>
          <w:tcPr>
            <w:tcW w:w="4815" w:type="dxa"/>
            <w:noWrap/>
            <w:hideMark/>
          </w:tcPr>
          <w:p w14:paraId="49929CF1"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VIII - que trate de fato objeto de processo administrativo pendente de decisão definitiva no âmbito da Previc, do qual a EFPC seja parte;</w:t>
            </w:r>
          </w:p>
        </w:tc>
        <w:tc>
          <w:tcPr>
            <w:tcW w:w="4849" w:type="dxa"/>
            <w:noWrap/>
            <w:hideMark/>
          </w:tcPr>
          <w:p w14:paraId="189BAA4A" w14:textId="77F9F6DB"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VIII - que trate de fato objeto de processo administrativo pendente de decisão definitiva no âmbito da Previc, do qual a entidade fechada de previdência complementar seja parte;</w:t>
            </w:r>
          </w:p>
        </w:tc>
        <w:tc>
          <w:tcPr>
            <w:tcW w:w="4648" w:type="dxa"/>
            <w:noWrap/>
            <w:hideMark/>
          </w:tcPr>
          <w:p w14:paraId="26E0901B" w14:textId="31B78B9C"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28D28780" w14:textId="7D9BCB77" w:rsidTr="00E86BE2">
        <w:trPr>
          <w:trHeight w:val="700"/>
        </w:trPr>
        <w:tc>
          <w:tcPr>
            <w:tcW w:w="4815" w:type="dxa"/>
            <w:noWrap/>
            <w:hideMark/>
          </w:tcPr>
          <w:p w14:paraId="32275BA4"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IX - formulada sobre direito em tese, com referência a fato genérico; ou</w:t>
            </w:r>
          </w:p>
        </w:tc>
        <w:tc>
          <w:tcPr>
            <w:tcW w:w="4849" w:type="dxa"/>
            <w:noWrap/>
            <w:hideMark/>
          </w:tcPr>
          <w:p w14:paraId="2AF38389" w14:textId="0CD53EB3"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IX - formulada sobre direito em tese, com referência a fato genérico; ou</w:t>
            </w:r>
          </w:p>
        </w:tc>
        <w:tc>
          <w:tcPr>
            <w:tcW w:w="4648" w:type="dxa"/>
            <w:noWrap/>
            <w:hideMark/>
          </w:tcPr>
          <w:p w14:paraId="5B09FA41" w14:textId="6973A162"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46FB6D5E" w14:textId="2425A0CB" w:rsidTr="00E86BE2">
        <w:trPr>
          <w:trHeight w:val="773"/>
        </w:trPr>
        <w:tc>
          <w:tcPr>
            <w:tcW w:w="4815" w:type="dxa"/>
            <w:noWrap/>
            <w:hideMark/>
          </w:tcPr>
          <w:p w14:paraId="2FA504F4"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X - com a identificação dos emissores dos ativos, no caso de consulta relativa a investimentos.</w:t>
            </w:r>
          </w:p>
        </w:tc>
        <w:tc>
          <w:tcPr>
            <w:tcW w:w="4849" w:type="dxa"/>
            <w:noWrap/>
            <w:hideMark/>
          </w:tcPr>
          <w:p w14:paraId="68BBDB1B" w14:textId="18ADB865"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X - com a identificação dos emissores dos ativos, no caso de consulta relativa a investimentos.</w:t>
            </w:r>
          </w:p>
        </w:tc>
        <w:tc>
          <w:tcPr>
            <w:tcW w:w="4648" w:type="dxa"/>
            <w:noWrap/>
            <w:hideMark/>
          </w:tcPr>
          <w:p w14:paraId="09D18C2E" w14:textId="140311E8"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0230EB50" w14:textId="6DCFA827" w:rsidTr="00E86BE2">
        <w:trPr>
          <w:trHeight w:val="700"/>
        </w:trPr>
        <w:tc>
          <w:tcPr>
            <w:tcW w:w="4815" w:type="dxa"/>
            <w:noWrap/>
            <w:hideMark/>
          </w:tcPr>
          <w:p w14:paraId="369F92E1"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1º A EFPC pode ser intimada a apresentar informações ou documentos adicionais necessários à apreciação da consulta.</w:t>
            </w:r>
          </w:p>
        </w:tc>
        <w:tc>
          <w:tcPr>
            <w:tcW w:w="4849" w:type="dxa"/>
            <w:noWrap/>
            <w:hideMark/>
          </w:tcPr>
          <w:p w14:paraId="22D29283" w14:textId="00062FBA"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1º  A entidade fechada de previdência complementar pode ser intimada a apresentar informações ou documentos adicionais necessários à apreciação da consulta.</w:t>
            </w:r>
          </w:p>
        </w:tc>
        <w:tc>
          <w:tcPr>
            <w:tcW w:w="4648" w:type="dxa"/>
            <w:noWrap/>
            <w:hideMark/>
          </w:tcPr>
          <w:p w14:paraId="034B7E17" w14:textId="54D2BAEF"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7F6DB2D8" w14:textId="1CC5C64C" w:rsidTr="00E86BE2">
        <w:trPr>
          <w:trHeight w:val="1050"/>
        </w:trPr>
        <w:tc>
          <w:tcPr>
            <w:tcW w:w="4815" w:type="dxa"/>
            <w:noWrap/>
            <w:hideMark/>
          </w:tcPr>
          <w:p w14:paraId="29BFFCF6"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2º Caso a intimação a que se refere o § 1º não seja atendida no prazo de quinze dias, a consulta não deve ser conhecida pela Previc.</w:t>
            </w:r>
          </w:p>
        </w:tc>
        <w:tc>
          <w:tcPr>
            <w:tcW w:w="4849" w:type="dxa"/>
            <w:noWrap/>
            <w:hideMark/>
          </w:tcPr>
          <w:p w14:paraId="455829E0" w14:textId="25656973"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2º  Caso a intimação a que se refere o § 1º não seja atendida no prazo de quinze dias, a consulta não deve ser conhecida pela Previc.</w:t>
            </w:r>
          </w:p>
        </w:tc>
        <w:tc>
          <w:tcPr>
            <w:tcW w:w="4648" w:type="dxa"/>
            <w:noWrap/>
            <w:hideMark/>
          </w:tcPr>
          <w:p w14:paraId="624B57A1" w14:textId="335A51DE"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27EB7BA9" w14:textId="5D31F1D3" w:rsidTr="00E86BE2">
        <w:trPr>
          <w:trHeight w:val="1050"/>
        </w:trPr>
        <w:tc>
          <w:tcPr>
            <w:tcW w:w="4815" w:type="dxa"/>
            <w:noWrap/>
            <w:hideMark/>
          </w:tcPr>
          <w:p w14:paraId="2E73163C"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5º A EFPC pode solicitar reconsideração da decisão pelo não conhecimento da consulta, no prazo de quinze dias a partir da sua ciência.</w:t>
            </w:r>
          </w:p>
        </w:tc>
        <w:tc>
          <w:tcPr>
            <w:tcW w:w="4849" w:type="dxa"/>
            <w:noWrap/>
            <w:hideMark/>
          </w:tcPr>
          <w:p w14:paraId="1028C8C0" w14:textId="79B4FE4C"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335.  A entidade fechada de previdência complementar pode solicitar reconsideração da decisão pelo não conhecimento da consulta, no prazo de quinze dias a partir da sua ciência.</w:t>
            </w:r>
          </w:p>
        </w:tc>
        <w:tc>
          <w:tcPr>
            <w:tcW w:w="4648" w:type="dxa"/>
            <w:noWrap/>
            <w:hideMark/>
          </w:tcPr>
          <w:p w14:paraId="07AA3622" w14:textId="2B0392D5"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1D223A99" w14:textId="6E6B623F" w:rsidTr="00E86BE2">
        <w:trPr>
          <w:trHeight w:val="1400"/>
        </w:trPr>
        <w:tc>
          <w:tcPr>
            <w:tcW w:w="4815" w:type="dxa"/>
            <w:noWrap/>
            <w:hideMark/>
          </w:tcPr>
          <w:p w14:paraId="0FF3DCE9"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lastRenderedPageBreak/>
              <w:t>Parágrafo único. A Previc deve analisar o pedido de reconsideração, em caráter definitivo, no prazo de trinta dias, prorrogável por igual período, desde que devidamente motivado.</w:t>
            </w:r>
          </w:p>
        </w:tc>
        <w:tc>
          <w:tcPr>
            <w:tcW w:w="4849" w:type="dxa"/>
            <w:noWrap/>
            <w:hideMark/>
          </w:tcPr>
          <w:p w14:paraId="196E9A4F" w14:textId="435B36B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Parágrafo único.  A Previc deve analisar o pedido de reconsideração, em caráter definitivo, no prazo de trinta dias, prorrogável por igual período, desde que devidamente motivado.</w:t>
            </w:r>
          </w:p>
        </w:tc>
        <w:tc>
          <w:tcPr>
            <w:tcW w:w="4648" w:type="dxa"/>
            <w:noWrap/>
            <w:hideMark/>
          </w:tcPr>
          <w:p w14:paraId="43227D00" w14:textId="4324BF68"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4774D6A3" w14:textId="59D61AA8" w:rsidTr="00E86BE2">
        <w:trPr>
          <w:trHeight w:val="1400"/>
        </w:trPr>
        <w:tc>
          <w:tcPr>
            <w:tcW w:w="4815" w:type="dxa"/>
            <w:noWrap/>
            <w:hideMark/>
          </w:tcPr>
          <w:p w14:paraId="452ED201"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6º A veracidade das informações e a autenticidade dos documentos apresentados na consulta constitui responsabilidade da EFPC, podendo a Previc exigir as suas comprovações a qualquer tempo.</w:t>
            </w:r>
          </w:p>
        </w:tc>
        <w:tc>
          <w:tcPr>
            <w:tcW w:w="4849" w:type="dxa"/>
            <w:noWrap/>
            <w:hideMark/>
          </w:tcPr>
          <w:p w14:paraId="303B42B6" w14:textId="048EEEB6"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336.  A veracidade das informações e a autenticidade dos documentos apresentados na consulta constitui responsabilidade da entidade fechada de previdência complementar, podendo a Previc exigir as suas comprovações a qualquer tempo.</w:t>
            </w:r>
          </w:p>
        </w:tc>
        <w:tc>
          <w:tcPr>
            <w:tcW w:w="4648" w:type="dxa"/>
            <w:noWrap/>
            <w:hideMark/>
          </w:tcPr>
          <w:p w14:paraId="6C7B0B7E" w14:textId="73CFE44D"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7A1CC814" w14:textId="1FAFD7D9" w:rsidTr="00E86BE2">
        <w:trPr>
          <w:trHeight w:val="1400"/>
        </w:trPr>
        <w:tc>
          <w:tcPr>
            <w:tcW w:w="4815" w:type="dxa"/>
            <w:noWrap/>
            <w:hideMark/>
          </w:tcPr>
          <w:p w14:paraId="685AFA69"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7º A consulta pode ser levada ao conhecimento de terceiros com evidências de interesse em seu objeto, os quais têm quinze dias, a partir da sua ciência, para se manifestarem por escrito, podendo juntar documentos.</w:t>
            </w:r>
          </w:p>
        </w:tc>
        <w:tc>
          <w:tcPr>
            <w:tcW w:w="4849" w:type="dxa"/>
            <w:noWrap/>
            <w:hideMark/>
          </w:tcPr>
          <w:p w14:paraId="05458E20" w14:textId="16372D3E"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337.  A consulta pode ser levada ao conhecimento de terceiros com evidências de interesse em seu objeto, os quais têm quinze dias, a partir da sua ciência, para se manifestarem por escrito, podendo juntar documentos.</w:t>
            </w:r>
          </w:p>
        </w:tc>
        <w:tc>
          <w:tcPr>
            <w:tcW w:w="4648" w:type="dxa"/>
            <w:noWrap/>
            <w:hideMark/>
          </w:tcPr>
          <w:p w14:paraId="586A1E64" w14:textId="097650EB"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108B685E" w14:textId="4CD1AD2C" w:rsidTr="00E86BE2">
        <w:trPr>
          <w:trHeight w:val="700"/>
        </w:trPr>
        <w:tc>
          <w:tcPr>
            <w:tcW w:w="4815" w:type="dxa"/>
            <w:noWrap/>
            <w:hideMark/>
          </w:tcPr>
          <w:p w14:paraId="3D349ABB"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8º As informações constantes na consulta que não sejam relacionadas ao seu objeto devem ser desconsideradas.</w:t>
            </w:r>
          </w:p>
        </w:tc>
        <w:tc>
          <w:tcPr>
            <w:tcW w:w="4849" w:type="dxa"/>
            <w:noWrap/>
            <w:hideMark/>
          </w:tcPr>
          <w:p w14:paraId="2620CE54" w14:textId="7957497E"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338.  As informações constantes na consulta que não sejam relacionadas ao seu objeto devem ser desconsideradas.</w:t>
            </w:r>
          </w:p>
        </w:tc>
        <w:tc>
          <w:tcPr>
            <w:tcW w:w="4648" w:type="dxa"/>
            <w:noWrap/>
            <w:hideMark/>
          </w:tcPr>
          <w:p w14:paraId="5398308D" w14:textId="1B0AED10"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359BDD7A" w14:textId="054AE798" w:rsidTr="00E86BE2">
        <w:trPr>
          <w:trHeight w:val="350"/>
        </w:trPr>
        <w:tc>
          <w:tcPr>
            <w:tcW w:w="4815" w:type="dxa"/>
            <w:noWrap/>
            <w:hideMark/>
          </w:tcPr>
          <w:p w14:paraId="4EDF3FCB" w14:textId="77777777" w:rsidR="00E86BE2" w:rsidRDefault="00E86BE2" w:rsidP="00E86BE2">
            <w:pPr>
              <w:jc w:val="center"/>
              <w:rPr>
                <w:rFonts w:eastAsia="Times New Roman" w:cstheme="minorHAnsi"/>
                <w:sz w:val="24"/>
                <w:szCs w:val="24"/>
                <w:lang w:eastAsia="pt-BR"/>
              </w:rPr>
            </w:pPr>
            <w:r w:rsidRPr="0010524E">
              <w:rPr>
                <w:rFonts w:eastAsia="Times New Roman" w:cstheme="minorHAnsi"/>
                <w:sz w:val="24"/>
                <w:szCs w:val="24"/>
                <w:lang w:eastAsia="pt-BR"/>
              </w:rPr>
              <w:t>CAPÍTULO III</w:t>
            </w:r>
          </w:p>
          <w:p w14:paraId="4F2F9B24" w14:textId="659F1C25" w:rsidR="00E86BE2" w:rsidRPr="0010524E" w:rsidRDefault="00E86BE2" w:rsidP="00E86BE2">
            <w:pPr>
              <w:jc w:val="center"/>
              <w:rPr>
                <w:rFonts w:eastAsia="Times New Roman" w:cstheme="minorHAnsi"/>
                <w:sz w:val="24"/>
                <w:szCs w:val="24"/>
                <w:lang w:eastAsia="pt-BR"/>
              </w:rPr>
            </w:pPr>
            <w:r w:rsidRPr="0010524E">
              <w:rPr>
                <w:rFonts w:eastAsia="Times New Roman" w:cstheme="minorHAnsi"/>
                <w:sz w:val="24"/>
                <w:szCs w:val="24"/>
                <w:lang w:eastAsia="pt-BR"/>
              </w:rPr>
              <w:t>ANÁLISE E RESPOSTA DA CONSULTA</w:t>
            </w:r>
          </w:p>
        </w:tc>
        <w:tc>
          <w:tcPr>
            <w:tcW w:w="4849" w:type="dxa"/>
            <w:noWrap/>
            <w:hideMark/>
          </w:tcPr>
          <w:p w14:paraId="4A124D6A" w14:textId="77777777" w:rsidR="00E86BE2" w:rsidRDefault="00E86BE2" w:rsidP="00E86BE2">
            <w:pPr>
              <w:jc w:val="center"/>
              <w:rPr>
                <w:rFonts w:eastAsia="Times New Roman" w:cstheme="minorHAnsi"/>
                <w:b/>
                <w:bCs/>
                <w:sz w:val="24"/>
                <w:szCs w:val="24"/>
                <w:lang w:eastAsia="pt-BR"/>
              </w:rPr>
            </w:pPr>
            <w:r w:rsidRPr="0010524E">
              <w:rPr>
                <w:rFonts w:eastAsia="Times New Roman" w:cstheme="minorHAnsi"/>
                <w:b/>
                <w:bCs/>
                <w:sz w:val="24"/>
                <w:szCs w:val="24"/>
                <w:lang w:eastAsia="pt-BR"/>
              </w:rPr>
              <w:t>Subseção III</w:t>
            </w:r>
          </w:p>
          <w:p w14:paraId="705F885F" w14:textId="3B30BC3E" w:rsidR="00E86BE2" w:rsidRPr="0010524E" w:rsidRDefault="00E86BE2" w:rsidP="00E86BE2">
            <w:pPr>
              <w:jc w:val="center"/>
              <w:rPr>
                <w:rFonts w:eastAsia="Times New Roman" w:cstheme="minorHAnsi"/>
                <w:b/>
                <w:bCs/>
                <w:sz w:val="24"/>
                <w:szCs w:val="24"/>
                <w:lang w:eastAsia="pt-BR"/>
              </w:rPr>
            </w:pPr>
            <w:r w:rsidRPr="0010524E">
              <w:rPr>
                <w:rFonts w:eastAsia="Times New Roman" w:cstheme="minorHAnsi"/>
                <w:b/>
                <w:bCs/>
                <w:sz w:val="24"/>
                <w:szCs w:val="24"/>
                <w:lang w:eastAsia="pt-BR"/>
              </w:rPr>
              <w:t>Análise e resposta da consulta</w:t>
            </w:r>
          </w:p>
        </w:tc>
        <w:tc>
          <w:tcPr>
            <w:tcW w:w="4648" w:type="dxa"/>
            <w:noWrap/>
            <w:hideMark/>
          </w:tcPr>
          <w:p w14:paraId="1BFF8B9E" w14:textId="77777777" w:rsidR="00E86BE2" w:rsidRPr="0010524E" w:rsidRDefault="00E86BE2" w:rsidP="00E86BE2">
            <w:pPr>
              <w:rPr>
                <w:rFonts w:eastAsia="Times New Roman" w:cstheme="minorHAnsi"/>
                <w:sz w:val="24"/>
                <w:szCs w:val="24"/>
                <w:lang w:eastAsia="pt-BR"/>
              </w:rPr>
            </w:pPr>
          </w:p>
        </w:tc>
      </w:tr>
      <w:tr w:rsidR="00E86BE2" w:rsidRPr="0010524E" w14:paraId="133DB6B8" w14:textId="5D8EDF94" w:rsidTr="00E86BE2">
        <w:trPr>
          <w:trHeight w:val="1400"/>
        </w:trPr>
        <w:tc>
          <w:tcPr>
            <w:tcW w:w="4815" w:type="dxa"/>
            <w:noWrap/>
            <w:hideMark/>
          </w:tcPr>
          <w:p w14:paraId="748A5A5F"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9º A consulta deve ser analisada e respondida pela Previc no prazo de trinta dias, contados da data de disponibilização pela EFPC de todas as informações e documentos necessários, prorrogáveis por igual período, mediante motivação.</w:t>
            </w:r>
          </w:p>
        </w:tc>
        <w:tc>
          <w:tcPr>
            <w:tcW w:w="4849" w:type="dxa"/>
            <w:noWrap/>
            <w:hideMark/>
          </w:tcPr>
          <w:p w14:paraId="7AB9E02D" w14:textId="5FD44D2E"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339.  A consulta deve ser analisada e respondida pela Previc no prazo de trinta dias, contados da data de disponibilização pela entidade fechada de previdência complementar de todas as informações e documentos necessários, prorrogáveis por igual período, mediante motivação.</w:t>
            </w:r>
          </w:p>
        </w:tc>
        <w:tc>
          <w:tcPr>
            <w:tcW w:w="4648" w:type="dxa"/>
            <w:noWrap/>
            <w:hideMark/>
          </w:tcPr>
          <w:p w14:paraId="47DA0D51" w14:textId="0D35404E"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1C50846E" w14:textId="7C137E54" w:rsidTr="00E86BE2">
        <w:trPr>
          <w:trHeight w:val="1400"/>
        </w:trPr>
        <w:tc>
          <w:tcPr>
            <w:tcW w:w="4815" w:type="dxa"/>
            <w:noWrap/>
            <w:hideMark/>
          </w:tcPr>
          <w:p w14:paraId="41975F99"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lastRenderedPageBreak/>
              <w:t>§ 1º A área técnica responsável pela resposta pode submeter consulta interna às demais áreas da Previc, a fim de subsidiar sua análise, suspendendo-se o prazo de resposta até o retorno dessa consulta.</w:t>
            </w:r>
          </w:p>
        </w:tc>
        <w:tc>
          <w:tcPr>
            <w:tcW w:w="4849" w:type="dxa"/>
            <w:noWrap/>
            <w:hideMark/>
          </w:tcPr>
          <w:p w14:paraId="673B579B" w14:textId="4DA0E72B"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1º  A área técnica responsável pela resposta pode submeter consulta interna às demais áreas da Previc, a fim de subsidiar sua análise, suspendendo-se o prazo de resposta até o retorno dessa consulta.</w:t>
            </w:r>
          </w:p>
        </w:tc>
        <w:tc>
          <w:tcPr>
            <w:tcW w:w="4648" w:type="dxa"/>
            <w:noWrap/>
            <w:hideMark/>
          </w:tcPr>
          <w:p w14:paraId="6A9CCC25" w14:textId="4EF09A5F"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45752820" w14:textId="10FD7151" w:rsidTr="00E86BE2">
        <w:trPr>
          <w:trHeight w:val="1400"/>
        </w:trPr>
        <w:tc>
          <w:tcPr>
            <w:tcW w:w="4815" w:type="dxa"/>
            <w:noWrap/>
            <w:hideMark/>
          </w:tcPr>
          <w:p w14:paraId="57F53365"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2º A EFPC pode juntar informações e documentos adicionais, enquanto não respondida a consulta, prorrogando-se o prazo de resposta por trinta dias, contados da data de protocolo do último documento juntado.</w:t>
            </w:r>
          </w:p>
        </w:tc>
        <w:tc>
          <w:tcPr>
            <w:tcW w:w="4849" w:type="dxa"/>
            <w:noWrap/>
            <w:hideMark/>
          </w:tcPr>
          <w:p w14:paraId="74C195CF" w14:textId="677903A3"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2º  A entidade fechada de previdência complementar pode juntar informações e documentos adicionais, enquanto não respondida a consulta, prorrogando-se o prazo de resposta por trinta dias, contados da data de protocolo do último documento juntado.</w:t>
            </w:r>
          </w:p>
        </w:tc>
        <w:tc>
          <w:tcPr>
            <w:tcW w:w="4648" w:type="dxa"/>
            <w:noWrap/>
            <w:hideMark/>
          </w:tcPr>
          <w:p w14:paraId="419D2A86" w14:textId="7F5F0487"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604834F3" w14:textId="64C00DF6" w:rsidTr="00E86BE2">
        <w:trPr>
          <w:trHeight w:val="1050"/>
        </w:trPr>
        <w:tc>
          <w:tcPr>
            <w:tcW w:w="4815" w:type="dxa"/>
            <w:noWrap/>
            <w:hideMark/>
          </w:tcPr>
          <w:p w14:paraId="3A913E79"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10. A EFPC pode solicitar reanálise da resposta fornecida, desde que devidamente fundamentada com novos fatos, argumentos ou documentos.</w:t>
            </w:r>
          </w:p>
        </w:tc>
        <w:tc>
          <w:tcPr>
            <w:tcW w:w="4849" w:type="dxa"/>
            <w:noWrap/>
            <w:hideMark/>
          </w:tcPr>
          <w:p w14:paraId="7116828B" w14:textId="5612A614"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340.  A entidade fechada de previdência complementar pode solicitar reanálise da resposta fornecida, desde que devidamente fundamentada com novos fatos, argumentos ou documentos.</w:t>
            </w:r>
          </w:p>
        </w:tc>
        <w:tc>
          <w:tcPr>
            <w:tcW w:w="4648" w:type="dxa"/>
            <w:noWrap/>
            <w:hideMark/>
          </w:tcPr>
          <w:p w14:paraId="079AFF7E" w14:textId="7B3D9CF6"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4E46F6B6" w14:textId="75554B8D" w:rsidTr="00E86BE2">
        <w:trPr>
          <w:trHeight w:val="700"/>
        </w:trPr>
        <w:tc>
          <w:tcPr>
            <w:tcW w:w="4815" w:type="dxa"/>
            <w:noWrap/>
            <w:hideMark/>
          </w:tcPr>
          <w:p w14:paraId="4D24469D"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Parágrafo único. Aplica-se ao pedido de reanálise da consulta o mesmo prazo para análise previsto no caput do art. 9º.</w:t>
            </w:r>
          </w:p>
        </w:tc>
        <w:tc>
          <w:tcPr>
            <w:tcW w:w="4849" w:type="dxa"/>
            <w:noWrap/>
            <w:hideMark/>
          </w:tcPr>
          <w:p w14:paraId="03B5C3F0" w14:textId="005464CA"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Parágrafo único.  Aplica-se ao pedido de reanálise da consulta o mesmo prazo para análise previsto no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do art. 339.</w:t>
            </w:r>
          </w:p>
        </w:tc>
        <w:tc>
          <w:tcPr>
            <w:tcW w:w="4648" w:type="dxa"/>
            <w:noWrap/>
            <w:hideMark/>
          </w:tcPr>
          <w:p w14:paraId="6F2A8BED" w14:textId="05BB7531"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0C80F5C7" w14:textId="13F9B059" w:rsidTr="00E86BE2">
        <w:trPr>
          <w:trHeight w:val="1050"/>
        </w:trPr>
        <w:tc>
          <w:tcPr>
            <w:tcW w:w="4815" w:type="dxa"/>
            <w:noWrap/>
            <w:hideMark/>
          </w:tcPr>
          <w:p w14:paraId="13738873"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11. Os entendimentos fixados na resposta aplicam-se exclusivamente à consulta apresentada pela EFPC, com base nos documentos e informações disponibilizados.</w:t>
            </w:r>
          </w:p>
        </w:tc>
        <w:tc>
          <w:tcPr>
            <w:tcW w:w="4849" w:type="dxa"/>
            <w:noWrap/>
            <w:hideMark/>
          </w:tcPr>
          <w:p w14:paraId="52465F92" w14:textId="08A48F1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341.  Os entendimentos fixados na resposta aplicam-se exclusivamente à consulta apresentada pela entidade fechada de previdência complementar, com base nos documentos e informações disponibilizados.</w:t>
            </w:r>
          </w:p>
        </w:tc>
        <w:tc>
          <w:tcPr>
            <w:tcW w:w="4648" w:type="dxa"/>
            <w:noWrap/>
            <w:hideMark/>
          </w:tcPr>
          <w:p w14:paraId="70CD3BED" w14:textId="038B9AF7"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5A5AAEBD" w14:textId="25967B85" w:rsidTr="00E86BE2">
        <w:trPr>
          <w:trHeight w:val="1050"/>
        </w:trPr>
        <w:tc>
          <w:tcPr>
            <w:tcW w:w="4815" w:type="dxa"/>
            <w:noWrap/>
            <w:hideMark/>
          </w:tcPr>
          <w:p w14:paraId="4A617E60"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1º A resposta à consulta não deve ser considerada, em qualquer hipótese, como autorização prévia da Previc para atos de gestão da EFPC.</w:t>
            </w:r>
          </w:p>
        </w:tc>
        <w:tc>
          <w:tcPr>
            <w:tcW w:w="4849" w:type="dxa"/>
            <w:noWrap/>
            <w:hideMark/>
          </w:tcPr>
          <w:p w14:paraId="193A13BA" w14:textId="56EC065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1º  A resposta à consulta não deve ser considerada, em qualquer hipótese, como autorização prévia da Previc para atos de gestão </w:t>
            </w:r>
            <w:r w:rsidRPr="0010524E">
              <w:rPr>
                <w:rFonts w:ascii="Calibri" w:eastAsia="Calibri" w:hAnsi="Calibri" w:cs="Calibri"/>
                <w:sz w:val="24"/>
                <w:szCs w:val="24"/>
              </w:rPr>
              <w:lastRenderedPageBreak/>
              <w:t>da entidade fechada de previdência complementar.</w:t>
            </w:r>
          </w:p>
        </w:tc>
        <w:tc>
          <w:tcPr>
            <w:tcW w:w="4648" w:type="dxa"/>
            <w:noWrap/>
            <w:hideMark/>
          </w:tcPr>
          <w:p w14:paraId="64137ACB" w14:textId="1DC4B81F" w:rsidR="00E86BE2" w:rsidRPr="0010524E" w:rsidRDefault="00E86BE2" w:rsidP="00E86BE2">
            <w:pPr>
              <w:rPr>
                <w:rFonts w:eastAsia="Times New Roman" w:cstheme="minorHAnsi"/>
                <w:sz w:val="24"/>
                <w:szCs w:val="24"/>
                <w:lang w:eastAsia="pt-BR"/>
              </w:rPr>
            </w:pPr>
            <w:r w:rsidRPr="0010524E">
              <w:rPr>
                <w:rFonts w:cstheme="minorHAnsi"/>
                <w:sz w:val="24"/>
                <w:szCs w:val="24"/>
              </w:rPr>
              <w:lastRenderedPageBreak/>
              <w:t>.</w:t>
            </w:r>
          </w:p>
        </w:tc>
      </w:tr>
      <w:tr w:rsidR="00E86BE2" w:rsidRPr="0010524E" w14:paraId="252B5F2E" w14:textId="348FCBFB" w:rsidTr="00E86BE2">
        <w:trPr>
          <w:trHeight w:val="1050"/>
        </w:trPr>
        <w:tc>
          <w:tcPr>
            <w:tcW w:w="4815" w:type="dxa"/>
            <w:noWrap/>
            <w:hideMark/>
          </w:tcPr>
          <w:p w14:paraId="63EE5F33"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2º Caso sejam adicionados novos fatos materiais pela EFPC, o entendimento fixado na resposta à consulta formulada pode ser diverso.</w:t>
            </w:r>
          </w:p>
        </w:tc>
        <w:tc>
          <w:tcPr>
            <w:tcW w:w="4849" w:type="dxa"/>
            <w:noWrap/>
            <w:hideMark/>
          </w:tcPr>
          <w:p w14:paraId="4AC71FDD" w14:textId="50A94D54"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2º  Caso sejam adicionados novos fatos materiais pela entidade fechada de previdência complementar, o entendimento fixado na resposta à consulta formulada pode ser diverso.</w:t>
            </w:r>
          </w:p>
        </w:tc>
        <w:tc>
          <w:tcPr>
            <w:tcW w:w="4648" w:type="dxa"/>
            <w:noWrap/>
            <w:hideMark/>
          </w:tcPr>
          <w:p w14:paraId="541E302F" w14:textId="1ED82E31"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7632095C" w14:textId="5AB5EE2A" w:rsidTr="00E86BE2">
        <w:trPr>
          <w:trHeight w:val="350"/>
        </w:trPr>
        <w:tc>
          <w:tcPr>
            <w:tcW w:w="4815" w:type="dxa"/>
            <w:noWrap/>
            <w:hideMark/>
          </w:tcPr>
          <w:p w14:paraId="243774A5" w14:textId="77777777" w:rsidR="00E86BE2" w:rsidRDefault="00E86BE2" w:rsidP="00E86BE2">
            <w:pPr>
              <w:jc w:val="center"/>
              <w:rPr>
                <w:rFonts w:eastAsia="Times New Roman" w:cstheme="minorHAnsi"/>
                <w:sz w:val="24"/>
                <w:szCs w:val="24"/>
                <w:lang w:eastAsia="pt-BR"/>
              </w:rPr>
            </w:pPr>
            <w:r w:rsidRPr="0010524E">
              <w:rPr>
                <w:rFonts w:eastAsia="Times New Roman" w:cstheme="minorHAnsi"/>
                <w:sz w:val="24"/>
                <w:szCs w:val="24"/>
                <w:lang w:eastAsia="pt-BR"/>
              </w:rPr>
              <w:t>CAPÍTULO IV</w:t>
            </w:r>
          </w:p>
          <w:p w14:paraId="0BEF34F7" w14:textId="7E82965C" w:rsidR="00E86BE2" w:rsidRPr="0010524E" w:rsidRDefault="00E86BE2" w:rsidP="00E86BE2">
            <w:pPr>
              <w:jc w:val="center"/>
              <w:rPr>
                <w:rFonts w:eastAsia="Times New Roman" w:cstheme="minorHAnsi"/>
                <w:sz w:val="24"/>
                <w:szCs w:val="24"/>
                <w:lang w:eastAsia="pt-BR"/>
              </w:rPr>
            </w:pPr>
            <w:r w:rsidRPr="0010524E">
              <w:rPr>
                <w:rFonts w:eastAsia="Times New Roman" w:cstheme="minorHAnsi"/>
                <w:sz w:val="24"/>
                <w:szCs w:val="24"/>
                <w:lang w:eastAsia="pt-BR"/>
              </w:rPr>
              <w:t>DISPOSIÇÕES GERAIS E FINAIS</w:t>
            </w:r>
          </w:p>
        </w:tc>
        <w:tc>
          <w:tcPr>
            <w:tcW w:w="4849" w:type="dxa"/>
            <w:noWrap/>
            <w:hideMark/>
          </w:tcPr>
          <w:p w14:paraId="0D274D69" w14:textId="77777777" w:rsidR="00E86BE2" w:rsidRDefault="00E86BE2" w:rsidP="00E86BE2">
            <w:pPr>
              <w:jc w:val="center"/>
              <w:rPr>
                <w:rFonts w:ascii="Calibri" w:eastAsia="Calibri" w:hAnsi="Calibri" w:cs="Calibri"/>
                <w:b/>
                <w:bCs/>
                <w:sz w:val="24"/>
                <w:szCs w:val="24"/>
              </w:rPr>
            </w:pPr>
            <w:r w:rsidRPr="0010524E">
              <w:rPr>
                <w:rFonts w:ascii="Calibri" w:eastAsia="Calibri" w:hAnsi="Calibri" w:cs="Calibri"/>
                <w:b/>
                <w:bCs/>
                <w:sz w:val="24"/>
                <w:szCs w:val="24"/>
              </w:rPr>
              <w:t>Subseção IV</w:t>
            </w:r>
          </w:p>
          <w:p w14:paraId="72CFA59E" w14:textId="37D15C42" w:rsidR="00E86BE2" w:rsidRPr="0010524E" w:rsidRDefault="00E86BE2" w:rsidP="00E86BE2">
            <w:pPr>
              <w:jc w:val="center"/>
              <w:rPr>
                <w:rFonts w:eastAsia="Times New Roman" w:cstheme="minorHAnsi"/>
                <w:sz w:val="24"/>
                <w:szCs w:val="24"/>
                <w:lang w:eastAsia="pt-BR"/>
              </w:rPr>
            </w:pPr>
            <w:r w:rsidRPr="0010524E">
              <w:rPr>
                <w:rFonts w:ascii="Calibri" w:eastAsia="Calibri" w:hAnsi="Calibri" w:cs="Calibri"/>
                <w:b/>
                <w:bCs/>
                <w:sz w:val="24"/>
                <w:szCs w:val="24"/>
              </w:rPr>
              <w:t>Disposições gerais sobre consultas</w:t>
            </w:r>
          </w:p>
        </w:tc>
        <w:tc>
          <w:tcPr>
            <w:tcW w:w="4648" w:type="dxa"/>
            <w:noWrap/>
            <w:hideMark/>
          </w:tcPr>
          <w:p w14:paraId="23119FF4" w14:textId="11D902E3" w:rsidR="00E86BE2" w:rsidRPr="0010524E" w:rsidRDefault="00E86BE2" w:rsidP="00E86BE2">
            <w:pPr>
              <w:rPr>
                <w:rFonts w:eastAsia="Times New Roman" w:cstheme="minorHAnsi"/>
                <w:sz w:val="24"/>
                <w:szCs w:val="24"/>
                <w:lang w:eastAsia="pt-BR"/>
              </w:rPr>
            </w:pPr>
            <w:r>
              <w:rPr>
                <w:rFonts w:eastAsia="Times New Roman" w:cstheme="minorHAnsi"/>
                <w:sz w:val="24"/>
                <w:szCs w:val="24"/>
                <w:lang w:eastAsia="pt-BR"/>
              </w:rPr>
              <w:t>Ajuste de redação</w:t>
            </w:r>
          </w:p>
        </w:tc>
      </w:tr>
      <w:tr w:rsidR="00E86BE2" w:rsidRPr="0010524E" w14:paraId="3839BF22" w14:textId="49723E26" w:rsidTr="00E86BE2">
        <w:trPr>
          <w:trHeight w:val="1400"/>
        </w:trPr>
        <w:tc>
          <w:tcPr>
            <w:tcW w:w="4815" w:type="dxa"/>
            <w:noWrap/>
            <w:hideMark/>
          </w:tcPr>
          <w:p w14:paraId="658CD4DC"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12. A realização de consulta não suspende nem interrompe eventuais prazos em curso para o exercício de direito ou cumprimento de obrigação, nem outro de qualquer natureza a que esteja sujeita a EFPC.</w:t>
            </w:r>
          </w:p>
        </w:tc>
        <w:tc>
          <w:tcPr>
            <w:tcW w:w="4849" w:type="dxa"/>
            <w:noWrap/>
            <w:hideMark/>
          </w:tcPr>
          <w:p w14:paraId="66CEEF02" w14:textId="63365D52"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342.  A realização de consulta não suspende nem interrompe eventuais prazos em curso para o exercício de direito ou cumprimento de obrigação, nem outro de qualquer natureza a que esteja sujeita a entidade fechada de previdência complementar.</w:t>
            </w:r>
          </w:p>
        </w:tc>
        <w:tc>
          <w:tcPr>
            <w:tcW w:w="4648" w:type="dxa"/>
            <w:noWrap/>
            <w:hideMark/>
          </w:tcPr>
          <w:p w14:paraId="2BB41FEE" w14:textId="6670D8BA"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3C544C57" w14:textId="76083818" w:rsidTr="00E86BE2">
        <w:trPr>
          <w:trHeight w:val="1050"/>
        </w:trPr>
        <w:tc>
          <w:tcPr>
            <w:tcW w:w="4815" w:type="dxa"/>
            <w:noWrap/>
            <w:hideMark/>
          </w:tcPr>
          <w:p w14:paraId="1A6654BE"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13. As ementas do resultado de consultas a que se refere esta Resolução podem ser inseridas em ementário, a ser oportunamente divulgado no sítio eletrônico da Previc.</w:t>
            </w:r>
          </w:p>
        </w:tc>
        <w:tc>
          <w:tcPr>
            <w:tcW w:w="4849" w:type="dxa"/>
            <w:noWrap/>
            <w:hideMark/>
          </w:tcPr>
          <w:p w14:paraId="62CDCB3F" w14:textId="1D65A4E8"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343.  As ementas do resultado de consultas a que se refere esta Resolução podem ser inseridas em ementário, a ser oportunamente divulgado no sítio eletrônico da Previc.</w:t>
            </w:r>
          </w:p>
        </w:tc>
        <w:tc>
          <w:tcPr>
            <w:tcW w:w="4648" w:type="dxa"/>
            <w:noWrap/>
            <w:hideMark/>
          </w:tcPr>
          <w:p w14:paraId="0BFB2202" w14:textId="123749FD"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47C13BE3" w14:textId="6A09BCB5" w:rsidTr="00E86BE2">
        <w:trPr>
          <w:trHeight w:val="1750"/>
        </w:trPr>
        <w:tc>
          <w:tcPr>
            <w:tcW w:w="4815" w:type="dxa"/>
            <w:noWrap/>
            <w:hideMark/>
          </w:tcPr>
          <w:p w14:paraId="0901867E"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14. Todas as comunicações da Previc para a EFPC decorrentes da análise da consulta devem ser realizadas via correio eletrônico, com base nos dados cadastrados no Sistema de Cadastro de Entidades e Planos, ou por meio do Sistema Eletrônico de Informações.</w:t>
            </w:r>
          </w:p>
        </w:tc>
        <w:tc>
          <w:tcPr>
            <w:tcW w:w="4849" w:type="dxa"/>
            <w:noWrap/>
            <w:hideMark/>
          </w:tcPr>
          <w:p w14:paraId="1A913DEF" w14:textId="0618936E"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344.  Todas as comunicações da Previc para a entidade fechada de previdência complementar decorrentes da análise da consulta devem ser realizadas via correio eletrônico, com base nos dados cadastrados no Sistema de Cadastro de Entidades e Planos, ou por meio do Sistema Eletrônico de Informações.</w:t>
            </w:r>
          </w:p>
        </w:tc>
        <w:tc>
          <w:tcPr>
            <w:tcW w:w="4648" w:type="dxa"/>
            <w:noWrap/>
            <w:hideMark/>
          </w:tcPr>
          <w:p w14:paraId="5101A91A" w14:textId="6E1E3065" w:rsidR="00E86BE2" w:rsidRPr="0010524E" w:rsidRDefault="00E86BE2" w:rsidP="00E86BE2">
            <w:pPr>
              <w:rPr>
                <w:rFonts w:eastAsia="Times New Roman" w:cstheme="minorHAnsi"/>
                <w:sz w:val="24"/>
                <w:szCs w:val="24"/>
                <w:lang w:eastAsia="pt-BR"/>
              </w:rPr>
            </w:pPr>
            <w:r w:rsidRPr="0010524E">
              <w:rPr>
                <w:rFonts w:cstheme="minorHAnsi"/>
                <w:sz w:val="24"/>
                <w:szCs w:val="24"/>
              </w:rPr>
              <w:t>.</w:t>
            </w:r>
          </w:p>
        </w:tc>
      </w:tr>
      <w:tr w:rsidR="00E86BE2" w:rsidRPr="0010524E" w14:paraId="18254E9B" w14:textId="1FA1EC47" w:rsidTr="00E86BE2">
        <w:trPr>
          <w:trHeight w:val="350"/>
        </w:trPr>
        <w:tc>
          <w:tcPr>
            <w:tcW w:w="4815" w:type="dxa"/>
            <w:noWrap/>
            <w:hideMark/>
          </w:tcPr>
          <w:p w14:paraId="5B234D74"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15. Ficam revogadas:</w:t>
            </w:r>
          </w:p>
        </w:tc>
        <w:tc>
          <w:tcPr>
            <w:tcW w:w="4849" w:type="dxa"/>
            <w:noWrap/>
            <w:hideMark/>
          </w:tcPr>
          <w:p w14:paraId="745F3ABF"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045DA8E7" w14:textId="77777777" w:rsidR="00E86BE2" w:rsidRPr="0010524E" w:rsidRDefault="00E86BE2" w:rsidP="00E86BE2">
            <w:pPr>
              <w:rPr>
                <w:rFonts w:eastAsia="Times New Roman" w:cstheme="minorHAnsi"/>
                <w:sz w:val="24"/>
                <w:szCs w:val="24"/>
                <w:lang w:eastAsia="pt-BR"/>
              </w:rPr>
            </w:pPr>
            <w:r w:rsidRPr="0010524E">
              <w:rPr>
                <w:rFonts w:eastAsia="Times New Roman" w:cstheme="minorHAnsi"/>
                <w:sz w:val="24"/>
                <w:szCs w:val="24"/>
                <w:lang w:eastAsia="pt-BR"/>
              </w:rPr>
              <w:t>Excluído</w:t>
            </w:r>
          </w:p>
        </w:tc>
      </w:tr>
      <w:tr w:rsidR="00E86BE2" w:rsidRPr="0010524E" w14:paraId="7A70C805" w14:textId="61161600" w:rsidTr="00E86BE2">
        <w:tc>
          <w:tcPr>
            <w:tcW w:w="4815" w:type="dxa"/>
            <w:noWrap/>
            <w:hideMark/>
          </w:tcPr>
          <w:p w14:paraId="6A455BFC"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lastRenderedPageBreak/>
              <w:t>I - a Instrução Previc nº 4, de 24 de agosto de 2018; e</w:t>
            </w:r>
          </w:p>
        </w:tc>
        <w:tc>
          <w:tcPr>
            <w:tcW w:w="4849" w:type="dxa"/>
            <w:noWrap/>
            <w:hideMark/>
          </w:tcPr>
          <w:p w14:paraId="01E6BDEC"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0C10C561" w14:textId="77777777" w:rsidR="00E86BE2" w:rsidRPr="0010524E" w:rsidRDefault="00E86BE2" w:rsidP="00E86BE2">
            <w:pPr>
              <w:rPr>
                <w:rFonts w:eastAsia="Times New Roman" w:cstheme="minorHAnsi"/>
                <w:sz w:val="24"/>
                <w:szCs w:val="24"/>
                <w:lang w:eastAsia="pt-BR"/>
              </w:rPr>
            </w:pPr>
            <w:r w:rsidRPr="0010524E">
              <w:rPr>
                <w:rFonts w:eastAsia="Times New Roman" w:cstheme="minorHAnsi"/>
                <w:sz w:val="24"/>
                <w:szCs w:val="24"/>
                <w:lang w:eastAsia="pt-BR"/>
              </w:rPr>
              <w:t>Excluído</w:t>
            </w:r>
          </w:p>
        </w:tc>
      </w:tr>
      <w:tr w:rsidR="00E86BE2" w:rsidRPr="0010524E" w14:paraId="24D79877" w14:textId="4D26DC4C" w:rsidTr="00E86BE2">
        <w:trPr>
          <w:trHeight w:val="281"/>
        </w:trPr>
        <w:tc>
          <w:tcPr>
            <w:tcW w:w="4815" w:type="dxa"/>
            <w:noWrap/>
            <w:hideMark/>
          </w:tcPr>
          <w:p w14:paraId="53B657F9"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II - a Portaria Previc n° 839, de 31 de agosto de 2018</w:t>
            </w:r>
          </w:p>
        </w:tc>
        <w:tc>
          <w:tcPr>
            <w:tcW w:w="4849" w:type="dxa"/>
            <w:noWrap/>
            <w:hideMark/>
          </w:tcPr>
          <w:p w14:paraId="1559D93B"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32EF63E2" w14:textId="77777777" w:rsidR="00E86BE2" w:rsidRPr="0010524E" w:rsidRDefault="00E86BE2" w:rsidP="00E86BE2">
            <w:pPr>
              <w:rPr>
                <w:rFonts w:eastAsia="Times New Roman" w:cstheme="minorHAnsi"/>
                <w:sz w:val="24"/>
                <w:szCs w:val="24"/>
                <w:lang w:eastAsia="pt-BR"/>
              </w:rPr>
            </w:pPr>
            <w:r w:rsidRPr="0010524E">
              <w:rPr>
                <w:rFonts w:eastAsia="Times New Roman" w:cstheme="minorHAnsi"/>
                <w:sz w:val="24"/>
                <w:szCs w:val="24"/>
                <w:lang w:eastAsia="pt-BR"/>
              </w:rPr>
              <w:t>Excluído</w:t>
            </w:r>
          </w:p>
        </w:tc>
      </w:tr>
      <w:tr w:rsidR="00E86BE2" w:rsidRPr="0010524E" w14:paraId="25F395B3" w14:textId="76027A43" w:rsidTr="00E86BE2">
        <w:trPr>
          <w:trHeight w:val="546"/>
        </w:trPr>
        <w:tc>
          <w:tcPr>
            <w:tcW w:w="4815" w:type="dxa"/>
            <w:noWrap/>
            <w:hideMark/>
          </w:tcPr>
          <w:p w14:paraId="7E00CC04"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16. Esta Resolução entra em vigor em 3 de outubro de 2022.</w:t>
            </w:r>
          </w:p>
        </w:tc>
        <w:tc>
          <w:tcPr>
            <w:tcW w:w="4849" w:type="dxa"/>
            <w:noWrap/>
            <w:hideMark/>
          </w:tcPr>
          <w:p w14:paraId="7F9FBDE5" w14:textId="77777777" w:rsidR="00E86BE2" w:rsidRPr="0010524E" w:rsidRDefault="00E86BE2" w:rsidP="00E86BE2">
            <w:pPr>
              <w:jc w:val="both"/>
              <w:rPr>
                <w:rFonts w:eastAsia="Times New Roman" w:cstheme="minorHAnsi"/>
                <w:sz w:val="24"/>
                <w:szCs w:val="24"/>
                <w:lang w:eastAsia="pt-BR"/>
              </w:rPr>
            </w:pPr>
          </w:p>
        </w:tc>
        <w:tc>
          <w:tcPr>
            <w:tcW w:w="4648" w:type="dxa"/>
            <w:noWrap/>
            <w:hideMark/>
          </w:tcPr>
          <w:p w14:paraId="2E44F18E" w14:textId="77777777" w:rsidR="00E86BE2" w:rsidRPr="0010524E" w:rsidRDefault="00E86BE2" w:rsidP="00E86BE2">
            <w:pPr>
              <w:rPr>
                <w:rFonts w:eastAsia="Times New Roman" w:cstheme="minorHAnsi"/>
                <w:sz w:val="24"/>
                <w:szCs w:val="24"/>
                <w:lang w:eastAsia="pt-BR"/>
              </w:rPr>
            </w:pPr>
            <w:r w:rsidRPr="0010524E">
              <w:rPr>
                <w:rFonts w:eastAsia="Times New Roman" w:cstheme="minorHAnsi"/>
                <w:sz w:val="24"/>
                <w:szCs w:val="24"/>
                <w:lang w:eastAsia="pt-BR"/>
              </w:rPr>
              <w:t>Excluído</w:t>
            </w:r>
          </w:p>
        </w:tc>
      </w:tr>
      <w:tr w:rsidR="00E86BE2" w:rsidRPr="0010524E" w14:paraId="5B503CCA" w14:textId="5F6D78C3" w:rsidTr="00E86BE2">
        <w:trPr>
          <w:trHeight w:val="330"/>
        </w:trPr>
        <w:tc>
          <w:tcPr>
            <w:tcW w:w="4815" w:type="dxa"/>
            <w:noWrap/>
            <w:hideMark/>
          </w:tcPr>
          <w:p w14:paraId="0CC2C7F3" w14:textId="77777777" w:rsidR="00E86BE2" w:rsidRPr="0010524E" w:rsidRDefault="00E86BE2" w:rsidP="00E86BE2">
            <w:pPr>
              <w:jc w:val="both"/>
              <w:rPr>
                <w:rFonts w:eastAsia="Times New Roman" w:cstheme="minorHAnsi"/>
                <w:b/>
                <w:bCs/>
                <w:sz w:val="24"/>
                <w:szCs w:val="24"/>
                <w:lang w:eastAsia="pt-BR"/>
              </w:rPr>
            </w:pPr>
            <w:r w:rsidRPr="0010524E">
              <w:rPr>
                <w:rFonts w:eastAsia="Times New Roman" w:cstheme="minorHAnsi"/>
                <w:b/>
                <w:bCs/>
                <w:sz w:val="24"/>
                <w:szCs w:val="24"/>
                <w:lang w:eastAsia="pt-BR"/>
              </w:rPr>
              <w:t>Resolução PREVIC nº 5, de 27 de outubro de 2021</w:t>
            </w:r>
          </w:p>
        </w:tc>
        <w:tc>
          <w:tcPr>
            <w:tcW w:w="4849" w:type="dxa"/>
            <w:noWrap/>
            <w:hideMark/>
          </w:tcPr>
          <w:p w14:paraId="13AC68D2" w14:textId="2D0E0462" w:rsidR="00E86BE2" w:rsidRPr="0010524E" w:rsidRDefault="00E86BE2" w:rsidP="00E86BE2">
            <w:pPr>
              <w:jc w:val="center"/>
              <w:rPr>
                <w:rFonts w:eastAsia="Times New Roman" w:cstheme="minorHAnsi"/>
                <w:sz w:val="24"/>
                <w:szCs w:val="24"/>
                <w:lang w:eastAsia="pt-BR"/>
              </w:rPr>
            </w:pPr>
          </w:p>
        </w:tc>
        <w:tc>
          <w:tcPr>
            <w:tcW w:w="4648" w:type="dxa"/>
            <w:noWrap/>
            <w:hideMark/>
          </w:tcPr>
          <w:p w14:paraId="583DF0EB" w14:textId="77777777" w:rsidR="00E86BE2" w:rsidRPr="0010524E" w:rsidRDefault="00E86BE2" w:rsidP="00E86BE2">
            <w:pPr>
              <w:rPr>
                <w:rFonts w:eastAsia="Times New Roman" w:cstheme="minorHAnsi"/>
                <w:sz w:val="24"/>
                <w:szCs w:val="24"/>
                <w:lang w:eastAsia="pt-BR"/>
              </w:rPr>
            </w:pPr>
            <w:r w:rsidRPr="0010524E">
              <w:rPr>
                <w:rFonts w:eastAsia="Times New Roman" w:cstheme="minorHAnsi"/>
                <w:sz w:val="24"/>
                <w:szCs w:val="24"/>
                <w:lang w:eastAsia="pt-BR"/>
              </w:rPr>
              <w:t> </w:t>
            </w:r>
          </w:p>
        </w:tc>
      </w:tr>
      <w:tr w:rsidR="00E86BE2" w:rsidRPr="0010524E" w14:paraId="41C4A303" w14:textId="0155A7FA" w:rsidTr="00E86BE2">
        <w:trPr>
          <w:trHeight w:val="560"/>
        </w:trPr>
        <w:tc>
          <w:tcPr>
            <w:tcW w:w="4815" w:type="dxa"/>
            <w:noWrap/>
            <w:hideMark/>
          </w:tcPr>
          <w:p w14:paraId="3038EDEC"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Disciplina a realização do processo de participação social no âmbito da Superintendência Nacional de Previdência Complementar - Previc.</w:t>
            </w:r>
          </w:p>
        </w:tc>
        <w:tc>
          <w:tcPr>
            <w:tcW w:w="4849" w:type="dxa"/>
            <w:noWrap/>
            <w:hideMark/>
          </w:tcPr>
          <w:p w14:paraId="130C36BA" w14:textId="77777777" w:rsidR="00E86BE2" w:rsidRPr="0010524E" w:rsidRDefault="00E86BE2" w:rsidP="00E86BE2">
            <w:pPr>
              <w:jc w:val="center"/>
              <w:rPr>
                <w:rFonts w:eastAsia="Times New Roman" w:cstheme="minorHAnsi"/>
                <w:sz w:val="24"/>
                <w:szCs w:val="24"/>
                <w:lang w:eastAsia="pt-BR"/>
              </w:rPr>
            </w:pPr>
          </w:p>
        </w:tc>
        <w:tc>
          <w:tcPr>
            <w:tcW w:w="4648" w:type="dxa"/>
            <w:noWrap/>
            <w:hideMark/>
          </w:tcPr>
          <w:p w14:paraId="569C35B1" w14:textId="77777777" w:rsidR="00E86BE2" w:rsidRPr="0010524E" w:rsidRDefault="00E86BE2" w:rsidP="00E86BE2">
            <w:pPr>
              <w:rPr>
                <w:rFonts w:eastAsia="Times New Roman" w:cstheme="minorHAnsi"/>
                <w:sz w:val="24"/>
                <w:szCs w:val="24"/>
                <w:lang w:eastAsia="pt-BR"/>
              </w:rPr>
            </w:pPr>
            <w:r w:rsidRPr="0010524E">
              <w:rPr>
                <w:rFonts w:eastAsia="Times New Roman" w:cstheme="minorHAnsi"/>
                <w:sz w:val="24"/>
                <w:szCs w:val="24"/>
                <w:lang w:eastAsia="pt-BR"/>
              </w:rPr>
              <w:t> Excluído</w:t>
            </w:r>
          </w:p>
        </w:tc>
      </w:tr>
      <w:tr w:rsidR="00E86BE2" w:rsidRPr="0010524E" w14:paraId="2AE66151" w14:textId="51E76176" w:rsidTr="00E86BE2">
        <w:trPr>
          <w:trHeight w:val="1960"/>
        </w:trPr>
        <w:tc>
          <w:tcPr>
            <w:tcW w:w="4815" w:type="dxa"/>
            <w:noWrap/>
            <w:hideMark/>
          </w:tcPr>
          <w:p w14:paraId="2FAE9085"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 DIRETORIA COLEGIADA DA SUPERINTENDÊNCIA NACIONAL DE PREVIDÊNCIA COMPLEMENTAR - PREVIC, em sua 563ª reunião ordinária realizada em de 26 de outubro de 2021, com fundamento no inciso III do art. 2º da Lei nº 12.154, de 23 de dezembro de 2009, no inciso III do art. 2º e no inciso VIII do art. 10 do Anexo I do Decreto nº 8.992, de 20 de fevereiro de 2017, e em conformidade com o inciso III do art. 2º do Decreto n° 10.139, de 28 de novembro de 2019 e com o art. 9º do Decreto nº 10.411, de 30 de junho de 2020, resolve:</w:t>
            </w:r>
          </w:p>
        </w:tc>
        <w:tc>
          <w:tcPr>
            <w:tcW w:w="4849" w:type="dxa"/>
            <w:noWrap/>
            <w:hideMark/>
          </w:tcPr>
          <w:p w14:paraId="56EAFD68" w14:textId="77777777" w:rsidR="00E86BE2" w:rsidRPr="0010524E" w:rsidRDefault="00E86BE2" w:rsidP="00E86BE2">
            <w:pPr>
              <w:rPr>
                <w:rFonts w:eastAsia="Times New Roman" w:cstheme="minorHAnsi"/>
                <w:sz w:val="24"/>
                <w:szCs w:val="24"/>
                <w:lang w:eastAsia="pt-BR"/>
              </w:rPr>
            </w:pPr>
            <w:r w:rsidRPr="0010524E">
              <w:rPr>
                <w:rFonts w:eastAsia="Times New Roman" w:cstheme="minorHAnsi"/>
                <w:sz w:val="24"/>
                <w:szCs w:val="24"/>
                <w:lang w:eastAsia="pt-BR"/>
              </w:rPr>
              <w:t> </w:t>
            </w:r>
          </w:p>
        </w:tc>
        <w:tc>
          <w:tcPr>
            <w:tcW w:w="4648" w:type="dxa"/>
            <w:noWrap/>
            <w:hideMark/>
          </w:tcPr>
          <w:p w14:paraId="10085660" w14:textId="77777777" w:rsidR="00E86BE2" w:rsidRPr="0010524E" w:rsidRDefault="00E86BE2" w:rsidP="00E86BE2">
            <w:pPr>
              <w:rPr>
                <w:rFonts w:eastAsia="Times New Roman" w:cstheme="minorHAnsi"/>
                <w:sz w:val="24"/>
                <w:szCs w:val="24"/>
                <w:lang w:eastAsia="pt-BR"/>
              </w:rPr>
            </w:pPr>
            <w:r w:rsidRPr="0010524E">
              <w:rPr>
                <w:rFonts w:eastAsia="Times New Roman" w:cstheme="minorHAnsi"/>
                <w:sz w:val="24"/>
                <w:szCs w:val="24"/>
                <w:lang w:eastAsia="pt-BR"/>
              </w:rPr>
              <w:t xml:space="preserve"> Excluído </w:t>
            </w:r>
          </w:p>
        </w:tc>
      </w:tr>
      <w:tr w:rsidR="00E86BE2" w:rsidRPr="0010524E" w14:paraId="3939DA2B" w14:textId="77777777" w:rsidTr="00E86BE2">
        <w:trPr>
          <w:trHeight w:val="290"/>
        </w:trPr>
        <w:tc>
          <w:tcPr>
            <w:tcW w:w="4815" w:type="dxa"/>
            <w:noWrap/>
          </w:tcPr>
          <w:p w14:paraId="17D1CDE1" w14:textId="77777777" w:rsidR="00E86BE2" w:rsidRPr="0010524E" w:rsidRDefault="00E86BE2" w:rsidP="00E86BE2">
            <w:pPr>
              <w:jc w:val="both"/>
              <w:rPr>
                <w:rFonts w:eastAsia="Times New Roman" w:cstheme="minorHAnsi"/>
                <w:sz w:val="24"/>
                <w:szCs w:val="24"/>
                <w:lang w:eastAsia="pt-BR"/>
              </w:rPr>
            </w:pPr>
          </w:p>
        </w:tc>
        <w:tc>
          <w:tcPr>
            <w:tcW w:w="4849" w:type="dxa"/>
            <w:noWrap/>
          </w:tcPr>
          <w:p w14:paraId="7B737CDB" w14:textId="77777777" w:rsidR="00E86BE2" w:rsidRPr="0010524E" w:rsidRDefault="00E86BE2" w:rsidP="00E86BE2">
            <w:pPr>
              <w:jc w:val="center"/>
              <w:rPr>
                <w:rFonts w:eastAsia="Times New Roman" w:cstheme="minorHAnsi"/>
                <w:b/>
                <w:bCs/>
                <w:sz w:val="24"/>
                <w:szCs w:val="24"/>
                <w:lang w:eastAsia="pt-BR"/>
              </w:rPr>
            </w:pPr>
            <w:r w:rsidRPr="0010524E">
              <w:rPr>
                <w:rFonts w:eastAsia="Times New Roman" w:cstheme="minorHAnsi"/>
                <w:b/>
                <w:bCs/>
                <w:sz w:val="24"/>
                <w:szCs w:val="24"/>
                <w:lang w:eastAsia="pt-BR"/>
              </w:rPr>
              <w:t xml:space="preserve">Seção II </w:t>
            </w:r>
          </w:p>
          <w:p w14:paraId="66D3FC6A" w14:textId="1889EA94" w:rsidR="00E86BE2" w:rsidRPr="0010524E" w:rsidRDefault="00E86BE2" w:rsidP="00E86BE2">
            <w:pPr>
              <w:jc w:val="center"/>
              <w:rPr>
                <w:rFonts w:eastAsia="Times New Roman" w:cstheme="minorHAnsi"/>
                <w:b/>
                <w:bCs/>
                <w:sz w:val="24"/>
                <w:szCs w:val="24"/>
                <w:lang w:eastAsia="pt-BR"/>
              </w:rPr>
            </w:pPr>
            <w:r w:rsidRPr="0010524E">
              <w:rPr>
                <w:rFonts w:eastAsia="Times New Roman" w:cstheme="minorHAnsi"/>
                <w:b/>
                <w:bCs/>
                <w:sz w:val="24"/>
                <w:szCs w:val="24"/>
                <w:lang w:eastAsia="pt-BR"/>
              </w:rPr>
              <w:t>Processo de participação social</w:t>
            </w:r>
          </w:p>
        </w:tc>
        <w:tc>
          <w:tcPr>
            <w:tcW w:w="4648" w:type="dxa"/>
            <w:noWrap/>
          </w:tcPr>
          <w:p w14:paraId="6D8759E1" w14:textId="77777777" w:rsidR="00E86BE2" w:rsidRPr="0010524E" w:rsidRDefault="00E86BE2" w:rsidP="00E86BE2">
            <w:pPr>
              <w:jc w:val="both"/>
              <w:rPr>
                <w:rFonts w:eastAsia="Times New Roman" w:cstheme="minorHAnsi"/>
                <w:sz w:val="24"/>
                <w:szCs w:val="24"/>
                <w:lang w:eastAsia="pt-BR"/>
              </w:rPr>
            </w:pPr>
          </w:p>
        </w:tc>
      </w:tr>
      <w:tr w:rsidR="00E86BE2" w:rsidRPr="0010524E" w14:paraId="56D15B23" w14:textId="7DAC02F1" w:rsidTr="00E86BE2">
        <w:trPr>
          <w:trHeight w:val="290"/>
        </w:trPr>
        <w:tc>
          <w:tcPr>
            <w:tcW w:w="4815" w:type="dxa"/>
            <w:noWrap/>
            <w:hideMark/>
          </w:tcPr>
          <w:p w14:paraId="63301BFE"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Das disposições gerais</w:t>
            </w:r>
          </w:p>
        </w:tc>
        <w:tc>
          <w:tcPr>
            <w:tcW w:w="4849" w:type="dxa"/>
            <w:noWrap/>
            <w:hideMark/>
          </w:tcPr>
          <w:p w14:paraId="47AEC89F" w14:textId="77777777" w:rsidR="00E86BE2" w:rsidRPr="0010524E" w:rsidRDefault="00E86BE2" w:rsidP="00E86BE2">
            <w:pPr>
              <w:jc w:val="center"/>
              <w:rPr>
                <w:rFonts w:eastAsia="Times New Roman" w:cstheme="minorHAnsi"/>
                <w:b/>
                <w:bCs/>
                <w:sz w:val="24"/>
                <w:szCs w:val="24"/>
                <w:lang w:eastAsia="pt-BR"/>
              </w:rPr>
            </w:pPr>
            <w:r w:rsidRPr="0010524E">
              <w:rPr>
                <w:rFonts w:eastAsia="Times New Roman" w:cstheme="minorHAnsi"/>
                <w:b/>
                <w:bCs/>
                <w:sz w:val="24"/>
                <w:szCs w:val="24"/>
                <w:lang w:eastAsia="pt-BR"/>
              </w:rPr>
              <w:t>Subseção I</w:t>
            </w:r>
          </w:p>
          <w:p w14:paraId="17536470" w14:textId="77777777" w:rsidR="00E86BE2" w:rsidRPr="0010524E" w:rsidRDefault="00E86BE2" w:rsidP="00E86BE2">
            <w:pPr>
              <w:jc w:val="center"/>
              <w:rPr>
                <w:rFonts w:eastAsia="Times New Roman" w:cstheme="minorHAnsi"/>
                <w:sz w:val="24"/>
                <w:szCs w:val="24"/>
                <w:lang w:eastAsia="pt-BR"/>
              </w:rPr>
            </w:pPr>
            <w:r w:rsidRPr="0010524E">
              <w:rPr>
                <w:rFonts w:eastAsia="Times New Roman" w:cstheme="minorHAnsi"/>
                <w:b/>
                <w:bCs/>
                <w:sz w:val="24"/>
                <w:szCs w:val="24"/>
                <w:lang w:eastAsia="pt-BR"/>
              </w:rPr>
              <w:lastRenderedPageBreak/>
              <w:t>Disposições gerais para o Processo de Participação Social</w:t>
            </w:r>
          </w:p>
        </w:tc>
        <w:tc>
          <w:tcPr>
            <w:tcW w:w="4648" w:type="dxa"/>
            <w:noWrap/>
            <w:hideMark/>
          </w:tcPr>
          <w:p w14:paraId="7540ED02"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lastRenderedPageBreak/>
              <w:t> </w:t>
            </w:r>
            <w:r w:rsidRPr="0010524E">
              <w:rPr>
                <w:rFonts w:cstheme="minorHAnsi"/>
                <w:sz w:val="24"/>
                <w:szCs w:val="24"/>
              </w:rPr>
              <w:t>Ajuste de redação.</w:t>
            </w:r>
          </w:p>
        </w:tc>
      </w:tr>
      <w:tr w:rsidR="00E86BE2" w:rsidRPr="0010524E" w14:paraId="0EDE7313" w14:textId="6A7E3F66" w:rsidTr="00E86BE2">
        <w:trPr>
          <w:trHeight w:val="840"/>
        </w:trPr>
        <w:tc>
          <w:tcPr>
            <w:tcW w:w="4815" w:type="dxa"/>
            <w:noWrap/>
            <w:hideMark/>
          </w:tcPr>
          <w:p w14:paraId="38A23FD5"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1º A Superintendência Nacional de Previdência Complementar - Previc, por deliberação de sua diretoria colegiada, poderá autorizar a participação social, por meio de consultas ou audiências, de caráter público ou restrito.</w:t>
            </w:r>
          </w:p>
        </w:tc>
        <w:tc>
          <w:tcPr>
            <w:tcW w:w="4849" w:type="dxa"/>
            <w:noWrap/>
            <w:hideMark/>
          </w:tcPr>
          <w:p w14:paraId="43779A5B" w14:textId="03167B55"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345.  A Previc, por deliberação de sua diretoria colegiada, pode autorizar a participação social, por meio de consultas ou audiências, de caráter público ou restrito.</w:t>
            </w:r>
          </w:p>
        </w:tc>
        <w:tc>
          <w:tcPr>
            <w:tcW w:w="4648" w:type="dxa"/>
            <w:noWrap/>
            <w:hideMark/>
          </w:tcPr>
          <w:p w14:paraId="5E6975F0"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0E491938" w14:textId="752147D5" w:rsidTr="00E86BE2">
        <w:trPr>
          <w:trHeight w:val="560"/>
        </w:trPr>
        <w:tc>
          <w:tcPr>
            <w:tcW w:w="4815" w:type="dxa"/>
            <w:noWrap/>
            <w:hideMark/>
          </w:tcPr>
          <w:p w14:paraId="06F14F30"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Parágrafo único. As audiências e consultas referidas no caput poderão ser realizadas em relação:</w:t>
            </w:r>
          </w:p>
        </w:tc>
        <w:tc>
          <w:tcPr>
            <w:tcW w:w="4849" w:type="dxa"/>
            <w:noWrap/>
            <w:hideMark/>
          </w:tcPr>
          <w:p w14:paraId="72778926" w14:textId="05D7E771"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Parágrafo único.  As audiências e consultas referidas no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podem ser realizadas em relação:</w:t>
            </w:r>
          </w:p>
        </w:tc>
        <w:tc>
          <w:tcPr>
            <w:tcW w:w="4648" w:type="dxa"/>
            <w:noWrap/>
            <w:hideMark/>
          </w:tcPr>
          <w:p w14:paraId="6ED5772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3C76473E" w14:textId="26DF6415" w:rsidTr="00E86BE2">
        <w:trPr>
          <w:trHeight w:val="290"/>
        </w:trPr>
        <w:tc>
          <w:tcPr>
            <w:tcW w:w="4815" w:type="dxa"/>
            <w:noWrap/>
            <w:hideMark/>
          </w:tcPr>
          <w:p w14:paraId="25592B2C"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I - aos relatórios de análise de impacto regulatório;</w:t>
            </w:r>
          </w:p>
        </w:tc>
        <w:tc>
          <w:tcPr>
            <w:tcW w:w="4849" w:type="dxa"/>
            <w:noWrap/>
            <w:hideMark/>
          </w:tcPr>
          <w:p w14:paraId="68DA08CE" w14:textId="304DE23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 - aos relatórios de análise de impacto regulatório;</w:t>
            </w:r>
          </w:p>
        </w:tc>
        <w:tc>
          <w:tcPr>
            <w:tcW w:w="4648" w:type="dxa"/>
            <w:noWrap/>
            <w:hideMark/>
          </w:tcPr>
          <w:p w14:paraId="0F90AE2A" w14:textId="17338975"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06BCCC67" w14:textId="5AE5B816" w:rsidTr="00E86BE2">
        <w:trPr>
          <w:trHeight w:val="290"/>
        </w:trPr>
        <w:tc>
          <w:tcPr>
            <w:tcW w:w="4815" w:type="dxa"/>
            <w:noWrap/>
            <w:hideMark/>
          </w:tcPr>
          <w:p w14:paraId="2097E207"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II - às minutas de atos normativos; ou</w:t>
            </w:r>
          </w:p>
        </w:tc>
        <w:tc>
          <w:tcPr>
            <w:tcW w:w="4849" w:type="dxa"/>
            <w:noWrap/>
            <w:hideMark/>
          </w:tcPr>
          <w:p w14:paraId="7DC6EB79" w14:textId="2A40ECB7"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II - às minutas de atos normativos; ou</w:t>
            </w:r>
          </w:p>
        </w:tc>
        <w:tc>
          <w:tcPr>
            <w:tcW w:w="4648" w:type="dxa"/>
            <w:noWrap/>
            <w:hideMark/>
          </w:tcPr>
          <w:p w14:paraId="5344855B" w14:textId="2F2CFD3C"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527F1E18" w14:textId="1904D4C8" w:rsidTr="00E86BE2">
        <w:trPr>
          <w:trHeight w:val="840"/>
        </w:trPr>
        <w:tc>
          <w:tcPr>
            <w:tcW w:w="4815" w:type="dxa"/>
            <w:noWrap/>
            <w:hideMark/>
          </w:tcPr>
          <w:p w14:paraId="13FA44D1"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III - a quaisquer outros documentos com tema de interesse geral das entidades fechadas de previdência complementar, dos seus patrocinadores, instituidores, participantes e assistidos ou de outros segmentos sociais relacionados.</w:t>
            </w:r>
          </w:p>
        </w:tc>
        <w:tc>
          <w:tcPr>
            <w:tcW w:w="4849" w:type="dxa"/>
            <w:noWrap/>
            <w:hideMark/>
          </w:tcPr>
          <w:p w14:paraId="032EBEA7" w14:textId="1D772D76"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III - a quaisquer outros documentos com tema de interesse geral das entidades fechadas de previdência complementar, dos seus patrocinadores, instituidores, participantes e assistidos ou de outros segmentos sociais relacionados.</w:t>
            </w:r>
          </w:p>
        </w:tc>
        <w:tc>
          <w:tcPr>
            <w:tcW w:w="4648" w:type="dxa"/>
            <w:noWrap/>
            <w:hideMark/>
          </w:tcPr>
          <w:p w14:paraId="3354AD0A" w14:textId="6BFBB552"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33A7BAC1" w14:textId="30C1F604" w:rsidTr="00E86BE2">
        <w:trPr>
          <w:trHeight w:val="290"/>
        </w:trPr>
        <w:tc>
          <w:tcPr>
            <w:tcW w:w="4815" w:type="dxa"/>
            <w:noWrap/>
            <w:hideMark/>
          </w:tcPr>
          <w:p w14:paraId="71B257CE"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Da consulta pública</w:t>
            </w:r>
          </w:p>
        </w:tc>
        <w:tc>
          <w:tcPr>
            <w:tcW w:w="4849" w:type="dxa"/>
            <w:noWrap/>
            <w:hideMark/>
          </w:tcPr>
          <w:p w14:paraId="61DF78EA" w14:textId="77777777" w:rsidR="00E86BE2" w:rsidRPr="0010524E" w:rsidRDefault="00E86BE2" w:rsidP="00E86BE2">
            <w:pPr>
              <w:jc w:val="center"/>
              <w:rPr>
                <w:rFonts w:eastAsia="Times New Roman" w:cstheme="minorHAnsi"/>
                <w:b/>
                <w:bCs/>
                <w:sz w:val="24"/>
                <w:szCs w:val="24"/>
                <w:lang w:eastAsia="pt-BR"/>
              </w:rPr>
            </w:pPr>
            <w:r w:rsidRPr="0010524E">
              <w:rPr>
                <w:rFonts w:eastAsia="Times New Roman" w:cstheme="minorHAnsi"/>
                <w:b/>
                <w:bCs/>
                <w:sz w:val="24"/>
                <w:szCs w:val="24"/>
                <w:lang w:eastAsia="pt-BR"/>
              </w:rPr>
              <w:t>Subseção II</w:t>
            </w:r>
          </w:p>
          <w:p w14:paraId="552E853E" w14:textId="77777777" w:rsidR="00E86BE2" w:rsidRPr="0010524E" w:rsidRDefault="00E86BE2" w:rsidP="00E86BE2">
            <w:pPr>
              <w:jc w:val="center"/>
              <w:rPr>
                <w:rFonts w:eastAsia="Times New Roman" w:cstheme="minorHAnsi"/>
                <w:sz w:val="24"/>
                <w:szCs w:val="24"/>
                <w:lang w:eastAsia="pt-BR"/>
              </w:rPr>
            </w:pPr>
            <w:r w:rsidRPr="0010524E">
              <w:rPr>
                <w:rFonts w:eastAsia="Times New Roman" w:cstheme="minorHAnsi"/>
                <w:b/>
                <w:bCs/>
                <w:sz w:val="24"/>
                <w:szCs w:val="24"/>
                <w:lang w:eastAsia="pt-BR"/>
              </w:rPr>
              <w:t>Consulta pública</w:t>
            </w:r>
          </w:p>
        </w:tc>
        <w:tc>
          <w:tcPr>
            <w:tcW w:w="4648" w:type="dxa"/>
            <w:noWrap/>
            <w:hideMark/>
          </w:tcPr>
          <w:p w14:paraId="74BA8C5D" w14:textId="3267F26B"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144F7496" w14:textId="70FDF28C" w:rsidTr="00E86BE2">
        <w:trPr>
          <w:trHeight w:val="1120"/>
        </w:trPr>
        <w:tc>
          <w:tcPr>
            <w:tcW w:w="4815" w:type="dxa"/>
            <w:noWrap/>
            <w:hideMark/>
          </w:tcPr>
          <w:p w14:paraId="44B45867"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xml:space="preserve">Art. 2º Para fins desta Resolução, consulta pública é o processo de participação social que tem a finalidade de receber subsídios para a tomada de decisão pela Previc, por meio do envio de manifestações de qualquer </w:t>
            </w:r>
            <w:r w:rsidRPr="0010524E">
              <w:rPr>
                <w:rFonts w:eastAsia="Times New Roman" w:cstheme="minorHAnsi"/>
                <w:sz w:val="24"/>
                <w:szCs w:val="24"/>
                <w:lang w:eastAsia="pt-BR"/>
              </w:rPr>
              <w:lastRenderedPageBreak/>
              <w:t>interessado sobre questões regulatórias ou outros temas da competência da autarquia.</w:t>
            </w:r>
          </w:p>
        </w:tc>
        <w:tc>
          <w:tcPr>
            <w:tcW w:w="4849" w:type="dxa"/>
            <w:noWrap/>
            <w:hideMark/>
          </w:tcPr>
          <w:p w14:paraId="55B03C89" w14:textId="77B42774"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lastRenderedPageBreak/>
              <w:t xml:space="preserve">Art. 346.  Para fins desta Resolução, consulta pública é o processo de participação social que tem a finalidade de receber subsídios para a tomada de decisão pela Previc, por meio do envio de manifestações de qualquer interessado </w:t>
            </w:r>
            <w:r w:rsidRPr="0010524E">
              <w:rPr>
                <w:rFonts w:ascii="Calibri" w:eastAsia="Calibri" w:hAnsi="Calibri" w:cs="Calibri"/>
                <w:sz w:val="24"/>
                <w:szCs w:val="24"/>
              </w:rPr>
              <w:lastRenderedPageBreak/>
              <w:t>sobre questões regulatórias ou outros temas da competência da autarquia.</w:t>
            </w:r>
          </w:p>
        </w:tc>
        <w:tc>
          <w:tcPr>
            <w:tcW w:w="4648" w:type="dxa"/>
            <w:noWrap/>
            <w:hideMark/>
          </w:tcPr>
          <w:p w14:paraId="650F3ACB" w14:textId="58CBAE70"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w:t>
            </w:r>
          </w:p>
        </w:tc>
      </w:tr>
      <w:tr w:rsidR="00E86BE2" w:rsidRPr="0010524E" w14:paraId="743DBDF5" w14:textId="417D16BB" w:rsidTr="00E86BE2">
        <w:trPr>
          <w:trHeight w:val="1120"/>
        </w:trPr>
        <w:tc>
          <w:tcPr>
            <w:tcW w:w="4815" w:type="dxa"/>
            <w:noWrap/>
            <w:hideMark/>
          </w:tcPr>
          <w:p w14:paraId="4738551D"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Parágrafo único. A participação dos interessados na consulta pública ocorrerá de forma não presencial, por meio do Sistema de Consultas e Normas da Previc, disponível no seu sítio eletrônico na internet, o qual receberá as manifestações relativas ao documento sob consulta.</w:t>
            </w:r>
          </w:p>
        </w:tc>
        <w:tc>
          <w:tcPr>
            <w:tcW w:w="4849" w:type="dxa"/>
            <w:noWrap/>
            <w:hideMark/>
          </w:tcPr>
          <w:p w14:paraId="57262355" w14:textId="0AABA03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Parágrafo único.  A participação dos interessados na consulta pública pode ocorrer de forma não presencial, por meio do Sistema de Consultas e Normas da Previc, disponível no seu sítio eletrônico na internet, o qual irá receber as manifestações relativas ao documento sob consulta.</w:t>
            </w:r>
          </w:p>
        </w:tc>
        <w:tc>
          <w:tcPr>
            <w:tcW w:w="4648" w:type="dxa"/>
            <w:noWrap/>
            <w:hideMark/>
          </w:tcPr>
          <w:p w14:paraId="6D265FF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0C4EB7B1" w14:textId="38EAE298" w:rsidTr="00E86BE2">
        <w:trPr>
          <w:trHeight w:val="840"/>
        </w:trPr>
        <w:tc>
          <w:tcPr>
            <w:tcW w:w="4815" w:type="dxa"/>
            <w:noWrap/>
            <w:hideMark/>
          </w:tcPr>
          <w:p w14:paraId="7FAD57D0"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3º O documento sob consulta e as orientações sobre a forma e o prazo para o envio das manifestações dos interessados serão divulgados no sítio eletrônico da Previc na internet.</w:t>
            </w:r>
          </w:p>
        </w:tc>
        <w:tc>
          <w:tcPr>
            <w:tcW w:w="4849" w:type="dxa"/>
            <w:noWrap/>
            <w:hideMark/>
          </w:tcPr>
          <w:p w14:paraId="380EB17C" w14:textId="10BA4D6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347.  O documento sob consulta e as orientações sobre a forma e o prazo para o envio das manifestações dos interessados devem ser divulgados no sítio eletrônico da Previc na internet.</w:t>
            </w:r>
          </w:p>
        </w:tc>
        <w:tc>
          <w:tcPr>
            <w:tcW w:w="4648" w:type="dxa"/>
            <w:noWrap/>
            <w:hideMark/>
          </w:tcPr>
          <w:p w14:paraId="26BBC3A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57F8C86D" w14:textId="7637D69F" w:rsidTr="00E86BE2">
        <w:trPr>
          <w:trHeight w:val="840"/>
        </w:trPr>
        <w:tc>
          <w:tcPr>
            <w:tcW w:w="4815" w:type="dxa"/>
            <w:noWrap/>
            <w:hideMark/>
          </w:tcPr>
          <w:p w14:paraId="42E9ADBC"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Parágrafo único. O prazo referido no caput terá duração proporcional à complexidade do objeto da consulta, não sendo inferior a quarenta e cinco dias, ressalvados os casos excepcionais de urgência e relevância, devidamente motivados.</w:t>
            </w:r>
          </w:p>
        </w:tc>
        <w:tc>
          <w:tcPr>
            <w:tcW w:w="4849" w:type="dxa"/>
            <w:noWrap/>
            <w:hideMark/>
          </w:tcPr>
          <w:p w14:paraId="19BAD420" w14:textId="4E995BD8"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Parágrafo único.  O prazo referido no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tem duração proporcional à complexidade do objeto da consulta, não sendo inferior a quarenta e cinco dias, ressalvados os casos excepcionais de urgência e relevância, devidamente motivados.</w:t>
            </w:r>
          </w:p>
        </w:tc>
        <w:tc>
          <w:tcPr>
            <w:tcW w:w="4648" w:type="dxa"/>
            <w:noWrap/>
            <w:hideMark/>
          </w:tcPr>
          <w:p w14:paraId="2F68866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28A3EBF6" w14:textId="21E217B0" w:rsidTr="00E86BE2">
        <w:trPr>
          <w:trHeight w:val="560"/>
        </w:trPr>
        <w:tc>
          <w:tcPr>
            <w:tcW w:w="4815" w:type="dxa"/>
            <w:noWrap/>
            <w:hideMark/>
          </w:tcPr>
          <w:p w14:paraId="7E2DE179"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4º A Previc disponibilizará no início da consulta pública, por meio do Sistema de Consultas e Normas da Previc, a documentação necessária para análise.</w:t>
            </w:r>
          </w:p>
        </w:tc>
        <w:tc>
          <w:tcPr>
            <w:tcW w:w="4849" w:type="dxa"/>
            <w:noWrap/>
            <w:hideMark/>
          </w:tcPr>
          <w:p w14:paraId="412FE408" w14:textId="069B1A4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348.  A Previc deve disponibilizar no início da consulta pública, por meio do Sistema de Consultas e Normas da Previc, a documentação necessária para análise.</w:t>
            </w:r>
          </w:p>
        </w:tc>
        <w:tc>
          <w:tcPr>
            <w:tcW w:w="4648" w:type="dxa"/>
            <w:noWrap/>
            <w:hideMark/>
          </w:tcPr>
          <w:p w14:paraId="654BD12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4B62ED4A" w14:textId="7826160F" w:rsidTr="00E86BE2">
        <w:trPr>
          <w:trHeight w:val="1120"/>
        </w:trPr>
        <w:tc>
          <w:tcPr>
            <w:tcW w:w="4815" w:type="dxa"/>
            <w:noWrap/>
            <w:hideMark/>
          </w:tcPr>
          <w:p w14:paraId="339FFC95"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xml:space="preserve">Art. 5º Após decisão final sobre a matéria, a Previc disponibilizará em seu sítio eletrônico na internet a análise das manifestações recebidas </w:t>
            </w:r>
            <w:r w:rsidRPr="0010524E">
              <w:rPr>
                <w:rFonts w:eastAsia="Times New Roman" w:cstheme="minorHAnsi"/>
                <w:sz w:val="24"/>
                <w:szCs w:val="24"/>
                <w:lang w:eastAsia="pt-BR"/>
              </w:rPr>
              <w:lastRenderedPageBreak/>
              <w:t>no processo de consulta pública, resguardado o direito da autarquia de não comentar ou considerar individualmente as manifestações recebidas.</w:t>
            </w:r>
          </w:p>
        </w:tc>
        <w:tc>
          <w:tcPr>
            <w:tcW w:w="4849" w:type="dxa"/>
            <w:noWrap/>
            <w:hideMark/>
          </w:tcPr>
          <w:p w14:paraId="1BA9AD28" w14:textId="0DCF1F7C"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lastRenderedPageBreak/>
              <w:t xml:space="preserve">Art. 349.  Após decisão final sobre a matéria, a Previc pode disponibilizar em seu sítio eletrônico na internet a análise das </w:t>
            </w:r>
            <w:r w:rsidRPr="0010524E">
              <w:rPr>
                <w:rFonts w:ascii="Calibri" w:eastAsia="Calibri" w:hAnsi="Calibri" w:cs="Calibri"/>
                <w:sz w:val="24"/>
                <w:szCs w:val="24"/>
              </w:rPr>
              <w:lastRenderedPageBreak/>
              <w:t>manifestações recebidas no processo de consulta pública, resguardado o direito da autarquia de não comentar ou considerar individualmente as manifestações recebidas.</w:t>
            </w:r>
          </w:p>
        </w:tc>
        <w:tc>
          <w:tcPr>
            <w:tcW w:w="4648" w:type="dxa"/>
            <w:noWrap/>
            <w:hideMark/>
          </w:tcPr>
          <w:p w14:paraId="5764A6E1"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Ajuste de redação.</w:t>
            </w:r>
          </w:p>
        </w:tc>
      </w:tr>
      <w:tr w:rsidR="00E86BE2" w:rsidRPr="0010524E" w14:paraId="4D7B570D" w14:textId="0F745556" w:rsidTr="00E86BE2">
        <w:trPr>
          <w:trHeight w:val="840"/>
        </w:trPr>
        <w:tc>
          <w:tcPr>
            <w:tcW w:w="4815" w:type="dxa"/>
            <w:noWrap/>
            <w:hideMark/>
          </w:tcPr>
          <w:p w14:paraId="2D360AC6"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Parágrafo único. Para fins do disposto no caput, a Previc poderá agrupar as manifestações recebidas por conexão e eliminar as repetidas e as de conteúdo não conexo ou irrelevante para a matéria em análise.</w:t>
            </w:r>
          </w:p>
        </w:tc>
        <w:tc>
          <w:tcPr>
            <w:tcW w:w="4849" w:type="dxa"/>
            <w:noWrap/>
            <w:hideMark/>
          </w:tcPr>
          <w:p w14:paraId="0D480E12" w14:textId="7BADB0FD"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Parágrafo único.  Para fins do disposto no </w:t>
            </w:r>
            <w:r w:rsidRPr="0010524E">
              <w:rPr>
                <w:rFonts w:ascii="Calibri" w:eastAsia="Calibri" w:hAnsi="Calibri" w:cs="Calibri"/>
                <w:b/>
                <w:bCs/>
                <w:sz w:val="24"/>
                <w:szCs w:val="24"/>
              </w:rPr>
              <w:t>caput</w:t>
            </w:r>
            <w:r w:rsidRPr="0010524E">
              <w:rPr>
                <w:rFonts w:ascii="Calibri" w:eastAsia="Calibri" w:hAnsi="Calibri" w:cs="Calibri"/>
                <w:sz w:val="24"/>
                <w:szCs w:val="24"/>
              </w:rPr>
              <w:t>, a Previc pode agrupar as manifestações recebidas por conexão e eliminar as repetidas e as de conteúdo não conexo ou irrelevante para a matéria em análise.</w:t>
            </w:r>
          </w:p>
        </w:tc>
        <w:tc>
          <w:tcPr>
            <w:tcW w:w="4648" w:type="dxa"/>
            <w:noWrap/>
            <w:hideMark/>
          </w:tcPr>
          <w:p w14:paraId="20508E9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12A36AD1" w14:textId="2E291287" w:rsidTr="00E86BE2">
        <w:trPr>
          <w:trHeight w:val="290"/>
        </w:trPr>
        <w:tc>
          <w:tcPr>
            <w:tcW w:w="4815" w:type="dxa"/>
            <w:noWrap/>
            <w:hideMark/>
          </w:tcPr>
          <w:p w14:paraId="0FC774E7"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Da audiência pública</w:t>
            </w:r>
          </w:p>
        </w:tc>
        <w:tc>
          <w:tcPr>
            <w:tcW w:w="4849" w:type="dxa"/>
            <w:noWrap/>
            <w:hideMark/>
          </w:tcPr>
          <w:p w14:paraId="71DC79F6" w14:textId="77777777" w:rsidR="00E86BE2" w:rsidRPr="0010524E" w:rsidRDefault="00E86BE2" w:rsidP="00E86BE2">
            <w:pPr>
              <w:jc w:val="center"/>
              <w:rPr>
                <w:rFonts w:eastAsia="Times New Roman" w:cstheme="minorHAnsi"/>
                <w:b/>
                <w:bCs/>
                <w:sz w:val="24"/>
                <w:szCs w:val="24"/>
                <w:lang w:eastAsia="pt-BR"/>
              </w:rPr>
            </w:pPr>
            <w:r w:rsidRPr="0010524E">
              <w:rPr>
                <w:rFonts w:eastAsia="Times New Roman" w:cstheme="minorHAnsi"/>
                <w:b/>
                <w:bCs/>
                <w:sz w:val="24"/>
                <w:szCs w:val="24"/>
                <w:lang w:eastAsia="pt-BR"/>
              </w:rPr>
              <w:t>Subseção III</w:t>
            </w:r>
          </w:p>
          <w:p w14:paraId="323FCD7A" w14:textId="77777777" w:rsidR="00E86BE2" w:rsidRPr="0010524E" w:rsidRDefault="00E86BE2" w:rsidP="00E86BE2">
            <w:pPr>
              <w:jc w:val="center"/>
              <w:rPr>
                <w:rFonts w:eastAsia="Times New Roman" w:cstheme="minorHAnsi"/>
                <w:sz w:val="24"/>
                <w:szCs w:val="24"/>
                <w:lang w:eastAsia="pt-BR"/>
              </w:rPr>
            </w:pPr>
            <w:r w:rsidRPr="0010524E">
              <w:rPr>
                <w:rFonts w:eastAsia="Times New Roman" w:cstheme="minorHAnsi"/>
                <w:b/>
                <w:bCs/>
                <w:sz w:val="24"/>
                <w:szCs w:val="24"/>
                <w:lang w:eastAsia="pt-BR"/>
              </w:rPr>
              <w:t>Audiência pública</w:t>
            </w:r>
          </w:p>
        </w:tc>
        <w:tc>
          <w:tcPr>
            <w:tcW w:w="4648" w:type="dxa"/>
            <w:noWrap/>
            <w:hideMark/>
          </w:tcPr>
          <w:p w14:paraId="54BA8594" w14:textId="18EFE80A"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43E270E8" w14:textId="5C722442" w:rsidTr="00E86BE2">
        <w:trPr>
          <w:trHeight w:val="1120"/>
        </w:trPr>
        <w:tc>
          <w:tcPr>
            <w:tcW w:w="4815" w:type="dxa"/>
            <w:noWrap/>
            <w:hideMark/>
          </w:tcPr>
          <w:p w14:paraId="2245848E"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6º Para fins desta Resolução, audiência pública é o processo de participação social que tem a finalidade de receber subsídios para a tomada de decisão pela Previc, por meio de sessão pública previamente destinada a debater temas de sua competência, sendo facultada a manifestação oral ou escrita por qualquer interessado.</w:t>
            </w:r>
          </w:p>
        </w:tc>
        <w:tc>
          <w:tcPr>
            <w:tcW w:w="4849" w:type="dxa"/>
            <w:noWrap/>
            <w:hideMark/>
          </w:tcPr>
          <w:p w14:paraId="5FFB1101" w14:textId="6C50326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350.  Para fins desta Resolução, audiência pública é o processo de participação social que tem a finalidade de receber subsídios para a tomada de decisão pela Previc, por meio de sessão pública previamente destinada a debater temas de sua competência, sendo facultada a manifestação oral ou escrita por qualquer interessado.</w:t>
            </w:r>
          </w:p>
        </w:tc>
        <w:tc>
          <w:tcPr>
            <w:tcW w:w="4648" w:type="dxa"/>
            <w:noWrap/>
            <w:hideMark/>
          </w:tcPr>
          <w:p w14:paraId="3DC82FE6" w14:textId="46A589F2"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2C9966C7" w14:textId="08D18F0D" w:rsidTr="00E86BE2">
        <w:trPr>
          <w:trHeight w:val="560"/>
        </w:trPr>
        <w:tc>
          <w:tcPr>
            <w:tcW w:w="4815" w:type="dxa"/>
            <w:noWrap/>
            <w:hideMark/>
          </w:tcPr>
          <w:p w14:paraId="611252C4"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7º A audiência pública será realizada em data, horário e local previamente divulgados pela Previc, por meio de aviso publicado em seu sítio eletrônico na internet.</w:t>
            </w:r>
          </w:p>
        </w:tc>
        <w:tc>
          <w:tcPr>
            <w:tcW w:w="4849" w:type="dxa"/>
            <w:noWrap/>
            <w:hideMark/>
          </w:tcPr>
          <w:p w14:paraId="16FE04EB" w14:textId="45AA1DA2"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351.  A audiência pública deve ser realizada em data, horário e local previamente divulgados pela Previc, por meio de aviso publicado em seu sítio eletrônico na internet.</w:t>
            </w:r>
          </w:p>
        </w:tc>
        <w:tc>
          <w:tcPr>
            <w:tcW w:w="4648" w:type="dxa"/>
            <w:noWrap/>
            <w:hideMark/>
          </w:tcPr>
          <w:p w14:paraId="2A0F6B70"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2AD8082F" w14:textId="6E6C5F1D" w:rsidTr="00E86BE2">
        <w:trPr>
          <w:trHeight w:val="560"/>
        </w:trPr>
        <w:tc>
          <w:tcPr>
            <w:tcW w:w="4815" w:type="dxa"/>
            <w:noWrap/>
            <w:hideMark/>
          </w:tcPr>
          <w:p w14:paraId="1408B7E3"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Parágrafo único. A realização da audiência pública poderá ocorrer de forma presencial ou com o auxílio de plataformas eletrônicas de reuniões.</w:t>
            </w:r>
          </w:p>
        </w:tc>
        <w:tc>
          <w:tcPr>
            <w:tcW w:w="4849" w:type="dxa"/>
            <w:noWrap/>
            <w:hideMark/>
          </w:tcPr>
          <w:p w14:paraId="2D833FE8" w14:textId="693DC75F"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Parágrafo único.  A realização da audiência pública pode ocorrer de forma presencial ou com o auxílio de plataformas eletrônicas de reuniões.</w:t>
            </w:r>
          </w:p>
        </w:tc>
        <w:tc>
          <w:tcPr>
            <w:tcW w:w="4648" w:type="dxa"/>
            <w:noWrap/>
            <w:hideMark/>
          </w:tcPr>
          <w:p w14:paraId="1F3762D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5D8675BE" w14:textId="170DD273" w:rsidTr="00E86BE2">
        <w:trPr>
          <w:trHeight w:val="290"/>
        </w:trPr>
        <w:tc>
          <w:tcPr>
            <w:tcW w:w="4815" w:type="dxa"/>
            <w:noWrap/>
            <w:hideMark/>
          </w:tcPr>
          <w:p w14:paraId="3CBEB563"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Das consultas e audiências restritas</w:t>
            </w:r>
          </w:p>
        </w:tc>
        <w:tc>
          <w:tcPr>
            <w:tcW w:w="4849" w:type="dxa"/>
            <w:noWrap/>
            <w:hideMark/>
          </w:tcPr>
          <w:p w14:paraId="7B416749" w14:textId="77777777" w:rsidR="00E86BE2" w:rsidRPr="0010524E" w:rsidRDefault="00E86BE2" w:rsidP="00E86BE2">
            <w:pPr>
              <w:jc w:val="center"/>
              <w:rPr>
                <w:rFonts w:eastAsia="Times New Roman" w:cstheme="minorHAnsi"/>
                <w:b/>
                <w:bCs/>
                <w:sz w:val="24"/>
                <w:szCs w:val="24"/>
                <w:lang w:eastAsia="pt-BR"/>
              </w:rPr>
            </w:pPr>
            <w:r w:rsidRPr="0010524E">
              <w:rPr>
                <w:rFonts w:eastAsia="Times New Roman" w:cstheme="minorHAnsi"/>
                <w:b/>
                <w:bCs/>
                <w:sz w:val="24"/>
                <w:szCs w:val="24"/>
                <w:lang w:eastAsia="pt-BR"/>
              </w:rPr>
              <w:t>Subseção IV</w:t>
            </w:r>
          </w:p>
          <w:p w14:paraId="172450EF" w14:textId="77777777" w:rsidR="00E86BE2" w:rsidRPr="0010524E" w:rsidRDefault="00E86BE2" w:rsidP="00E86BE2">
            <w:pPr>
              <w:jc w:val="center"/>
              <w:rPr>
                <w:rFonts w:eastAsia="Times New Roman" w:cstheme="minorHAnsi"/>
                <w:sz w:val="24"/>
                <w:szCs w:val="24"/>
                <w:lang w:eastAsia="pt-BR"/>
              </w:rPr>
            </w:pPr>
            <w:r w:rsidRPr="0010524E">
              <w:rPr>
                <w:rFonts w:eastAsia="Times New Roman" w:cstheme="minorHAnsi"/>
                <w:b/>
                <w:bCs/>
                <w:sz w:val="24"/>
                <w:szCs w:val="24"/>
                <w:lang w:eastAsia="pt-BR"/>
              </w:rPr>
              <w:lastRenderedPageBreak/>
              <w:t>Consultas e audiências restritas</w:t>
            </w:r>
          </w:p>
        </w:tc>
        <w:tc>
          <w:tcPr>
            <w:tcW w:w="4648" w:type="dxa"/>
            <w:noWrap/>
            <w:hideMark/>
          </w:tcPr>
          <w:p w14:paraId="6741AC93"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Ajuste de redação.</w:t>
            </w:r>
          </w:p>
        </w:tc>
      </w:tr>
      <w:tr w:rsidR="00E86BE2" w:rsidRPr="0010524E" w14:paraId="18BD79FB" w14:textId="620C6784" w:rsidTr="00E86BE2">
        <w:trPr>
          <w:trHeight w:val="1400"/>
        </w:trPr>
        <w:tc>
          <w:tcPr>
            <w:tcW w:w="4815" w:type="dxa"/>
            <w:noWrap/>
            <w:hideMark/>
          </w:tcPr>
          <w:p w14:paraId="0A5FDAE9"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8º A Previc poderá utilizar outras formas de participação social para receber subsídios às suas decisões, por meio de consultas ou audiências restritas, mediante a participação exclusiva de organizações ou associações representativas das entidades fechadas de previdência complementar, dos seus patrocinadores, instituidores, participantes e assistidos ou de outros segmentos sociais relacionados.</w:t>
            </w:r>
          </w:p>
        </w:tc>
        <w:tc>
          <w:tcPr>
            <w:tcW w:w="4849" w:type="dxa"/>
            <w:noWrap/>
            <w:hideMark/>
          </w:tcPr>
          <w:p w14:paraId="1A5DCACE" w14:textId="7CA3808C" w:rsidR="00E86BE2" w:rsidRPr="0010524E" w:rsidRDefault="00E86BE2" w:rsidP="00E86BE2">
            <w:pPr>
              <w:spacing w:before="120"/>
              <w:jc w:val="both"/>
              <w:rPr>
                <w:rFonts w:eastAsia="Times New Roman" w:cstheme="minorHAnsi"/>
                <w:sz w:val="24"/>
                <w:szCs w:val="24"/>
                <w:lang w:eastAsia="pt-BR"/>
              </w:rPr>
            </w:pPr>
            <w:r w:rsidRPr="0010524E">
              <w:rPr>
                <w:rFonts w:ascii="Calibri" w:eastAsia="Calibri" w:hAnsi="Calibri" w:cs="Calibri"/>
                <w:sz w:val="24"/>
                <w:szCs w:val="24"/>
              </w:rPr>
              <w:t>Art. 352.  A Previc pode utilizar outras formas de participação social para receber subsídios às suas decisões, por meio de consultas ou audiências restritas, mediante a participação exclusiva de organizações ou associações representativas das entidades fechadas de previdência complementar, dos seus patrocinadores, instituidores, participantes e assistidos ou de outros segmentos sociais relacionados.</w:t>
            </w:r>
          </w:p>
        </w:tc>
        <w:tc>
          <w:tcPr>
            <w:tcW w:w="4648" w:type="dxa"/>
            <w:noWrap/>
            <w:hideMark/>
          </w:tcPr>
          <w:p w14:paraId="1B39F01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296F404F" w14:textId="4E934CCD" w:rsidTr="00E86BE2">
        <w:trPr>
          <w:trHeight w:val="290"/>
        </w:trPr>
        <w:tc>
          <w:tcPr>
            <w:tcW w:w="4815" w:type="dxa"/>
            <w:noWrap/>
            <w:hideMark/>
          </w:tcPr>
          <w:p w14:paraId="37FD45CF"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Das disposições finais</w:t>
            </w:r>
          </w:p>
        </w:tc>
        <w:tc>
          <w:tcPr>
            <w:tcW w:w="4849" w:type="dxa"/>
            <w:noWrap/>
            <w:hideMark/>
          </w:tcPr>
          <w:p w14:paraId="0A6BF5D0"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w:t>
            </w:r>
          </w:p>
        </w:tc>
        <w:tc>
          <w:tcPr>
            <w:tcW w:w="4648" w:type="dxa"/>
            <w:noWrap/>
          </w:tcPr>
          <w:p w14:paraId="6AC1D758"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Excluído</w:t>
            </w:r>
          </w:p>
        </w:tc>
      </w:tr>
      <w:tr w:rsidR="00E86BE2" w:rsidRPr="0010524E" w14:paraId="15D5651E" w14:textId="15F12986" w:rsidTr="00E86BE2">
        <w:trPr>
          <w:trHeight w:val="290"/>
        </w:trPr>
        <w:tc>
          <w:tcPr>
            <w:tcW w:w="4815" w:type="dxa"/>
            <w:noWrap/>
            <w:hideMark/>
          </w:tcPr>
          <w:p w14:paraId="2C02DB69"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9º Ficam revogadas:</w:t>
            </w:r>
          </w:p>
        </w:tc>
        <w:tc>
          <w:tcPr>
            <w:tcW w:w="4849" w:type="dxa"/>
            <w:noWrap/>
            <w:hideMark/>
          </w:tcPr>
          <w:p w14:paraId="04A81447"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w:t>
            </w:r>
          </w:p>
        </w:tc>
        <w:tc>
          <w:tcPr>
            <w:tcW w:w="4648" w:type="dxa"/>
            <w:noWrap/>
          </w:tcPr>
          <w:p w14:paraId="3F1EA60F"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Excluído</w:t>
            </w:r>
          </w:p>
        </w:tc>
      </w:tr>
      <w:tr w:rsidR="00E86BE2" w:rsidRPr="0010524E" w14:paraId="0E24026A" w14:textId="30130BA9" w:rsidTr="00E86BE2">
        <w:trPr>
          <w:trHeight w:val="290"/>
        </w:trPr>
        <w:tc>
          <w:tcPr>
            <w:tcW w:w="4815" w:type="dxa"/>
            <w:noWrap/>
            <w:hideMark/>
          </w:tcPr>
          <w:p w14:paraId="3694F74E"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I - a Instrução Previc nº 06, de 08 de setembro de 2010; e</w:t>
            </w:r>
          </w:p>
        </w:tc>
        <w:tc>
          <w:tcPr>
            <w:tcW w:w="4849" w:type="dxa"/>
            <w:noWrap/>
            <w:hideMark/>
          </w:tcPr>
          <w:p w14:paraId="0BE04926"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w:t>
            </w:r>
          </w:p>
        </w:tc>
        <w:tc>
          <w:tcPr>
            <w:tcW w:w="4648" w:type="dxa"/>
            <w:noWrap/>
          </w:tcPr>
          <w:p w14:paraId="3662FA2B"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Excluído</w:t>
            </w:r>
          </w:p>
        </w:tc>
      </w:tr>
      <w:tr w:rsidR="00E86BE2" w:rsidRPr="0010524E" w14:paraId="549B21D3" w14:textId="25DFE988" w:rsidTr="00E86BE2">
        <w:trPr>
          <w:trHeight w:val="290"/>
        </w:trPr>
        <w:tc>
          <w:tcPr>
            <w:tcW w:w="4815" w:type="dxa"/>
            <w:noWrap/>
            <w:hideMark/>
          </w:tcPr>
          <w:p w14:paraId="167D583B"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II - a Portaria nº 918, de 25 de setembro de 2018.</w:t>
            </w:r>
          </w:p>
        </w:tc>
        <w:tc>
          <w:tcPr>
            <w:tcW w:w="4849" w:type="dxa"/>
            <w:noWrap/>
            <w:hideMark/>
          </w:tcPr>
          <w:p w14:paraId="61AE79FE"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w:t>
            </w:r>
          </w:p>
        </w:tc>
        <w:tc>
          <w:tcPr>
            <w:tcW w:w="4648" w:type="dxa"/>
            <w:noWrap/>
          </w:tcPr>
          <w:p w14:paraId="7D8AE5B4"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Excluído</w:t>
            </w:r>
          </w:p>
        </w:tc>
      </w:tr>
      <w:tr w:rsidR="00E86BE2" w:rsidRPr="0010524E" w14:paraId="7F3B6F05" w14:textId="4428ABD0" w:rsidTr="00E86BE2">
        <w:trPr>
          <w:trHeight w:val="290"/>
        </w:trPr>
        <w:tc>
          <w:tcPr>
            <w:tcW w:w="4815" w:type="dxa"/>
            <w:noWrap/>
            <w:hideMark/>
          </w:tcPr>
          <w:p w14:paraId="5E6D8A2C"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Art. 10. Esta Resolução entra em vigor em 1º de novembro de 2021.</w:t>
            </w:r>
          </w:p>
        </w:tc>
        <w:tc>
          <w:tcPr>
            <w:tcW w:w="4849" w:type="dxa"/>
            <w:noWrap/>
            <w:hideMark/>
          </w:tcPr>
          <w:p w14:paraId="2B5A90C1"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w:t>
            </w:r>
          </w:p>
        </w:tc>
        <w:tc>
          <w:tcPr>
            <w:tcW w:w="4648" w:type="dxa"/>
            <w:noWrap/>
          </w:tcPr>
          <w:p w14:paraId="4C6FFCA0"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Excluído</w:t>
            </w:r>
          </w:p>
        </w:tc>
      </w:tr>
      <w:tr w:rsidR="00E86BE2" w:rsidRPr="0010524E" w14:paraId="28598B69" w14:textId="237DE426" w:rsidTr="00E86BE2">
        <w:trPr>
          <w:trHeight w:val="290"/>
        </w:trPr>
        <w:tc>
          <w:tcPr>
            <w:tcW w:w="4815" w:type="dxa"/>
            <w:noWrap/>
          </w:tcPr>
          <w:p w14:paraId="261F1E69" w14:textId="77777777" w:rsidR="00E86BE2" w:rsidRPr="0010524E" w:rsidRDefault="00E86BE2" w:rsidP="00E86BE2">
            <w:pPr>
              <w:rPr>
                <w:rFonts w:eastAsia="Times New Roman" w:cstheme="minorHAnsi"/>
                <w:b/>
                <w:bCs/>
                <w:sz w:val="24"/>
                <w:szCs w:val="24"/>
                <w:lang w:eastAsia="pt-BR"/>
              </w:rPr>
            </w:pPr>
            <w:r w:rsidRPr="0010524E">
              <w:rPr>
                <w:rFonts w:eastAsia="Times New Roman" w:cstheme="minorHAnsi"/>
                <w:b/>
                <w:bCs/>
                <w:sz w:val="24"/>
                <w:szCs w:val="24"/>
                <w:lang w:eastAsia="pt-BR"/>
              </w:rPr>
              <w:t>Instrução PREVIC Nº 17, de 13 de setembro de 2019</w:t>
            </w:r>
          </w:p>
        </w:tc>
        <w:tc>
          <w:tcPr>
            <w:tcW w:w="4849" w:type="dxa"/>
            <w:noWrap/>
          </w:tcPr>
          <w:p w14:paraId="12DE64E9"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78D1EC0C" w14:textId="77777777" w:rsidR="00E86BE2" w:rsidRPr="0010524E" w:rsidRDefault="00E86BE2" w:rsidP="00E86BE2">
            <w:pPr>
              <w:jc w:val="both"/>
              <w:rPr>
                <w:rFonts w:eastAsia="Times New Roman" w:cstheme="minorHAnsi"/>
                <w:sz w:val="24"/>
                <w:szCs w:val="24"/>
                <w:lang w:eastAsia="pt-BR"/>
              </w:rPr>
            </w:pPr>
          </w:p>
        </w:tc>
      </w:tr>
      <w:tr w:rsidR="00E86BE2" w:rsidRPr="0010524E" w14:paraId="708B047B" w14:textId="1C34742D" w:rsidTr="00E86BE2">
        <w:trPr>
          <w:trHeight w:val="290"/>
        </w:trPr>
        <w:tc>
          <w:tcPr>
            <w:tcW w:w="4815" w:type="dxa"/>
            <w:noWrap/>
          </w:tcPr>
          <w:p w14:paraId="0E460926" w14:textId="10A7FF65" w:rsidR="00E86BE2" w:rsidRPr="0010524E" w:rsidRDefault="00E86BE2" w:rsidP="00E86BE2">
            <w:pPr>
              <w:jc w:val="both"/>
              <w:rPr>
                <w:rFonts w:eastAsia="Times New Roman" w:cstheme="minorHAnsi"/>
                <w:sz w:val="24"/>
                <w:szCs w:val="24"/>
                <w:lang w:eastAsia="pt-BR"/>
              </w:rPr>
            </w:pPr>
            <w:r>
              <w:t>Cria a Câmara de Mediação, Conciliação e Arbitragem - CMCA da Superintendência Nacional de Previdência Complementar - Previc em substituição à Comissão de Mediação, Conciliação e Arbitragem para atender ao disposto nas Leis nº 13.129, de 26 de maio de 2015 e nº 13.140, de 26 de junho de 2015, e aprova o seu regulamento.</w:t>
            </w:r>
          </w:p>
        </w:tc>
        <w:tc>
          <w:tcPr>
            <w:tcW w:w="4849" w:type="dxa"/>
            <w:noWrap/>
          </w:tcPr>
          <w:p w14:paraId="2FD9ADA7" w14:textId="77777777" w:rsidR="00E86BE2" w:rsidRPr="0010524E" w:rsidRDefault="00E86BE2" w:rsidP="00E86BE2">
            <w:pPr>
              <w:jc w:val="center"/>
              <w:rPr>
                <w:rFonts w:eastAsia="Times New Roman" w:cstheme="minorHAnsi"/>
                <w:sz w:val="24"/>
                <w:szCs w:val="24"/>
                <w:lang w:eastAsia="pt-BR"/>
              </w:rPr>
            </w:pPr>
          </w:p>
        </w:tc>
        <w:tc>
          <w:tcPr>
            <w:tcW w:w="4648" w:type="dxa"/>
            <w:noWrap/>
          </w:tcPr>
          <w:p w14:paraId="4CE7B802" w14:textId="77777777" w:rsidR="00E86BE2" w:rsidRPr="0010524E" w:rsidRDefault="00E86BE2" w:rsidP="00E86BE2">
            <w:pPr>
              <w:jc w:val="both"/>
              <w:rPr>
                <w:rFonts w:eastAsia="Times New Roman" w:cstheme="minorHAnsi"/>
                <w:sz w:val="24"/>
                <w:szCs w:val="24"/>
                <w:lang w:eastAsia="pt-BR"/>
              </w:rPr>
            </w:pPr>
          </w:p>
        </w:tc>
      </w:tr>
      <w:tr w:rsidR="00E86BE2" w:rsidRPr="0010524E" w14:paraId="35534416" w14:textId="77777777" w:rsidTr="00E86BE2">
        <w:trPr>
          <w:trHeight w:val="731"/>
        </w:trPr>
        <w:tc>
          <w:tcPr>
            <w:tcW w:w="4815" w:type="dxa"/>
            <w:noWrap/>
          </w:tcPr>
          <w:p w14:paraId="3E2DAB42" w14:textId="77777777" w:rsidR="00E86BE2" w:rsidRDefault="00E86BE2" w:rsidP="00E86BE2">
            <w:pPr>
              <w:jc w:val="center"/>
              <w:rPr>
                <w:rFonts w:cstheme="minorHAnsi"/>
                <w:sz w:val="24"/>
                <w:szCs w:val="24"/>
              </w:rPr>
            </w:pPr>
            <w:r>
              <w:rPr>
                <w:rFonts w:cstheme="minorHAnsi"/>
                <w:sz w:val="24"/>
                <w:szCs w:val="24"/>
              </w:rPr>
              <w:lastRenderedPageBreak/>
              <w:t>ANEXO I</w:t>
            </w:r>
          </w:p>
          <w:p w14:paraId="42EC606D" w14:textId="790FD074" w:rsidR="00E86BE2" w:rsidRPr="0010524E" w:rsidRDefault="00E86BE2" w:rsidP="00E86BE2">
            <w:pPr>
              <w:jc w:val="center"/>
              <w:rPr>
                <w:rFonts w:cstheme="minorHAnsi"/>
                <w:sz w:val="24"/>
                <w:szCs w:val="24"/>
              </w:rPr>
            </w:pPr>
            <w:r w:rsidRPr="0010524E">
              <w:rPr>
                <w:rFonts w:cstheme="minorHAnsi"/>
                <w:sz w:val="24"/>
                <w:szCs w:val="24"/>
              </w:rPr>
              <w:t>REGULAMENTO DE MEDIAÇÃO, CONCILIAÇÃO E ARBITRAGEM DA PREVIC</w:t>
            </w:r>
          </w:p>
        </w:tc>
        <w:tc>
          <w:tcPr>
            <w:tcW w:w="4849" w:type="dxa"/>
            <w:noWrap/>
          </w:tcPr>
          <w:p w14:paraId="013C0387" w14:textId="77777777" w:rsidR="00E86BE2" w:rsidRPr="0010524E" w:rsidRDefault="00E86BE2" w:rsidP="00E86BE2">
            <w:pPr>
              <w:jc w:val="center"/>
              <w:rPr>
                <w:rFonts w:eastAsia="Times New Roman" w:cstheme="minorHAnsi"/>
                <w:sz w:val="24"/>
                <w:szCs w:val="24"/>
                <w:lang w:eastAsia="pt-BR"/>
              </w:rPr>
            </w:pPr>
          </w:p>
        </w:tc>
        <w:tc>
          <w:tcPr>
            <w:tcW w:w="4648" w:type="dxa"/>
            <w:noWrap/>
          </w:tcPr>
          <w:p w14:paraId="766001EB" w14:textId="77777777" w:rsidR="00E86BE2" w:rsidRPr="0010524E" w:rsidRDefault="00E86BE2" w:rsidP="00E86BE2">
            <w:pPr>
              <w:jc w:val="both"/>
              <w:rPr>
                <w:rFonts w:eastAsia="Times New Roman" w:cstheme="minorHAnsi"/>
                <w:sz w:val="24"/>
                <w:szCs w:val="24"/>
                <w:lang w:eastAsia="pt-BR"/>
              </w:rPr>
            </w:pPr>
          </w:p>
        </w:tc>
      </w:tr>
      <w:tr w:rsidR="00E86BE2" w:rsidRPr="0010524E" w14:paraId="0B67DFCD" w14:textId="66986FC8" w:rsidTr="00E86BE2">
        <w:trPr>
          <w:trHeight w:val="290"/>
        </w:trPr>
        <w:tc>
          <w:tcPr>
            <w:tcW w:w="4815" w:type="dxa"/>
            <w:noWrap/>
          </w:tcPr>
          <w:p w14:paraId="5E924B87" w14:textId="77777777" w:rsidR="00E86BE2" w:rsidRDefault="00E86BE2" w:rsidP="00E86BE2">
            <w:pPr>
              <w:jc w:val="center"/>
              <w:rPr>
                <w:rFonts w:cstheme="minorHAnsi"/>
                <w:sz w:val="24"/>
                <w:szCs w:val="24"/>
              </w:rPr>
            </w:pPr>
            <w:r w:rsidRPr="0010524E">
              <w:rPr>
                <w:rFonts w:cstheme="minorHAnsi"/>
                <w:sz w:val="24"/>
                <w:szCs w:val="24"/>
              </w:rPr>
              <w:t>CAPÍTULO I</w:t>
            </w:r>
          </w:p>
          <w:p w14:paraId="5365130E" w14:textId="2D686A5D" w:rsidR="00E86BE2" w:rsidRPr="0010524E" w:rsidRDefault="00E86BE2" w:rsidP="00E86BE2">
            <w:pPr>
              <w:jc w:val="center"/>
              <w:rPr>
                <w:rFonts w:eastAsia="Times New Roman" w:cstheme="minorHAnsi"/>
                <w:sz w:val="24"/>
                <w:szCs w:val="24"/>
                <w:lang w:eastAsia="pt-BR"/>
              </w:rPr>
            </w:pPr>
            <w:r w:rsidRPr="0010524E">
              <w:rPr>
                <w:rFonts w:cstheme="minorHAnsi"/>
                <w:sz w:val="24"/>
                <w:szCs w:val="24"/>
              </w:rPr>
              <w:t>COMPETÊNCIA E DA COMPOSIÇÃO</w:t>
            </w:r>
          </w:p>
        </w:tc>
        <w:tc>
          <w:tcPr>
            <w:tcW w:w="4849" w:type="dxa"/>
            <w:noWrap/>
          </w:tcPr>
          <w:p w14:paraId="37EC8218" w14:textId="77777777" w:rsidR="00E86BE2" w:rsidRDefault="00E86BE2" w:rsidP="00E86BE2">
            <w:pPr>
              <w:jc w:val="center"/>
              <w:rPr>
                <w:rFonts w:cstheme="minorHAnsi"/>
                <w:b/>
                <w:bCs/>
                <w:sz w:val="24"/>
                <w:szCs w:val="24"/>
              </w:rPr>
            </w:pPr>
            <w:r w:rsidRPr="0010524E">
              <w:rPr>
                <w:rFonts w:cstheme="minorHAnsi"/>
                <w:b/>
                <w:bCs/>
                <w:sz w:val="24"/>
                <w:szCs w:val="24"/>
              </w:rPr>
              <w:t>Seção III</w:t>
            </w:r>
          </w:p>
          <w:p w14:paraId="6798D7FA" w14:textId="0747993B" w:rsidR="00E86BE2" w:rsidRPr="0010524E" w:rsidRDefault="00E86BE2" w:rsidP="00E86BE2">
            <w:pPr>
              <w:jc w:val="center"/>
              <w:rPr>
                <w:rFonts w:eastAsia="Times New Roman" w:cstheme="minorHAnsi"/>
                <w:b/>
                <w:bCs/>
                <w:sz w:val="24"/>
                <w:szCs w:val="24"/>
                <w:lang w:eastAsia="pt-BR"/>
              </w:rPr>
            </w:pPr>
            <w:r w:rsidRPr="0010524E">
              <w:rPr>
                <w:rFonts w:cstheme="minorHAnsi"/>
                <w:b/>
                <w:bCs/>
                <w:sz w:val="24"/>
                <w:szCs w:val="24"/>
              </w:rPr>
              <w:t>Câmara de Mediação, Conciliação e Arbitragem</w:t>
            </w:r>
          </w:p>
        </w:tc>
        <w:tc>
          <w:tcPr>
            <w:tcW w:w="4648" w:type="dxa"/>
            <w:noWrap/>
          </w:tcPr>
          <w:p w14:paraId="6DA26E21" w14:textId="77777777" w:rsidR="00E86BE2" w:rsidRPr="0010524E" w:rsidRDefault="00E86BE2" w:rsidP="00E86BE2">
            <w:pPr>
              <w:jc w:val="both"/>
              <w:rPr>
                <w:rFonts w:eastAsia="Times New Roman" w:cstheme="minorHAnsi"/>
                <w:sz w:val="24"/>
                <w:szCs w:val="24"/>
                <w:lang w:eastAsia="pt-BR"/>
              </w:rPr>
            </w:pPr>
          </w:p>
        </w:tc>
      </w:tr>
      <w:tr w:rsidR="00E86BE2" w:rsidRPr="0010524E" w14:paraId="17621E2E" w14:textId="4A10B343" w:rsidTr="00E86BE2">
        <w:trPr>
          <w:trHeight w:val="290"/>
        </w:trPr>
        <w:tc>
          <w:tcPr>
            <w:tcW w:w="4815" w:type="dxa"/>
            <w:noWrap/>
          </w:tcPr>
          <w:p w14:paraId="5746581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1º A Câmara de Mediação, Conciliação e Arbitragem da Previc (CMCA) tem a competência de promover a mediação e a conciliação entre entidades fechadas de previdência complementar e entre estas e seus participantes, assistidos, patrocinadores ou instituidores, bem como dirimir os litígios que lhe forem submetidos na forma da Lei nº 9.307, de 23 de setembro de 1996.</w:t>
            </w:r>
          </w:p>
        </w:tc>
        <w:tc>
          <w:tcPr>
            <w:tcW w:w="4849" w:type="dxa"/>
            <w:noWrap/>
          </w:tcPr>
          <w:p w14:paraId="40AE2087" w14:textId="6712759E"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Art. 353.  A Câmara de Mediação, Conciliação e Arbitragem da Previc (CMCA) tem a competência de promover a mediação e a conciliação entre entidades fechadas de previdência complementar e entre estas e seus participantes, assistidos, patrocinadores ou instituidores, bem como dirimir os litígios que lhe forem submetidos na forma da Lei nº 9.307, de 23 de setembro de 1996. </w:t>
            </w:r>
          </w:p>
        </w:tc>
        <w:tc>
          <w:tcPr>
            <w:tcW w:w="4648" w:type="dxa"/>
            <w:noWrap/>
          </w:tcPr>
          <w:p w14:paraId="7322C164" w14:textId="57A9D93C"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02F157D0" w14:textId="633D75D3" w:rsidTr="00E86BE2">
        <w:trPr>
          <w:trHeight w:val="290"/>
        </w:trPr>
        <w:tc>
          <w:tcPr>
            <w:tcW w:w="4815" w:type="dxa"/>
            <w:noWrap/>
          </w:tcPr>
          <w:p w14:paraId="2A2C8023"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1º O exercício das competências a que se refere o caput não constitui poder de polícia.</w:t>
            </w:r>
          </w:p>
        </w:tc>
        <w:tc>
          <w:tcPr>
            <w:tcW w:w="4849" w:type="dxa"/>
            <w:noWrap/>
          </w:tcPr>
          <w:p w14:paraId="083C85C0" w14:textId="4106A700"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1º  O exercício das competências a que se refere 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não constitui poder de polícia. </w:t>
            </w:r>
          </w:p>
        </w:tc>
        <w:tc>
          <w:tcPr>
            <w:tcW w:w="4648" w:type="dxa"/>
            <w:noWrap/>
          </w:tcPr>
          <w:p w14:paraId="14E3D1B9" w14:textId="29FFC836"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75943F82" w14:textId="2E36F4B7" w:rsidTr="00E86BE2">
        <w:trPr>
          <w:trHeight w:val="290"/>
        </w:trPr>
        <w:tc>
          <w:tcPr>
            <w:tcW w:w="4815" w:type="dxa"/>
            <w:noWrap/>
          </w:tcPr>
          <w:p w14:paraId="7FC2837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2º A arbitragem de que trata este regulamento será sempre de direito e respeitará o princípio da publicidade, aplicando-se a legislação vigente, sem restrições, e somente poderá versar sobre direitos patrimoniais disponíveis ou sobre direitos indisponíveis que admitam transação.</w:t>
            </w:r>
          </w:p>
        </w:tc>
        <w:tc>
          <w:tcPr>
            <w:tcW w:w="4849" w:type="dxa"/>
            <w:noWrap/>
          </w:tcPr>
          <w:p w14:paraId="643AD303" w14:textId="645BE2C3"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2º  A arbitragem deve ser sempre de direito e deve respeitar o princípio da publicidade, e somente pode versar sobre direitos patrimoniais disponíveis.</w:t>
            </w:r>
          </w:p>
        </w:tc>
        <w:tc>
          <w:tcPr>
            <w:tcW w:w="4648" w:type="dxa"/>
            <w:noWrap/>
          </w:tcPr>
          <w:p w14:paraId="3FBDF60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72934B9C" w14:textId="5A84DC2B" w:rsidTr="00E86BE2">
        <w:trPr>
          <w:trHeight w:val="290"/>
        </w:trPr>
        <w:tc>
          <w:tcPr>
            <w:tcW w:w="4815" w:type="dxa"/>
            <w:noWrap/>
          </w:tcPr>
          <w:p w14:paraId="53555DA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3º A mediação pode versar sobre todo o conflito ou parte dele, segundo a vontade das partes.</w:t>
            </w:r>
          </w:p>
        </w:tc>
        <w:tc>
          <w:tcPr>
            <w:tcW w:w="4849" w:type="dxa"/>
            <w:noWrap/>
          </w:tcPr>
          <w:p w14:paraId="0CF7B501" w14:textId="7C3031CE"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3º  A mediação pode versar sobre todo o conflito ou parte dele, segundo a vontade das partes.</w:t>
            </w:r>
          </w:p>
        </w:tc>
        <w:tc>
          <w:tcPr>
            <w:tcW w:w="4648" w:type="dxa"/>
            <w:noWrap/>
          </w:tcPr>
          <w:p w14:paraId="15E7A435" w14:textId="54B08B4B"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4619B122" w14:textId="1A81013B" w:rsidTr="00E86BE2">
        <w:trPr>
          <w:trHeight w:val="290"/>
        </w:trPr>
        <w:tc>
          <w:tcPr>
            <w:tcW w:w="4815" w:type="dxa"/>
            <w:noWrap/>
          </w:tcPr>
          <w:p w14:paraId="17C88F05"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Art. 2º A CMCA possui a seguinte composição:</w:t>
            </w:r>
          </w:p>
        </w:tc>
        <w:tc>
          <w:tcPr>
            <w:tcW w:w="4849" w:type="dxa"/>
            <w:noWrap/>
          </w:tcPr>
          <w:p w14:paraId="0423634D" w14:textId="217514E2"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Art. 354.  A Câmara de Mediação, Conciliação e Arbitragem possui a seguinte composição: </w:t>
            </w:r>
          </w:p>
        </w:tc>
        <w:tc>
          <w:tcPr>
            <w:tcW w:w="4648" w:type="dxa"/>
            <w:noWrap/>
          </w:tcPr>
          <w:p w14:paraId="5CA52217" w14:textId="13DCA79F"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041DEF65" w14:textId="74A1B7FB" w:rsidTr="00E86BE2">
        <w:trPr>
          <w:trHeight w:val="290"/>
        </w:trPr>
        <w:tc>
          <w:tcPr>
            <w:tcW w:w="4815" w:type="dxa"/>
            <w:noWrap/>
          </w:tcPr>
          <w:p w14:paraId="62AD4AF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 - o presidente, que será o procurador-chefe ou outro advogado público federal, em exercício na Procuradoria Federal junto à Previc, que venha a ser designado pelo procurador-chefe;</w:t>
            </w:r>
          </w:p>
        </w:tc>
        <w:tc>
          <w:tcPr>
            <w:tcW w:w="4849" w:type="dxa"/>
            <w:noWrap/>
          </w:tcPr>
          <w:p w14:paraId="2D21582C" w14:textId="0791A5EE"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I - o presidente, que é o procurador-chefe ou outro advogado público federal, em exercício na Procuradoria Federal junto à Previc, que venha a ser designado pelo procurador-chefe; </w:t>
            </w:r>
          </w:p>
        </w:tc>
        <w:tc>
          <w:tcPr>
            <w:tcW w:w="4648" w:type="dxa"/>
            <w:noWrap/>
          </w:tcPr>
          <w:p w14:paraId="7340482E" w14:textId="13173D68"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660FD88E" w14:textId="7DFD756F" w:rsidTr="00E86BE2">
        <w:trPr>
          <w:trHeight w:val="290"/>
        </w:trPr>
        <w:tc>
          <w:tcPr>
            <w:tcW w:w="4815" w:type="dxa"/>
            <w:noWrap/>
          </w:tcPr>
          <w:p w14:paraId="0B75B1B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II - o mediador, o qual, no desempenho de sua função, poderá reunir-se com as partes, em conjunto ou separadamente, bem como solicitar das partes as informações que entender necessárias para facilitar o entendimento entre aquelas, conforme o disposto no art. 19 da Lei nº 13.140, de 2015;</w:t>
            </w:r>
          </w:p>
        </w:tc>
        <w:tc>
          <w:tcPr>
            <w:tcW w:w="4849" w:type="dxa"/>
            <w:noWrap/>
          </w:tcPr>
          <w:p w14:paraId="3D2F598D" w14:textId="3C8B410F"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II - o mediador, o qual, no desempenho de sua função, pode reunir-se com as partes, em conjunto ou separadamente, bem como solicitar das partes as informações que entender necessárias para facilitar o entendimento entre aquelas, conforme o disposto no art. 19 da Lei nº 13.140, de 26 de junho de 2015;</w:t>
            </w:r>
          </w:p>
        </w:tc>
        <w:tc>
          <w:tcPr>
            <w:tcW w:w="4648" w:type="dxa"/>
            <w:noWrap/>
          </w:tcPr>
          <w:p w14:paraId="5C8B462B"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7F46542A" w14:textId="3294B54E" w:rsidTr="00E86BE2">
        <w:trPr>
          <w:trHeight w:val="290"/>
        </w:trPr>
        <w:tc>
          <w:tcPr>
            <w:tcW w:w="4815" w:type="dxa"/>
            <w:noWrap/>
          </w:tcPr>
          <w:p w14:paraId="08F39FD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III - o Comitê Conciliador, composto por servidores públicos escolhidos entre os servidores da Previc, indicados pelos respectivos Diretores e por conciliadores indicados pelas partes, na forma prevista neste regulamento;</w:t>
            </w:r>
          </w:p>
        </w:tc>
        <w:tc>
          <w:tcPr>
            <w:tcW w:w="4849" w:type="dxa"/>
            <w:noWrap/>
          </w:tcPr>
          <w:p w14:paraId="0548F127" w14:textId="038ED2B7"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III - os </w:t>
            </w:r>
            <w:r w:rsidRPr="0010524E">
              <w:rPr>
                <w:rFonts w:ascii="Calibri" w:eastAsia="Calibri" w:hAnsi="Calibri" w:cs="Calibri"/>
                <w:b/>
                <w:bCs/>
                <w:sz w:val="24"/>
                <w:szCs w:val="24"/>
              </w:rPr>
              <w:t>experts</w:t>
            </w:r>
            <w:r w:rsidRPr="0010524E">
              <w:rPr>
                <w:rFonts w:ascii="Calibri" w:eastAsia="Calibri" w:hAnsi="Calibri" w:cs="Calibri"/>
                <w:sz w:val="24"/>
                <w:szCs w:val="24"/>
              </w:rPr>
              <w:t xml:space="preserve">, escolhidos entre os servidores em exercício nas Diretorias da Previc, indicados pelos respectivos Diretores, na forma prevista nesta seção </w:t>
            </w:r>
            <w:r w:rsidRPr="0010524E">
              <w:rPr>
                <w:rFonts w:ascii="Calibri" w:eastAsia="Calibri" w:hAnsi="Calibri" w:cs="Calibri"/>
                <w:strike/>
                <w:sz w:val="24"/>
                <w:szCs w:val="24"/>
              </w:rPr>
              <w:t>neste</w:t>
            </w:r>
            <w:r w:rsidRPr="0010524E">
              <w:rPr>
                <w:rFonts w:ascii="Calibri" w:eastAsia="Calibri" w:hAnsi="Calibri" w:cs="Calibri"/>
                <w:sz w:val="24"/>
                <w:szCs w:val="24"/>
              </w:rPr>
              <w:t xml:space="preserve"> </w:t>
            </w:r>
            <w:r w:rsidRPr="0010524E">
              <w:rPr>
                <w:rFonts w:ascii="Calibri" w:eastAsia="Calibri" w:hAnsi="Calibri" w:cs="Calibri"/>
                <w:strike/>
                <w:sz w:val="24"/>
                <w:szCs w:val="24"/>
              </w:rPr>
              <w:t>regulamento</w:t>
            </w:r>
            <w:r w:rsidRPr="0010524E">
              <w:rPr>
                <w:rFonts w:ascii="Calibri" w:eastAsia="Calibri" w:hAnsi="Calibri" w:cs="Calibri"/>
                <w:sz w:val="24"/>
                <w:szCs w:val="24"/>
              </w:rPr>
              <w:t>.</w:t>
            </w:r>
          </w:p>
        </w:tc>
        <w:tc>
          <w:tcPr>
            <w:tcW w:w="4648" w:type="dxa"/>
            <w:noWrap/>
          </w:tcPr>
          <w:p w14:paraId="5A580F0D"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Comitê conciliador excluído, daí a nova numeração.</w:t>
            </w:r>
          </w:p>
        </w:tc>
      </w:tr>
      <w:tr w:rsidR="00E86BE2" w:rsidRPr="0010524E" w14:paraId="134EE7A1" w14:textId="23ABC5B6" w:rsidTr="00E86BE2">
        <w:trPr>
          <w:trHeight w:val="290"/>
        </w:trPr>
        <w:tc>
          <w:tcPr>
            <w:tcW w:w="4815" w:type="dxa"/>
            <w:noWrap/>
          </w:tcPr>
          <w:p w14:paraId="4817C56B"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IV - os experts, escolhidos entre os servidores em exercício nas Diretorias da Previc, indicados pelos respectivos Diretores, na forma prevista neste regulamento; e</w:t>
            </w:r>
          </w:p>
        </w:tc>
        <w:tc>
          <w:tcPr>
            <w:tcW w:w="4849" w:type="dxa"/>
            <w:noWrap/>
          </w:tcPr>
          <w:p w14:paraId="52FD84F1"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62E2010B" w14:textId="77777777" w:rsidR="00E86BE2" w:rsidRPr="0010524E" w:rsidRDefault="00E86BE2" w:rsidP="00E86BE2">
            <w:pPr>
              <w:jc w:val="both"/>
              <w:rPr>
                <w:rFonts w:eastAsia="Times New Roman" w:cstheme="minorHAnsi"/>
                <w:sz w:val="24"/>
                <w:szCs w:val="24"/>
                <w:lang w:eastAsia="pt-BR"/>
              </w:rPr>
            </w:pPr>
          </w:p>
        </w:tc>
      </w:tr>
      <w:tr w:rsidR="00E86BE2" w:rsidRPr="0010524E" w14:paraId="6EC9D88B" w14:textId="36636A14" w:rsidTr="00E86BE2">
        <w:trPr>
          <w:trHeight w:val="290"/>
        </w:trPr>
        <w:tc>
          <w:tcPr>
            <w:tcW w:w="4815" w:type="dxa"/>
            <w:noWrap/>
          </w:tcPr>
          <w:p w14:paraId="5518BCC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xml:space="preserve">V - o Tribunal Arbitral, composto por advogado público federal em exercício na Procuradoria Federal junto à Previc e por especialistas </w:t>
            </w:r>
            <w:r w:rsidRPr="0010524E">
              <w:rPr>
                <w:rFonts w:cstheme="minorHAnsi"/>
                <w:sz w:val="24"/>
                <w:szCs w:val="24"/>
              </w:rPr>
              <w:lastRenderedPageBreak/>
              <w:t>indicados pelas partes, na forma prevista neste regulamento.</w:t>
            </w:r>
          </w:p>
        </w:tc>
        <w:tc>
          <w:tcPr>
            <w:tcW w:w="4849" w:type="dxa"/>
            <w:noWrap/>
          </w:tcPr>
          <w:p w14:paraId="310F7F27"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3A8DD8FB"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Revogado. O tribunal arbitral não é parte da CMCA, é constituído posteriormente pelas partes.</w:t>
            </w:r>
          </w:p>
        </w:tc>
      </w:tr>
      <w:tr w:rsidR="00E86BE2" w:rsidRPr="0010524E" w14:paraId="5E2C4DAD" w14:textId="797B6AED" w:rsidTr="00E86BE2">
        <w:trPr>
          <w:trHeight w:val="290"/>
        </w:trPr>
        <w:tc>
          <w:tcPr>
            <w:tcW w:w="4815" w:type="dxa"/>
            <w:noWrap/>
          </w:tcPr>
          <w:p w14:paraId="508531A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1º No exercício da competência de que trata este regulamento, a CMCA contará com o suporte logístico e administrativo da Coordenação-Geral de Apoio à Diretoria Colegiada da Previc, que funcionará como sua Secretaria-Executiva.</w:t>
            </w:r>
          </w:p>
        </w:tc>
        <w:tc>
          <w:tcPr>
            <w:tcW w:w="4849" w:type="dxa"/>
            <w:noWrap/>
          </w:tcPr>
          <w:p w14:paraId="20CE8F8A" w14:textId="00690DD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1º  A Coordenação-Geral de Apoio à Diretoria Colegiada da Previc, que funciona como sua Secretaria-Executiva. </w:t>
            </w:r>
          </w:p>
        </w:tc>
        <w:tc>
          <w:tcPr>
            <w:tcW w:w="4648" w:type="dxa"/>
            <w:noWrap/>
          </w:tcPr>
          <w:p w14:paraId="2F6559A1"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39195C29" w14:textId="42BDDDA3" w:rsidTr="00E86BE2">
        <w:trPr>
          <w:trHeight w:val="290"/>
        </w:trPr>
        <w:tc>
          <w:tcPr>
            <w:tcW w:w="4815" w:type="dxa"/>
            <w:noWrap/>
          </w:tcPr>
          <w:p w14:paraId="64ACDE0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2º Os serviços a que se refere este regulamento serão considerados serviços relevantes e não remunerados, exercidos sem prejuízo das atribuições do cargo.</w:t>
            </w:r>
          </w:p>
        </w:tc>
        <w:tc>
          <w:tcPr>
            <w:tcW w:w="4849" w:type="dxa"/>
            <w:noWrap/>
          </w:tcPr>
          <w:p w14:paraId="56CEC03B" w14:textId="43606717"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2º  Os serviços a que se refere esta seção </w:t>
            </w:r>
            <w:r w:rsidRPr="0010524E">
              <w:rPr>
                <w:rFonts w:ascii="Calibri" w:eastAsia="Calibri" w:hAnsi="Calibri" w:cs="Calibri"/>
                <w:strike/>
                <w:sz w:val="24"/>
                <w:szCs w:val="24"/>
              </w:rPr>
              <w:t>este</w:t>
            </w:r>
            <w:r w:rsidRPr="0010524E">
              <w:rPr>
                <w:rFonts w:ascii="Calibri" w:eastAsia="Calibri" w:hAnsi="Calibri" w:cs="Calibri"/>
                <w:sz w:val="24"/>
                <w:szCs w:val="24"/>
              </w:rPr>
              <w:t xml:space="preserve"> </w:t>
            </w:r>
            <w:r w:rsidRPr="0010524E">
              <w:rPr>
                <w:rFonts w:ascii="Calibri" w:eastAsia="Calibri" w:hAnsi="Calibri" w:cs="Calibri"/>
                <w:strike/>
                <w:sz w:val="24"/>
                <w:szCs w:val="24"/>
              </w:rPr>
              <w:t>regulamento</w:t>
            </w:r>
            <w:r w:rsidRPr="0010524E">
              <w:rPr>
                <w:rFonts w:ascii="Calibri" w:eastAsia="Calibri" w:hAnsi="Calibri" w:cs="Calibri"/>
                <w:sz w:val="24"/>
                <w:szCs w:val="24"/>
              </w:rPr>
              <w:t xml:space="preserve"> são considerados serviços relevantes e não remunerados, exercidos sem prejuízo das atribuições do cargo. </w:t>
            </w:r>
          </w:p>
        </w:tc>
        <w:tc>
          <w:tcPr>
            <w:tcW w:w="4648" w:type="dxa"/>
            <w:noWrap/>
          </w:tcPr>
          <w:p w14:paraId="54B183C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330FC8DA" w14:textId="74B8ADC4" w:rsidTr="00E86BE2">
        <w:trPr>
          <w:trHeight w:val="290"/>
        </w:trPr>
        <w:tc>
          <w:tcPr>
            <w:tcW w:w="4815" w:type="dxa"/>
            <w:noWrap/>
          </w:tcPr>
          <w:p w14:paraId="1CF155D5"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3º Os serviços a que se refere este regulamento devem ser computados na carga semanal de trabalho dos servidores.</w:t>
            </w:r>
          </w:p>
        </w:tc>
        <w:tc>
          <w:tcPr>
            <w:tcW w:w="4849" w:type="dxa"/>
            <w:noWrap/>
          </w:tcPr>
          <w:p w14:paraId="7176840C" w14:textId="4779A58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3º  Os serviços a que se refere esta seção </w:t>
            </w:r>
            <w:r w:rsidRPr="0010524E">
              <w:rPr>
                <w:rFonts w:ascii="Calibri" w:eastAsia="Calibri" w:hAnsi="Calibri" w:cs="Calibri"/>
                <w:strike/>
                <w:sz w:val="24"/>
                <w:szCs w:val="24"/>
              </w:rPr>
              <w:t>este regulamento</w:t>
            </w:r>
            <w:r w:rsidRPr="0010524E">
              <w:rPr>
                <w:rFonts w:ascii="Calibri" w:eastAsia="Calibri" w:hAnsi="Calibri" w:cs="Calibri"/>
                <w:sz w:val="24"/>
                <w:szCs w:val="24"/>
              </w:rPr>
              <w:t xml:space="preserve"> devem ser computados na carga semanal de trabalho dos servidores. </w:t>
            </w:r>
          </w:p>
        </w:tc>
        <w:tc>
          <w:tcPr>
            <w:tcW w:w="4648" w:type="dxa"/>
            <w:noWrap/>
          </w:tcPr>
          <w:p w14:paraId="6AB4BEFC" w14:textId="7D9B6C8F"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72DD0BE3" w14:textId="520EEE37" w:rsidTr="00E86BE2">
        <w:trPr>
          <w:trHeight w:val="290"/>
        </w:trPr>
        <w:tc>
          <w:tcPr>
            <w:tcW w:w="4815" w:type="dxa"/>
            <w:noWrap/>
          </w:tcPr>
          <w:p w14:paraId="7F991DF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4º A relação com a composição atualizada dos árbitros, conciliadores e experts será aprovada semestralmente pelo Presidente da CMCA.</w:t>
            </w:r>
          </w:p>
        </w:tc>
        <w:tc>
          <w:tcPr>
            <w:tcW w:w="4849" w:type="dxa"/>
            <w:noWrap/>
          </w:tcPr>
          <w:p w14:paraId="301FBDF0" w14:textId="7099B7E3"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4º  A relação com a composição atualizada dos árbitros, conciliadores e </w:t>
            </w:r>
            <w:r w:rsidRPr="0010524E">
              <w:rPr>
                <w:rFonts w:ascii="Calibri" w:eastAsia="Calibri" w:hAnsi="Calibri" w:cs="Calibri"/>
                <w:b/>
                <w:bCs/>
                <w:sz w:val="24"/>
                <w:szCs w:val="24"/>
              </w:rPr>
              <w:t>experts</w:t>
            </w:r>
            <w:r w:rsidRPr="0010524E">
              <w:rPr>
                <w:rFonts w:ascii="Calibri" w:eastAsia="Calibri" w:hAnsi="Calibri" w:cs="Calibri"/>
                <w:sz w:val="24"/>
                <w:szCs w:val="24"/>
              </w:rPr>
              <w:t xml:space="preserve"> deve ser aprovada anualmente pelo Presidente da Câmara de Mediação, Conciliação e Arbitragem.  </w:t>
            </w:r>
          </w:p>
        </w:tc>
        <w:tc>
          <w:tcPr>
            <w:tcW w:w="4648" w:type="dxa"/>
            <w:noWrap/>
          </w:tcPr>
          <w:p w14:paraId="4CC669F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53448D66" w14:textId="1B82E260" w:rsidTr="00E86BE2">
        <w:trPr>
          <w:trHeight w:val="290"/>
        </w:trPr>
        <w:tc>
          <w:tcPr>
            <w:tcW w:w="4815" w:type="dxa"/>
            <w:noWrap/>
          </w:tcPr>
          <w:p w14:paraId="251E02C5"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5º A lista de conciliadores e árbitros selecionados pelo Presidente da CMCA, com profissionais com notório conhecimento em previdência complementar fechada interessados em atuar junto à CMCA, deve ser publicada na página eletrônica da Previc.</w:t>
            </w:r>
          </w:p>
        </w:tc>
        <w:tc>
          <w:tcPr>
            <w:tcW w:w="4849" w:type="dxa"/>
            <w:noWrap/>
          </w:tcPr>
          <w:p w14:paraId="0B5D0A6C" w14:textId="62DDFD75"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5º  A lista de conciliadores e árbitros selecionados pelo Presidente da Câmara de Mediação, Conciliação e Arbitragem, com profissionais com notório conhecimento em previdência complementar fechada interessados em atuar junto à Câmara de Mediação, Conciliação e Arbitragem, deve ser publicada na página eletrônica da Previc.</w:t>
            </w:r>
          </w:p>
        </w:tc>
        <w:tc>
          <w:tcPr>
            <w:tcW w:w="4648" w:type="dxa"/>
            <w:noWrap/>
          </w:tcPr>
          <w:p w14:paraId="0B659652" w14:textId="4EA0A97A"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5760E482" w14:textId="515A03CC" w:rsidTr="00E86BE2">
        <w:trPr>
          <w:trHeight w:val="290"/>
        </w:trPr>
        <w:tc>
          <w:tcPr>
            <w:tcW w:w="4815" w:type="dxa"/>
            <w:noWrap/>
          </w:tcPr>
          <w:p w14:paraId="07F15215"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 6º Somente poderão integrar os quadros de mediadores, árbitros e peritos na Previc aqueles profissionais que forem submetidos previamente à análise quanto à sua competência e reputação ilibada.</w:t>
            </w:r>
          </w:p>
        </w:tc>
        <w:tc>
          <w:tcPr>
            <w:tcW w:w="4849" w:type="dxa"/>
            <w:noWrap/>
          </w:tcPr>
          <w:p w14:paraId="4FE6A2CE" w14:textId="3FD5545B"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6º  Somente podem integrar os quadros de mediadores, árbitros e peritos na Previc aqueles profissionais que forem submetidos previamente à análise quanto à sua competência e reputação ilibada.</w:t>
            </w:r>
          </w:p>
        </w:tc>
        <w:tc>
          <w:tcPr>
            <w:tcW w:w="4648" w:type="dxa"/>
            <w:noWrap/>
          </w:tcPr>
          <w:p w14:paraId="5E0094F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3292E544" w14:textId="7F9C54D7" w:rsidTr="00E86BE2">
        <w:trPr>
          <w:trHeight w:val="290"/>
        </w:trPr>
        <w:tc>
          <w:tcPr>
            <w:tcW w:w="4815" w:type="dxa"/>
            <w:noWrap/>
          </w:tcPr>
          <w:p w14:paraId="3B2B4251"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xml:space="preserve">§ 7º Verificada a ocorrência de qualquer fato ou ato que desabone a reputação de árbitro, conciliador ou expert, inclusive conflito de interesses, o presidente da CMCA poderá rever a relação em prazo inferior ao contido no § 4º. </w:t>
            </w:r>
          </w:p>
        </w:tc>
        <w:tc>
          <w:tcPr>
            <w:tcW w:w="4849" w:type="dxa"/>
            <w:noWrap/>
          </w:tcPr>
          <w:p w14:paraId="059BF745" w14:textId="2A7D1774"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7º  Verificada a ocorrência de qualquer fato ou ato que desabone a reputação de árbitro, conciliador ou </w:t>
            </w:r>
            <w:r w:rsidRPr="0010524E">
              <w:rPr>
                <w:rFonts w:ascii="Calibri" w:eastAsia="Calibri" w:hAnsi="Calibri" w:cs="Calibri"/>
                <w:b/>
                <w:bCs/>
                <w:sz w:val="24"/>
                <w:szCs w:val="24"/>
              </w:rPr>
              <w:t>expert</w:t>
            </w:r>
            <w:r w:rsidRPr="0010524E">
              <w:rPr>
                <w:rFonts w:ascii="Calibri" w:eastAsia="Calibri" w:hAnsi="Calibri" w:cs="Calibri"/>
                <w:sz w:val="24"/>
                <w:szCs w:val="24"/>
              </w:rPr>
              <w:t>, o presidente da Câmara de Mediação, Conciliação e Arbitragem pode rever a relação em prazo inferior ao contido no § 4º.</w:t>
            </w:r>
          </w:p>
        </w:tc>
        <w:tc>
          <w:tcPr>
            <w:tcW w:w="4648" w:type="dxa"/>
            <w:noWrap/>
          </w:tcPr>
          <w:p w14:paraId="4B69BD60"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17496DE4" w14:textId="75A6D654" w:rsidTr="00E86BE2">
        <w:trPr>
          <w:trHeight w:val="290"/>
        </w:trPr>
        <w:tc>
          <w:tcPr>
            <w:tcW w:w="4815" w:type="dxa"/>
            <w:noWrap/>
          </w:tcPr>
          <w:p w14:paraId="48722FE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8º Aplicar-se-ão aos servidores constantes da relação, para os fins do §6º, no que couber, os deveres e proibições da Lei nº 8.112, de 11 de dezembro de 1990, bem como da Lei nº 12.813, de 16 de maio de 2013, e, para os membros indicados pelas entidades representativas da sociedade civil, os mesmos requisitos exigidos pela legislação do regime de previdência complementar fechado.</w:t>
            </w:r>
          </w:p>
        </w:tc>
        <w:tc>
          <w:tcPr>
            <w:tcW w:w="4849" w:type="dxa"/>
            <w:noWrap/>
          </w:tcPr>
          <w:p w14:paraId="5FA58936" w14:textId="500279CA"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8º  Aplicam-se aos servidores constantes da relação, para os fins do § 6º, no que couber, os deveres e proibições da Lei nº 8.112, de 11 de dezembro de 1990, bem como da Lei nº 12.813, de 16 de maio de 2013, e, para os membros indicados pelas entidades representativas da sociedade civil, os mesmos requisitos exigidos pela legislação do regime de previdência complementar fechado.</w:t>
            </w:r>
          </w:p>
        </w:tc>
        <w:tc>
          <w:tcPr>
            <w:tcW w:w="4648" w:type="dxa"/>
            <w:noWrap/>
          </w:tcPr>
          <w:p w14:paraId="6C8DCEF5"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24FD91EF" w14:textId="71C2F5E8" w:rsidTr="00E86BE2">
        <w:trPr>
          <w:trHeight w:val="290"/>
        </w:trPr>
        <w:tc>
          <w:tcPr>
            <w:tcW w:w="4815" w:type="dxa"/>
            <w:noWrap/>
          </w:tcPr>
          <w:p w14:paraId="7709720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9º Da exclusão de árbitro, conciliador ou expert, caberá recurso ao Presidente da CMCA, em primeira instância, e à Dicol, em segunda instância, no prazo de 10 (dez) dias, contados da publicação de cada uma das decisões.</w:t>
            </w:r>
          </w:p>
        </w:tc>
        <w:tc>
          <w:tcPr>
            <w:tcW w:w="4849" w:type="dxa"/>
            <w:noWrap/>
          </w:tcPr>
          <w:p w14:paraId="40698610" w14:textId="4B12F23A"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9º  Da exclusão de árbitro, conciliador ou </w:t>
            </w:r>
            <w:r w:rsidRPr="0010524E">
              <w:rPr>
                <w:rFonts w:ascii="Calibri" w:eastAsia="Calibri" w:hAnsi="Calibri" w:cs="Calibri"/>
                <w:b/>
                <w:bCs/>
                <w:sz w:val="24"/>
                <w:szCs w:val="24"/>
              </w:rPr>
              <w:t>expert</w:t>
            </w:r>
            <w:r w:rsidRPr="0010524E">
              <w:rPr>
                <w:rFonts w:ascii="Calibri" w:eastAsia="Calibri" w:hAnsi="Calibri" w:cs="Calibri"/>
                <w:sz w:val="24"/>
                <w:szCs w:val="24"/>
              </w:rPr>
              <w:t>, cabe recurso ao Presidente da Câmara de Mediação, Conciliação e Arbitragem, no prazo de dez dias, contados da publicação.</w:t>
            </w:r>
          </w:p>
        </w:tc>
        <w:tc>
          <w:tcPr>
            <w:tcW w:w="4648" w:type="dxa"/>
            <w:noWrap/>
          </w:tcPr>
          <w:p w14:paraId="2B48DAC5"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283EC030" w14:textId="1CC1AC2D" w:rsidTr="00E86BE2">
        <w:trPr>
          <w:trHeight w:val="290"/>
        </w:trPr>
        <w:tc>
          <w:tcPr>
            <w:tcW w:w="4815" w:type="dxa"/>
            <w:noWrap/>
          </w:tcPr>
          <w:p w14:paraId="7B54E431" w14:textId="77777777" w:rsidR="00E86BE2" w:rsidRDefault="00E86BE2" w:rsidP="00E86BE2">
            <w:pPr>
              <w:jc w:val="center"/>
              <w:rPr>
                <w:rFonts w:cstheme="minorHAnsi"/>
                <w:sz w:val="24"/>
                <w:szCs w:val="24"/>
              </w:rPr>
            </w:pPr>
            <w:r w:rsidRPr="0010524E">
              <w:rPr>
                <w:rFonts w:cstheme="minorHAnsi"/>
                <w:sz w:val="24"/>
                <w:szCs w:val="24"/>
              </w:rPr>
              <w:t>CAPÍTULO II</w:t>
            </w:r>
          </w:p>
          <w:p w14:paraId="2ED4338D" w14:textId="02C32B68" w:rsidR="00E86BE2" w:rsidRPr="0010524E" w:rsidRDefault="00E86BE2" w:rsidP="00E86BE2">
            <w:pPr>
              <w:jc w:val="center"/>
              <w:rPr>
                <w:rFonts w:eastAsia="Times New Roman" w:cstheme="minorHAnsi"/>
                <w:sz w:val="24"/>
                <w:szCs w:val="24"/>
                <w:lang w:eastAsia="pt-BR"/>
              </w:rPr>
            </w:pPr>
            <w:r w:rsidRPr="0010524E">
              <w:rPr>
                <w:rFonts w:cstheme="minorHAnsi"/>
                <w:sz w:val="24"/>
                <w:szCs w:val="24"/>
              </w:rPr>
              <w:t>PRINCÍPIOS</w:t>
            </w:r>
          </w:p>
        </w:tc>
        <w:tc>
          <w:tcPr>
            <w:tcW w:w="4849" w:type="dxa"/>
            <w:noWrap/>
          </w:tcPr>
          <w:p w14:paraId="41FDFD2A" w14:textId="77777777" w:rsidR="00E86BE2" w:rsidRDefault="00E86BE2" w:rsidP="00E86BE2">
            <w:pPr>
              <w:jc w:val="center"/>
              <w:rPr>
                <w:rFonts w:cstheme="minorHAnsi"/>
                <w:b/>
                <w:bCs/>
                <w:sz w:val="24"/>
                <w:szCs w:val="24"/>
              </w:rPr>
            </w:pPr>
            <w:r w:rsidRPr="0010524E">
              <w:rPr>
                <w:rFonts w:cstheme="minorHAnsi"/>
                <w:b/>
                <w:bCs/>
                <w:sz w:val="24"/>
                <w:szCs w:val="24"/>
              </w:rPr>
              <w:t>Subseção I</w:t>
            </w:r>
          </w:p>
          <w:p w14:paraId="1DCA64C4" w14:textId="47E607A7" w:rsidR="00E86BE2" w:rsidRPr="0010524E" w:rsidRDefault="00E86BE2" w:rsidP="00E86BE2">
            <w:pPr>
              <w:jc w:val="center"/>
              <w:rPr>
                <w:rFonts w:eastAsia="Times New Roman" w:cstheme="minorHAnsi"/>
                <w:b/>
                <w:bCs/>
                <w:sz w:val="24"/>
                <w:szCs w:val="24"/>
                <w:lang w:eastAsia="pt-BR"/>
              </w:rPr>
            </w:pPr>
            <w:r w:rsidRPr="0010524E">
              <w:rPr>
                <w:rFonts w:cstheme="minorHAnsi"/>
                <w:b/>
                <w:bCs/>
                <w:sz w:val="24"/>
                <w:szCs w:val="24"/>
              </w:rPr>
              <w:t>Princípios</w:t>
            </w:r>
          </w:p>
        </w:tc>
        <w:tc>
          <w:tcPr>
            <w:tcW w:w="4648" w:type="dxa"/>
            <w:noWrap/>
          </w:tcPr>
          <w:p w14:paraId="7888840C" w14:textId="77777777" w:rsidR="00E86BE2" w:rsidRPr="0010524E" w:rsidRDefault="00E86BE2" w:rsidP="00E86BE2">
            <w:pPr>
              <w:jc w:val="both"/>
              <w:rPr>
                <w:rFonts w:eastAsia="Times New Roman" w:cstheme="minorHAnsi"/>
                <w:sz w:val="24"/>
                <w:szCs w:val="24"/>
                <w:lang w:eastAsia="pt-BR"/>
              </w:rPr>
            </w:pPr>
          </w:p>
        </w:tc>
      </w:tr>
      <w:tr w:rsidR="00E86BE2" w:rsidRPr="0010524E" w14:paraId="1CA0A5BD" w14:textId="17CC7F3B" w:rsidTr="00E86BE2">
        <w:trPr>
          <w:trHeight w:val="290"/>
        </w:trPr>
        <w:tc>
          <w:tcPr>
            <w:tcW w:w="4815" w:type="dxa"/>
            <w:noWrap/>
          </w:tcPr>
          <w:p w14:paraId="4A005A8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Art. 3º O procedimento de que trata este regulamento será orientado pelos seguintes princípios:</w:t>
            </w:r>
          </w:p>
        </w:tc>
        <w:tc>
          <w:tcPr>
            <w:tcW w:w="4849" w:type="dxa"/>
            <w:noWrap/>
          </w:tcPr>
          <w:p w14:paraId="0A9D9B6D" w14:textId="04558F6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Art. 355.  O procedimento de que trata esta seção </w:t>
            </w:r>
            <w:r w:rsidRPr="0010524E">
              <w:rPr>
                <w:rFonts w:ascii="Calibri" w:eastAsia="Calibri" w:hAnsi="Calibri" w:cs="Calibri"/>
                <w:strike/>
                <w:sz w:val="24"/>
                <w:szCs w:val="24"/>
              </w:rPr>
              <w:t>este regulamento</w:t>
            </w:r>
            <w:r w:rsidRPr="0010524E">
              <w:rPr>
                <w:rFonts w:ascii="Calibri" w:eastAsia="Calibri" w:hAnsi="Calibri" w:cs="Calibri"/>
                <w:sz w:val="24"/>
                <w:szCs w:val="24"/>
              </w:rPr>
              <w:t xml:space="preserve"> é orientado pelos seguintes princípios:</w:t>
            </w:r>
          </w:p>
        </w:tc>
        <w:tc>
          <w:tcPr>
            <w:tcW w:w="4648" w:type="dxa"/>
            <w:noWrap/>
          </w:tcPr>
          <w:p w14:paraId="5B6068C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7739BABA" w14:textId="1160F7D5" w:rsidTr="00E86BE2">
        <w:trPr>
          <w:trHeight w:val="290"/>
        </w:trPr>
        <w:tc>
          <w:tcPr>
            <w:tcW w:w="4815" w:type="dxa"/>
            <w:noWrap/>
          </w:tcPr>
          <w:p w14:paraId="5A02F86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 - imparcialidade dos integrantes da CMCA;</w:t>
            </w:r>
          </w:p>
        </w:tc>
        <w:tc>
          <w:tcPr>
            <w:tcW w:w="4849" w:type="dxa"/>
            <w:noWrap/>
          </w:tcPr>
          <w:p w14:paraId="3F00A930" w14:textId="6EECE85B"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 - imparcialidade dos integrantes da Câmara de Mediação, Conciliação e Arbitragem;</w:t>
            </w:r>
          </w:p>
        </w:tc>
        <w:tc>
          <w:tcPr>
            <w:tcW w:w="4648" w:type="dxa"/>
            <w:noWrap/>
          </w:tcPr>
          <w:p w14:paraId="17677680" w14:textId="77777777" w:rsidR="00E86BE2" w:rsidRPr="0010524E" w:rsidRDefault="00E86BE2" w:rsidP="00E86BE2">
            <w:pPr>
              <w:jc w:val="both"/>
              <w:rPr>
                <w:rFonts w:eastAsia="Times New Roman" w:cstheme="minorHAnsi"/>
                <w:sz w:val="24"/>
                <w:szCs w:val="24"/>
                <w:lang w:eastAsia="pt-BR"/>
              </w:rPr>
            </w:pPr>
          </w:p>
        </w:tc>
      </w:tr>
      <w:tr w:rsidR="00E86BE2" w:rsidRPr="0010524E" w14:paraId="4EFF9BD7" w14:textId="212E1762" w:rsidTr="00E86BE2">
        <w:trPr>
          <w:trHeight w:val="290"/>
        </w:trPr>
        <w:tc>
          <w:tcPr>
            <w:tcW w:w="4815" w:type="dxa"/>
            <w:noWrap/>
          </w:tcPr>
          <w:p w14:paraId="7CBD748B"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II - isonomia e paridade entre as partes;</w:t>
            </w:r>
          </w:p>
        </w:tc>
        <w:tc>
          <w:tcPr>
            <w:tcW w:w="4849" w:type="dxa"/>
            <w:noWrap/>
          </w:tcPr>
          <w:p w14:paraId="0B2CE5D2" w14:textId="7BCDC2B6"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II - isonomia e paridade entre as partes;</w:t>
            </w:r>
          </w:p>
        </w:tc>
        <w:tc>
          <w:tcPr>
            <w:tcW w:w="4648" w:type="dxa"/>
            <w:noWrap/>
          </w:tcPr>
          <w:p w14:paraId="54795D5D" w14:textId="77777777" w:rsidR="00E86BE2" w:rsidRPr="0010524E" w:rsidRDefault="00E86BE2" w:rsidP="00E86BE2">
            <w:pPr>
              <w:jc w:val="both"/>
              <w:rPr>
                <w:rFonts w:eastAsia="Times New Roman" w:cstheme="minorHAnsi"/>
                <w:sz w:val="24"/>
                <w:szCs w:val="24"/>
                <w:lang w:eastAsia="pt-BR"/>
              </w:rPr>
            </w:pPr>
          </w:p>
        </w:tc>
      </w:tr>
      <w:tr w:rsidR="00E86BE2" w:rsidRPr="0010524E" w14:paraId="4640DDB6" w14:textId="45EAA861" w:rsidTr="00E86BE2">
        <w:trPr>
          <w:trHeight w:val="290"/>
        </w:trPr>
        <w:tc>
          <w:tcPr>
            <w:tcW w:w="4815" w:type="dxa"/>
            <w:noWrap/>
          </w:tcPr>
          <w:p w14:paraId="3F0A65E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III - oralidade;</w:t>
            </w:r>
          </w:p>
        </w:tc>
        <w:tc>
          <w:tcPr>
            <w:tcW w:w="4849" w:type="dxa"/>
            <w:noWrap/>
          </w:tcPr>
          <w:p w14:paraId="0CF3AD0E" w14:textId="4DB4FDCF"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III - oralidade;</w:t>
            </w:r>
          </w:p>
        </w:tc>
        <w:tc>
          <w:tcPr>
            <w:tcW w:w="4648" w:type="dxa"/>
            <w:noWrap/>
          </w:tcPr>
          <w:p w14:paraId="7B42A1AA" w14:textId="77777777" w:rsidR="00E86BE2" w:rsidRPr="0010524E" w:rsidRDefault="00E86BE2" w:rsidP="00E86BE2">
            <w:pPr>
              <w:jc w:val="both"/>
              <w:rPr>
                <w:rFonts w:eastAsia="Times New Roman" w:cstheme="minorHAnsi"/>
                <w:sz w:val="24"/>
                <w:szCs w:val="24"/>
                <w:lang w:eastAsia="pt-BR"/>
              </w:rPr>
            </w:pPr>
          </w:p>
        </w:tc>
      </w:tr>
      <w:tr w:rsidR="00E86BE2" w:rsidRPr="0010524E" w14:paraId="55580496" w14:textId="01CC6961" w:rsidTr="00E86BE2">
        <w:trPr>
          <w:trHeight w:val="290"/>
        </w:trPr>
        <w:tc>
          <w:tcPr>
            <w:tcW w:w="4815" w:type="dxa"/>
            <w:noWrap/>
          </w:tcPr>
          <w:p w14:paraId="418658C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IV - informalidade;</w:t>
            </w:r>
          </w:p>
        </w:tc>
        <w:tc>
          <w:tcPr>
            <w:tcW w:w="4849" w:type="dxa"/>
            <w:noWrap/>
          </w:tcPr>
          <w:p w14:paraId="5A086C9C" w14:textId="63018D8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IV - informalidade;</w:t>
            </w:r>
          </w:p>
        </w:tc>
        <w:tc>
          <w:tcPr>
            <w:tcW w:w="4648" w:type="dxa"/>
            <w:noWrap/>
          </w:tcPr>
          <w:p w14:paraId="103B7DDB" w14:textId="77777777" w:rsidR="00E86BE2" w:rsidRPr="0010524E" w:rsidRDefault="00E86BE2" w:rsidP="00E86BE2">
            <w:pPr>
              <w:jc w:val="both"/>
              <w:rPr>
                <w:rFonts w:eastAsia="Times New Roman" w:cstheme="minorHAnsi"/>
                <w:sz w:val="24"/>
                <w:szCs w:val="24"/>
                <w:lang w:eastAsia="pt-BR"/>
              </w:rPr>
            </w:pPr>
          </w:p>
        </w:tc>
      </w:tr>
      <w:tr w:rsidR="00E86BE2" w:rsidRPr="0010524E" w14:paraId="16A07D1E" w14:textId="25DF1EDA" w:rsidTr="00E86BE2">
        <w:trPr>
          <w:trHeight w:val="290"/>
        </w:trPr>
        <w:tc>
          <w:tcPr>
            <w:tcW w:w="4815" w:type="dxa"/>
            <w:noWrap/>
          </w:tcPr>
          <w:p w14:paraId="2CB4DA0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V - simplicidade;</w:t>
            </w:r>
          </w:p>
        </w:tc>
        <w:tc>
          <w:tcPr>
            <w:tcW w:w="4849" w:type="dxa"/>
            <w:noWrap/>
          </w:tcPr>
          <w:p w14:paraId="311C9808" w14:textId="00347640"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V - simplicidade;</w:t>
            </w:r>
          </w:p>
        </w:tc>
        <w:tc>
          <w:tcPr>
            <w:tcW w:w="4648" w:type="dxa"/>
            <w:noWrap/>
          </w:tcPr>
          <w:p w14:paraId="310136CF" w14:textId="77777777" w:rsidR="00E86BE2" w:rsidRPr="0010524E" w:rsidRDefault="00E86BE2" w:rsidP="00E86BE2">
            <w:pPr>
              <w:jc w:val="both"/>
              <w:rPr>
                <w:rFonts w:eastAsia="Times New Roman" w:cstheme="minorHAnsi"/>
                <w:sz w:val="24"/>
                <w:szCs w:val="24"/>
                <w:lang w:eastAsia="pt-BR"/>
              </w:rPr>
            </w:pPr>
          </w:p>
        </w:tc>
      </w:tr>
      <w:tr w:rsidR="00E86BE2" w:rsidRPr="0010524E" w14:paraId="488A413B" w14:textId="0F461C83" w:rsidTr="00E86BE2">
        <w:trPr>
          <w:trHeight w:val="290"/>
        </w:trPr>
        <w:tc>
          <w:tcPr>
            <w:tcW w:w="4815" w:type="dxa"/>
            <w:noWrap/>
          </w:tcPr>
          <w:p w14:paraId="25EC9A2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VI - autonomia da vontade das partes;</w:t>
            </w:r>
          </w:p>
        </w:tc>
        <w:tc>
          <w:tcPr>
            <w:tcW w:w="4849" w:type="dxa"/>
            <w:noWrap/>
          </w:tcPr>
          <w:p w14:paraId="00E3859F" w14:textId="312746C0"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VI - autonomia da vontade das partes;</w:t>
            </w:r>
          </w:p>
        </w:tc>
        <w:tc>
          <w:tcPr>
            <w:tcW w:w="4648" w:type="dxa"/>
            <w:noWrap/>
          </w:tcPr>
          <w:p w14:paraId="3389CD00" w14:textId="77777777" w:rsidR="00E86BE2" w:rsidRPr="0010524E" w:rsidRDefault="00E86BE2" w:rsidP="00E86BE2">
            <w:pPr>
              <w:jc w:val="both"/>
              <w:rPr>
                <w:rFonts w:eastAsia="Times New Roman" w:cstheme="minorHAnsi"/>
                <w:sz w:val="24"/>
                <w:szCs w:val="24"/>
                <w:lang w:eastAsia="pt-BR"/>
              </w:rPr>
            </w:pPr>
          </w:p>
        </w:tc>
      </w:tr>
      <w:tr w:rsidR="00E86BE2" w:rsidRPr="0010524E" w14:paraId="4ABBC952" w14:textId="6718BB5D" w:rsidTr="00E86BE2">
        <w:trPr>
          <w:trHeight w:val="290"/>
        </w:trPr>
        <w:tc>
          <w:tcPr>
            <w:tcW w:w="4815" w:type="dxa"/>
            <w:noWrap/>
          </w:tcPr>
          <w:p w14:paraId="7AF55DAB"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VII - busca do consenso;</w:t>
            </w:r>
          </w:p>
        </w:tc>
        <w:tc>
          <w:tcPr>
            <w:tcW w:w="4849" w:type="dxa"/>
            <w:noWrap/>
          </w:tcPr>
          <w:p w14:paraId="32175A90" w14:textId="7765EB44"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VII - busca do consenso;</w:t>
            </w:r>
          </w:p>
        </w:tc>
        <w:tc>
          <w:tcPr>
            <w:tcW w:w="4648" w:type="dxa"/>
            <w:noWrap/>
          </w:tcPr>
          <w:p w14:paraId="44FA2074" w14:textId="77777777" w:rsidR="00E86BE2" w:rsidRPr="0010524E" w:rsidRDefault="00E86BE2" w:rsidP="00E86BE2">
            <w:pPr>
              <w:jc w:val="both"/>
              <w:rPr>
                <w:rFonts w:eastAsia="Times New Roman" w:cstheme="minorHAnsi"/>
                <w:sz w:val="24"/>
                <w:szCs w:val="24"/>
                <w:lang w:eastAsia="pt-BR"/>
              </w:rPr>
            </w:pPr>
          </w:p>
        </w:tc>
      </w:tr>
      <w:tr w:rsidR="00E86BE2" w:rsidRPr="0010524E" w14:paraId="4BA368CF" w14:textId="2996C81F" w:rsidTr="00E86BE2">
        <w:trPr>
          <w:trHeight w:val="290"/>
        </w:trPr>
        <w:tc>
          <w:tcPr>
            <w:tcW w:w="4815" w:type="dxa"/>
            <w:noWrap/>
          </w:tcPr>
          <w:p w14:paraId="21273E0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VIII - confidencialidade;</w:t>
            </w:r>
          </w:p>
        </w:tc>
        <w:tc>
          <w:tcPr>
            <w:tcW w:w="4849" w:type="dxa"/>
            <w:noWrap/>
          </w:tcPr>
          <w:p w14:paraId="7984952B" w14:textId="34F31808"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VIII - confidencialidade;</w:t>
            </w:r>
          </w:p>
        </w:tc>
        <w:tc>
          <w:tcPr>
            <w:tcW w:w="4648" w:type="dxa"/>
            <w:noWrap/>
          </w:tcPr>
          <w:p w14:paraId="6E5B9D03" w14:textId="77777777" w:rsidR="00E86BE2" w:rsidRPr="0010524E" w:rsidRDefault="00E86BE2" w:rsidP="00E86BE2">
            <w:pPr>
              <w:jc w:val="both"/>
              <w:rPr>
                <w:rFonts w:eastAsia="Times New Roman" w:cstheme="minorHAnsi"/>
                <w:sz w:val="24"/>
                <w:szCs w:val="24"/>
                <w:lang w:eastAsia="pt-BR"/>
              </w:rPr>
            </w:pPr>
          </w:p>
        </w:tc>
      </w:tr>
      <w:tr w:rsidR="00E86BE2" w:rsidRPr="0010524E" w14:paraId="26A08932" w14:textId="3A50E21E" w:rsidTr="00E86BE2">
        <w:trPr>
          <w:trHeight w:val="290"/>
        </w:trPr>
        <w:tc>
          <w:tcPr>
            <w:tcW w:w="4815" w:type="dxa"/>
            <w:noWrap/>
          </w:tcPr>
          <w:p w14:paraId="56F8BC9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IX - cooperação;</w:t>
            </w:r>
          </w:p>
        </w:tc>
        <w:tc>
          <w:tcPr>
            <w:tcW w:w="4849" w:type="dxa"/>
            <w:noWrap/>
          </w:tcPr>
          <w:p w14:paraId="1F68D710" w14:textId="76825D80"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IX - cooperação;</w:t>
            </w:r>
          </w:p>
        </w:tc>
        <w:tc>
          <w:tcPr>
            <w:tcW w:w="4648" w:type="dxa"/>
            <w:noWrap/>
          </w:tcPr>
          <w:p w14:paraId="140F363D" w14:textId="77777777" w:rsidR="00E86BE2" w:rsidRPr="0010524E" w:rsidRDefault="00E86BE2" w:rsidP="00E86BE2">
            <w:pPr>
              <w:jc w:val="both"/>
              <w:rPr>
                <w:rFonts w:eastAsia="Times New Roman" w:cstheme="minorHAnsi"/>
                <w:sz w:val="24"/>
                <w:szCs w:val="24"/>
                <w:lang w:eastAsia="pt-BR"/>
              </w:rPr>
            </w:pPr>
          </w:p>
        </w:tc>
      </w:tr>
      <w:tr w:rsidR="00E86BE2" w:rsidRPr="0010524E" w14:paraId="488A40D3" w14:textId="21D04F1C" w:rsidTr="00E86BE2">
        <w:trPr>
          <w:trHeight w:val="290"/>
        </w:trPr>
        <w:tc>
          <w:tcPr>
            <w:tcW w:w="4815" w:type="dxa"/>
            <w:noWrap/>
          </w:tcPr>
          <w:p w14:paraId="77BBFE21"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X - lealdade e boa-fé;</w:t>
            </w:r>
          </w:p>
        </w:tc>
        <w:tc>
          <w:tcPr>
            <w:tcW w:w="4849" w:type="dxa"/>
            <w:noWrap/>
          </w:tcPr>
          <w:p w14:paraId="02113652" w14:textId="669FF4F4"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X - lealdade e boa-fé;</w:t>
            </w:r>
          </w:p>
        </w:tc>
        <w:tc>
          <w:tcPr>
            <w:tcW w:w="4648" w:type="dxa"/>
            <w:noWrap/>
          </w:tcPr>
          <w:p w14:paraId="695DA4DA" w14:textId="77777777" w:rsidR="00E86BE2" w:rsidRPr="0010524E" w:rsidRDefault="00E86BE2" w:rsidP="00E86BE2">
            <w:pPr>
              <w:jc w:val="both"/>
              <w:rPr>
                <w:rFonts w:eastAsia="Times New Roman" w:cstheme="minorHAnsi"/>
                <w:sz w:val="24"/>
                <w:szCs w:val="24"/>
                <w:lang w:eastAsia="pt-BR"/>
              </w:rPr>
            </w:pPr>
          </w:p>
        </w:tc>
      </w:tr>
      <w:tr w:rsidR="00E86BE2" w:rsidRPr="0010524E" w14:paraId="1AEB251B" w14:textId="3DCB4013" w:rsidTr="00E86BE2">
        <w:trPr>
          <w:trHeight w:val="290"/>
        </w:trPr>
        <w:tc>
          <w:tcPr>
            <w:tcW w:w="4815" w:type="dxa"/>
            <w:noWrap/>
          </w:tcPr>
          <w:p w14:paraId="7AE5B245"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XI - moralidade; e</w:t>
            </w:r>
          </w:p>
        </w:tc>
        <w:tc>
          <w:tcPr>
            <w:tcW w:w="4849" w:type="dxa"/>
            <w:noWrap/>
          </w:tcPr>
          <w:p w14:paraId="58F4F62E" w14:textId="08DCC99D"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XI - moralidade; e</w:t>
            </w:r>
          </w:p>
        </w:tc>
        <w:tc>
          <w:tcPr>
            <w:tcW w:w="4648" w:type="dxa"/>
            <w:noWrap/>
          </w:tcPr>
          <w:p w14:paraId="489518F4" w14:textId="77777777" w:rsidR="00E86BE2" w:rsidRPr="0010524E" w:rsidRDefault="00E86BE2" w:rsidP="00E86BE2">
            <w:pPr>
              <w:jc w:val="both"/>
              <w:rPr>
                <w:rFonts w:eastAsia="Times New Roman" w:cstheme="minorHAnsi"/>
                <w:sz w:val="24"/>
                <w:szCs w:val="24"/>
                <w:lang w:eastAsia="pt-BR"/>
              </w:rPr>
            </w:pPr>
          </w:p>
        </w:tc>
      </w:tr>
      <w:tr w:rsidR="00E86BE2" w:rsidRPr="0010524E" w14:paraId="32086408" w14:textId="182C688B" w:rsidTr="00E86BE2">
        <w:trPr>
          <w:trHeight w:val="290"/>
        </w:trPr>
        <w:tc>
          <w:tcPr>
            <w:tcW w:w="4815" w:type="dxa"/>
            <w:noWrap/>
          </w:tcPr>
          <w:p w14:paraId="49FB35D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XII - celeridade.</w:t>
            </w:r>
          </w:p>
        </w:tc>
        <w:tc>
          <w:tcPr>
            <w:tcW w:w="4849" w:type="dxa"/>
            <w:noWrap/>
          </w:tcPr>
          <w:p w14:paraId="454CE89F" w14:textId="428DAE51"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XII - celeridade.</w:t>
            </w:r>
          </w:p>
        </w:tc>
        <w:tc>
          <w:tcPr>
            <w:tcW w:w="4648" w:type="dxa"/>
            <w:noWrap/>
          </w:tcPr>
          <w:p w14:paraId="3284F71A" w14:textId="77777777" w:rsidR="00E86BE2" w:rsidRPr="0010524E" w:rsidRDefault="00E86BE2" w:rsidP="00E86BE2">
            <w:pPr>
              <w:jc w:val="both"/>
              <w:rPr>
                <w:rFonts w:eastAsia="Times New Roman" w:cstheme="minorHAnsi"/>
                <w:sz w:val="24"/>
                <w:szCs w:val="24"/>
                <w:lang w:eastAsia="pt-BR"/>
              </w:rPr>
            </w:pPr>
          </w:p>
        </w:tc>
      </w:tr>
      <w:tr w:rsidR="00E86BE2" w:rsidRPr="0010524E" w14:paraId="728F4018" w14:textId="689597E9" w:rsidTr="00E86BE2">
        <w:trPr>
          <w:trHeight w:val="290"/>
        </w:trPr>
        <w:tc>
          <w:tcPr>
            <w:tcW w:w="4815" w:type="dxa"/>
            <w:noWrap/>
          </w:tcPr>
          <w:p w14:paraId="470C7953" w14:textId="77777777" w:rsidR="00E86BE2" w:rsidRPr="0010524E" w:rsidRDefault="00E86BE2" w:rsidP="00E86BE2">
            <w:pPr>
              <w:jc w:val="both"/>
              <w:rPr>
                <w:rFonts w:cstheme="minorHAnsi"/>
                <w:sz w:val="24"/>
                <w:szCs w:val="24"/>
              </w:rPr>
            </w:pPr>
            <w:r w:rsidRPr="0010524E">
              <w:rPr>
                <w:rFonts w:cstheme="minorHAnsi"/>
                <w:sz w:val="24"/>
                <w:szCs w:val="24"/>
              </w:rPr>
              <w:t>Parágrafo único. Em caso de instituição de arbitragem, serão observados também os princípios do contraditório efetivo, da ampla defesa e do livre convencimento do árbitro, e demais disposições da legislação de arbitragem.</w:t>
            </w:r>
          </w:p>
        </w:tc>
        <w:tc>
          <w:tcPr>
            <w:tcW w:w="4849" w:type="dxa"/>
            <w:noWrap/>
          </w:tcPr>
          <w:p w14:paraId="5B786303" w14:textId="77777777" w:rsidR="00E86BE2" w:rsidRPr="0010524E" w:rsidRDefault="00E86BE2" w:rsidP="00E86BE2">
            <w:pPr>
              <w:spacing w:before="120"/>
              <w:jc w:val="both"/>
              <w:rPr>
                <w:sz w:val="24"/>
                <w:szCs w:val="24"/>
              </w:rPr>
            </w:pPr>
            <w:r w:rsidRPr="0010524E">
              <w:rPr>
                <w:rFonts w:ascii="Calibri" w:eastAsia="Calibri" w:hAnsi="Calibri" w:cs="Calibri"/>
                <w:sz w:val="24"/>
                <w:szCs w:val="24"/>
              </w:rPr>
              <w:t>Parágrafo único.  Em caso de instituição de arbitragem, devem ser observados também os princípios do contraditório efetivo, da ampla defesa, do dever de revelação e do livre convencimento do árbitro.</w:t>
            </w:r>
          </w:p>
          <w:p w14:paraId="44975253" w14:textId="553E8B71" w:rsidR="00E86BE2" w:rsidRPr="0010524E" w:rsidRDefault="00E86BE2" w:rsidP="00E86BE2">
            <w:pPr>
              <w:jc w:val="both"/>
              <w:rPr>
                <w:rFonts w:cstheme="minorHAnsi"/>
                <w:sz w:val="24"/>
                <w:szCs w:val="24"/>
              </w:rPr>
            </w:pPr>
          </w:p>
        </w:tc>
        <w:tc>
          <w:tcPr>
            <w:tcW w:w="4648" w:type="dxa"/>
            <w:noWrap/>
          </w:tcPr>
          <w:p w14:paraId="7C3E0693"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603BD0DD" w14:textId="49CAE65B" w:rsidTr="00E86BE2">
        <w:trPr>
          <w:trHeight w:val="290"/>
        </w:trPr>
        <w:tc>
          <w:tcPr>
            <w:tcW w:w="4815" w:type="dxa"/>
            <w:noWrap/>
          </w:tcPr>
          <w:p w14:paraId="7C9ABAF2"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4º As partes que se submeterem à CMCA deverão:</w:t>
            </w:r>
          </w:p>
        </w:tc>
        <w:tc>
          <w:tcPr>
            <w:tcW w:w="4849" w:type="dxa"/>
            <w:noWrap/>
          </w:tcPr>
          <w:p w14:paraId="5702DB36"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23A085D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Excluído.</w:t>
            </w:r>
          </w:p>
        </w:tc>
      </w:tr>
      <w:tr w:rsidR="00E86BE2" w:rsidRPr="0010524E" w14:paraId="257DAECB" w14:textId="39725E4B" w:rsidTr="00E86BE2">
        <w:trPr>
          <w:trHeight w:val="290"/>
        </w:trPr>
        <w:tc>
          <w:tcPr>
            <w:tcW w:w="4815" w:type="dxa"/>
            <w:noWrap/>
          </w:tcPr>
          <w:p w14:paraId="71C891D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 - observar este regulamento e proceder com lealdade e boa fé em todos os atos do procedimento;</w:t>
            </w:r>
          </w:p>
        </w:tc>
        <w:tc>
          <w:tcPr>
            <w:tcW w:w="4849" w:type="dxa"/>
            <w:noWrap/>
          </w:tcPr>
          <w:p w14:paraId="3690B47C"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6868D3C8" w14:textId="77777777" w:rsidR="00E86BE2" w:rsidRPr="0010524E" w:rsidRDefault="00E86BE2" w:rsidP="00E86BE2">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18919E96" w14:textId="77777777" w:rsidR="00E86BE2" w:rsidRPr="0010524E" w:rsidRDefault="00E86BE2" w:rsidP="00E86BE2">
            <w:pPr>
              <w:jc w:val="both"/>
              <w:rPr>
                <w:rFonts w:eastAsia="Times New Roman" w:cstheme="minorHAnsi"/>
                <w:sz w:val="24"/>
                <w:szCs w:val="24"/>
                <w:lang w:eastAsia="pt-BR"/>
              </w:rPr>
            </w:pPr>
          </w:p>
        </w:tc>
      </w:tr>
      <w:tr w:rsidR="00E86BE2" w:rsidRPr="0010524E" w14:paraId="14DF61D9" w14:textId="33D6765F" w:rsidTr="00E86BE2">
        <w:trPr>
          <w:trHeight w:val="290"/>
        </w:trPr>
        <w:tc>
          <w:tcPr>
            <w:tcW w:w="4815" w:type="dxa"/>
            <w:noWrap/>
          </w:tcPr>
          <w:p w14:paraId="61A7747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II - expor os fatos conforme a verdade;</w:t>
            </w:r>
          </w:p>
        </w:tc>
        <w:tc>
          <w:tcPr>
            <w:tcW w:w="4849" w:type="dxa"/>
            <w:noWrap/>
          </w:tcPr>
          <w:p w14:paraId="702BE773"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5F5B0808" w14:textId="77777777" w:rsidR="00E86BE2" w:rsidRPr="0010524E" w:rsidRDefault="00E86BE2" w:rsidP="00E86BE2">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4250126B" w14:textId="77777777" w:rsidR="00E86BE2" w:rsidRPr="0010524E" w:rsidRDefault="00E86BE2" w:rsidP="00E86BE2">
            <w:pPr>
              <w:jc w:val="both"/>
              <w:rPr>
                <w:rFonts w:eastAsia="Times New Roman" w:cstheme="minorHAnsi"/>
                <w:sz w:val="24"/>
                <w:szCs w:val="24"/>
                <w:lang w:eastAsia="pt-BR"/>
              </w:rPr>
            </w:pPr>
          </w:p>
        </w:tc>
      </w:tr>
      <w:tr w:rsidR="00E86BE2" w:rsidRPr="0010524E" w14:paraId="5BD15C10" w14:textId="08911695" w:rsidTr="00E86BE2">
        <w:trPr>
          <w:trHeight w:val="290"/>
        </w:trPr>
        <w:tc>
          <w:tcPr>
            <w:tcW w:w="4815" w:type="dxa"/>
            <w:noWrap/>
          </w:tcPr>
          <w:p w14:paraId="58B9868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III - evitar formular pretensões ou alegar defesa cientes de que são destituídas de fundamento,</w:t>
            </w:r>
          </w:p>
        </w:tc>
        <w:tc>
          <w:tcPr>
            <w:tcW w:w="4849" w:type="dxa"/>
            <w:noWrap/>
          </w:tcPr>
          <w:p w14:paraId="606B4BA0"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0F411DC2" w14:textId="77777777" w:rsidR="00E86BE2" w:rsidRPr="0010524E" w:rsidRDefault="00E86BE2" w:rsidP="00E86BE2">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501F4CC7" w14:textId="77777777" w:rsidR="00E86BE2" w:rsidRPr="0010524E" w:rsidRDefault="00E86BE2" w:rsidP="00E86BE2">
            <w:pPr>
              <w:jc w:val="both"/>
              <w:rPr>
                <w:rFonts w:eastAsia="Times New Roman" w:cstheme="minorHAnsi"/>
                <w:sz w:val="24"/>
                <w:szCs w:val="24"/>
                <w:lang w:eastAsia="pt-BR"/>
              </w:rPr>
            </w:pPr>
          </w:p>
        </w:tc>
      </w:tr>
      <w:tr w:rsidR="00E86BE2" w:rsidRPr="0010524E" w14:paraId="7277F955" w14:textId="6B719895" w:rsidTr="00E86BE2">
        <w:trPr>
          <w:trHeight w:val="290"/>
        </w:trPr>
        <w:tc>
          <w:tcPr>
            <w:tcW w:w="4815" w:type="dxa"/>
            <w:noWrap/>
          </w:tcPr>
          <w:p w14:paraId="09C5AFA0"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bem como usar do processo para conseguir objetivo ilegal ou proceder de modo temerário;</w:t>
            </w:r>
          </w:p>
        </w:tc>
        <w:tc>
          <w:tcPr>
            <w:tcW w:w="4849" w:type="dxa"/>
            <w:noWrap/>
          </w:tcPr>
          <w:p w14:paraId="7FEF507B"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1AEF8A34" w14:textId="77777777" w:rsidR="00E86BE2" w:rsidRPr="0010524E" w:rsidRDefault="00E86BE2" w:rsidP="00E86BE2">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7295A8C1" w14:textId="77777777" w:rsidR="00E86BE2" w:rsidRPr="0010524E" w:rsidRDefault="00E86BE2" w:rsidP="00E86BE2">
            <w:pPr>
              <w:jc w:val="both"/>
              <w:rPr>
                <w:rFonts w:eastAsia="Times New Roman" w:cstheme="minorHAnsi"/>
                <w:sz w:val="24"/>
                <w:szCs w:val="24"/>
                <w:lang w:eastAsia="pt-BR"/>
              </w:rPr>
            </w:pPr>
          </w:p>
        </w:tc>
      </w:tr>
      <w:tr w:rsidR="00E86BE2" w:rsidRPr="0010524E" w14:paraId="7F7D6B6C" w14:textId="52FE1698" w:rsidTr="00E86BE2">
        <w:trPr>
          <w:trHeight w:val="290"/>
        </w:trPr>
        <w:tc>
          <w:tcPr>
            <w:tcW w:w="4815" w:type="dxa"/>
            <w:noWrap/>
          </w:tcPr>
          <w:p w14:paraId="7FA5309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IV - evitar produzir provas ou praticar atos inúteis ou desnecessários à declaração ou à defesa do direito.</w:t>
            </w:r>
          </w:p>
        </w:tc>
        <w:tc>
          <w:tcPr>
            <w:tcW w:w="4849" w:type="dxa"/>
            <w:noWrap/>
          </w:tcPr>
          <w:p w14:paraId="7F45A3F5"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2DAFFA7F" w14:textId="77777777" w:rsidR="00E86BE2" w:rsidRPr="0010524E" w:rsidRDefault="00E86BE2" w:rsidP="00E86BE2">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5329A3CA" w14:textId="77777777" w:rsidR="00E86BE2" w:rsidRPr="0010524E" w:rsidRDefault="00E86BE2" w:rsidP="00E86BE2">
            <w:pPr>
              <w:jc w:val="both"/>
              <w:rPr>
                <w:rFonts w:eastAsia="Times New Roman" w:cstheme="minorHAnsi"/>
                <w:sz w:val="24"/>
                <w:szCs w:val="24"/>
                <w:lang w:eastAsia="pt-BR"/>
              </w:rPr>
            </w:pPr>
          </w:p>
        </w:tc>
      </w:tr>
      <w:tr w:rsidR="00E86BE2" w:rsidRPr="0010524E" w14:paraId="0FCCEA81" w14:textId="6EA32614" w:rsidTr="00E86BE2">
        <w:trPr>
          <w:trHeight w:val="290"/>
        </w:trPr>
        <w:tc>
          <w:tcPr>
            <w:tcW w:w="4815" w:type="dxa"/>
            <w:noWrap/>
          </w:tcPr>
          <w:p w14:paraId="098F15C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1º Poderá ser imposta multa à parte que violar o disposto neste artigo em montante a ser fixado pelo árbitro na sentença arbitral, de acordo com a gravidade da conduta e não superior a 20% (vinte) por cento do valor envolvido na controvérsia, a qual reverterá em benefício da outra parte.</w:t>
            </w:r>
          </w:p>
        </w:tc>
        <w:tc>
          <w:tcPr>
            <w:tcW w:w="4849" w:type="dxa"/>
            <w:noWrap/>
          </w:tcPr>
          <w:p w14:paraId="514363C2"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2156FBF8" w14:textId="77777777" w:rsidR="00E86BE2" w:rsidRPr="0010524E" w:rsidRDefault="00E86BE2" w:rsidP="00E86BE2">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210D218D" w14:textId="77777777" w:rsidR="00E86BE2" w:rsidRPr="0010524E" w:rsidRDefault="00E86BE2" w:rsidP="00E86BE2">
            <w:pPr>
              <w:jc w:val="both"/>
              <w:rPr>
                <w:rFonts w:eastAsia="Times New Roman" w:cstheme="minorHAnsi"/>
                <w:sz w:val="24"/>
                <w:szCs w:val="24"/>
                <w:lang w:eastAsia="pt-BR"/>
              </w:rPr>
            </w:pPr>
          </w:p>
        </w:tc>
      </w:tr>
      <w:tr w:rsidR="00E86BE2" w:rsidRPr="0010524E" w14:paraId="7EDEED9E" w14:textId="797F56E4" w:rsidTr="00E86BE2">
        <w:trPr>
          <w:trHeight w:val="290"/>
        </w:trPr>
        <w:tc>
          <w:tcPr>
            <w:tcW w:w="4815" w:type="dxa"/>
            <w:noWrap/>
          </w:tcPr>
          <w:p w14:paraId="434D06E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2º Quando o valor da causa for irrisório ou inestimável, a multa poderá ser fixada em até 10 (dez)  vezes o valor do salário-mínimo.</w:t>
            </w:r>
          </w:p>
        </w:tc>
        <w:tc>
          <w:tcPr>
            <w:tcW w:w="4849" w:type="dxa"/>
            <w:noWrap/>
          </w:tcPr>
          <w:p w14:paraId="7D0E4339"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2735DF37" w14:textId="77777777" w:rsidR="00E86BE2" w:rsidRPr="0010524E" w:rsidRDefault="00E86BE2" w:rsidP="00E86BE2">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58C0FE0C" w14:textId="77777777" w:rsidR="00E86BE2" w:rsidRPr="0010524E" w:rsidRDefault="00E86BE2" w:rsidP="00E86BE2">
            <w:pPr>
              <w:jc w:val="both"/>
              <w:rPr>
                <w:rFonts w:eastAsia="Times New Roman" w:cstheme="minorHAnsi"/>
                <w:sz w:val="24"/>
                <w:szCs w:val="24"/>
                <w:lang w:eastAsia="pt-BR"/>
              </w:rPr>
            </w:pPr>
          </w:p>
        </w:tc>
      </w:tr>
      <w:tr w:rsidR="00E86BE2" w:rsidRPr="0010524E" w14:paraId="67BF5BA4" w14:textId="0C954F09" w:rsidTr="00E86BE2">
        <w:trPr>
          <w:trHeight w:val="290"/>
        </w:trPr>
        <w:tc>
          <w:tcPr>
            <w:tcW w:w="4815" w:type="dxa"/>
            <w:noWrap/>
          </w:tcPr>
          <w:p w14:paraId="494ECFB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3º Nos casos em que não se discutam valores líquidos, poderá o árbitro fixar, a título de multa, respeitando os princípios da razoabilidade e da proporcionalidade, quantia estimada a partir do direito que estiver sendo pleiteado.</w:t>
            </w:r>
          </w:p>
        </w:tc>
        <w:tc>
          <w:tcPr>
            <w:tcW w:w="4849" w:type="dxa"/>
            <w:noWrap/>
          </w:tcPr>
          <w:p w14:paraId="6F8483E9"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49C58452" w14:textId="77777777" w:rsidR="00E86BE2" w:rsidRPr="0010524E" w:rsidRDefault="00E86BE2" w:rsidP="00E86BE2">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39720F3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Simplificação normativa, pois o dispositivo nunca foi utilizado durante a vigência do ato normativo.</w:t>
            </w:r>
          </w:p>
        </w:tc>
      </w:tr>
      <w:tr w:rsidR="00E86BE2" w:rsidRPr="0010524E" w14:paraId="1906CB89" w14:textId="1132843A" w:rsidTr="00E86BE2">
        <w:trPr>
          <w:trHeight w:val="290"/>
        </w:trPr>
        <w:tc>
          <w:tcPr>
            <w:tcW w:w="4815" w:type="dxa"/>
            <w:noWrap/>
          </w:tcPr>
          <w:p w14:paraId="34CF224A" w14:textId="77777777" w:rsidR="00E86BE2" w:rsidRDefault="00E86BE2" w:rsidP="00E86BE2">
            <w:pPr>
              <w:jc w:val="center"/>
              <w:rPr>
                <w:rFonts w:cstheme="minorHAnsi"/>
                <w:sz w:val="24"/>
                <w:szCs w:val="24"/>
              </w:rPr>
            </w:pPr>
            <w:r w:rsidRPr="0010524E">
              <w:rPr>
                <w:rFonts w:cstheme="minorHAnsi"/>
                <w:sz w:val="24"/>
                <w:szCs w:val="24"/>
              </w:rPr>
              <w:t>CAPÍTULO III</w:t>
            </w:r>
          </w:p>
          <w:p w14:paraId="332BA388" w14:textId="096336B8" w:rsidR="00E86BE2" w:rsidRPr="0010524E" w:rsidRDefault="00E86BE2" w:rsidP="00E86BE2">
            <w:pPr>
              <w:jc w:val="center"/>
              <w:rPr>
                <w:rFonts w:eastAsia="Times New Roman" w:cstheme="minorHAnsi"/>
                <w:sz w:val="24"/>
                <w:szCs w:val="24"/>
                <w:lang w:eastAsia="pt-BR"/>
              </w:rPr>
            </w:pPr>
            <w:r w:rsidRPr="0010524E">
              <w:rPr>
                <w:rFonts w:cstheme="minorHAnsi"/>
                <w:sz w:val="24"/>
                <w:szCs w:val="24"/>
              </w:rPr>
              <w:lastRenderedPageBreak/>
              <w:t>INSTAURAÇÃO DO PROCEDIMENTO</w:t>
            </w:r>
          </w:p>
        </w:tc>
        <w:tc>
          <w:tcPr>
            <w:tcW w:w="4849" w:type="dxa"/>
            <w:noWrap/>
          </w:tcPr>
          <w:p w14:paraId="23DB9141" w14:textId="77777777" w:rsidR="00E86BE2" w:rsidRDefault="00E86BE2" w:rsidP="00E86BE2">
            <w:pPr>
              <w:jc w:val="center"/>
              <w:rPr>
                <w:rFonts w:cstheme="minorHAnsi"/>
                <w:b/>
                <w:bCs/>
                <w:sz w:val="24"/>
                <w:szCs w:val="24"/>
              </w:rPr>
            </w:pPr>
            <w:r w:rsidRPr="00E91393">
              <w:rPr>
                <w:rFonts w:cstheme="minorHAnsi"/>
                <w:b/>
                <w:bCs/>
                <w:sz w:val="24"/>
                <w:szCs w:val="24"/>
              </w:rPr>
              <w:lastRenderedPageBreak/>
              <w:t>Subseção II</w:t>
            </w:r>
          </w:p>
          <w:p w14:paraId="2C2D6309" w14:textId="54403B61" w:rsidR="00E86BE2" w:rsidRPr="00E91393" w:rsidRDefault="00E86BE2" w:rsidP="00E86BE2">
            <w:pPr>
              <w:jc w:val="center"/>
              <w:rPr>
                <w:rFonts w:eastAsia="Times New Roman" w:cstheme="minorHAnsi"/>
                <w:b/>
                <w:bCs/>
                <w:sz w:val="24"/>
                <w:szCs w:val="24"/>
                <w:lang w:eastAsia="pt-BR"/>
              </w:rPr>
            </w:pPr>
            <w:r w:rsidRPr="00E91393">
              <w:rPr>
                <w:rFonts w:cstheme="minorHAnsi"/>
                <w:b/>
                <w:bCs/>
                <w:sz w:val="24"/>
                <w:szCs w:val="24"/>
              </w:rPr>
              <w:lastRenderedPageBreak/>
              <w:t>Procedimento de mediação</w:t>
            </w:r>
          </w:p>
        </w:tc>
        <w:tc>
          <w:tcPr>
            <w:tcW w:w="4648" w:type="dxa"/>
            <w:noWrap/>
          </w:tcPr>
          <w:p w14:paraId="643D26CF" w14:textId="77777777" w:rsidR="00E86BE2" w:rsidRPr="0010524E" w:rsidRDefault="00E86BE2" w:rsidP="00E86BE2">
            <w:pPr>
              <w:jc w:val="both"/>
              <w:rPr>
                <w:rFonts w:eastAsia="Times New Roman" w:cstheme="minorHAnsi"/>
                <w:sz w:val="24"/>
                <w:szCs w:val="24"/>
                <w:lang w:eastAsia="pt-BR"/>
              </w:rPr>
            </w:pPr>
          </w:p>
        </w:tc>
      </w:tr>
      <w:tr w:rsidR="00E86BE2" w:rsidRPr="0010524E" w14:paraId="67695F6D" w14:textId="1F621187" w:rsidTr="00E86BE2">
        <w:trPr>
          <w:trHeight w:val="290"/>
        </w:trPr>
        <w:tc>
          <w:tcPr>
            <w:tcW w:w="4815" w:type="dxa"/>
            <w:noWrap/>
          </w:tcPr>
          <w:p w14:paraId="30FDDE2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5º O procedimento será iniciado por provocação da Previc ou por qualquer das pessoas indicadas no art. 1º, e parágrafos, mediante requerimento eletrônico ou físico protocolado na Secretaria-Executiva da CMCA.</w:t>
            </w:r>
          </w:p>
        </w:tc>
        <w:tc>
          <w:tcPr>
            <w:tcW w:w="4849" w:type="dxa"/>
            <w:noWrap/>
          </w:tcPr>
          <w:p w14:paraId="16418D17" w14:textId="0ECDD53E"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356.  O procedimento é iniciado por provocação da Previc ou por qualquer das pessoas indicadas no art. 354, mediante requerimento eletrônico ou físico protocolado na Secretaria-Executiva da Câmara de Mediação, Conciliação e Arbitragem.</w:t>
            </w:r>
          </w:p>
        </w:tc>
        <w:tc>
          <w:tcPr>
            <w:tcW w:w="4648" w:type="dxa"/>
            <w:noWrap/>
          </w:tcPr>
          <w:p w14:paraId="6BCE60E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349C1DFC" w14:textId="1370498F" w:rsidTr="00E86BE2">
        <w:trPr>
          <w:trHeight w:val="290"/>
        </w:trPr>
        <w:tc>
          <w:tcPr>
            <w:tcW w:w="4815" w:type="dxa"/>
            <w:noWrap/>
          </w:tcPr>
          <w:p w14:paraId="507ED833"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1º O requerimento será datado e assinado pelas partes envolvidas no litígio e contará com uma breve descrição dos fatos e do objeto controvertido, acompanhado dos seguintes documentos, conforme o caso:</w:t>
            </w:r>
          </w:p>
        </w:tc>
        <w:tc>
          <w:tcPr>
            <w:tcW w:w="4849" w:type="dxa"/>
            <w:noWrap/>
          </w:tcPr>
          <w:p w14:paraId="2D39032E" w14:textId="3813E3BB"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1º  O requerimento deve ser datado e assinado pelas partes envolvidas no litígio e deve contar com uma breve descrição dos fatos e do objeto controvertido, acompanhado dos seguintes documentos, conforme o caso: </w:t>
            </w:r>
          </w:p>
        </w:tc>
        <w:tc>
          <w:tcPr>
            <w:tcW w:w="4648" w:type="dxa"/>
            <w:noWrap/>
          </w:tcPr>
          <w:p w14:paraId="7F3BCFB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7C41D1D6" w14:textId="2A34D5B7" w:rsidTr="00E86BE2">
        <w:trPr>
          <w:trHeight w:val="290"/>
        </w:trPr>
        <w:tc>
          <w:tcPr>
            <w:tcW w:w="4815" w:type="dxa"/>
            <w:noWrap/>
          </w:tcPr>
          <w:p w14:paraId="64370E1B"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 - cópia da carteira de identidade e do CPF da pessoa física ou do representante da pessoa jurídica;</w:t>
            </w:r>
          </w:p>
        </w:tc>
        <w:tc>
          <w:tcPr>
            <w:tcW w:w="4849" w:type="dxa"/>
            <w:noWrap/>
          </w:tcPr>
          <w:p w14:paraId="2F251F8A" w14:textId="1CD6212A"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I - cópia da carteira de identidade e do Cadastro de Pessoa Física (CPF) da pessoa física ou do representante da pessoa jurídica; </w:t>
            </w:r>
          </w:p>
        </w:tc>
        <w:tc>
          <w:tcPr>
            <w:tcW w:w="4648" w:type="dxa"/>
            <w:noWrap/>
          </w:tcPr>
          <w:p w14:paraId="3E37C308" w14:textId="04928D28"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123E6F56" w14:textId="01931535" w:rsidTr="00E86BE2">
        <w:trPr>
          <w:trHeight w:val="290"/>
        </w:trPr>
        <w:tc>
          <w:tcPr>
            <w:tcW w:w="4815" w:type="dxa"/>
            <w:noWrap/>
          </w:tcPr>
          <w:p w14:paraId="041BE6F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II - cópias do registro no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tc>
        <w:tc>
          <w:tcPr>
            <w:tcW w:w="4849" w:type="dxa"/>
            <w:noWrap/>
          </w:tcPr>
          <w:p w14:paraId="3D78850C" w14:textId="1FC1049F"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II - cópias do registro no Cadastro Nacional de Pessoa Jurídica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tc>
        <w:tc>
          <w:tcPr>
            <w:tcW w:w="4648" w:type="dxa"/>
            <w:noWrap/>
          </w:tcPr>
          <w:p w14:paraId="5394E5BD" w14:textId="053DF739"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36656C68" w14:textId="0155D917" w:rsidTr="00E86BE2">
        <w:trPr>
          <w:trHeight w:val="290"/>
        </w:trPr>
        <w:tc>
          <w:tcPr>
            <w:tcW w:w="4815" w:type="dxa"/>
            <w:noWrap/>
          </w:tcPr>
          <w:p w14:paraId="0041EA6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III - cópia do contrato ou do documento onde conste a cláusula compromissória, quando for o caso;</w:t>
            </w:r>
          </w:p>
        </w:tc>
        <w:tc>
          <w:tcPr>
            <w:tcW w:w="4849" w:type="dxa"/>
            <w:noWrap/>
          </w:tcPr>
          <w:p w14:paraId="7BC9E859" w14:textId="509CC58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III - cópia do contrato ou do documento onde conste a cláusula compromissória, quando for o caso; </w:t>
            </w:r>
          </w:p>
        </w:tc>
        <w:tc>
          <w:tcPr>
            <w:tcW w:w="4648" w:type="dxa"/>
            <w:noWrap/>
          </w:tcPr>
          <w:p w14:paraId="0BE39F5D" w14:textId="35420852"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26A99C87" w14:textId="2C6D6DBD" w:rsidTr="00E86BE2">
        <w:trPr>
          <w:trHeight w:val="290"/>
        </w:trPr>
        <w:tc>
          <w:tcPr>
            <w:tcW w:w="4815" w:type="dxa"/>
            <w:noWrap/>
          </w:tcPr>
          <w:p w14:paraId="6BFC9F6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IV - cópias dos documentos necessários ao completo entendimento da controvérsia;</w:t>
            </w:r>
          </w:p>
        </w:tc>
        <w:tc>
          <w:tcPr>
            <w:tcW w:w="4849" w:type="dxa"/>
            <w:noWrap/>
          </w:tcPr>
          <w:p w14:paraId="557C3983" w14:textId="6E269CDC"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IV - cópias dos documentos necessários ao completo entendimento da controvérsia; e</w:t>
            </w:r>
          </w:p>
        </w:tc>
        <w:tc>
          <w:tcPr>
            <w:tcW w:w="4648" w:type="dxa"/>
            <w:noWrap/>
          </w:tcPr>
          <w:p w14:paraId="19B7439D" w14:textId="4145F79F"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728B7AE3" w14:textId="13C9F3A2" w:rsidTr="00E86BE2">
        <w:trPr>
          <w:trHeight w:val="290"/>
        </w:trPr>
        <w:tc>
          <w:tcPr>
            <w:tcW w:w="4815" w:type="dxa"/>
            <w:noWrap/>
          </w:tcPr>
          <w:p w14:paraId="53E6AD40"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V - estimativa do valor atribuído à causa pelo requerente.</w:t>
            </w:r>
          </w:p>
        </w:tc>
        <w:tc>
          <w:tcPr>
            <w:tcW w:w="4849" w:type="dxa"/>
            <w:noWrap/>
          </w:tcPr>
          <w:p w14:paraId="539151A8" w14:textId="2BB897EA"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V - estimativa do valor atribuído à causa pelo requerente.</w:t>
            </w:r>
          </w:p>
        </w:tc>
        <w:tc>
          <w:tcPr>
            <w:tcW w:w="4648" w:type="dxa"/>
            <w:noWrap/>
          </w:tcPr>
          <w:p w14:paraId="08F678F8" w14:textId="343973B1"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30A20DDB" w14:textId="63C9031E" w:rsidTr="00E86BE2">
        <w:trPr>
          <w:trHeight w:val="290"/>
        </w:trPr>
        <w:tc>
          <w:tcPr>
            <w:tcW w:w="4815" w:type="dxa"/>
            <w:noWrap/>
          </w:tcPr>
          <w:p w14:paraId="6BF64A8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2º Somente poderão instaurar o procedimento em nome de seus representados, os sindicatos e associações de participantes e assistidos que comprovem sua representatividade, com poderes especiais para transacionar.</w:t>
            </w:r>
          </w:p>
        </w:tc>
        <w:tc>
          <w:tcPr>
            <w:tcW w:w="4849" w:type="dxa"/>
            <w:noWrap/>
          </w:tcPr>
          <w:p w14:paraId="629604D1" w14:textId="58067DB1"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2º  Somente podem instaurar o procedimento em nome de seus representados, os sindicatos e associações de participantes e assistidos que comprovem sua representatividade, com poderes especiais para transacionar.</w:t>
            </w:r>
          </w:p>
        </w:tc>
        <w:tc>
          <w:tcPr>
            <w:tcW w:w="4648" w:type="dxa"/>
            <w:noWrap/>
          </w:tcPr>
          <w:p w14:paraId="3043B5CC"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35F3A3F4" w14:textId="021D257D" w:rsidTr="00E86BE2">
        <w:trPr>
          <w:trHeight w:val="290"/>
        </w:trPr>
        <w:tc>
          <w:tcPr>
            <w:tcW w:w="4815" w:type="dxa"/>
            <w:noWrap/>
          </w:tcPr>
          <w:p w14:paraId="53FA4D9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3º O requerimento referido no caput deste artigo poderá definir, desde logo, se os interessados pretendem se submeter apenas ao procedimento de mediação e conciliação, ou também à arbitragem, resguardada a possibilidade de optarem pela arbitragem, de comum acordo, em qualquer etapa do procedimento.</w:t>
            </w:r>
          </w:p>
        </w:tc>
        <w:tc>
          <w:tcPr>
            <w:tcW w:w="4849" w:type="dxa"/>
            <w:noWrap/>
          </w:tcPr>
          <w:p w14:paraId="4480960B" w14:textId="7AFE5BE0"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3º  O requerimento referido no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pode definir, desde logo, se os interessados pretendem se submeter apenas ao procedimento de mediação e conciliação, ou também à arbitragem, resguardada a possibilidade de optarem pela arbitragem, de comum acordo, em qualquer etapa do procedimento. </w:t>
            </w:r>
          </w:p>
        </w:tc>
        <w:tc>
          <w:tcPr>
            <w:tcW w:w="4648" w:type="dxa"/>
            <w:noWrap/>
          </w:tcPr>
          <w:p w14:paraId="1408F03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68D88B26" w14:textId="69124E46" w:rsidTr="00E86BE2">
        <w:trPr>
          <w:trHeight w:val="290"/>
        </w:trPr>
        <w:tc>
          <w:tcPr>
            <w:tcW w:w="4815" w:type="dxa"/>
            <w:noWrap/>
          </w:tcPr>
          <w:p w14:paraId="5EE58FCC"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4º O requerimento poderá consistir em simples solicitação para que seja contatada a outra parte, a fim de averiguar a viabilidade ou interesse de se submeter ao procedimento disciplinado neste regulamento.</w:t>
            </w:r>
          </w:p>
        </w:tc>
        <w:tc>
          <w:tcPr>
            <w:tcW w:w="4849" w:type="dxa"/>
            <w:noWrap/>
          </w:tcPr>
          <w:p w14:paraId="27CA5BE1" w14:textId="2504F91A"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4º  O requerimento pode consistir em simples solicitação para que seja contatada a outra parte, a fim de averiguar a viabilidade ou interesse de se submeter ao procedimento disciplinado nesta seção </w:t>
            </w:r>
            <w:r w:rsidRPr="0010524E">
              <w:rPr>
                <w:rFonts w:ascii="Calibri" w:eastAsia="Calibri" w:hAnsi="Calibri" w:cs="Calibri"/>
                <w:strike/>
                <w:sz w:val="24"/>
                <w:szCs w:val="24"/>
              </w:rPr>
              <w:t>neste regulamento.</w:t>
            </w:r>
            <w:r w:rsidRPr="0010524E">
              <w:rPr>
                <w:rFonts w:ascii="Calibri" w:eastAsia="Calibri" w:hAnsi="Calibri" w:cs="Calibri"/>
                <w:sz w:val="24"/>
                <w:szCs w:val="24"/>
              </w:rPr>
              <w:t xml:space="preserve"> </w:t>
            </w:r>
          </w:p>
        </w:tc>
        <w:tc>
          <w:tcPr>
            <w:tcW w:w="4648" w:type="dxa"/>
            <w:noWrap/>
          </w:tcPr>
          <w:p w14:paraId="19338741"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3DA7F7A5" w14:textId="21AFBC5E" w:rsidTr="00E86BE2">
        <w:trPr>
          <w:trHeight w:val="290"/>
        </w:trPr>
        <w:tc>
          <w:tcPr>
            <w:tcW w:w="4815" w:type="dxa"/>
            <w:noWrap/>
          </w:tcPr>
          <w:p w14:paraId="565F160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xml:space="preserve">§ 5º A autenticação dos documentos relacionados no § 1º, quando necessária, poderá ser feita pelo servidor responsável pelo protocolo, à vista dos originais, nos termos do art. 10, § 1º, do Decreto nº 6.932, de 11 de </w:t>
            </w:r>
            <w:r w:rsidRPr="0010524E">
              <w:rPr>
                <w:rFonts w:cstheme="minorHAnsi"/>
                <w:sz w:val="24"/>
                <w:szCs w:val="24"/>
              </w:rPr>
              <w:lastRenderedPageBreak/>
              <w:t>agosto de 2009, ou pelo próprio advogado da parte, sob sua responsabilidade pessoal, na forma do art. 425, inciso IV, do Código de Processo Civil, bem como observado o disposto na Lei 12.813, de 16 de maio de 2013.</w:t>
            </w:r>
          </w:p>
        </w:tc>
        <w:tc>
          <w:tcPr>
            <w:tcW w:w="4849" w:type="dxa"/>
            <w:noWrap/>
          </w:tcPr>
          <w:p w14:paraId="18DD19F5" w14:textId="6EAE586C"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lastRenderedPageBreak/>
              <w:t xml:space="preserve">§ 5º  A autenticação dos documentos relacionados no § 1º, quando necessária, pode ser feita pelo servidor responsável pelo protocolo, à vista dos originais, nos termos do § 1º do art. 10 do Decreto nº 9.094, de 17 de julho </w:t>
            </w:r>
            <w:r w:rsidRPr="0010524E">
              <w:rPr>
                <w:rFonts w:ascii="Calibri" w:eastAsia="Calibri" w:hAnsi="Calibri" w:cs="Calibri"/>
                <w:sz w:val="24"/>
                <w:szCs w:val="24"/>
              </w:rPr>
              <w:lastRenderedPageBreak/>
              <w:t>de 2017, ou pelo próprio advogado da parte, sob sua responsabilidade pessoal, na forma do inciso IV do art. 425 do Código de Processo Civil, bem como observado o disposto na Lei nº 12.813, de 16 de maio de 2013.</w:t>
            </w:r>
          </w:p>
        </w:tc>
        <w:tc>
          <w:tcPr>
            <w:tcW w:w="4648" w:type="dxa"/>
            <w:noWrap/>
          </w:tcPr>
          <w:p w14:paraId="753998C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Ajuste de redação.</w:t>
            </w:r>
          </w:p>
        </w:tc>
      </w:tr>
      <w:tr w:rsidR="00E86BE2" w:rsidRPr="0010524E" w14:paraId="14D963FF" w14:textId="622BF06B" w:rsidTr="00E86BE2">
        <w:trPr>
          <w:trHeight w:val="290"/>
        </w:trPr>
        <w:tc>
          <w:tcPr>
            <w:tcW w:w="4815" w:type="dxa"/>
            <w:noWrap/>
          </w:tcPr>
          <w:p w14:paraId="6FD4427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6º O requerimento apresentado poderá solicitar, justificadamente, a declaração da natureza sigilosa do procedimento, a fim de resguardar a vida privada, a honra ou a imagem das pessoas, bem como para a devida proteção da sociedade ou do Estado quando a divulgação prévia da controvérsia ou de documentos que instruem os autos puder acarretar relevante repercussão econômica, política, social ou de outra natureza.</w:t>
            </w:r>
          </w:p>
        </w:tc>
        <w:tc>
          <w:tcPr>
            <w:tcW w:w="4849" w:type="dxa"/>
            <w:noWrap/>
          </w:tcPr>
          <w:p w14:paraId="3D07B58A" w14:textId="10531C70"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6º  O requerimento apresentado pode solicitar, justificadamente, a declaração da natureza sigilosa do procedimento, a fim de resguardar a vida privada, a honra ou a imagem das pessoas, bem como para a devida proteção da sociedade ou do Estado quando a divulgação prévia da controvérsia ou de documentos que instruem os autos puder acarretar relevante repercussão econômica, política, social ou de outra natureza. </w:t>
            </w:r>
          </w:p>
        </w:tc>
        <w:tc>
          <w:tcPr>
            <w:tcW w:w="4648" w:type="dxa"/>
            <w:noWrap/>
          </w:tcPr>
          <w:p w14:paraId="6BCC39FC"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780A7A61" w14:textId="52E1A1CA" w:rsidTr="00E86BE2">
        <w:trPr>
          <w:trHeight w:val="290"/>
        </w:trPr>
        <w:tc>
          <w:tcPr>
            <w:tcW w:w="4815" w:type="dxa"/>
            <w:noWrap/>
          </w:tcPr>
          <w:p w14:paraId="72DDF36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7º Constatada a insuficiência dos documentos apresentados, as partes serão comunicadas a fim de complementar a documentação no prazo de 30 (trinta) dias, sob pena de arquivamento.</w:t>
            </w:r>
          </w:p>
        </w:tc>
        <w:tc>
          <w:tcPr>
            <w:tcW w:w="4849" w:type="dxa"/>
            <w:noWrap/>
          </w:tcPr>
          <w:p w14:paraId="47CF47A7" w14:textId="696E1EC7"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7º  Constatada a insuficiência dos documentos apresentados, as partes são comunicadas a fim de complementar a documentação no prazo de trinta dias, sob pena de arquivamento.</w:t>
            </w:r>
          </w:p>
        </w:tc>
        <w:tc>
          <w:tcPr>
            <w:tcW w:w="4648" w:type="dxa"/>
            <w:noWrap/>
          </w:tcPr>
          <w:p w14:paraId="75FCA31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02B7F923" w14:textId="264CC928" w:rsidTr="00E86BE2">
        <w:trPr>
          <w:trHeight w:val="290"/>
        </w:trPr>
        <w:tc>
          <w:tcPr>
            <w:tcW w:w="4815" w:type="dxa"/>
            <w:noWrap/>
          </w:tcPr>
          <w:p w14:paraId="4505DC5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6º Verificada a regularidade da documentação pela Secretaria- Executiva, o procedimento será encaminhado ao Presidente da CMCA, que deverá proferir decisão sobre sua admissibilidade, no prazo de 30 (trinta) dias, contados do recebimento dos autos.</w:t>
            </w:r>
          </w:p>
        </w:tc>
        <w:tc>
          <w:tcPr>
            <w:tcW w:w="4849" w:type="dxa"/>
            <w:noWrap/>
          </w:tcPr>
          <w:p w14:paraId="0CE2CE40" w14:textId="466DC03D"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Art. 357.  Verificada a regularidade da documentação pela Secretaria-Executiva, o procedimento é encaminhado ao Presidente da Câmara de Mediação, Conciliação e Arbitragem, que deve proferir decisão sobre sua admissibilidade, no prazo de trinta dias, contados do recebimento dos autos. </w:t>
            </w:r>
          </w:p>
        </w:tc>
        <w:tc>
          <w:tcPr>
            <w:tcW w:w="4648" w:type="dxa"/>
            <w:noWrap/>
          </w:tcPr>
          <w:p w14:paraId="740F1C2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2A32B069" w14:textId="7495EF7E" w:rsidTr="00E86BE2">
        <w:trPr>
          <w:trHeight w:val="290"/>
        </w:trPr>
        <w:tc>
          <w:tcPr>
            <w:tcW w:w="4815" w:type="dxa"/>
            <w:noWrap/>
          </w:tcPr>
          <w:p w14:paraId="66DD55A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xml:space="preserve">§ 1º Além das demais condições previstas neste regulamento, será levada em consideração, </w:t>
            </w:r>
            <w:r w:rsidRPr="0010524E">
              <w:rPr>
                <w:rFonts w:cstheme="minorHAnsi"/>
                <w:sz w:val="24"/>
                <w:szCs w:val="24"/>
              </w:rPr>
              <w:lastRenderedPageBreak/>
              <w:t>para a admissão do pedido, a relevância da matéria submetida à apreciação da CMCA, considerando sua possível repercussão e relevância para o regime de previdência complementar fechado.</w:t>
            </w:r>
          </w:p>
        </w:tc>
        <w:tc>
          <w:tcPr>
            <w:tcW w:w="4849" w:type="dxa"/>
            <w:noWrap/>
          </w:tcPr>
          <w:p w14:paraId="542BF2BC" w14:textId="4617954A"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lastRenderedPageBreak/>
              <w:t xml:space="preserve">§ 1º  Além das demais condições previstas nesta seção </w:t>
            </w:r>
            <w:r w:rsidRPr="0010524E">
              <w:rPr>
                <w:rFonts w:ascii="Calibri" w:eastAsia="Calibri" w:hAnsi="Calibri" w:cs="Calibri"/>
                <w:strike/>
                <w:sz w:val="24"/>
                <w:szCs w:val="24"/>
              </w:rPr>
              <w:t>neste regulamento</w:t>
            </w:r>
            <w:r w:rsidRPr="0010524E">
              <w:rPr>
                <w:rFonts w:ascii="Calibri" w:eastAsia="Calibri" w:hAnsi="Calibri" w:cs="Calibri"/>
                <w:sz w:val="24"/>
                <w:szCs w:val="24"/>
              </w:rPr>
              <w:t xml:space="preserve">, é levada em </w:t>
            </w:r>
            <w:r w:rsidRPr="0010524E">
              <w:rPr>
                <w:rFonts w:ascii="Calibri" w:eastAsia="Calibri" w:hAnsi="Calibri" w:cs="Calibri"/>
                <w:sz w:val="24"/>
                <w:szCs w:val="24"/>
              </w:rPr>
              <w:lastRenderedPageBreak/>
              <w:t xml:space="preserve">consideração, para a admissão do pedido, a relevância da matéria submetida à apreciação da Câmara de Mediação, Conciliação e Arbitragem, considerando sua possível repercussão e relevância para o regime de previdência complementar fechado. </w:t>
            </w:r>
          </w:p>
        </w:tc>
        <w:tc>
          <w:tcPr>
            <w:tcW w:w="4648" w:type="dxa"/>
            <w:noWrap/>
          </w:tcPr>
          <w:p w14:paraId="350C0BE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Ajuste de redação.</w:t>
            </w:r>
          </w:p>
        </w:tc>
      </w:tr>
      <w:tr w:rsidR="00E86BE2" w:rsidRPr="0010524E" w14:paraId="44C2CF91" w14:textId="3E6CA027" w:rsidTr="00E86BE2">
        <w:trPr>
          <w:trHeight w:val="290"/>
        </w:trPr>
        <w:tc>
          <w:tcPr>
            <w:tcW w:w="4815" w:type="dxa"/>
            <w:noWrap/>
          </w:tcPr>
          <w:p w14:paraId="75A664C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2º Antes de decidir sobre o prosseguimento do feito, o presidente deverá consultar as Diretorias da Previc sobre a existência de situação que recomende a não admissibilidade do pedido, concedendo-lhes o prazo comum de 15(quinze) dias, após o qual se presume que inexiste óbice à análise do feito.</w:t>
            </w:r>
          </w:p>
        </w:tc>
        <w:tc>
          <w:tcPr>
            <w:tcW w:w="4849" w:type="dxa"/>
            <w:noWrap/>
          </w:tcPr>
          <w:p w14:paraId="0B757F83" w14:textId="1AA4130A"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2º  Antes de decidir sobre o prosseguimento do feito, o presidente deve consultar as Diretorias da Previc sobre a existência de situação que recomende a não admissibilidade do pedido, concedendo-lhes o prazo comum de quinze dias, após o qual se presume que inexiste óbice à análise do feito.</w:t>
            </w:r>
          </w:p>
        </w:tc>
        <w:tc>
          <w:tcPr>
            <w:tcW w:w="4648" w:type="dxa"/>
            <w:noWrap/>
          </w:tcPr>
          <w:p w14:paraId="35A98E3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22380084" w14:textId="4BDB91D7" w:rsidTr="00E86BE2">
        <w:trPr>
          <w:trHeight w:val="290"/>
        </w:trPr>
        <w:tc>
          <w:tcPr>
            <w:tcW w:w="4815" w:type="dxa"/>
            <w:noWrap/>
          </w:tcPr>
          <w:p w14:paraId="00A1CED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3º Quando cabível, a requerimento das partes, o Presidente da CMCA decretará o sigilo do procedimento.</w:t>
            </w:r>
          </w:p>
        </w:tc>
        <w:tc>
          <w:tcPr>
            <w:tcW w:w="4849" w:type="dxa"/>
            <w:noWrap/>
          </w:tcPr>
          <w:p w14:paraId="5A8997F3" w14:textId="47CA51A2"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3º  Quando cabível, a requerimento das partes, o Presidente da Câmara de Mediação, Conciliação e Arbitragem decreta o sigilo do procedimento. </w:t>
            </w:r>
          </w:p>
        </w:tc>
        <w:tc>
          <w:tcPr>
            <w:tcW w:w="4648" w:type="dxa"/>
            <w:noWrap/>
          </w:tcPr>
          <w:p w14:paraId="6B9730CC"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6F34815B" w14:textId="028E06D7" w:rsidTr="00E86BE2">
        <w:trPr>
          <w:trHeight w:val="290"/>
        </w:trPr>
        <w:tc>
          <w:tcPr>
            <w:tcW w:w="4815" w:type="dxa"/>
            <w:noWrap/>
          </w:tcPr>
          <w:p w14:paraId="59788BE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4º Quando o processo envolver a administração pública, o procedimento respeitará o princípio da publicidade.</w:t>
            </w:r>
          </w:p>
        </w:tc>
        <w:tc>
          <w:tcPr>
            <w:tcW w:w="4849" w:type="dxa"/>
            <w:noWrap/>
          </w:tcPr>
          <w:p w14:paraId="009C602F" w14:textId="248656EC"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4º  Quando o processo envolver a administração pública, o procedimento deve respeitar o princípio da publicidade.</w:t>
            </w:r>
          </w:p>
        </w:tc>
        <w:tc>
          <w:tcPr>
            <w:tcW w:w="4648" w:type="dxa"/>
            <w:noWrap/>
          </w:tcPr>
          <w:p w14:paraId="0A22AC31"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150D907A" w14:textId="7D32C4AF" w:rsidTr="00E86BE2">
        <w:trPr>
          <w:trHeight w:val="290"/>
        </w:trPr>
        <w:tc>
          <w:tcPr>
            <w:tcW w:w="4815" w:type="dxa"/>
            <w:noWrap/>
          </w:tcPr>
          <w:p w14:paraId="4C53762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5º A admissão do procedimento implica suspensão de processo, que tenha o mesmo objeto, em trâmite no âmbito da PREVIC .</w:t>
            </w:r>
          </w:p>
        </w:tc>
        <w:tc>
          <w:tcPr>
            <w:tcW w:w="4849" w:type="dxa"/>
            <w:noWrap/>
          </w:tcPr>
          <w:p w14:paraId="38E9BD85" w14:textId="2860DEBB"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5º  A admissão da mediação implica a suspensão de qualquer processo em trâmite na Previc que tenha o mesmo objeto, enquanto durar o procedimento consensual.</w:t>
            </w:r>
          </w:p>
        </w:tc>
        <w:tc>
          <w:tcPr>
            <w:tcW w:w="4648" w:type="dxa"/>
            <w:noWrap/>
          </w:tcPr>
          <w:p w14:paraId="7A1865F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4A0D762E" w14:textId="4FB22E8E" w:rsidTr="00E86BE2">
        <w:trPr>
          <w:trHeight w:val="290"/>
        </w:trPr>
        <w:tc>
          <w:tcPr>
            <w:tcW w:w="4815" w:type="dxa"/>
            <w:noWrap/>
          </w:tcPr>
          <w:p w14:paraId="446C4BA5"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6º A decisão de que trata este artigo é irrecorrível e será comunicada imediatamente aos interessados pela Secretaria-Executiva.</w:t>
            </w:r>
          </w:p>
        </w:tc>
        <w:tc>
          <w:tcPr>
            <w:tcW w:w="4849" w:type="dxa"/>
            <w:noWrap/>
          </w:tcPr>
          <w:p w14:paraId="099EE30B" w14:textId="633D182B"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6º A decisão de que trata este artigo é irrecorrível e deve ser comunicada imediatamente aos interessados pela Secretaria-Executiva.</w:t>
            </w:r>
          </w:p>
        </w:tc>
        <w:tc>
          <w:tcPr>
            <w:tcW w:w="4648" w:type="dxa"/>
            <w:noWrap/>
          </w:tcPr>
          <w:p w14:paraId="2F78D84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5E170AE8" w14:textId="79115916" w:rsidTr="00E86BE2">
        <w:trPr>
          <w:trHeight w:val="290"/>
        </w:trPr>
        <w:tc>
          <w:tcPr>
            <w:tcW w:w="4815" w:type="dxa"/>
            <w:noWrap/>
          </w:tcPr>
          <w:p w14:paraId="017B9583" w14:textId="77777777" w:rsidR="00E86BE2" w:rsidRPr="0010524E" w:rsidRDefault="00E86BE2" w:rsidP="00E86BE2">
            <w:pPr>
              <w:jc w:val="both"/>
              <w:rPr>
                <w:rFonts w:eastAsia="Times New Roman" w:cstheme="minorHAnsi"/>
                <w:sz w:val="24"/>
                <w:szCs w:val="24"/>
                <w:lang w:eastAsia="pt-BR"/>
              </w:rPr>
            </w:pPr>
          </w:p>
        </w:tc>
        <w:tc>
          <w:tcPr>
            <w:tcW w:w="4849" w:type="dxa"/>
            <w:noWrap/>
          </w:tcPr>
          <w:p w14:paraId="7D236B0C" w14:textId="41565976"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358.  Sendo o pedido de autoria de apenas uma das partes, o mediador deve enviar convite às demais partes para iniciar o procedimento de mediação extrajudicial.</w:t>
            </w:r>
          </w:p>
        </w:tc>
        <w:tc>
          <w:tcPr>
            <w:tcW w:w="4648" w:type="dxa"/>
            <w:noWrap/>
          </w:tcPr>
          <w:p w14:paraId="52CEAEDC"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Realocado para deixar conciso o texto que trata de mediação.</w:t>
            </w:r>
          </w:p>
        </w:tc>
      </w:tr>
      <w:tr w:rsidR="00E86BE2" w:rsidRPr="0010524E" w14:paraId="6D846F64" w14:textId="1BEFEE35" w:rsidTr="00E86BE2">
        <w:trPr>
          <w:trHeight w:val="290"/>
        </w:trPr>
        <w:tc>
          <w:tcPr>
            <w:tcW w:w="4815" w:type="dxa"/>
            <w:noWrap/>
          </w:tcPr>
          <w:p w14:paraId="350A5015" w14:textId="77777777" w:rsidR="00E86BE2" w:rsidRPr="0010524E" w:rsidRDefault="00E86BE2" w:rsidP="00E86BE2">
            <w:pPr>
              <w:jc w:val="both"/>
              <w:rPr>
                <w:rFonts w:eastAsia="Times New Roman" w:cstheme="minorHAnsi"/>
                <w:sz w:val="24"/>
                <w:szCs w:val="24"/>
                <w:lang w:eastAsia="pt-BR"/>
              </w:rPr>
            </w:pPr>
          </w:p>
        </w:tc>
        <w:tc>
          <w:tcPr>
            <w:tcW w:w="4849" w:type="dxa"/>
            <w:noWrap/>
          </w:tcPr>
          <w:p w14:paraId="67AEFB63" w14:textId="7362DE3B"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§1º  O convite pode ser feito por qualquer meio de comunicação e deve estipular o escopo proposto para a negociação, a data e o local da primeira reunião. </w:t>
            </w:r>
          </w:p>
        </w:tc>
        <w:tc>
          <w:tcPr>
            <w:tcW w:w="4648" w:type="dxa"/>
            <w:noWrap/>
          </w:tcPr>
          <w:p w14:paraId="3EEEE2ED" w14:textId="1B181A7B"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581BE192" w14:textId="26716599" w:rsidTr="00E86BE2">
        <w:trPr>
          <w:trHeight w:val="290"/>
        </w:trPr>
        <w:tc>
          <w:tcPr>
            <w:tcW w:w="4815" w:type="dxa"/>
            <w:noWrap/>
          </w:tcPr>
          <w:p w14:paraId="0CB2529B" w14:textId="77777777" w:rsidR="00E86BE2" w:rsidRPr="0010524E" w:rsidRDefault="00E86BE2" w:rsidP="00E86BE2">
            <w:pPr>
              <w:jc w:val="both"/>
              <w:rPr>
                <w:rFonts w:eastAsia="Times New Roman" w:cstheme="minorHAnsi"/>
                <w:sz w:val="24"/>
                <w:szCs w:val="24"/>
                <w:lang w:eastAsia="pt-BR"/>
              </w:rPr>
            </w:pPr>
          </w:p>
        </w:tc>
        <w:tc>
          <w:tcPr>
            <w:tcW w:w="4849" w:type="dxa"/>
            <w:noWrap/>
          </w:tcPr>
          <w:p w14:paraId="3017C0C7" w14:textId="660C446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§2º  O convite formulado pela Câmara de Mediação, Conciliação e Arbitragem a qualquer das partes, bem como por uma parte à outra, deve ser rejeitado se não for respondido em até trinta dias da data de seu recebimento. </w:t>
            </w:r>
          </w:p>
        </w:tc>
        <w:tc>
          <w:tcPr>
            <w:tcW w:w="4648" w:type="dxa"/>
            <w:noWrap/>
          </w:tcPr>
          <w:p w14:paraId="1A4B5C2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7C9E5D68" w14:textId="06488F8B" w:rsidTr="00E86BE2">
        <w:trPr>
          <w:trHeight w:val="290"/>
        </w:trPr>
        <w:tc>
          <w:tcPr>
            <w:tcW w:w="4815" w:type="dxa"/>
            <w:noWrap/>
          </w:tcPr>
          <w:p w14:paraId="40A972DC" w14:textId="77777777" w:rsidR="00E86BE2" w:rsidRPr="0010524E" w:rsidRDefault="00E86BE2" w:rsidP="00E86BE2">
            <w:pPr>
              <w:jc w:val="both"/>
              <w:rPr>
                <w:rFonts w:eastAsia="Times New Roman" w:cstheme="minorHAnsi"/>
                <w:sz w:val="24"/>
                <w:szCs w:val="24"/>
                <w:lang w:eastAsia="pt-BR"/>
              </w:rPr>
            </w:pPr>
          </w:p>
        </w:tc>
        <w:tc>
          <w:tcPr>
            <w:tcW w:w="4849" w:type="dxa"/>
            <w:noWrap/>
          </w:tcPr>
          <w:p w14:paraId="3FA82D13" w14:textId="21258511"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§3º  Aceita a proposta de reunião de mediação, são designados o dia, a hora e o local da audiência, providenciando-se a comunicação aos interessados, de preferência por via eletrônica. </w:t>
            </w:r>
          </w:p>
        </w:tc>
        <w:tc>
          <w:tcPr>
            <w:tcW w:w="4648" w:type="dxa"/>
            <w:noWrap/>
          </w:tcPr>
          <w:p w14:paraId="31D612DC" w14:textId="06BC979C"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483B3004" w14:textId="20BC223A" w:rsidTr="00E86BE2">
        <w:trPr>
          <w:trHeight w:val="290"/>
        </w:trPr>
        <w:tc>
          <w:tcPr>
            <w:tcW w:w="4815" w:type="dxa"/>
            <w:noWrap/>
          </w:tcPr>
          <w:p w14:paraId="1CC5C5EA" w14:textId="77777777" w:rsidR="00E86BE2" w:rsidRDefault="00E86BE2" w:rsidP="00E86BE2">
            <w:pPr>
              <w:jc w:val="center"/>
              <w:rPr>
                <w:rFonts w:cstheme="minorHAnsi"/>
                <w:sz w:val="24"/>
                <w:szCs w:val="24"/>
              </w:rPr>
            </w:pPr>
            <w:r w:rsidRPr="0010524E">
              <w:rPr>
                <w:rFonts w:cstheme="minorHAnsi"/>
                <w:sz w:val="24"/>
                <w:szCs w:val="24"/>
              </w:rPr>
              <w:t>CAPÍTULO IV</w:t>
            </w:r>
          </w:p>
          <w:p w14:paraId="627256AA" w14:textId="6A465B07" w:rsidR="00E86BE2" w:rsidRPr="0010524E" w:rsidRDefault="00E86BE2" w:rsidP="00E86BE2">
            <w:pPr>
              <w:jc w:val="center"/>
              <w:rPr>
                <w:rFonts w:cstheme="minorHAnsi"/>
                <w:sz w:val="24"/>
                <w:szCs w:val="24"/>
              </w:rPr>
            </w:pPr>
            <w:r w:rsidRPr="0010524E">
              <w:rPr>
                <w:rFonts w:cstheme="minorHAnsi"/>
                <w:sz w:val="24"/>
                <w:szCs w:val="24"/>
              </w:rPr>
              <w:t>O MEDIADOR E O COMITÊ CONCILIADOR</w:t>
            </w:r>
          </w:p>
        </w:tc>
        <w:tc>
          <w:tcPr>
            <w:tcW w:w="4849" w:type="dxa"/>
            <w:noWrap/>
          </w:tcPr>
          <w:p w14:paraId="5773A993" w14:textId="77777777" w:rsidR="00E86BE2" w:rsidRPr="0010524E" w:rsidDel="002D3505" w:rsidRDefault="00E86BE2" w:rsidP="00E86BE2">
            <w:pPr>
              <w:jc w:val="both"/>
              <w:rPr>
                <w:rFonts w:cstheme="minorHAnsi"/>
                <w:sz w:val="24"/>
                <w:szCs w:val="24"/>
              </w:rPr>
            </w:pPr>
          </w:p>
        </w:tc>
        <w:tc>
          <w:tcPr>
            <w:tcW w:w="4648" w:type="dxa"/>
            <w:noWrap/>
          </w:tcPr>
          <w:p w14:paraId="0B3D42E0" w14:textId="77777777" w:rsidR="00E86BE2" w:rsidRPr="0010524E" w:rsidRDefault="00E86BE2" w:rsidP="00E86BE2">
            <w:pPr>
              <w:jc w:val="both"/>
              <w:rPr>
                <w:rFonts w:eastAsia="Times New Roman" w:cstheme="minorHAnsi"/>
                <w:sz w:val="24"/>
                <w:szCs w:val="24"/>
                <w:lang w:eastAsia="pt-BR"/>
              </w:rPr>
            </w:pPr>
          </w:p>
        </w:tc>
      </w:tr>
      <w:tr w:rsidR="00E86BE2" w:rsidRPr="0010524E" w14:paraId="36A09B10" w14:textId="483E0C98" w:rsidTr="00E86BE2">
        <w:trPr>
          <w:trHeight w:val="290"/>
        </w:trPr>
        <w:tc>
          <w:tcPr>
            <w:tcW w:w="4815" w:type="dxa"/>
            <w:noWrap/>
          </w:tcPr>
          <w:p w14:paraId="51717D5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7º A mediação e a conciliação serão conduzidas por mediador ou por Comitê Conciliador, quando requerido pelas partes, composto por três membros, designados pelo Presidente da CMCA.</w:t>
            </w:r>
          </w:p>
        </w:tc>
        <w:tc>
          <w:tcPr>
            <w:tcW w:w="4849" w:type="dxa"/>
            <w:noWrap/>
          </w:tcPr>
          <w:p w14:paraId="09E2B875"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59CB18B3" w14:textId="77777777" w:rsidR="00E86BE2" w:rsidRPr="0010524E" w:rsidRDefault="00E86BE2" w:rsidP="00E86BE2">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O art. 7º foi transferido para subseção II que trata do procedimento de mediação, tornando mais lógica as etapas a serem seguidas.</w:t>
            </w:r>
          </w:p>
          <w:p w14:paraId="5F7F6DB5"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O comitê conciliador foi retirado de todo o texto, pois nunca foi utilizado nos dez anos de atuação da câmara.</w:t>
            </w:r>
          </w:p>
        </w:tc>
      </w:tr>
      <w:tr w:rsidR="00E86BE2" w:rsidRPr="0010524E" w14:paraId="0C1ED428" w14:textId="3B0FCA6B" w:rsidTr="00E86BE2">
        <w:trPr>
          <w:trHeight w:val="290"/>
        </w:trPr>
        <w:tc>
          <w:tcPr>
            <w:tcW w:w="4815" w:type="dxa"/>
            <w:noWrap/>
          </w:tcPr>
          <w:p w14:paraId="4A69744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 1º Quando a mediação se iniciar por intermédio de Comitê Conciliador, a sua composição se dará da seguinte forma:</w:t>
            </w:r>
          </w:p>
        </w:tc>
        <w:tc>
          <w:tcPr>
            <w:tcW w:w="4849" w:type="dxa"/>
            <w:noWrap/>
          </w:tcPr>
          <w:p w14:paraId="4A9E9BDD"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41CE3F7B" w14:textId="77777777" w:rsidR="00E86BE2" w:rsidRPr="0010524E" w:rsidRDefault="00E86BE2" w:rsidP="00E86BE2">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Excluído.</w:t>
            </w:r>
          </w:p>
          <w:p w14:paraId="2066357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O comitê conciliador foi retirado de todo o texto, pois nunca foi utilizado nos dez anos de atuação da câmara.</w:t>
            </w:r>
          </w:p>
        </w:tc>
      </w:tr>
      <w:tr w:rsidR="00E86BE2" w:rsidRPr="0010524E" w14:paraId="1C1D6A9E" w14:textId="78FC6B57" w:rsidTr="00E86BE2">
        <w:trPr>
          <w:trHeight w:val="290"/>
        </w:trPr>
        <w:tc>
          <w:tcPr>
            <w:tcW w:w="4815" w:type="dxa"/>
            <w:noWrap/>
          </w:tcPr>
          <w:p w14:paraId="15BDAA8C"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 - um servidor público federal em exercício na Previc, escolhido pelo Presidente da CMCA, a partir de lista elaborada semestralmente; e</w:t>
            </w:r>
          </w:p>
        </w:tc>
        <w:tc>
          <w:tcPr>
            <w:tcW w:w="4849" w:type="dxa"/>
            <w:noWrap/>
          </w:tcPr>
          <w:p w14:paraId="28447030"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6490A52C" w14:textId="36DD98CC"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Excluído</w:t>
            </w:r>
          </w:p>
        </w:tc>
      </w:tr>
      <w:tr w:rsidR="00E86BE2" w:rsidRPr="0010524E" w14:paraId="36004E19" w14:textId="72C4DE37" w:rsidTr="00E86BE2">
        <w:trPr>
          <w:trHeight w:val="290"/>
        </w:trPr>
        <w:tc>
          <w:tcPr>
            <w:tcW w:w="4815" w:type="dxa"/>
            <w:noWrap/>
          </w:tcPr>
          <w:p w14:paraId="2118949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II - dois profissionais indicados individualmente pelas respectivas partes e, por consenso entre eles, quando houver três ou mais partes envolvidas.</w:t>
            </w:r>
          </w:p>
        </w:tc>
        <w:tc>
          <w:tcPr>
            <w:tcW w:w="4849" w:type="dxa"/>
            <w:noWrap/>
          </w:tcPr>
          <w:p w14:paraId="470A2EEA"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6CB6A5B7" w14:textId="6E3B9EED"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Excluído</w:t>
            </w:r>
          </w:p>
        </w:tc>
      </w:tr>
      <w:tr w:rsidR="00E86BE2" w:rsidRPr="0010524E" w14:paraId="724F8705" w14:textId="2D7AE7CA" w:rsidTr="00E86BE2">
        <w:trPr>
          <w:trHeight w:val="290"/>
        </w:trPr>
        <w:tc>
          <w:tcPr>
            <w:tcW w:w="4815" w:type="dxa"/>
            <w:noWrap/>
          </w:tcPr>
          <w:p w14:paraId="44C0EF3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2º O Comitê Conciliador atuará sob a supervisão e a coordenação do Presidente da CMCA e será presidido pelo servidor designado na forma do § 1º, inciso I deste artigo.</w:t>
            </w:r>
          </w:p>
        </w:tc>
        <w:tc>
          <w:tcPr>
            <w:tcW w:w="4849" w:type="dxa"/>
            <w:noWrap/>
          </w:tcPr>
          <w:p w14:paraId="38A624E4"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58E207BB" w14:textId="77777777" w:rsidR="00E86BE2" w:rsidRPr="0010524E" w:rsidRDefault="00E86BE2" w:rsidP="00E86BE2">
            <w:pPr>
              <w:jc w:val="both"/>
              <w:rPr>
                <w:rFonts w:eastAsia="Times New Roman" w:cstheme="minorHAnsi"/>
                <w:sz w:val="24"/>
                <w:szCs w:val="24"/>
                <w:lang w:eastAsia="pt-BR"/>
              </w:rPr>
            </w:pPr>
          </w:p>
        </w:tc>
      </w:tr>
      <w:tr w:rsidR="00E86BE2" w:rsidRPr="0010524E" w14:paraId="64069838" w14:textId="27BDC869" w:rsidTr="00E86BE2">
        <w:trPr>
          <w:trHeight w:val="290"/>
        </w:trPr>
        <w:tc>
          <w:tcPr>
            <w:tcW w:w="4815" w:type="dxa"/>
            <w:noWrap/>
          </w:tcPr>
          <w:p w14:paraId="6FFBAED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3º O Comitê Conciliador, bem como o mediador, poderá contar com o auxílio de experts, com conhecimento na área de finanças ou de atuária, selecionados a partir de lista elaborada semestralmente pelas Diretorias da Previc.</w:t>
            </w:r>
          </w:p>
        </w:tc>
        <w:tc>
          <w:tcPr>
            <w:tcW w:w="4849" w:type="dxa"/>
            <w:noWrap/>
          </w:tcPr>
          <w:p w14:paraId="256F8131"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41BBFDDB" w14:textId="77777777" w:rsidR="00E86BE2" w:rsidRPr="0010524E" w:rsidRDefault="00E86BE2" w:rsidP="00E86BE2">
            <w:pPr>
              <w:jc w:val="both"/>
              <w:rPr>
                <w:rFonts w:eastAsia="Times New Roman" w:cstheme="minorHAnsi"/>
                <w:sz w:val="24"/>
                <w:szCs w:val="24"/>
                <w:lang w:eastAsia="pt-BR"/>
              </w:rPr>
            </w:pPr>
          </w:p>
        </w:tc>
      </w:tr>
      <w:tr w:rsidR="00E86BE2" w:rsidRPr="0010524E" w14:paraId="113367CB" w14:textId="3ACA24D1" w:rsidTr="00E86BE2">
        <w:trPr>
          <w:trHeight w:val="290"/>
        </w:trPr>
        <w:tc>
          <w:tcPr>
            <w:tcW w:w="4815" w:type="dxa"/>
            <w:noWrap/>
          </w:tcPr>
          <w:p w14:paraId="6C0A7821"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4º Havendo necessidade de elucidação de dúvida ou questionamento jurídico, o Comitê Conciliador ou o mediador poderá solicitar manifestação jurídica da Procuradoria Federal junto à Previc.</w:t>
            </w:r>
          </w:p>
        </w:tc>
        <w:tc>
          <w:tcPr>
            <w:tcW w:w="4849" w:type="dxa"/>
            <w:noWrap/>
          </w:tcPr>
          <w:p w14:paraId="68AF7762"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2E83CBEF" w14:textId="77777777" w:rsidR="00E86BE2" w:rsidRPr="0010524E" w:rsidRDefault="00E86BE2" w:rsidP="00E86BE2">
            <w:pPr>
              <w:jc w:val="both"/>
              <w:rPr>
                <w:rFonts w:eastAsia="Times New Roman" w:cstheme="minorHAnsi"/>
                <w:sz w:val="24"/>
                <w:szCs w:val="24"/>
                <w:lang w:eastAsia="pt-BR"/>
              </w:rPr>
            </w:pPr>
          </w:p>
        </w:tc>
      </w:tr>
      <w:tr w:rsidR="00E86BE2" w:rsidRPr="0010524E" w14:paraId="2F5BF043" w14:textId="46D1572E" w:rsidTr="00E86BE2">
        <w:trPr>
          <w:trHeight w:val="290"/>
        </w:trPr>
        <w:tc>
          <w:tcPr>
            <w:tcW w:w="4815" w:type="dxa"/>
            <w:noWrap/>
          </w:tcPr>
          <w:p w14:paraId="74EBF9A0" w14:textId="77777777" w:rsidR="00E86BE2" w:rsidRDefault="00E86BE2" w:rsidP="00E86BE2">
            <w:pPr>
              <w:jc w:val="center"/>
              <w:rPr>
                <w:rFonts w:cstheme="minorHAnsi"/>
                <w:sz w:val="24"/>
                <w:szCs w:val="24"/>
              </w:rPr>
            </w:pPr>
            <w:r w:rsidRPr="0010524E">
              <w:rPr>
                <w:rFonts w:cstheme="minorHAnsi"/>
                <w:sz w:val="24"/>
                <w:szCs w:val="24"/>
              </w:rPr>
              <w:t>CAPÍTULO V</w:t>
            </w:r>
          </w:p>
          <w:p w14:paraId="7C2193A9" w14:textId="1BD4740D" w:rsidR="00E86BE2" w:rsidRPr="0010524E" w:rsidRDefault="00E86BE2" w:rsidP="00E86BE2">
            <w:pPr>
              <w:jc w:val="center"/>
              <w:rPr>
                <w:rFonts w:eastAsia="Times New Roman" w:cstheme="minorHAnsi"/>
                <w:sz w:val="24"/>
                <w:szCs w:val="24"/>
                <w:lang w:eastAsia="pt-BR"/>
              </w:rPr>
            </w:pPr>
            <w:r w:rsidRPr="0010524E">
              <w:rPr>
                <w:rFonts w:cstheme="minorHAnsi"/>
                <w:sz w:val="24"/>
                <w:szCs w:val="24"/>
              </w:rPr>
              <w:lastRenderedPageBreak/>
              <w:t>PROCEDIMENTO DE MEDIAÇÃO E CONCILIAÇÃO</w:t>
            </w:r>
          </w:p>
        </w:tc>
        <w:tc>
          <w:tcPr>
            <w:tcW w:w="4849" w:type="dxa"/>
            <w:noWrap/>
          </w:tcPr>
          <w:p w14:paraId="2F2AAE16"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136546DB" w14:textId="77777777" w:rsidR="00E86BE2" w:rsidRPr="0010524E" w:rsidRDefault="00E86BE2" w:rsidP="00E86BE2">
            <w:pPr>
              <w:jc w:val="both"/>
              <w:rPr>
                <w:rFonts w:eastAsia="Times New Roman" w:cstheme="minorHAnsi"/>
                <w:sz w:val="24"/>
                <w:szCs w:val="24"/>
                <w:lang w:eastAsia="pt-BR"/>
              </w:rPr>
            </w:pPr>
          </w:p>
        </w:tc>
      </w:tr>
      <w:tr w:rsidR="00E86BE2" w:rsidRPr="0010524E" w14:paraId="39160D63" w14:textId="75D8E446" w:rsidTr="00E86BE2">
        <w:trPr>
          <w:trHeight w:val="290"/>
        </w:trPr>
        <w:tc>
          <w:tcPr>
            <w:tcW w:w="4815" w:type="dxa"/>
            <w:noWrap/>
          </w:tcPr>
          <w:p w14:paraId="3E4FC4AB"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8º Sendo o pedido de autoria de apenas uma das partes, o mediador ou o Comitê Conciliador enviará convite às demais para iniciar o procedimento de mediação extrajudicial.</w:t>
            </w:r>
          </w:p>
        </w:tc>
        <w:tc>
          <w:tcPr>
            <w:tcW w:w="4849" w:type="dxa"/>
            <w:noWrap/>
          </w:tcPr>
          <w:p w14:paraId="1538B84E"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3C033631" w14:textId="77777777" w:rsidR="00E86BE2" w:rsidRPr="0010524E" w:rsidRDefault="00E86BE2" w:rsidP="00E86BE2">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Realocado.</w:t>
            </w:r>
          </w:p>
          <w:p w14:paraId="6242D5E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O procedimento de mediação foi reformulado para uma melhor compreensão das etapas.</w:t>
            </w:r>
          </w:p>
        </w:tc>
      </w:tr>
      <w:tr w:rsidR="00E86BE2" w:rsidRPr="0010524E" w14:paraId="6CB893F9" w14:textId="3287296D" w:rsidTr="00E86BE2">
        <w:trPr>
          <w:trHeight w:val="290"/>
        </w:trPr>
        <w:tc>
          <w:tcPr>
            <w:tcW w:w="4815" w:type="dxa"/>
            <w:noWrap/>
          </w:tcPr>
          <w:p w14:paraId="1E0C6775"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§1º O convite poderá ser feito por qualquer meio de comunicação e deverá estipular o escopo proposto para a negociação, a data e o local da primeira reunião.</w:t>
            </w:r>
          </w:p>
        </w:tc>
        <w:tc>
          <w:tcPr>
            <w:tcW w:w="4849" w:type="dxa"/>
            <w:noWrap/>
          </w:tcPr>
          <w:p w14:paraId="5CE9BAD6"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0DB17A9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O procedimento de mediação foi reformulado para uma melhor compreensão das etapas.</w:t>
            </w:r>
          </w:p>
        </w:tc>
      </w:tr>
      <w:tr w:rsidR="00E86BE2" w:rsidRPr="0010524E" w14:paraId="3178A738" w14:textId="530521AA" w:rsidTr="00E86BE2">
        <w:trPr>
          <w:trHeight w:val="290"/>
        </w:trPr>
        <w:tc>
          <w:tcPr>
            <w:tcW w:w="4815" w:type="dxa"/>
            <w:noWrap/>
          </w:tcPr>
          <w:p w14:paraId="00119C3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§2º O convite formulado pela CMCA a qualquer das partes, bem como por uma parte à outra, considerar-se-á rejeitado se não for respondido em até 30 (trinta) dias da data de seu recebimento.</w:t>
            </w:r>
          </w:p>
        </w:tc>
        <w:tc>
          <w:tcPr>
            <w:tcW w:w="4849" w:type="dxa"/>
            <w:noWrap/>
          </w:tcPr>
          <w:p w14:paraId="3EA38F7A"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23C40175"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O procedimento de mediação foi reformulado para uma melhor compreensão das etapas.</w:t>
            </w:r>
          </w:p>
        </w:tc>
      </w:tr>
      <w:tr w:rsidR="00E86BE2" w:rsidRPr="0010524E" w14:paraId="1998E899" w14:textId="41949A6F" w:rsidTr="00E86BE2">
        <w:trPr>
          <w:trHeight w:val="290"/>
        </w:trPr>
        <w:tc>
          <w:tcPr>
            <w:tcW w:w="4815" w:type="dxa"/>
            <w:noWrap/>
          </w:tcPr>
          <w:p w14:paraId="7CB3CE4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§3º Aceita a proposta de reunião de mediação, serão designados o dia, a hora e o local da audiência, providenciando-se a comunicação aos interessados, de preferência por via eletrônica.</w:t>
            </w:r>
          </w:p>
        </w:tc>
        <w:tc>
          <w:tcPr>
            <w:tcW w:w="4849" w:type="dxa"/>
            <w:noWrap/>
          </w:tcPr>
          <w:p w14:paraId="18FD902D"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5290D71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O procedimento de mediação foi reformulado para uma melhor compreensão das etapas.</w:t>
            </w:r>
          </w:p>
        </w:tc>
      </w:tr>
      <w:tr w:rsidR="00E86BE2" w:rsidRPr="0010524E" w14:paraId="3D9292C6" w14:textId="6CCCC73B" w:rsidTr="00E86BE2">
        <w:trPr>
          <w:trHeight w:val="290"/>
        </w:trPr>
        <w:tc>
          <w:tcPr>
            <w:tcW w:w="4815" w:type="dxa"/>
            <w:noWrap/>
          </w:tcPr>
          <w:p w14:paraId="1A1FFB7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9º Comparecendo as partes à audiência de conciliação, pessoalmente ou através de representante com poderes expressos para transigir, será tentada a solução consensual da controvérsia.</w:t>
            </w:r>
          </w:p>
        </w:tc>
        <w:tc>
          <w:tcPr>
            <w:tcW w:w="4849" w:type="dxa"/>
            <w:noWrap/>
          </w:tcPr>
          <w:p w14:paraId="57FFD64E" w14:textId="1025B994"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Art. 359.  Comparecendo as partes à audiência de conciliação, pessoalmente ou através de representante com poderes expressos para transigir, é tentada a solução consensual da controvérsia. </w:t>
            </w:r>
          </w:p>
        </w:tc>
        <w:tc>
          <w:tcPr>
            <w:tcW w:w="4648" w:type="dxa"/>
            <w:noWrap/>
          </w:tcPr>
          <w:p w14:paraId="0CCD5DC2"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670A17B8" w14:textId="43DCE288" w:rsidTr="00E86BE2">
        <w:trPr>
          <w:trHeight w:val="290"/>
        </w:trPr>
        <w:tc>
          <w:tcPr>
            <w:tcW w:w="4815" w:type="dxa"/>
            <w:noWrap/>
          </w:tcPr>
          <w:p w14:paraId="3B1591B8" w14:textId="77777777" w:rsidR="00E86BE2" w:rsidRPr="0010524E" w:rsidRDefault="00E86BE2" w:rsidP="00E86BE2">
            <w:pPr>
              <w:jc w:val="both"/>
              <w:rPr>
                <w:rFonts w:cstheme="minorHAnsi"/>
                <w:sz w:val="24"/>
                <w:szCs w:val="24"/>
              </w:rPr>
            </w:pPr>
            <w:r w:rsidRPr="0010524E">
              <w:rPr>
                <w:rFonts w:cstheme="minorHAnsi"/>
                <w:sz w:val="24"/>
                <w:szCs w:val="24"/>
              </w:rPr>
              <w:t xml:space="preserve">§ 1º A audiência deverá ser realizada a portas fechadas na hipótese de procedimento de </w:t>
            </w:r>
            <w:r w:rsidRPr="0010524E">
              <w:rPr>
                <w:rFonts w:cstheme="minorHAnsi"/>
                <w:sz w:val="24"/>
                <w:szCs w:val="24"/>
              </w:rPr>
              <w:lastRenderedPageBreak/>
              <w:t>natureza sigilosa, desde que requerido nos moldes do § 3º do art. 6º.</w:t>
            </w:r>
          </w:p>
        </w:tc>
        <w:tc>
          <w:tcPr>
            <w:tcW w:w="4849" w:type="dxa"/>
            <w:noWrap/>
          </w:tcPr>
          <w:p w14:paraId="458406E0" w14:textId="30BD2CD2" w:rsidR="00E86BE2" w:rsidRPr="0010524E" w:rsidRDefault="00E86BE2" w:rsidP="00E86BE2">
            <w:pPr>
              <w:jc w:val="both"/>
              <w:rPr>
                <w:rFonts w:cstheme="minorHAnsi"/>
                <w:sz w:val="24"/>
                <w:szCs w:val="24"/>
              </w:rPr>
            </w:pPr>
            <w:r w:rsidRPr="0010524E">
              <w:rPr>
                <w:rFonts w:ascii="Calibri" w:eastAsia="Calibri" w:hAnsi="Calibri" w:cs="Calibri"/>
                <w:sz w:val="24"/>
                <w:szCs w:val="24"/>
              </w:rPr>
              <w:lastRenderedPageBreak/>
              <w:t xml:space="preserve">§ 1º  A audiência deve ser realizada a portas fechadas na hipótese de procedimento de </w:t>
            </w:r>
            <w:r w:rsidRPr="0010524E">
              <w:rPr>
                <w:rFonts w:ascii="Calibri" w:eastAsia="Calibri" w:hAnsi="Calibri" w:cs="Calibri"/>
                <w:sz w:val="24"/>
                <w:szCs w:val="24"/>
              </w:rPr>
              <w:lastRenderedPageBreak/>
              <w:t>natureza sigilosa, desde que requerido nos moldes do § 3º do art. 357.</w:t>
            </w:r>
          </w:p>
        </w:tc>
        <w:tc>
          <w:tcPr>
            <w:tcW w:w="4648" w:type="dxa"/>
            <w:noWrap/>
          </w:tcPr>
          <w:p w14:paraId="7508A0B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Ajuste de redação.</w:t>
            </w:r>
          </w:p>
        </w:tc>
      </w:tr>
      <w:tr w:rsidR="00E86BE2" w:rsidRPr="0010524E" w14:paraId="6FC2F40B" w14:textId="5EE17BAB" w:rsidTr="00E86BE2">
        <w:trPr>
          <w:trHeight w:val="290"/>
        </w:trPr>
        <w:tc>
          <w:tcPr>
            <w:tcW w:w="4815" w:type="dxa"/>
            <w:noWrap/>
          </w:tcPr>
          <w:p w14:paraId="093CD14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2º A mediação poderá ser feita pela internet ou por outro meio de comunicação que permita a transação à distância, desde que as partes estejam de acordo.</w:t>
            </w:r>
          </w:p>
        </w:tc>
        <w:tc>
          <w:tcPr>
            <w:tcW w:w="4849" w:type="dxa"/>
            <w:noWrap/>
          </w:tcPr>
          <w:p w14:paraId="7D3545B0" w14:textId="4D3BFD9D"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2º  A mediação pode ser feita pela internet ou por outro meio de comunicação que permita a transação à distância, desde que as partes estejam de acordo.</w:t>
            </w:r>
          </w:p>
        </w:tc>
        <w:tc>
          <w:tcPr>
            <w:tcW w:w="4648" w:type="dxa"/>
            <w:noWrap/>
          </w:tcPr>
          <w:p w14:paraId="7FBF7A4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3C159762" w14:textId="6C7B3A32" w:rsidTr="00E86BE2">
        <w:trPr>
          <w:trHeight w:val="290"/>
        </w:trPr>
        <w:tc>
          <w:tcPr>
            <w:tcW w:w="4815" w:type="dxa"/>
            <w:noWrap/>
          </w:tcPr>
          <w:p w14:paraId="25194CB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3º É facultado à parte domiciliada no exterior submeter-se à mediação segundo as regras estabelecidas nesta Lei.</w:t>
            </w:r>
          </w:p>
        </w:tc>
        <w:tc>
          <w:tcPr>
            <w:tcW w:w="4849" w:type="dxa"/>
            <w:noWrap/>
          </w:tcPr>
          <w:p w14:paraId="56A213E0" w14:textId="0DAD71E1"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3º  É facultado à parte domiciliada no exterior submeter-se à mediação segundo as regras estabelecidas nesta Seção.</w:t>
            </w:r>
          </w:p>
        </w:tc>
        <w:tc>
          <w:tcPr>
            <w:tcW w:w="4648" w:type="dxa"/>
            <w:noWrap/>
          </w:tcPr>
          <w:p w14:paraId="22E16612"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6A92B821" w14:textId="6904159F" w:rsidTr="00E86BE2">
        <w:trPr>
          <w:trHeight w:val="290"/>
        </w:trPr>
        <w:tc>
          <w:tcPr>
            <w:tcW w:w="4815" w:type="dxa"/>
            <w:noWrap/>
          </w:tcPr>
          <w:p w14:paraId="235D521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4º O mediador ou o Comitê Conciliador poderá ouvir as partes, uma ou mais vezes, em conjunto ou separadamente, solicitar a apresentação de esclarecimentos ou documentos adicionais e promover as diligências que entender necessárias para informar-se sobre os pormenores do caso.</w:t>
            </w:r>
          </w:p>
        </w:tc>
        <w:tc>
          <w:tcPr>
            <w:tcW w:w="4849" w:type="dxa"/>
            <w:noWrap/>
          </w:tcPr>
          <w:p w14:paraId="4E22D468" w14:textId="784EDD90"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4º  O mediador pode ouvir as partes, uma ou mais vezes, em conjunto ou separadamente, solicitar a apresentação de esclarecimentos ou documentos adicionais e promover as diligências que entender necessárias para informar-se sobre os pormenores do caso. </w:t>
            </w:r>
          </w:p>
        </w:tc>
        <w:tc>
          <w:tcPr>
            <w:tcW w:w="4648" w:type="dxa"/>
            <w:noWrap/>
          </w:tcPr>
          <w:p w14:paraId="293B7F63"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O comitê conciliador foi retirado de todo o texto, pois nunca foi utilizado nos dez anos de atuação da câmara.</w:t>
            </w:r>
          </w:p>
        </w:tc>
      </w:tr>
      <w:tr w:rsidR="00E86BE2" w:rsidRPr="0010524E" w14:paraId="0E17CB85" w14:textId="0CC8D0E3" w:rsidTr="00E86BE2">
        <w:trPr>
          <w:trHeight w:val="290"/>
        </w:trPr>
        <w:tc>
          <w:tcPr>
            <w:tcW w:w="4815" w:type="dxa"/>
            <w:noWrap/>
          </w:tcPr>
          <w:p w14:paraId="19AEA88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5º A solução consensual que venha a ser obtida deverá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da CMCA, para que seja homologada a autocomposição, com valor de título executivo extrajudicial, nos termos do art. 20 e parágrafo único da Lei nº 13.140, de 2015.</w:t>
            </w:r>
          </w:p>
        </w:tc>
        <w:tc>
          <w:tcPr>
            <w:tcW w:w="4849" w:type="dxa"/>
            <w:noWrap/>
          </w:tcPr>
          <w:p w14:paraId="5C84E58A" w14:textId="287DFC91"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5º  A solução consensual que venha a ser obtida deve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da Câmara de Mediação, Conciliação e Arbitragem, para que seja homologada a autocomposição, com valor de título executivo </w:t>
            </w:r>
            <w:r w:rsidRPr="0010524E">
              <w:rPr>
                <w:rFonts w:ascii="Calibri" w:eastAsia="Calibri" w:hAnsi="Calibri" w:cs="Calibri"/>
                <w:sz w:val="24"/>
                <w:szCs w:val="24"/>
              </w:rPr>
              <w:lastRenderedPageBreak/>
              <w:t xml:space="preserve">extrajudicial, nos termos do art. 20 da Lei nº 13.140, de 2015. </w:t>
            </w:r>
          </w:p>
        </w:tc>
        <w:tc>
          <w:tcPr>
            <w:tcW w:w="4648" w:type="dxa"/>
            <w:noWrap/>
          </w:tcPr>
          <w:p w14:paraId="7166C170"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Ajuste de redação.</w:t>
            </w:r>
          </w:p>
        </w:tc>
      </w:tr>
      <w:tr w:rsidR="00E86BE2" w:rsidRPr="0010524E" w14:paraId="33F9E828" w14:textId="65F91570" w:rsidTr="00E86BE2">
        <w:trPr>
          <w:trHeight w:val="290"/>
        </w:trPr>
        <w:tc>
          <w:tcPr>
            <w:tcW w:w="4815" w:type="dxa"/>
            <w:noWrap/>
          </w:tcPr>
          <w:p w14:paraId="41E75B1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6º O Presidente da CMCA somente poderá deixar de homologar a solução consensual em caso de vício de consentimento ou de violação literal a disposição legal.</w:t>
            </w:r>
          </w:p>
        </w:tc>
        <w:tc>
          <w:tcPr>
            <w:tcW w:w="4849" w:type="dxa"/>
            <w:noWrap/>
          </w:tcPr>
          <w:p w14:paraId="639EA73F" w14:textId="68A27083"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6º  O Presidente da Câmara de Mediação, Conciliação e Arbitragem somente pode deixar de homologar a solução consensual em caso de vício de consentimento ou de violação literal à disposição legal. </w:t>
            </w:r>
          </w:p>
        </w:tc>
        <w:tc>
          <w:tcPr>
            <w:tcW w:w="4648" w:type="dxa"/>
            <w:noWrap/>
          </w:tcPr>
          <w:p w14:paraId="5882FB92"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48A26CE7" w14:textId="7B1782CE" w:rsidTr="00E86BE2">
        <w:trPr>
          <w:trHeight w:val="290"/>
        </w:trPr>
        <w:tc>
          <w:tcPr>
            <w:tcW w:w="4815" w:type="dxa"/>
            <w:noWrap/>
          </w:tcPr>
          <w:p w14:paraId="154C1163"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7º Não se obtendo solução consensual, e não sendo possível a arbitragem, o procedimento será imediatamente arquivado, mediante despacho do Presidente da CMCA.</w:t>
            </w:r>
          </w:p>
        </w:tc>
        <w:tc>
          <w:tcPr>
            <w:tcW w:w="4849" w:type="dxa"/>
            <w:noWrap/>
          </w:tcPr>
          <w:p w14:paraId="2243C80D" w14:textId="72288A4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7º  Não se obtendo solução consensual, e não sendo possível a arbitragem, o procedimento é imediatamente arquivado, mediante despacho do Presidente da Câmara de Mediação, Conciliação e Arbitragem. </w:t>
            </w:r>
          </w:p>
        </w:tc>
        <w:tc>
          <w:tcPr>
            <w:tcW w:w="4648" w:type="dxa"/>
            <w:noWrap/>
          </w:tcPr>
          <w:p w14:paraId="1D5E6055"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596D0D94" w14:textId="7CE336A7" w:rsidTr="00E86BE2">
        <w:trPr>
          <w:trHeight w:val="290"/>
        </w:trPr>
        <w:tc>
          <w:tcPr>
            <w:tcW w:w="4815" w:type="dxa"/>
            <w:noWrap/>
          </w:tcPr>
          <w:p w14:paraId="1A38B37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8º Havendo interesse na convenção de arbitragem, e inexistindo cláusula arbitral prévia, será lavrado o Termo de Compromisso Arbitral, que definirá os aspectos sobre os quais verse a controvérsia.</w:t>
            </w:r>
          </w:p>
        </w:tc>
        <w:tc>
          <w:tcPr>
            <w:tcW w:w="4849" w:type="dxa"/>
            <w:noWrap/>
          </w:tcPr>
          <w:p w14:paraId="0C496BAB" w14:textId="0581BCEC"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8º  Havendo interesse na convenção de arbitragem, e inexistindo cláusula arbitral prévia, é lavrado o Termo de Compromisso Arbitral, que define os aspectos sobre os quais verse a controvérsia. </w:t>
            </w:r>
          </w:p>
        </w:tc>
        <w:tc>
          <w:tcPr>
            <w:tcW w:w="4648" w:type="dxa"/>
            <w:noWrap/>
          </w:tcPr>
          <w:p w14:paraId="77B442A1"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46D116A1" w14:textId="3417717B" w:rsidTr="00E86BE2">
        <w:trPr>
          <w:trHeight w:val="290"/>
        </w:trPr>
        <w:tc>
          <w:tcPr>
            <w:tcW w:w="4815" w:type="dxa"/>
            <w:noWrap/>
          </w:tcPr>
          <w:p w14:paraId="47AEC09B"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10. Ausente à audiência qualquer dos interessados e estando os autos instruídos com o compromisso arbitral contendo a indicação expressa de que a arbitragem será realizada pela CMCA, terá prosseguimento o procedimento arbitral.</w:t>
            </w:r>
          </w:p>
        </w:tc>
        <w:tc>
          <w:tcPr>
            <w:tcW w:w="4849" w:type="dxa"/>
            <w:noWrap/>
          </w:tcPr>
          <w:p w14:paraId="161FCBFC" w14:textId="7C2CD89F"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Art. 360.  Ausente à audiência qualquer dos interessados e estando os autos instruídos com o compromisso arbitral contendo a indicação expressa de que a arbitragem será realizada pela Câmara de Mediação, Conciliação e Arbitragem, tem prosseguimento o procedimento arbitral. </w:t>
            </w:r>
          </w:p>
        </w:tc>
        <w:tc>
          <w:tcPr>
            <w:tcW w:w="4648" w:type="dxa"/>
            <w:noWrap/>
          </w:tcPr>
          <w:p w14:paraId="5CE13592"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Alteração da ordem das etapas do procedimento de mediação para torna-lo mais lógico.</w:t>
            </w:r>
          </w:p>
        </w:tc>
      </w:tr>
      <w:tr w:rsidR="00E86BE2" w:rsidRPr="0010524E" w14:paraId="4935CF1F" w14:textId="1D5EEEBA" w:rsidTr="00E86BE2">
        <w:trPr>
          <w:trHeight w:val="290"/>
        </w:trPr>
        <w:tc>
          <w:tcPr>
            <w:tcW w:w="4815" w:type="dxa"/>
            <w:noWrap/>
          </w:tcPr>
          <w:p w14:paraId="5E5DEA3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xml:space="preserve">§ 1º Não havendo compromisso arbitral ou não tendo sido requerida a arbitragem, o procedimento poderá será arquivado mediante simples registro do ocorrido, ressalvada a </w:t>
            </w:r>
            <w:r w:rsidRPr="0010524E">
              <w:rPr>
                <w:rFonts w:cstheme="minorHAnsi"/>
                <w:sz w:val="24"/>
                <w:szCs w:val="24"/>
              </w:rPr>
              <w:lastRenderedPageBreak/>
              <w:t>possibilidade de contato telefônico informal ou por correio eletrônico com a parte ausente, com a finalidade de se averiguar a viabilidade de prosseguimento.</w:t>
            </w:r>
          </w:p>
        </w:tc>
        <w:tc>
          <w:tcPr>
            <w:tcW w:w="4849" w:type="dxa"/>
            <w:noWrap/>
          </w:tcPr>
          <w:p w14:paraId="53F01880"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3CE8C762"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Excluído, pois repete conceitos já expostos antes.</w:t>
            </w:r>
          </w:p>
        </w:tc>
      </w:tr>
      <w:tr w:rsidR="00E86BE2" w:rsidRPr="0010524E" w14:paraId="15C47AC2" w14:textId="3680D2AA" w:rsidTr="00E86BE2">
        <w:trPr>
          <w:trHeight w:val="290"/>
        </w:trPr>
        <w:tc>
          <w:tcPr>
            <w:tcW w:w="4815" w:type="dxa"/>
            <w:noWrap/>
          </w:tcPr>
          <w:p w14:paraId="3057ADE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2º As partes, de comum acordo, poderão afastar a aplicação de dispositivo do regulamento do órgão arbitral institucional ou entidade especializada que limite a escolha do árbitro único, coárbitro ou presidente do tribunal à respectiva lista de árbitros, autorizado o controle da escolha pelo Presidente da CMCA, sendo que, nos casos de impasse e arbitragem multiparte, deverá ser observado o que dispuser o regulamento.</w:t>
            </w:r>
          </w:p>
        </w:tc>
        <w:tc>
          <w:tcPr>
            <w:tcW w:w="4849" w:type="dxa"/>
            <w:noWrap/>
          </w:tcPr>
          <w:p w14:paraId="2EB7685C"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4D2B6B6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Excluído, pois repete conceitos já expostos antes.</w:t>
            </w:r>
          </w:p>
        </w:tc>
      </w:tr>
      <w:tr w:rsidR="00E86BE2" w:rsidRPr="0010524E" w14:paraId="2CA9FBD9" w14:textId="3A6EA0D4" w:rsidTr="00E86BE2">
        <w:trPr>
          <w:trHeight w:val="290"/>
        </w:trPr>
        <w:tc>
          <w:tcPr>
            <w:tcW w:w="4815" w:type="dxa"/>
            <w:noWrap/>
          </w:tcPr>
          <w:p w14:paraId="2DA60F43"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3º A revelia não gera os efeitos mencionados no art. 344 do Código de Processo Civil, assim como não impedirá que seja proferida a sentença arbitral.</w:t>
            </w:r>
          </w:p>
        </w:tc>
        <w:tc>
          <w:tcPr>
            <w:tcW w:w="4849" w:type="dxa"/>
            <w:noWrap/>
          </w:tcPr>
          <w:p w14:paraId="56A44C50"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78108422"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Excluído, para retirar os institutos do CPC nos processos de arbitragem</w:t>
            </w:r>
          </w:p>
        </w:tc>
      </w:tr>
      <w:tr w:rsidR="00E86BE2" w:rsidRPr="0010524E" w14:paraId="1D719455" w14:textId="035D5111" w:rsidTr="00E86BE2">
        <w:trPr>
          <w:trHeight w:val="290"/>
        </w:trPr>
        <w:tc>
          <w:tcPr>
            <w:tcW w:w="4815" w:type="dxa"/>
            <w:noWrap/>
          </w:tcPr>
          <w:p w14:paraId="102F721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11. Os árbitros, conciliadores e experts que participarem do processo de composição extrajudicial do conflito, somente poderão ser responsabilizados civil, administrativa ou criminalmente quando, mediante dolo ou fraude, receberem qualquer vantagem patrimonial indevida.</w:t>
            </w:r>
          </w:p>
        </w:tc>
        <w:tc>
          <w:tcPr>
            <w:tcW w:w="4849" w:type="dxa"/>
            <w:noWrap/>
          </w:tcPr>
          <w:p w14:paraId="073900C0"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30DE8D28" w14:textId="77777777" w:rsidR="00E86BE2" w:rsidRPr="0010524E" w:rsidRDefault="00E86BE2" w:rsidP="00E86BE2">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 xml:space="preserve">Realocado. </w:t>
            </w:r>
          </w:p>
          <w:p w14:paraId="64DA155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xml:space="preserve">Novo  § 3º do art. 838. </w:t>
            </w:r>
          </w:p>
        </w:tc>
      </w:tr>
      <w:tr w:rsidR="00E86BE2" w:rsidRPr="0010524E" w14:paraId="68E2B2B5" w14:textId="2B888F6D" w:rsidTr="00E86BE2">
        <w:trPr>
          <w:trHeight w:val="290"/>
        </w:trPr>
        <w:tc>
          <w:tcPr>
            <w:tcW w:w="4815" w:type="dxa"/>
            <w:noWrap/>
          </w:tcPr>
          <w:p w14:paraId="29543FAC"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xml:space="preserve">Art. 12 Antes de instituída a arbitragem, as partes poderão recorrer ao Poder Judiciário </w:t>
            </w:r>
            <w:r w:rsidRPr="0010524E">
              <w:rPr>
                <w:rFonts w:cstheme="minorHAnsi"/>
                <w:sz w:val="24"/>
                <w:szCs w:val="24"/>
              </w:rPr>
              <w:lastRenderedPageBreak/>
              <w:t>para a concessão de medida cautelar ou de urgência.</w:t>
            </w:r>
          </w:p>
        </w:tc>
        <w:tc>
          <w:tcPr>
            <w:tcW w:w="4849" w:type="dxa"/>
            <w:noWrap/>
          </w:tcPr>
          <w:p w14:paraId="201B6534"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56064CD0" w14:textId="77777777" w:rsidR="00E86BE2" w:rsidRPr="0010524E" w:rsidRDefault="00E86BE2" w:rsidP="00E86BE2">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 xml:space="preserve">Realocado. </w:t>
            </w:r>
          </w:p>
          <w:p w14:paraId="4ABDA7F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O art. 12 passou para o art. 833, que trata das tutelas de urgência.</w:t>
            </w:r>
          </w:p>
        </w:tc>
      </w:tr>
      <w:tr w:rsidR="00E86BE2" w:rsidRPr="0010524E" w14:paraId="0F9B0535" w14:textId="79F2FA90" w:rsidTr="00E86BE2">
        <w:trPr>
          <w:trHeight w:val="290"/>
        </w:trPr>
        <w:tc>
          <w:tcPr>
            <w:tcW w:w="4815" w:type="dxa"/>
            <w:noWrap/>
          </w:tcPr>
          <w:p w14:paraId="5BEEB81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1º Cessa a eficácia da medida cautelar ou de urgência se a parte interessada não requerer a instituição da arbitragem no prazo de 30 (trinta) dias, contado da data de efetivação da respectiva decisão.</w:t>
            </w:r>
          </w:p>
        </w:tc>
        <w:tc>
          <w:tcPr>
            <w:tcW w:w="4849" w:type="dxa"/>
            <w:noWrap/>
          </w:tcPr>
          <w:p w14:paraId="701A6C74"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40BF8D42" w14:textId="77777777" w:rsidR="00E86BE2" w:rsidRPr="0010524E" w:rsidRDefault="00E86BE2" w:rsidP="00E86BE2">
            <w:pPr>
              <w:jc w:val="both"/>
              <w:rPr>
                <w:rFonts w:eastAsia="Times New Roman" w:cstheme="minorHAnsi"/>
                <w:sz w:val="24"/>
                <w:szCs w:val="24"/>
                <w:lang w:eastAsia="pt-BR"/>
              </w:rPr>
            </w:pPr>
          </w:p>
        </w:tc>
      </w:tr>
      <w:tr w:rsidR="00E86BE2" w:rsidRPr="0010524E" w14:paraId="0A676D2D" w14:textId="41D55E21" w:rsidTr="00E86BE2">
        <w:trPr>
          <w:trHeight w:val="290"/>
        </w:trPr>
        <w:tc>
          <w:tcPr>
            <w:tcW w:w="4815" w:type="dxa"/>
            <w:noWrap/>
          </w:tcPr>
          <w:p w14:paraId="492368C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2º Instituída a arbitragem, caberá aos árbitros manter, modificar ou revogar a medida cautelar ou de urgência concedida pelo Poder Judiciário.</w:t>
            </w:r>
          </w:p>
        </w:tc>
        <w:tc>
          <w:tcPr>
            <w:tcW w:w="4849" w:type="dxa"/>
            <w:noWrap/>
          </w:tcPr>
          <w:p w14:paraId="6E770EFA"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68867C9C" w14:textId="77777777" w:rsidR="00E86BE2" w:rsidRPr="0010524E" w:rsidRDefault="00E86BE2" w:rsidP="00E86BE2">
            <w:pPr>
              <w:jc w:val="both"/>
              <w:rPr>
                <w:rFonts w:eastAsia="Times New Roman" w:cstheme="minorHAnsi"/>
                <w:sz w:val="24"/>
                <w:szCs w:val="24"/>
                <w:lang w:eastAsia="pt-BR"/>
              </w:rPr>
            </w:pPr>
          </w:p>
        </w:tc>
      </w:tr>
      <w:tr w:rsidR="00E86BE2" w:rsidRPr="0010524E" w14:paraId="6215AF0C" w14:textId="6EF9D4F1" w:rsidTr="00E86BE2">
        <w:trPr>
          <w:trHeight w:val="290"/>
        </w:trPr>
        <w:tc>
          <w:tcPr>
            <w:tcW w:w="4815" w:type="dxa"/>
            <w:noWrap/>
          </w:tcPr>
          <w:p w14:paraId="3CD41E8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3º Estando já instituída a arbitragem, a medida cautelar ou de urgência será requerida diretamente aos árbitros.</w:t>
            </w:r>
          </w:p>
        </w:tc>
        <w:tc>
          <w:tcPr>
            <w:tcW w:w="4849" w:type="dxa"/>
            <w:noWrap/>
          </w:tcPr>
          <w:p w14:paraId="30A41050"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21129CCA" w14:textId="77777777" w:rsidR="00E86BE2" w:rsidRPr="0010524E" w:rsidRDefault="00E86BE2" w:rsidP="00E86BE2">
            <w:pPr>
              <w:jc w:val="both"/>
              <w:rPr>
                <w:rFonts w:eastAsia="Times New Roman" w:cstheme="minorHAnsi"/>
                <w:sz w:val="24"/>
                <w:szCs w:val="24"/>
                <w:lang w:eastAsia="pt-BR"/>
              </w:rPr>
            </w:pPr>
          </w:p>
        </w:tc>
      </w:tr>
      <w:tr w:rsidR="00E86BE2" w:rsidRPr="0010524E" w14:paraId="1849B45D" w14:textId="047F4BEF" w:rsidTr="00E86BE2">
        <w:trPr>
          <w:trHeight w:val="290"/>
        </w:trPr>
        <w:tc>
          <w:tcPr>
            <w:tcW w:w="4815" w:type="dxa"/>
            <w:noWrap/>
          </w:tcPr>
          <w:p w14:paraId="60DD0E28" w14:textId="77777777" w:rsidR="00E86BE2" w:rsidRDefault="00E86BE2" w:rsidP="00E86BE2">
            <w:pPr>
              <w:jc w:val="center"/>
              <w:rPr>
                <w:rFonts w:cstheme="minorHAnsi"/>
                <w:sz w:val="24"/>
                <w:szCs w:val="24"/>
              </w:rPr>
            </w:pPr>
            <w:r w:rsidRPr="0010524E">
              <w:rPr>
                <w:rFonts w:cstheme="minorHAnsi"/>
                <w:sz w:val="24"/>
                <w:szCs w:val="24"/>
              </w:rPr>
              <w:t>CAPÍTULO VI</w:t>
            </w:r>
          </w:p>
          <w:p w14:paraId="74E94C01" w14:textId="1B750214" w:rsidR="00E86BE2" w:rsidRPr="0010524E" w:rsidRDefault="00E86BE2" w:rsidP="00E86BE2">
            <w:pPr>
              <w:jc w:val="center"/>
              <w:rPr>
                <w:rFonts w:eastAsia="Times New Roman" w:cstheme="minorHAnsi"/>
                <w:sz w:val="24"/>
                <w:szCs w:val="24"/>
                <w:lang w:eastAsia="pt-BR"/>
              </w:rPr>
            </w:pPr>
            <w:r w:rsidRPr="0010524E">
              <w:rPr>
                <w:rFonts w:cstheme="minorHAnsi"/>
                <w:sz w:val="24"/>
                <w:szCs w:val="24"/>
              </w:rPr>
              <w:t>COMPOSIÇÃO DO TRIBUNAL ARBITRAL</w:t>
            </w:r>
          </w:p>
        </w:tc>
        <w:tc>
          <w:tcPr>
            <w:tcW w:w="4849" w:type="dxa"/>
            <w:noWrap/>
          </w:tcPr>
          <w:p w14:paraId="2694F5C0" w14:textId="77777777" w:rsidR="00E86BE2" w:rsidRDefault="00E86BE2" w:rsidP="00E86BE2">
            <w:pPr>
              <w:jc w:val="center"/>
              <w:rPr>
                <w:rFonts w:cstheme="minorHAnsi"/>
                <w:b/>
                <w:bCs/>
                <w:sz w:val="24"/>
                <w:szCs w:val="24"/>
              </w:rPr>
            </w:pPr>
            <w:r w:rsidRPr="0010524E">
              <w:rPr>
                <w:rFonts w:cstheme="minorHAnsi"/>
                <w:b/>
                <w:bCs/>
                <w:sz w:val="24"/>
                <w:szCs w:val="24"/>
              </w:rPr>
              <w:t>Subseção III</w:t>
            </w:r>
          </w:p>
          <w:p w14:paraId="3515AABD" w14:textId="3BA48EAF" w:rsidR="00E86BE2" w:rsidRPr="0010524E" w:rsidRDefault="00E86BE2" w:rsidP="00E86BE2">
            <w:pPr>
              <w:jc w:val="center"/>
              <w:rPr>
                <w:rFonts w:eastAsia="Times New Roman" w:cstheme="minorHAnsi"/>
                <w:b/>
                <w:bCs/>
                <w:sz w:val="24"/>
                <w:szCs w:val="24"/>
                <w:lang w:eastAsia="pt-BR"/>
              </w:rPr>
            </w:pPr>
            <w:r w:rsidRPr="0010524E">
              <w:rPr>
                <w:rFonts w:cstheme="minorHAnsi"/>
                <w:b/>
                <w:bCs/>
                <w:sz w:val="24"/>
                <w:szCs w:val="24"/>
              </w:rPr>
              <w:t>Arbitragem</w:t>
            </w:r>
          </w:p>
        </w:tc>
        <w:tc>
          <w:tcPr>
            <w:tcW w:w="4648" w:type="dxa"/>
            <w:noWrap/>
          </w:tcPr>
          <w:p w14:paraId="1B43EF8D" w14:textId="77777777" w:rsidR="00E86BE2" w:rsidRPr="0010524E" w:rsidRDefault="00E86BE2" w:rsidP="00E86BE2">
            <w:pPr>
              <w:jc w:val="both"/>
              <w:rPr>
                <w:rFonts w:eastAsia="Times New Roman" w:cstheme="minorHAnsi"/>
                <w:sz w:val="24"/>
                <w:szCs w:val="24"/>
                <w:lang w:eastAsia="pt-BR"/>
              </w:rPr>
            </w:pPr>
          </w:p>
        </w:tc>
      </w:tr>
      <w:tr w:rsidR="00E86BE2" w:rsidRPr="0010524E" w14:paraId="696AF7D4" w14:textId="16BBD606" w:rsidTr="00E86BE2">
        <w:trPr>
          <w:trHeight w:val="290"/>
        </w:trPr>
        <w:tc>
          <w:tcPr>
            <w:tcW w:w="4815" w:type="dxa"/>
            <w:noWrap/>
          </w:tcPr>
          <w:p w14:paraId="2ADFD4E9" w14:textId="77777777" w:rsidR="00E86BE2" w:rsidRPr="0010524E" w:rsidRDefault="00E86BE2" w:rsidP="00E86BE2">
            <w:pPr>
              <w:jc w:val="both"/>
              <w:rPr>
                <w:rFonts w:eastAsia="Times New Roman" w:cstheme="minorHAnsi"/>
                <w:sz w:val="24"/>
                <w:szCs w:val="24"/>
                <w:lang w:eastAsia="pt-BR"/>
              </w:rPr>
            </w:pPr>
          </w:p>
        </w:tc>
        <w:tc>
          <w:tcPr>
            <w:tcW w:w="4849" w:type="dxa"/>
            <w:noWrap/>
          </w:tcPr>
          <w:p w14:paraId="67F7B2D4" w14:textId="671BE19D"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361.  Antes da nomeação do tribunal arbitral, deve ser elaborada a minuta do compromisso arbitral, o qual deve conter:</w:t>
            </w:r>
          </w:p>
        </w:tc>
        <w:tc>
          <w:tcPr>
            <w:tcW w:w="4648" w:type="dxa"/>
            <w:noWrap/>
          </w:tcPr>
          <w:p w14:paraId="2494541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Inserido – dispositivo explica pontos essenciais do compromisso arbitral.</w:t>
            </w:r>
          </w:p>
        </w:tc>
      </w:tr>
      <w:tr w:rsidR="00E86BE2" w:rsidRPr="0010524E" w14:paraId="2BE96FB8" w14:textId="280CDE30" w:rsidTr="00E86BE2">
        <w:trPr>
          <w:trHeight w:val="290"/>
        </w:trPr>
        <w:tc>
          <w:tcPr>
            <w:tcW w:w="4815" w:type="dxa"/>
            <w:noWrap/>
          </w:tcPr>
          <w:p w14:paraId="47B27B6C" w14:textId="77777777" w:rsidR="00E86BE2" w:rsidRPr="0010524E" w:rsidRDefault="00E86BE2" w:rsidP="00E86BE2">
            <w:pPr>
              <w:jc w:val="both"/>
              <w:rPr>
                <w:rFonts w:eastAsia="Times New Roman" w:cstheme="minorHAnsi"/>
                <w:sz w:val="24"/>
                <w:szCs w:val="24"/>
                <w:lang w:eastAsia="pt-BR"/>
              </w:rPr>
            </w:pPr>
          </w:p>
        </w:tc>
        <w:tc>
          <w:tcPr>
            <w:tcW w:w="4849" w:type="dxa"/>
            <w:noWrap/>
          </w:tcPr>
          <w:p w14:paraId="2535BE4B" w14:textId="4AF89A42"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I - nome, qualificação completa, endereço e e-mail das partes e de seus advogados; </w:t>
            </w:r>
          </w:p>
        </w:tc>
        <w:tc>
          <w:tcPr>
            <w:tcW w:w="4648" w:type="dxa"/>
            <w:noWrap/>
          </w:tcPr>
          <w:p w14:paraId="19D217D8" w14:textId="77777777" w:rsidR="00E86BE2" w:rsidRPr="0010524E" w:rsidRDefault="00E86BE2" w:rsidP="00E86BE2">
            <w:pPr>
              <w:jc w:val="both"/>
              <w:rPr>
                <w:rFonts w:eastAsia="Times New Roman" w:cstheme="minorHAnsi"/>
                <w:sz w:val="24"/>
                <w:szCs w:val="24"/>
                <w:lang w:eastAsia="pt-BR"/>
              </w:rPr>
            </w:pPr>
          </w:p>
        </w:tc>
      </w:tr>
      <w:tr w:rsidR="00E86BE2" w:rsidRPr="0010524E" w14:paraId="213ABEEC" w14:textId="7B390E0B" w:rsidTr="00E86BE2">
        <w:trPr>
          <w:trHeight w:val="290"/>
        </w:trPr>
        <w:tc>
          <w:tcPr>
            <w:tcW w:w="4815" w:type="dxa"/>
            <w:noWrap/>
          </w:tcPr>
          <w:p w14:paraId="356FACCD" w14:textId="77777777" w:rsidR="00E86BE2" w:rsidRPr="0010524E" w:rsidRDefault="00E86BE2" w:rsidP="00E86BE2">
            <w:pPr>
              <w:jc w:val="both"/>
              <w:rPr>
                <w:rFonts w:eastAsia="Times New Roman" w:cstheme="minorHAnsi"/>
                <w:sz w:val="24"/>
                <w:szCs w:val="24"/>
                <w:lang w:eastAsia="pt-BR"/>
              </w:rPr>
            </w:pPr>
          </w:p>
        </w:tc>
        <w:tc>
          <w:tcPr>
            <w:tcW w:w="4849" w:type="dxa"/>
            <w:noWrap/>
          </w:tcPr>
          <w:p w14:paraId="18450ED7" w14:textId="1D406F0B"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II - nome, qualificação completa, endereço e e-mail dos árbitros; </w:t>
            </w:r>
          </w:p>
        </w:tc>
        <w:tc>
          <w:tcPr>
            <w:tcW w:w="4648" w:type="dxa"/>
            <w:noWrap/>
          </w:tcPr>
          <w:p w14:paraId="2C5703D5" w14:textId="77777777" w:rsidR="00E86BE2" w:rsidRPr="0010524E" w:rsidRDefault="00E86BE2" w:rsidP="00E86BE2">
            <w:pPr>
              <w:jc w:val="both"/>
              <w:rPr>
                <w:rFonts w:eastAsia="Times New Roman" w:cstheme="minorHAnsi"/>
                <w:sz w:val="24"/>
                <w:szCs w:val="24"/>
                <w:lang w:eastAsia="pt-BR"/>
              </w:rPr>
            </w:pPr>
          </w:p>
        </w:tc>
      </w:tr>
      <w:tr w:rsidR="00E86BE2" w:rsidRPr="0010524E" w14:paraId="3353AF24" w14:textId="6E4395A7" w:rsidTr="00E86BE2">
        <w:trPr>
          <w:trHeight w:val="290"/>
        </w:trPr>
        <w:tc>
          <w:tcPr>
            <w:tcW w:w="4815" w:type="dxa"/>
            <w:noWrap/>
          </w:tcPr>
          <w:p w14:paraId="65BB3494" w14:textId="77777777" w:rsidR="00E86BE2" w:rsidRPr="0010524E" w:rsidRDefault="00E86BE2" w:rsidP="00E86BE2">
            <w:pPr>
              <w:jc w:val="both"/>
              <w:rPr>
                <w:rFonts w:eastAsia="Times New Roman" w:cstheme="minorHAnsi"/>
                <w:sz w:val="24"/>
                <w:szCs w:val="24"/>
                <w:lang w:eastAsia="pt-BR"/>
              </w:rPr>
            </w:pPr>
          </w:p>
        </w:tc>
        <w:tc>
          <w:tcPr>
            <w:tcW w:w="4849" w:type="dxa"/>
            <w:noWrap/>
          </w:tcPr>
          <w:p w14:paraId="59DD1198" w14:textId="6CC1BC5B"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III - a matéria que será objeto da arbitragem; </w:t>
            </w:r>
          </w:p>
        </w:tc>
        <w:tc>
          <w:tcPr>
            <w:tcW w:w="4648" w:type="dxa"/>
            <w:noWrap/>
          </w:tcPr>
          <w:p w14:paraId="10F8C96A" w14:textId="77777777" w:rsidR="00E86BE2" w:rsidRPr="0010524E" w:rsidRDefault="00E86BE2" w:rsidP="00E86BE2">
            <w:pPr>
              <w:jc w:val="both"/>
              <w:rPr>
                <w:rFonts w:eastAsia="Times New Roman" w:cstheme="minorHAnsi"/>
                <w:sz w:val="24"/>
                <w:szCs w:val="24"/>
                <w:lang w:eastAsia="pt-BR"/>
              </w:rPr>
            </w:pPr>
          </w:p>
        </w:tc>
      </w:tr>
      <w:tr w:rsidR="00E86BE2" w:rsidRPr="0010524E" w14:paraId="1F7388B2" w14:textId="3D78246A" w:rsidTr="00E86BE2">
        <w:trPr>
          <w:trHeight w:val="290"/>
        </w:trPr>
        <w:tc>
          <w:tcPr>
            <w:tcW w:w="4815" w:type="dxa"/>
            <w:noWrap/>
          </w:tcPr>
          <w:p w14:paraId="2C72C46E" w14:textId="77777777" w:rsidR="00E86BE2" w:rsidRPr="0010524E" w:rsidRDefault="00E86BE2" w:rsidP="00E86BE2">
            <w:pPr>
              <w:jc w:val="both"/>
              <w:rPr>
                <w:rFonts w:eastAsia="Times New Roman" w:cstheme="minorHAnsi"/>
                <w:sz w:val="24"/>
                <w:szCs w:val="24"/>
                <w:lang w:eastAsia="pt-BR"/>
              </w:rPr>
            </w:pPr>
          </w:p>
        </w:tc>
        <w:tc>
          <w:tcPr>
            <w:tcW w:w="4849" w:type="dxa"/>
            <w:noWrap/>
          </w:tcPr>
          <w:p w14:paraId="49E68D52" w14:textId="17C4D054"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IV - o valor real ou estimado do litígio; </w:t>
            </w:r>
          </w:p>
        </w:tc>
        <w:tc>
          <w:tcPr>
            <w:tcW w:w="4648" w:type="dxa"/>
            <w:noWrap/>
          </w:tcPr>
          <w:p w14:paraId="2CC86911" w14:textId="77777777" w:rsidR="00E86BE2" w:rsidRPr="0010524E" w:rsidRDefault="00E86BE2" w:rsidP="00E86BE2">
            <w:pPr>
              <w:jc w:val="both"/>
              <w:rPr>
                <w:rFonts w:eastAsia="Times New Roman" w:cstheme="minorHAnsi"/>
                <w:sz w:val="24"/>
                <w:szCs w:val="24"/>
                <w:lang w:eastAsia="pt-BR"/>
              </w:rPr>
            </w:pPr>
          </w:p>
        </w:tc>
      </w:tr>
      <w:tr w:rsidR="00E86BE2" w:rsidRPr="0010524E" w14:paraId="3F9D5486" w14:textId="0AE1D1EE" w:rsidTr="00E86BE2">
        <w:trPr>
          <w:trHeight w:val="290"/>
        </w:trPr>
        <w:tc>
          <w:tcPr>
            <w:tcW w:w="4815" w:type="dxa"/>
            <w:noWrap/>
          </w:tcPr>
          <w:p w14:paraId="2E4FCE23" w14:textId="77777777" w:rsidR="00E86BE2" w:rsidRPr="0010524E" w:rsidRDefault="00E86BE2" w:rsidP="00E86BE2">
            <w:pPr>
              <w:jc w:val="both"/>
              <w:rPr>
                <w:rFonts w:eastAsia="Times New Roman" w:cstheme="minorHAnsi"/>
                <w:sz w:val="24"/>
                <w:szCs w:val="24"/>
                <w:lang w:eastAsia="pt-BR"/>
              </w:rPr>
            </w:pPr>
          </w:p>
        </w:tc>
        <w:tc>
          <w:tcPr>
            <w:tcW w:w="4849" w:type="dxa"/>
            <w:noWrap/>
          </w:tcPr>
          <w:p w14:paraId="46A3D467" w14:textId="5D2441DD"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V - local onde deve ser desenvolvida e arbitragem e proferida a sentença arbitral; </w:t>
            </w:r>
          </w:p>
        </w:tc>
        <w:tc>
          <w:tcPr>
            <w:tcW w:w="4648" w:type="dxa"/>
            <w:noWrap/>
          </w:tcPr>
          <w:p w14:paraId="16185C65" w14:textId="77777777" w:rsidR="00E86BE2" w:rsidRPr="0010524E" w:rsidRDefault="00E86BE2" w:rsidP="00E86BE2">
            <w:pPr>
              <w:jc w:val="both"/>
              <w:rPr>
                <w:rFonts w:eastAsia="Times New Roman" w:cstheme="minorHAnsi"/>
                <w:sz w:val="24"/>
                <w:szCs w:val="24"/>
                <w:lang w:eastAsia="pt-BR"/>
              </w:rPr>
            </w:pPr>
          </w:p>
        </w:tc>
      </w:tr>
      <w:tr w:rsidR="00E86BE2" w:rsidRPr="0010524E" w14:paraId="1024BE36" w14:textId="5AD18EDE" w:rsidTr="00E86BE2">
        <w:trPr>
          <w:trHeight w:val="290"/>
        </w:trPr>
        <w:tc>
          <w:tcPr>
            <w:tcW w:w="4815" w:type="dxa"/>
            <w:noWrap/>
          </w:tcPr>
          <w:p w14:paraId="11C07D9C" w14:textId="77777777" w:rsidR="00E86BE2" w:rsidRPr="0010524E" w:rsidRDefault="00E86BE2" w:rsidP="00E86BE2">
            <w:pPr>
              <w:jc w:val="both"/>
              <w:rPr>
                <w:rFonts w:eastAsia="Times New Roman" w:cstheme="minorHAnsi"/>
                <w:sz w:val="24"/>
                <w:szCs w:val="24"/>
                <w:lang w:eastAsia="pt-BR"/>
              </w:rPr>
            </w:pPr>
          </w:p>
        </w:tc>
        <w:tc>
          <w:tcPr>
            <w:tcW w:w="4849" w:type="dxa"/>
            <w:noWrap/>
          </w:tcPr>
          <w:p w14:paraId="209F96DA" w14:textId="34CBDE7C"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VI - o prazo para apresentação da sentença arbitral; e</w:t>
            </w:r>
          </w:p>
        </w:tc>
        <w:tc>
          <w:tcPr>
            <w:tcW w:w="4648" w:type="dxa"/>
            <w:noWrap/>
          </w:tcPr>
          <w:p w14:paraId="256AE01F" w14:textId="77777777" w:rsidR="00E86BE2" w:rsidRPr="0010524E" w:rsidRDefault="00E86BE2" w:rsidP="00E86BE2">
            <w:pPr>
              <w:jc w:val="both"/>
              <w:rPr>
                <w:rFonts w:eastAsia="Times New Roman" w:cstheme="minorHAnsi"/>
                <w:sz w:val="24"/>
                <w:szCs w:val="24"/>
                <w:lang w:eastAsia="pt-BR"/>
              </w:rPr>
            </w:pPr>
          </w:p>
        </w:tc>
      </w:tr>
      <w:tr w:rsidR="00E86BE2" w:rsidRPr="0010524E" w14:paraId="26A655AE" w14:textId="4B877C00" w:rsidTr="00E86BE2">
        <w:trPr>
          <w:trHeight w:val="290"/>
        </w:trPr>
        <w:tc>
          <w:tcPr>
            <w:tcW w:w="4815" w:type="dxa"/>
            <w:noWrap/>
          </w:tcPr>
          <w:p w14:paraId="6CA1D2E4" w14:textId="77777777" w:rsidR="00E86BE2" w:rsidRPr="0010524E" w:rsidRDefault="00E86BE2" w:rsidP="00E86BE2">
            <w:pPr>
              <w:jc w:val="both"/>
              <w:rPr>
                <w:rFonts w:cstheme="minorHAnsi"/>
                <w:sz w:val="24"/>
                <w:szCs w:val="24"/>
              </w:rPr>
            </w:pPr>
          </w:p>
        </w:tc>
        <w:tc>
          <w:tcPr>
            <w:tcW w:w="4849" w:type="dxa"/>
            <w:noWrap/>
          </w:tcPr>
          <w:p w14:paraId="1724544A" w14:textId="3661371B" w:rsidR="00E86BE2" w:rsidRPr="0010524E" w:rsidRDefault="00E86BE2" w:rsidP="00E86BE2">
            <w:pPr>
              <w:jc w:val="both"/>
              <w:rPr>
                <w:rFonts w:cstheme="minorHAnsi"/>
                <w:sz w:val="24"/>
                <w:szCs w:val="24"/>
              </w:rPr>
            </w:pPr>
            <w:r w:rsidRPr="0010524E">
              <w:rPr>
                <w:rFonts w:ascii="Calibri" w:eastAsia="Calibri" w:hAnsi="Calibri" w:cs="Calibri"/>
                <w:sz w:val="24"/>
                <w:szCs w:val="24"/>
              </w:rPr>
              <w:t>VII - o idioma em que deve ser conduzido o procedimento arbitral.</w:t>
            </w:r>
          </w:p>
        </w:tc>
        <w:tc>
          <w:tcPr>
            <w:tcW w:w="4648" w:type="dxa"/>
            <w:noWrap/>
          </w:tcPr>
          <w:p w14:paraId="67C25E3E" w14:textId="77777777" w:rsidR="00E86BE2" w:rsidRPr="0010524E" w:rsidRDefault="00E86BE2" w:rsidP="00E86BE2">
            <w:pPr>
              <w:jc w:val="both"/>
              <w:rPr>
                <w:rFonts w:eastAsia="Times New Roman" w:cstheme="minorHAnsi"/>
                <w:sz w:val="24"/>
                <w:szCs w:val="24"/>
                <w:lang w:eastAsia="pt-BR"/>
              </w:rPr>
            </w:pPr>
          </w:p>
        </w:tc>
      </w:tr>
      <w:tr w:rsidR="00E86BE2" w:rsidRPr="0010524E" w14:paraId="31017858" w14:textId="31BA7B18" w:rsidTr="00E86BE2">
        <w:trPr>
          <w:trHeight w:val="290"/>
        </w:trPr>
        <w:tc>
          <w:tcPr>
            <w:tcW w:w="4815" w:type="dxa"/>
            <w:noWrap/>
          </w:tcPr>
          <w:p w14:paraId="5631AFE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13. O Tribunal Arbitral será composto por três membros, designados pelo Presidente da CMCA para a solução de caso específico da seguinte forma:</w:t>
            </w:r>
          </w:p>
        </w:tc>
        <w:tc>
          <w:tcPr>
            <w:tcW w:w="4849" w:type="dxa"/>
            <w:noWrap/>
          </w:tcPr>
          <w:p w14:paraId="4B370E62" w14:textId="7380CE9C"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Art. 362.  O tribunal arbitral é composto por três membros, designados pelo Presidente da Câmara de Mediação, Conciliação e Arbitragem para a solução de caso específico da seguinte forma: </w:t>
            </w:r>
          </w:p>
        </w:tc>
        <w:tc>
          <w:tcPr>
            <w:tcW w:w="4648" w:type="dxa"/>
            <w:noWrap/>
          </w:tcPr>
          <w:p w14:paraId="1A2FA60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077E8C63" w14:textId="5C5B727A" w:rsidTr="00E86BE2">
        <w:trPr>
          <w:trHeight w:val="290"/>
        </w:trPr>
        <w:tc>
          <w:tcPr>
            <w:tcW w:w="4815" w:type="dxa"/>
            <w:noWrap/>
          </w:tcPr>
          <w:p w14:paraId="20728FF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 - um advogado público federal, em exercício na Procuradoria Federal junto à Previc, escolhido pelo Presidente da CMCA, a partir de lista elaborada semestralmente; e</w:t>
            </w:r>
          </w:p>
        </w:tc>
        <w:tc>
          <w:tcPr>
            <w:tcW w:w="4849" w:type="dxa"/>
            <w:noWrap/>
          </w:tcPr>
          <w:p w14:paraId="660A32A6" w14:textId="58FC7430"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 - um advogado público federal, em exercício na Procuradoria Federal junto à Previc, escolhido pelo Presidente da Câmara de Mediação, Conciliação e Arbitragem, a partir de lista elaborada semestralmente; e</w:t>
            </w:r>
          </w:p>
        </w:tc>
        <w:tc>
          <w:tcPr>
            <w:tcW w:w="4648" w:type="dxa"/>
            <w:noWrap/>
          </w:tcPr>
          <w:p w14:paraId="3045F96D" w14:textId="0C10F49F"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293390B0" w14:textId="2A36A921" w:rsidTr="00E86BE2">
        <w:trPr>
          <w:trHeight w:val="290"/>
        </w:trPr>
        <w:tc>
          <w:tcPr>
            <w:tcW w:w="4815" w:type="dxa"/>
            <w:noWrap/>
          </w:tcPr>
          <w:p w14:paraId="1CDC77E0"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II - dois profissionais com notório conhecimento da matéria e reputação ilibada, indicados de comum acordo pelas partes.</w:t>
            </w:r>
          </w:p>
        </w:tc>
        <w:tc>
          <w:tcPr>
            <w:tcW w:w="4849" w:type="dxa"/>
            <w:noWrap/>
          </w:tcPr>
          <w:p w14:paraId="50EF91E8" w14:textId="39520C25"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II - dois profissionais com notório conhecimento da matéria e reputação ilibada, indicados de comum acordo pelas partes.</w:t>
            </w:r>
          </w:p>
        </w:tc>
        <w:tc>
          <w:tcPr>
            <w:tcW w:w="4648" w:type="dxa"/>
            <w:noWrap/>
          </w:tcPr>
          <w:p w14:paraId="11BD60B4" w14:textId="01852D0A"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2DE289C3" w14:textId="268CDF34" w:rsidTr="00E86BE2">
        <w:trPr>
          <w:trHeight w:val="290"/>
        </w:trPr>
        <w:tc>
          <w:tcPr>
            <w:tcW w:w="4815" w:type="dxa"/>
            <w:noWrap/>
          </w:tcPr>
          <w:p w14:paraId="3A428BB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1º O Tribunal Arbitral será presidido pelo membro designado na forma do inciso I deste artigo.</w:t>
            </w:r>
          </w:p>
        </w:tc>
        <w:tc>
          <w:tcPr>
            <w:tcW w:w="4849" w:type="dxa"/>
            <w:noWrap/>
          </w:tcPr>
          <w:p w14:paraId="25F7259B" w14:textId="30F53C65"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1º  O tribunal arbitral é presidido pelo membro designado na forma do inciso I.</w:t>
            </w:r>
          </w:p>
        </w:tc>
        <w:tc>
          <w:tcPr>
            <w:tcW w:w="4648" w:type="dxa"/>
            <w:noWrap/>
          </w:tcPr>
          <w:p w14:paraId="156A664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0C0173BC" w14:textId="27D9E722" w:rsidTr="00E86BE2">
        <w:trPr>
          <w:trHeight w:val="290"/>
        </w:trPr>
        <w:tc>
          <w:tcPr>
            <w:tcW w:w="4815" w:type="dxa"/>
            <w:noWrap/>
          </w:tcPr>
          <w:p w14:paraId="66CBBAC1"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2º Visando à maior economicidade, havendo concordância expressa, poderá ser adotada para ambas as partes a Arbitragem Sumária, com a designação de advogado público federal, indicado na forma do inciso I, como árbitro único, o qual poderá atuar isoladamente.</w:t>
            </w:r>
          </w:p>
        </w:tc>
        <w:tc>
          <w:tcPr>
            <w:tcW w:w="4849" w:type="dxa"/>
            <w:noWrap/>
          </w:tcPr>
          <w:p w14:paraId="30C871CE" w14:textId="5AD71A3F"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2º  Visando à maior economicidade, havendo concordância expressa, pode ser adotada para ambas as partes a arbitragem sumária, com a designação de advogado público federal, indicado na forma do inciso I, como árbitro único, o qual pode atuar isoladamente.</w:t>
            </w:r>
          </w:p>
        </w:tc>
        <w:tc>
          <w:tcPr>
            <w:tcW w:w="4648" w:type="dxa"/>
            <w:noWrap/>
          </w:tcPr>
          <w:p w14:paraId="14C2B0B3"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3794D45D" w14:textId="1BB3A329" w:rsidTr="00E86BE2">
        <w:trPr>
          <w:trHeight w:val="290"/>
        </w:trPr>
        <w:tc>
          <w:tcPr>
            <w:tcW w:w="4815" w:type="dxa"/>
            <w:noWrap/>
          </w:tcPr>
          <w:p w14:paraId="2EC1A952"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xml:space="preserve">§ 3º Nos casos de arbitragem, os componentes do Tribunal Arbitral deverão proceder com imparcialidade, independência, competência, diligência e discrição no exercício de suas </w:t>
            </w:r>
            <w:r w:rsidRPr="0010524E">
              <w:rPr>
                <w:rFonts w:cstheme="minorHAnsi"/>
                <w:sz w:val="24"/>
                <w:szCs w:val="24"/>
              </w:rPr>
              <w:lastRenderedPageBreak/>
              <w:t>funções, assinando "Declaração de Independência", a qual será juntada aos autos.</w:t>
            </w:r>
          </w:p>
        </w:tc>
        <w:tc>
          <w:tcPr>
            <w:tcW w:w="4849" w:type="dxa"/>
            <w:noWrap/>
          </w:tcPr>
          <w:p w14:paraId="56898734" w14:textId="479DE564"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lastRenderedPageBreak/>
              <w:t xml:space="preserve">§ 3º  Nos casos de arbitragem, os componentes do tribunal arbitral deve proceder com imparcialidade, independência, competência, diligência e discrição no exercício de suas </w:t>
            </w:r>
            <w:r w:rsidRPr="0010524E">
              <w:rPr>
                <w:rFonts w:ascii="Calibri" w:eastAsia="Calibri" w:hAnsi="Calibri" w:cs="Calibri"/>
                <w:sz w:val="24"/>
                <w:szCs w:val="24"/>
              </w:rPr>
              <w:lastRenderedPageBreak/>
              <w:t xml:space="preserve">funções, assinando "Declaração de Independência", a qual deve ser juntada aos autos. </w:t>
            </w:r>
          </w:p>
        </w:tc>
        <w:tc>
          <w:tcPr>
            <w:tcW w:w="4648" w:type="dxa"/>
            <w:noWrap/>
          </w:tcPr>
          <w:p w14:paraId="7514BC9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Ajuste de redação.</w:t>
            </w:r>
          </w:p>
        </w:tc>
      </w:tr>
      <w:tr w:rsidR="00E86BE2" w:rsidRPr="0010524E" w14:paraId="09F78D71" w14:textId="38854B46" w:rsidTr="00E86BE2">
        <w:trPr>
          <w:trHeight w:val="290"/>
        </w:trPr>
        <w:tc>
          <w:tcPr>
            <w:tcW w:w="4815" w:type="dxa"/>
            <w:noWrap/>
          </w:tcPr>
          <w:p w14:paraId="63A3BB0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4º O Tribunal Arbitral poderá contar com o auxílio de experts, com conhecimento na área de finanças ou de atuária, selecionados a partir de lista elaborada semestralmente pelas Diretorias da Previc.</w:t>
            </w:r>
          </w:p>
        </w:tc>
        <w:tc>
          <w:tcPr>
            <w:tcW w:w="4849" w:type="dxa"/>
            <w:noWrap/>
          </w:tcPr>
          <w:p w14:paraId="1B4B64DF" w14:textId="3C967E76"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4º  O tribunal arbitral pode contar com o auxílio de </w:t>
            </w:r>
            <w:r w:rsidRPr="0010524E">
              <w:rPr>
                <w:rFonts w:ascii="Calibri" w:eastAsia="Calibri" w:hAnsi="Calibri" w:cs="Calibri"/>
                <w:b/>
                <w:bCs/>
                <w:sz w:val="24"/>
                <w:szCs w:val="24"/>
              </w:rPr>
              <w:t>experts</w:t>
            </w:r>
            <w:r w:rsidRPr="0010524E">
              <w:rPr>
                <w:rFonts w:ascii="Calibri" w:eastAsia="Calibri" w:hAnsi="Calibri" w:cs="Calibri"/>
                <w:sz w:val="24"/>
                <w:szCs w:val="24"/>
              </w:rPr>
              <w:t>, com conhecimento na área de finanças ou de atuária, selecionados a partir de lista elaborada semestralmente pelas Diretorias da Previc.</w:t>
            </w:r>
          </w:p>
        </w:tc>
        <w:tc>
          <w:tcPr>
            <w:tcW w:w="4648" w:type="dxa"/>
            <w:noWrap/>
          </w:tcPr>
          <w:p w14:paraId="36698A9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4BAAA658" w14:textId="23DF50A4" w:rsidTr="00E86BE2">
        <w:trPr>
          <w:trHeight w:val="290"/>
        </w:trPr>
        <w:tc>
          <w:tcPr>
            <w:tcW w:w="4815" w:type="dxa"/>
            <w:noWrap/>
          </w:tcPr>
          <w:p w14:paraId="78F9EAC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5º Não poderá funcionar como árbitro aquele que tiver atuado como mediador no mesmo procedimento ou em conflitos relacionados.</w:t>
            </w:r>
          </w:p>
        </w:tc>
        <w:tc>
          <w:tcPr>
            <w:tcW w:w="4849" w:type="dxa"/>
            <w:noWrap/>
          </w:tcPr>
          <w:p w14:paraId="26B20156" w14:textId="2942CE1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5º  Não pode funcionar como árbitro aquele que tiver atuado como mediador no mesmo procedimento ou em conflitos relacionados.</w:t>
            </w:r>
          </w:p>
        </w:tc>
        <w:tc>
          <w:tcPr>
            <w:tcW w:w="4648" w:type="dxa"/>
            <w:noWrap/>
          </w:tcPr>
          <w:p w14:paraId="15E9F6B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24F82A9C" w14:textId="3D1E50FE" w:rsidTr="00E86BE2">
        <w:trPr>
          <w:trHeight w:val="290"/>
        </w:trPr>
        <w:tc>
          <w:tcPr>
            <w:tcW w:w="4815" w:type="dxa"/>
            <w:noWrap/>
          </w:tcPr>
          <w:p w14:paraId="6CBC4BF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6º A parte que pretender arguir questões relativas à competência, conflito de interesses, suspeição ou impedimento do árbitro ou dos árbitros, bem como nulidade, invalidade ou ineficácia da convenção de arbitragem, deverá fazê-lo na primeira oportunidade que tiver de se manifestar, após a instituição da arbitragem.</w:t>
            </w:r>
          </w:p>
        </w:tc>
        <w:tc>
          <w:tcPr>
            <w:tcW w:w="4849" w:type="dxa"/>
            <w:noWrap/>
          </w:tcPr>
          <w:p w14:paraId="0EBB464F" w14:textId="4B326061"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6º  A parte que pretender arguir questões relativas à competência, suspeição ou impedimento do árbitro ou dos árbitros, bem como nulidade, invalidade ou ineficácia da convenção de arbitragem, deve fazê-lo na primeira oportunidade que tiver de se manifestar, após a instituição da arbitragem.</w:t>
            </w:r>
          </w:p>
        </w:tc>
        <w:tc>
          <w:tcPr>
            <w:tcW w:w="4648" w:type="dxa"/>
            <w:noWrap/>
          </w:tcPr>
          <w:p w14:paraId="4184F6A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1F4F888A" w14:textId="1A14B19B" w:rsidTr="00E86BE2">
        <w:trPr>
          <w:trHeight w:val="290"/>
        </w:trPr>
        <w:tc>
          <w:tcPr>
            <w:tcW w:w="4815" w:type="dxa"/>
            <w:noWrap/>
          </w:tcPr>
          <w:p w14:paraId="5F875B6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7º Acolhida a arguição de suspeição ou impedimento, será o árbitro substituído por decisão fundamentada do Presidente da CMCA.</w:t>
            </w:r>
          </w:p>
        </w:tc>
        <w:tc>
          <w:tcPr>
            <w:tcW w:w="4849" w:type="dxa"/>
            <w:noWrap/>
          </w:tcPr>
          <w:p w14:paraId="66C9F86C" w14:textId="5FFA00C0"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7º  Acolhida a arguição de suspeição ou impedimento, o árbitro deve ser substituído por decisão fundamentada do Presidente da Câmara de Mediação, Conciliação e Arbitragem.</w:t>
            </w:r>
          </w:p>
        </w:tc>
        <w:tc>
          <w:tcPr>
            <w:tcW w:w="4648" w:type="dxa"/>
            <w:noWrap/>
          </w:tcPr>
          <w:p w14:paraId="6D4C330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76B686E8" w14:textId="1D5A76CC" w:rsidTr="00E86BE2">
        <w:trPr>
          <w:trHeight w:val="290"/>
        </w:trPr>
        <w:tc>
          <w:tcPr>
            <w:tcW w:w="4815" w:type="dxa"/>
            <w:noWrap/>
          </w:tcPr>
          <w:p w14:paraId="4935D1B3" w14:textId="77777777" w:rsidR="00E86BE2" w:rsidRPr="0010524E" w:rsidRDefault="00E86BE2" w:rsidP="00E86BE2">
            <w:pPr>
              <w:jc w:val="both"/>
              <w:rPr>
                <w:rFonts w:eastAsia="Times New Roman" w:cstheme="minorHAnsi"/>
                <w:sz w:val="24"/>
                <w:szCs w:val="24"/>
                <w:lang w:eastAsia="pt-BR"/>
              </w:rPr>
            </w:pPr>
          </w:p>
        </w:tc>
        <w:tc>
          <w:tcPr>
            <w:tcW w:w="4849" w:type="dxa"/>
            <w:noWrap/>
          </w:tcPr>
          <w:p w14:paraId="30BAA961" w14:textId="159EC497"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363.  Havendo compromisso arbitral e antes de instituído o tribunal arbitral, as partes podem recorrer ao Poder Judiciário para a concessão de medida cautelar ou de urgência.</w:t>
            </w:r>
          </w:p>
        </w:tc>
        <w:tc>
          <w:tcPr>
            <w:tcW w:w="4648" w:type="dxa"/>
            <w:noWrap/>
          </w:tcPr>
          <w:p w14:paraId="0400B08E" w14:textId="77777777" w:rsidR="00E86BE2" w:rsidRPr="0010524E" w:rsidRDefault="00E86BE2" w:rsidP="00E86BE2">
            <w:pPr>
              <w:pStyle w:val="Normal1"/>
              <w:spacing w:before="120" w:after="120"/>
              <w:jc w:val="both"/>
              <w:rPr>
                <w:rFonts w:asciiTheme="minorHAnsi" w:hAnsiTheme="minorHAnsi" w:cstheme="minorHAnsi"/>
                <w:sz w:val="24"/>
                <w:szCs w:val="24"/>
              </w:rPr>
            </w:pPr>
            <w:r w:rsidRPr="0010524E">
              <w:rPr>
                <w:rFonts w:asciiTheme="minorHAnsi" w:hAnsiTheme="minorHAnsi" w:cstheme="minorHAnsi"/>
                <w:sz w:val="24"/>
                <w:szCs w:val="24"/>
              </w:rPr>
              <w:t xml:space="preserve">Realocado. </w:t>
            </w:r>
          </w:p>
          <w:p w14:paraId="2981E18C"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Antigo artigo 12.</w:t>
            </w:r>
          </w:p>
        </w:tc>
      </w:tr>
      <w:tr w:rsidR="00E86BE2" w:rsidRPr="0010524E" w14:paraId="79F3F57A" w14:textId="45D93C2E" w:rsidTr="00E86BE2">
        <w:trPr>
          <w:trHeight w:val="290"/>
        </w:trPr>
        <w:tc>
          <w:tcPr>
            <w:tcW w:w="4815" w:type="dxa"/>
            <w:noWrap/>
          </w:tcPr>
          <w:p w14:paraId="53626452" w14:textId="77777777" w:rsidR="00E86BE2" w:rsidRPr="0010524E" w:rsidRDefault="00E86BE2" w:rsidP="00E86BE2">
            <w:pPr>
              <w:jc w:val="both"/>
              <w:rPr>
                <w:rFonts w:eastAsia="Times New Roman" w:cstheme="minorHAnsi"/>
                <w:sz w:val="24"/>
                <w:szCs w:val="24"/>
                <w:lang w:eastAsia="pt-BR"/>
              </w:rPr>
            </w:pPr>
          </w:p>
        </w:tc>
        <w:tc>
          <w:tcPr>
            <w:tcW w:w="4849" w:type="dxa"/>
            <w:noWrap/>
          </w:tcPr>
          <w:p w14:paraId="00AF8951" w14:textId="21475C1D"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1º  Cessa a eficácia da medida cautelar ou de urgência se a parte interessada não requerer a </w:t>
            </w:r>
            <w:r w:rsidRPr="0010524E">
              <w:rPr>
                <w:rFonts w:ascii="Calibri" w:eastAsia="Calibri" w:hAnsi="Calibri" w:cs="Calibri"/>
                <w:sz w:val="24"/>
                <w:szCs w:val="24"/>
              </w:rPr>
              <w:lastRenderedPageBreak/>
              <w:t>instituição da arbitragem no prazo de trinta dias, contado da data de efetivação da respectiva decisão.</w:t>
            </w:r>
          </w:p>
        </w:tc>
        <w:tc>
          <w:tcPr>
            <w:tcW w:w="4648" w:type="dxa"/>
            <w:noWrap/>
          </w:tcPr>
          <w:p w14:paraId="69338EA3" w14:textId="77777777" w:rsidR="00E86BE2" w:rsidRPr="0010524E" w:rsidRDefault="00E86BE2" w:rsidP="00E86BE2">
            <w:pPr>
              <w:jc w:val="both"/>
              <w:rPr>
                <w:rFonts w:eastAsia="Times New Roman" w:cstheme="minorHAnsi"/>
                <w:sz w:val="24"/>
                <w:szCs w:val="24"/>
                <w:lang w:eastAsia="pt-BR"/>
              </w:rPr>
            </w:pPr>
          </w:p>
        </w:tc>
      </w:tr>
      <w:tr w:rsidR="00E86BE2" w:rsidRPr="0010524E" w14:paraId="1ED10456" w14:textId="5D72087A" w:rsidTr="00E86BE2">
        <w:trPr>
          <w:trHeight w:val="290"/>
        </w:trPr>
        <w:tc>
          <w:tcPr>
            <w:tcW w:w="4815" w:type="dxa"/>
            <w:noWrap/>
          </w:tcPr>
          <w:p w14:paraId="1F1D5510" w14:textId="77777777" w:rsidR="00E86BE2" w:rsidRPr="0010524E" w:rsidRDefault="00E86BE2" w:rsidP="00E86BE2">
            <w:pPr>
              <w:jc w:val="both"/>
              <w:rPr>
                <w:rFonts w:eastAsia="Times New Roman" w:cstheme="minorHAnsi"/>
                <w:sz w:val="24"/>
                <w:szCs w:val="24"/>
                <w:lang w:eastAsia="pt-BR"/>
              </w:rPr>
            </w:pPr>
          </w:p>
        </w:tc>
        <w:tc>
          <w:tcPr>
            <w:tcW w:w="4849" w:type="dxa"/>
            <w:noWrap/>
          </w:tcPr>
          <w:p w14:paraId="43551783" w14:textId="6F77D48A"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2º  Instituída a arbitragem, cabe aos árbitros manter, modificar ou revogar a medida cautelar ou de urgência concedida pelo Poder Judiciário.</w:t>
            </w:r>
          </w:p>
        </w:tc>
        <w:tc>
          <w:tcPr>
            <w:tcW w:w="4648" w:type="dxa"/>
            <w:noWrap/>
          </w:tcPr>
          <w:p w14:paraId="3273C81E" w14:textId="77777777" w:rsidR="00E86BE2" w:rsidRPr="0010524E" w:rsidRDefault="00E86BE2" w:rsidP="00E86BE2">
            <w:pPr>
              <w:jc w:val="both"/>
              <w:rPr>
                <w:rFonts w:eastAsia="Times New Roman" w:cstheme="minorHAnsi"/>
                <w:sz w:val="24"/>
                <w:szCs w:val="24"/>
                <w:lang w:eastAsia="pt-BR"/>
              </w:rPr>
            </w:pPr>
          </w:p>
        </w:tc>
      </w:tr>
      <w:tr w:rsidR="00E86BE2" w:rsidRPr="0010524E" w14:paraId="4C8A55B6" w14:textId="1EC12BD2" w:rsidTr="00E86BE2">
        <w:trPr>
          <w:trHeight w:val="290"/>
        </w:trPr>
        <w:tc>
          <w:tcPr>
            <w:tcW w:w="4815" w:type="dxa"/>
            <w:noWrap/>
          </w:tcPr>
          <w:p w14:paraId="53A01E20" w14:textId="77777777" w:rsidR="00E86BE2" w:rsidRPr="0010524E" w:rsidRDefault="00E86BE2" w:rsidP="00E86BE2">
            <w:pPr>
              <w:jc w:val="both"/>
              <w:rPr>
                <w:rFonts w:eastAsia="Times New Roman" w:cstheme="minorHAnsi"/>
                <w:sz w:val="24"/>
                <w:szCs w:val="24"/>
                <w:lang w:eastAsia="pt-BR"/>
              </w:rPr>
            </w:pPr>
          </w:p>
        </w:tc>
        <w:tc>
          <w:tcPr>
            <w:tcW w:w="4849" w:type="dxa"/>
            <w:noWrap/>
          </w:tcPr>
          <w:p w14:paraId="40B08505" w14:textId="1C595AB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3º  Estando já instituída a arbitragem, a medida cautelar ou de urgência deve ser requerida diretamente aos árbitros.</w:t>
            </w:r>
          </w:p>
        </w:tc>
        <w:tc>
          <w:tcPr>
            <w:tcW w:w="4648" w:type="dxa"/>
            <w:noWrap/>
          </w:tcPr>
          <w:p w14:paraId="4EEBF106" w14:textId="77777777" w:rsidR="00E86BE2" w:rsidRPr="0010524E" w:rsidRDefault="00E86BE2" w:rsidP="00E86BE2">
            <w:pPr>
              <w:jc w:val="both"/>
              <w:rPr>
                <w:rFonts w:eastAsia="Times New Roman" w:cstheme="minorHAnsi"/>
                <w:sz w:val="24"/>
                <w:szCs w:val="24"/>
                <w:lang w:eastAsia="pt-BR"/>
              </w:rPr>
            </w:pPr>
          </w:p>
        </w:tc>
      </w:tr>
      <w:tr w:rsidR="00E86BE2" w:rsidRPr="0010524E" w14:paraId="5E3EA974" w14:textId="64B8DC8E" w:rsidTr="00E86BE2">
        <w:trPr>
          <w:trHeight w:val="290"/>
        </w:trPr>
        <w:tc>
          <w:tcPr>
            <w:tcW w:w="4815" w:type="dxa"/>
            <w:noWrap/>
          </w:tcPr>
          <w:p w14:paraId="55DAAE86" w14:textId="77777777" w:rsidR="00E86BE2" w:rsidRDefault="00E86BE2" w:rsidP="00E86BE2">
            <w:pPr>
              <w:jc w:val="center"/>
              <w:rPr>
                <w:rFonts w:cstheme="minorHAnsi"/>
                <w:sz w:val="24"/>
                <w:szCs w:val="24"/>
              </w:rPr>
            </w:pPr>
            <w:r w:rsidRPr="0010524E">
              <w:rPr>
                <w:rFonts w:cstheme="minorHAnsi"/>
                <w:sz w:val="24"/>
                <w:szCs w:val="24"/>
              </w:rPr>
              <w:t>CAPÍTULO VII</w:t>
            </w:r>
          </w:p>
          <w:p w14:paraId="7206FB7C" w14:textId="41661D8D" w:rsidR="00E86BE2" w:rsidRPr="0010524E" w:rsidRDefault="00E86BE2" w:rsidP="00E86BE2">
            <w:pPr>
              <w:jc w:val="center"/>
              <w:rPr>
                <w:rFonts w:cstheme="minorHAnsi"/>
                <w:sz w:val="24"/>
                <w:szCs w:val="24"/>
              </w:rPr>
            </w:pPr>
            <w:r w:rsidRPr="0010524E">
              <w:rPr>
                <w:rFonts w:cstheme="minorHAnsi"/>
                <w:sz w:val="24"/>
                <w:szCs w:val="24"/>
              </w:rPr>
              <w:t>DA ARBITRAGEM</w:t>
            </w:r>
          </w:p>
        </w:tc>
        <w:tc>
          <w:tcPr>
            <w:tcW w:w="4849" w:type="dxa"/>
            <w:noWrap/>
          </w:tcPr>
          <w:p w14:paraId="2C4B2359" w14:textId="77777777" w:rsidR="00E86BE2" w:rsidRDefault="00E86BE2" w:rsidP="00E86BE2">
            <w:pPr>
              <w:jc w:val="center"/>
              <w:rPr>
                <w:rFonts w:cstheme="minorHAnsi"/>
                <w:b/>
                <w:bCs/>
                <w:sz w:val="24"/>
                <w:szCs w:val="24"/>
              </w:rPr>
            </w:pPr>
            <w:r w:rsidRPr="0010524E">
              <w:rPr>
                <w:rFonts w:cstheme="minorHAnsi"/>
                <w:b/>
                <w:bCs/>
                <w:sz w:val="24"/>
                <w:szCs w:val="24"/>
              </w:rPr>
              <w:t>Subseção IV</w:t>
            </w:r>
          </w:p>
          <w:p w14:paraId="10EAB21F" w14:textId="5997E825" w:rsidR="00E86BE2" w:rsidRPr="0010524E" w:rsidRDefault="00E86BE2" w:rsidP="00E86BE2">
            <w:pPr>
              <w:jc w:val="center"/>
              <w:rPr>
                <w:rFonts w:cstheme="minorHAnsi"/>
                <w:b/>
                <w:bCs/>
                <w:sz w:val="24"/>
                <w:szCs w:val="24"/>
              </w:rPr>
            </w:pPr>
            <w:r w:rsidRPr="0010524E">
              <w:rPr>
                <w:rFonts w:cstheme="minorHAnsi"/>
                <w:b/>
                <w:bCs/>
                <w:sz w:val="24"/>
                <w:szCs w:val="24"/>
              </w:rPr>
              <w:t>Sentença arbitral</w:t>
            </w:r>
          </w:p>
        </w:tc>
        <w:tc>
          <w:tcPr>
            <w:tcW w:w="4648" w:type="dxa"/>
            <w:noWrap/>
          </w:tcPr>
          <w:p w14:paraId="16BFFC4C" w14:textId="77777777" w:rsidR="00E86BE2" w:rsidRPr="0010524E" w:rsidRDefault="00E86BE2" w:rsidP="00E86BE2">
            <w:pPr>
              <w:jc w:val="both"/>
              <w:rPr>
                <w:rFonts w:eastAsia="Times New Roman" w:cstheme="minorHAnsi"/>
                <w:sz w:val="24"/>
                <w:szCs w:val="24"/>
                <w:lang w:eastAsia="pt-BR"/>
              </w:rPr>
            </w:pPr>
          </w:p>
        </w:tc>
      </w:tr>
      <w:tr w:rsidR="00E86BE2" w:rsidRPr="0010524E" w14:paraId="763CD005" w14:textId="4001A655" w:rsidTr="00E86BE2">
        <w:trPr>
          <w:trHeight w:val="290"/>
        </w:trPr>
        <w:tc>
          <w:tcPr>
            <w:tcW w:w="4815" w:type="dxa"/>
            <w:noWrap/>
          </w:tcPr>
          <w:p w14:paraId="24F7A9AC" w14:textId="06E33219" w:rsidR="00E86BE2" w:rsidRPr="0010524E" w:rsidRDefault="00E86BE2" w:rsidP="00E86BE2">
            <w:pPr>
              <w:jc w:val="both"/>
              <w:rPr>
                <w:rFonts w:eastAsia="Times New Roman" w:cstheme="minorHAnsi"/>
                <w:sz w:val="24"/>
                <w:szCs w:val="24"/>
                <w:lang w:eastAsia="pt-BR"/>
              </w:rPr>
            </w:pPr>
          </w:p>
        </w:tc>
        <w:tc>
          <w:tcPr>
            <w:tcW w:w="4849" w:type="dxa"/>
            <w:noWrap/>
          </w:tcPr>
          <w:p w14:paraId="4C34FFDA" w14:textId="096380C9" w:rsidR="00E86BE2" w:rsidRPr="0010524E" w:rsidRDefault="00E86BE2" w:rsidP="00E86BE2">
            <w:pPr>
              <w:jc w:val="center"/>
              <w:rPr>
                <w:rFonts w:eastAsia="Times New Roman" w:cstheme="minorHAnsi"/>
                <w:b/>
                <w:bCs/>
                <w:sz w:val="24"/>
                <w:szCs w:val="24"/>
                <w:lang w:eastAsia="pt-BR"/>
              </w:rPr>
            </w:pPr>
          </w:p>
        </w:tc>
        <w:tc>
          <w:tcPr>
            <w:tcW w:w="4648" w:type="dxa"/>
            <w:noWrap/>
          </w:tcPr>
          <w:p w14:paraId="28483C44" w14:textId="77777777" w:rsidR="00E86BE2" w:rsidRPr="0010524E" w:rsidRDefault="00E86BE2" w:rsidP="00E86BE2">
            <w:pPr>
              <w:jc w:val="both"/>
              <w:rPr>
                <w:rFonts w:eastAsia="Times New Roman" w:cstheme="minorHAnsi"/>
                <w:sz w:val="24"/>
                <w:szCs w:val="24"/>
                <w:lang w:eastAsia="pt-BR"/>
              </w:rPr>
            </w:pPr>
          </w:p>
        </w:tc>
      </w:tr>
      <w:tr w:rsidR="00E86BE2" w:rsidRPr="0010524E" w14:paraId="6ECE9BF7" w14:textId="11C80192" w:rsidTr="00E86BE2">
        <w:trPr>
          <w:trHeight w:val="290"/>
        </w:trPr>
        <w:tc>
          <w:tcPr>
            <w:tcW w:w="4815" w:type="dxa"/>
            <w:noWrap/>
          </w:tcPr>
          <w:p w14:paraId="16054F6C"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14. A sentença arbitral deverá ser proferida no prazo de 6 (seis) meses contados a partir da decisão de que trata o caput do art. 6º, podendo este prazo ser prorrogado por acordo entre as partes.</w:t>
            </w:r>
          </w:p>
        </w:tc>
        <w:tc>
          <w:tcPr>
            <w:tcW w:w="4849" w:type="dxa"/>
            <w:noWrap/>
          </w:tcPr>
          <w:p w14:paraId="64C4A299" w14:textId="62D588F6"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364.  A sentença arbitral deve ser proferida no prazo de seis meses contados a partir da assinatura do termo de compromisso arbitral, podendo este prazo ser prorrogado por acordo entre as partes.</w:t>
            </w:r>
          </w:p>
        </w:tc>
        <w:tc>
          <w:tcPr>
            <w:tcW w:w="4648" w:type="dxa"/>
            <w:noWrap/>
          </w:tcPr>
          <w:p w14:paraId="669EA28B"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3E28A196" w14:textId="795984FF" w:rsidTr="00E86BE2">
        <w:trPr>
          <w:trHeight w:val="290"/>
        </w:trPr>
        <w:tc>
          <w:tcPr>
            <w:tcW w:w="4815" w:type="dxa"/>
            <w:noWrap/>
          </w:tcPr>
          <w:p w14:paraId="07423B0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1º O Tribunal Arbitral poderá definir prazos e procedimentos específicos para a instrução do feito, respeitados os princípios do art. 3º, caput e parágrafo único deste regulamento.</w:t>
            </w:r>
          </w:p>
        </w:tc>
        <w:tc>
          <w:tcPr>
            <w:tcW w:w="4849" w:type="dxa"/>
            <w:noWrap/>
          </w:tcPr>
          <w:p w14:paraId="12DF75C1" w14:textId="189C950B"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1º  O tribunal arbitral pode definir prazos e procedimentos específicos para a instrução do feito, respeitados os princípios do art. 355.</w:t>
            </w:r>
          </w:p>
        </w:tc>
        <w:tc>
          <w:tcPr>
            <w:tcW w:w="4648" w:type="dxa"/>
            <w:noWrap/>
          </w:tcPr>
          <w:p w14:paraId="21B52A6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1FF0418B" w14:textId="70DE87F8" w:rsidTr="00E86BE2">
        <w:trPr>
          <w:trHeight w:val="290"/>
        </w:trPr>
        <w:tc>
          <w:tcPr>
            <w:tcW w:w="4815" w:type="dxa"/>
            <w:noWrap/>
          </w:tcPr>
          <w:p w14:paraId="37CBCE1C"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2º Instituída a arbitragem e entendendo o árbitro ou o tribunal arbitral que há necessidade de explicitar questão disposta na convenção de arbitragem, será elaborado, juntamente com as partes, adendo firmado por todos, que passará a fazer parte integrante da convenção de arbitragem.</w:t>
            </w:r>
          </w:p>
        </w:tc>
        <w:tc>
          <w:tcPr>
            <w:tcW w:w="4849" w:type="dxa"/>
            <w:noWrap/>
          </w:tcPr>
          <w:p w14:paraId="20AEE11D" w14:textId="2AB0AC48"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2º  Instituída a arbitragem e entendendo o árbitro ou o tribunal arbitral que há necessidade de explicitar questão disposta na convenção de arbitragem, é elaborado, juntamente com as partes, adendo firmado por todos, que passa a fazer parte integrante da convenção de arbitragem.</w:t>
            </w:r>
          </w:p>
        </w:tc>
        <w:tc>
          <w:tcPr>
            <w:tcW w:w="4648" w:type="dxa"/>
            <w:noWrap/>
          </w:tcPr>
          <w:p w14:paraId="6FFEE050"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026BD8E4" w14:textId="0FA5B9B9" w:rsidTr="00E86BE2">
        <w:trPr>
          <w:trHeight w:val="290"/>
        </w:trPr>
        <w:tc>
          <w:tcPr>
            <w:tcW w:w="4815" w:type="dxa"/>
            <w:noWrap/>
          </w:tcPr>
          <w:p w14:paraId="5F0F3B4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 3º O Tribunal Arbitral poderá, a qualquer tempo, determinar a comunicação aos interessados, a fim de complementar a instrução do procedimento, designando prazo para o atendimento, até o máximo de 30 (trinta) dias.</w:t>
            </w:r>
          </w:p>
        </w:tc>
        <w:tc>
          <w:tcPr>
            <w:tcW w:w="4849" w:type="dxa"/>
            <w:noWrap/>
          </w:tcPr>
          <w:p w14:paraId="6662CF96" w14:textId="3C4C8FB5"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3º  O tribunal arbitral pode, a qualquer tempo, determinar a comunicação aos interessados, a fim de complementar a instrução do procedimento, designando prazo para o atendimento, até o máximo de trinta dias. </w:t>
            </w:r>
          </w:p>
        </w:tc>
        <w:tc>
          <w:tcPr>
            <w:tcW w:w="4648" w:type="dxa"/>
            <w:noWrap/>
          </w:tcPr>
          <w:p w14:paraId="77C2ACCB"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1A64507E" w14:textId="225AEAB5" w:rsidTr="00E86BE2">
        <w:trPr>
          <w:trHeight w:val="290"/>
        </w:trPr>
        <w:tc>
          <w:tcPr>
            <w:tcW w:w="4815" w:type="dxa"/>
            <w:noWrap/>
          </w:tcPr>
          <w:p w14:paraId="7E6C611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4º Quando necessário, o Tribunal Arbitral designará data, horário e local para a colheita de prova oral, determinando a comunicação aos interessados, que se responsabilizarão pela presença das testemunhas eventualmente arroladas.</w:t>
            </w:r>
          </w:p>
        </w:tc>
        <w:tc>
          <w:tcPr>
            <w:tcW w:w="4849" w:type="dxa"/>
            <w:noWrap/>
          </w:tcPr>
          <w:p w14:paraId="1ED5AD64" w14:textId="743D6CAF"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4º  Quando necessário, o tribunal arbitral deve designar data, horário e local para a colheita de prova oral, determinando a comunicação aos interessados, que se responsabilizam pela presença das testemunhas eventualmente arroladas. </w:t>
            </w:r>
          </w:p>
        </w:tc>
        <w:tc>
          <w:tcPr>
            <w:tcW w:w="4648" w:type="dxa"/>
            <w:noWrap/>
          </w:tcPr>
          <w:p w14:paraId="06698D7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204F17EB" w14:textId="102E282B" w:rsidTr="00E86BE2">
        <w:trPr>
          <w:trHeight w:val="290"/>
        </w:trPr>
        <w:tc>
          <w:tcPr>
            <w:tcW w:w="4815" w:type="dxa"/>
            <w:noWrap/>
          </w:tcPr>
          <w:p w14:paraId="1570B1D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5º Concluída a instrução, o Tribunal Arbitral determinará a comunicação das partes a fim de apresentarem suas alegações finais no prazo de 15 (quinze dias), as quais poderão ser substituídas por memorais apresentados na audiência de que trata o § 3º deste artigo.</w:t>
            </w:r>
          </w:p>
        </w:tc>
        <w:tc>
          <w:tcPr>
            <w:tcW w:w="4849" w:type="dxa"/>
            <w:noWrap/>
          </w:tcPr>
          <w:p w14:paraId="1F634433" w14:textId="7A6BF555"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5º  Concluída a instrução, o tribunal arbitral deve determinar a comunicação das partes a fim de apresentarem suas alegações finais no prazo de quinze dias, as quais podem ser substituídas por memorais apresentados na audiência de que trata o § 3º. </w:t>
            </w:r>
          </w:p>
        </w:tc>
        <w:tc>
          <w:tcPr>
            <w:tcW w:w="4648" w:type="dxa"/>
            <w:noWrap/>
          </w:tcPr>
          <w:p w14:paraId="3E3C09C1"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0175F6BE" w14:textId="6A7330CB" w:rsidTr="00E86BE2">
        <w:trPr>
          <w:trHeight w:val="290"/>
        </w:trPr>
        <w:tc>
          <w:tcPr>
            <w:tcW w:w="4815" w:type="dxa"/>
            <w:noWrap/>
          </w:tcPr>
          <w:p w14:paraId="15554DF1"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15.  A sentença arbitral proferida deverá ser fundamentada nas normas constitucionais, legais e infralegais existentes, e produzirá os efeitos previstos no art. 31 da Lei nº 9.307, de 1996.</w:t>
            </w:r>
          </w:p>
        </w:tc>
        <w:tc>
          <w:tcPr>
            <w:tcW w:w="4849" w:type="dxa"/>
            <w:noWrap/>
          </w:tcPr>
          <w:p w14:paraId="049BD98A" w14:textId="616CD0C6"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Art. 365.  A sentença arbitral proferida deve ser fundamentada nas normas constitucionais, legais e infralegais existentes, e deve produzir os efeitos previstos no art. 31 da Lei nº 9.307, de 1996. </w:t>
            </w:r>
          </w:p>
        </w:tc>
        <w:tc>
          <w:tcPr>
            <w:tcW w:w="4648" w:type="dxa"/>
            <w:noWrap/>
          </w:tcPr>
          <w:p w14:paraId="69F54571"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44530F16" w14:textId="56729C39" w:rsidTr="00E86BE2">
        <w:trPr>
          <w:trHeight w:val="290"/>
        </w:trPr>
        <w:tc>
          <w:tcPr>
            <w:tcW w:w="4815" w:type="dxa"/>
            <w:noWrap/>
          </w:tcPr>
          <w:p w14:paraId="25877FB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1º A sentença arbitral conterá, obrigatoriamente:</w:t>
            </w:r>
          </w:p>
        </w:tc>
        <w:tc>
          <w:tcPr>
            <w:tcW w:w="4849" w:type="dxa"/>
            <w:noWrap/>
          </w:tcPr>
          <w:p w14:paraId="5A3B34CB" w14:textId="4EFAC57C"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1º  A sentença arbitral deve conter, obrigatoriamente:</w:t>
            </w:r>
          </w:p>
        </w:tc>
        <w:tc>
          <w:tcPr>
            <w:tcW w:w="4648" w:type="dxa"/>
            <w:noWrap/>
          </w:tcPr>
          <w:p w14:paraId="2C65469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359C4ECE" w14:textId="7F6C0217" w:rsidTr="00E86BE2">
        <w:trPr>
          <w:trHeight w:val="290"/>
        </w:trPr>
        <w:tc>
          <w:tcPr>
            <w:tcW w:w="4815" w:type="dxa"/>
            <w:noWrap/>
          </w:tcPr>
          <w:p w14:paraId="4176AA3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 - o relatório, com os nomes das partes e o resumo do litígio;</w:t>
            </w:r>
          </w:p>
        </w:tc>
        <w:tc>
          <w:tcPr>
            <w:tcW w:w="4849" w:type="dxa"/>
            <w:noWrap/>
          </w:tcPr>
          <w:p w14:paraId="006CD70D" w14:textId="43A1FDD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 - o relatório, com os nomes das partes e o resumo do litígio;</w:t>
            </w:r>
          </w:p>
        </w:tc>
        <w:tc>
          <w:tcPr>
            <w:tcW w:w="4648" w:type="dxa"/>
            <w:noWrap/>
          </w:tcPr>
          <w:p w14:paraId="6A82C3BE" w14:textId="6D1D91BA"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58251710" w14:textId="260D75C4" w:rsidTr="00E86BE2">
        <w:trPr>
          <w:trHeight w:val="290"/>
        </w:trPr>
        <w:tc>
          <w:tcPr>
            <w:tcW w:w="4815" w:type="dxa"/>
            <w:noWrap/>
          </w:tcPr>
          <w:p w14:paraId="488800A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II - os fundamentos da decisão;</w:t>
            </w:r>
          </w:p>
        </w:tc>
        <w:tc>
          <w:tcPr>
            <w:tcW w:w="4849" w:type="dxa"/>
            <w:noWrap/>
          </w:tcPr>
          <w:p w14:paraId="248E4CB5" w14:textId="2D68ADD2"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II - os fundamentos da decisão; </w:t>
            </w:r>
          </w:p>
        </w:tc>
        <w:tc>
          <w:tcPr>
            <w:tcW w:w="4648" w:type="dxa"/>
            <w:noWrap/>
          </w:tcPr>
          <w:p w14:paraId="02217228" w14:textId="226C7626"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3F1E707C" w14:textId="587C8D4A" w:rsidTr="00E86BE2">
        <w:trPr>
          <w:trHeight w:val="290"/>
        </w:trPr>
        <w:tc>
          <w:tcPr>
            <w:tcW w:w="4815" w:type="dxa"/>
            <w:noWrap/>
          </w:tcPr>
          <w:p w14:paraId="21F292F0"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III - o dispositivo e o prazo para o cumprimento da decisão; e</w:t>
            </w:r>
          </w:p>
        </w:tc>
        <w:tc>
          <w:tcPr>
            <w:tcW w:w="4849" w:type="dxa"/>
            <w:noWrap/>
          </w:tcPr>
          <w:p w14:paraId="71FBCEA9" w14:textId="0C04B36B"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III - o dispositivo e o prazo para o cumprimento da decisão; e </w:t>
            </w:r>
          </w:p>
        </w:tc>
        <w:tc>
          <w:tcPr>
            <w:tcW w:w="4648" w:type="dxa"/>
            <w:noWrap/>
          </w:tcPr>
          <w:p w14:paraId="6434228D" w14:textId="35FD4C46"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004519D1" w14:textId="215E6FE2" w:rsidTr="00E86BE2">
        <w:trPr>
          <w:trHeight w:val="290"/>
        </w:trPr>
        <w:tc>
          <w:tcPr>
            <w:tcW w:w="4815" w:type="dxa"/>
            <w:noWrap/>
          </w:tcPr>
          <w:p w14:paraId="0DCE292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IV - a data e o local em que tenha sido proferida.</w:t>
            </w:r>
          </w:p>
        </w:tc>
        <w:tc>
          <w:tcPr>
            <w:tcW w:w="4849" w:type="dxa"/>
            <w:noWrap/>
          </w:tcPr>
          <w:p w14:paraId="390D8A6B" w14:textId="3015BECE"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IV - a data e o local em que tenha sido proferida. </w:t>
            </w:r>
          </w:p>
        </w:tc>
        <w:tc>
          <w:tcPr>
            <w:tcW w:w="4648" w:type="dxa"/>
            <w:noWrap/>
          </w:tcPr>
          <w:p w14:paraId="57840F20" w14:textId="5163E34F"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116F1489" w14:textId="209A9437" w:rsidTr="00E86BE2">
        <w:trPr>
          <w:trHeight w:val="290"/>
        </w:trPr>
        <w:tc>
          <w:tcPr>
            <w:tcW w:w="4815" w:type="dxa"/>
            <w:noWrap/>
          </w:tcPr>
          <w:p w14:paraId="75FC1C92"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2º Poderá fazer parte também da sentença arbitral a avaliação técnica feita por expert acolhida como fundamento da decisão.</w:t>
            </w:r>
          </w:p>
        </w:tc>
        <w:tc>
          <w:tcPr>
            <w:tcW w:w="4849" w:type="dxa"/>
            <w:noWrap/>
          </w:tcPr>
          <w:p w14:paraId="63E10F57" w14:textId="035296D5"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2º  Pode fazer parte também da sentença arbitral a avaliação técnica feita por </w:t>
            </w:r>
            <w:r w:rsidRPr="0010524E">
              <w:rPr>
                <w:rFonts w:ascii="Calibri" w:eastAsia="Calibri" w:hAnsi="Calibri" w:cs="Calibri"/>
                <w:b/>
                <w:bCs/>
                <w:sz w:val="24"/>
                <w:szCs w:val="24"/>
              </w:rPr>
              <w:t>expert</w:t>
            </w:r>
            <w:r w:rsidRPr="0010524E">
              <w:rPr>
                <w:rFonts w:ascii="Calibri" w:eastAsia="Calibri" w:hAnsi="Calibri" w:cs="Calibri"/>
                <w:sz w:val="24"/>
                <w:szCs w:val="24"/>
              </w:rPr>
              <w:t xml:space="preserve"> acolhida como fundamento da decisão. </w:t>
            </w:r>
          </w:p>
        </w:tc>
        <w:tc>
          <w:tcPr>
            <w:tcW w:w="4648" w:type="dxa"/>
            <w:noWrap/>
          </w:tcPr>
          <w:p w14:paraId="4C16600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1C232892" w14:textId="35C57146" w:rsidTr="00E86BE2">
        <w:trPr>
          <w:trHeight w:val="290"/>
        </w:trPr>
        <w:tc>
          <w:tcPr>
            <w:tcW w:w="4815" w:type="dxa"/>
            <w:noWrap/>
          </w:tcPr>
          <w:p w14:paraId="6D738862"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3º As partes e seus sucessores são obrigados ao cumprimento da sentença arbitral.</w:t>
            </w:r>
          </w:p>
        </w:tc>
        <w:tc>
          <w:tcPr>
            <w:tcW w:w="4849" w:type="dxa"/>
            <w:noWrap/>
          </w:tcPr>
          <w:p w14:paraId="044415C9" w14:textId="17223E1C"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3º  As partes e seus sucessores são obrigados ao cumprimento da sentença arbitral. </w:t>
            </w:r>
          </w:p>
        </w:tc>
        <w:tc>
          <w:tcPr>
            <w:tcW w:w="4648" w:type="dxa"/>
            <w:noWrap/>
          </w:tcPr>
          <w:p w14:paraId="43046F00" w14:textId="00142B4A"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74A67744" w14:textId="35FCB095" w:rsidTr="00E86BE2">
        <w:trPr>
          <w:trHeight w:val="290"/>
        </w:trPr>
        <w:tc>
          <w:tcPr>
            <w:tcW w:w="4815" w:type="dxa"/>
            <w:noWrap/>
          </w:tcPr>
          <w:p w14:paraId="0BD82D2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4º A CMCA publicará extrato das sentenças arbitrais proferidas, o qual não conterá a identificação das partes.</w:t>
            </w:r>
          </w:p>
        </w:tc>
        <w:tc>
          <w:tcPr>
            <w:tcW w:w="4849" w:type="dxa"/>
            <w:noWrap/>
          </w:tcPr>
          <w:p w14:paraId="7F48E8E9" w14:textId="259954DC"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4º  A Câmara de Mediação, Conciliação e Arbitragem deve publicar extrato das sentenças arbitrais proferidas, o qual não deve conter a identificação das partes. </w:t>
            </w:r>
          </w:p>
        </w:tc>
        <w:tc>
          <w:tcPr>
            <w:tcW w:w="4648" w:type="dxa"/>
            <w:noWrap/>
          </w:tcPr>
          <w:p w14:paraId="2B1C383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643CE050" w14:textId="705C8C01" w:rsidTr="00E86BE2">
        <w:trPr>
          <w:trHeight w:val="290"/>
        </w:trPr>
        <w:tc>
          <w:tcPr>
            <w:tcW w:w="4815" w:type="dxa"/>
            <w:noWrap/>
          </w:tcPr>
          <w:p w14:paraId="313A5641"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16. Da sentença arbitral caberá pedido de esclarecimentos, no prazo de 5 (cinco) dias, a contar do recebimento da comunicação ou da ciência pessoal do interessado, salvo se outro prazo for previamente acordado entre as partes, nos termos do art. 30 da Lei nº 9.307, de 1996.</w:t>
            </w:r>
          </w:p>
        </w:tc>
        <w:tc>
          <w:tcPr>
            <w:tcW w:w="4849" w:type="dxa"/>
            <w:noWrap/>
          </w:tcPr>
          <w:p w14:paraId="260BBA7B" w14:textId="27B29FC3"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Art. 366.  Da sentença arbitral cabe pedido de esclarecimentos, no prazo de cinco dias, a contar do recebimento da comunicação ou da ciência pessoal do interessado, salvo se outro prazo for previamente acordado entre as partes, nos termos do art. 30 da Lei nº 9.307, de 1996. </w:t>
            </w:r>
          </w:p>
        </w:tc>
        <w:tc>
          <w:tcPr>
            <w:tcW w:w="4648" w:type="dxa"/>
            <w:noWrap/>
          </w:tcPr>
          <w:p w14:paraId="2AFDC35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407EE8F8" w14:textId="6299062A" w:rsidTr="00E86BE2">
        <w:trPr>
          <w:trHeight w:val="290"/>
        </w:trPr>
        <w:tc>
          <w:tcPr>
            <w:tcW w:w="4815" w:type="dxa"/>
            <w:noWrap/>
          </w:tcPr>
          <w:p w14:paraId="0E763DE0"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Parágrafo único. O Tribunal Arbitral poderá corrigir, de ofício ou sob requerimento das partes interessadas, quaisquer inexatidões materiais verificadas na sentença, caso em que deverá decidir aditar ou não a sentença no prazo de 10 (dez) dias.</w:t>
            </w:r>
          </w:p>
        </w:tc>
        <w:tc>
          <w:tcPr>
            <w:tcW w:w="4849" w:type="dxa"/>
            <w:noWrap/>
          </w:tcPr>
          <w:p w14:paraId="6930618F" w14:textId="6036AE7D"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Parágrafo único.  O tribunal arbitral pode corrigir, de ofício ou sob requerimento das partes interessadas, quaisquer inexatidões materiais verificadas na sentença, caso em que deve decidir aditar ou não a sentença no prazo de dez dias.</w:t>
            </w:r>
          </w:p>
        </w:tc>
        <w:tc>
          <w:tcPr>
            <w:tcW w:w="4648" w:type="dxa"/>
            <w:noWrap/>
          </w:tcPr>
          <w:p w14:paraId="001BAB15"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70953435" w14:textId="25D49ABB" w:rsidTr="00E86BE2">
        <w:trPr>
          <w:trHeight w:val="290"/>
        </w:trPr>
        <w:tc>
          <w:tcPr>
            <w:tcW w:w="4815" w:type="dxa"/>
            <w:noWrap/>
          </w:tcPr>
          <w:p w14:paraId="5FBC4F9B"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17. As partes são responsáveis pela execução da sentença arbitral.</w:t>
            </w:r>
          </w:p>
        </w:tc>
        <w:tc>
          <w:tcPr>
            <w:tcW w:w="4849" w:type="dxa"/>
            <w:noWrap/>
          </w:tcPr>
          <w:p w14:paraId="5646C98B" w14:textId="6533F854"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367.  As partes são responsáveis pela execução da sentença arbitral.</w:t>
            </w:r>
          </w:p>
        </w:tc>
        <w:tc>
          <w:tcPr>
            <w:tcW w:w="4648" w:type="dxa"/>
            <w:noWrap/>
          </w:tcPr>
          <w:p w14:paraId="74AECA56" w14:textId="20CD645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w:t>
            </w:r>
          </w:p>
        </w:tc>
      </w:tr>
      <w:tr w:rsidR="00E86BE2" w:rsidRPr="0010524E" w14:paraId="2D7419FE" w14:textId="16A02E6D" w:rsidTr="00E86BE2">
        <w:trPr>
          <w:trHeight w:val="290"/>
        </w:trPr>
        <w:tc>
          <w:tcPr>
            <w:tcW w:w="4815" w:type="dxa"/>
            <w:noWrap/>
          </w:tcPr>
          <w:p w14:paraId="2700D5E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Parágrafo único. A sentença arbitral não afasta a necessidade de observância dos trâmites e exigências legais referentes a procedimento no âmbito da Previc, quando houver ato que dependa de prévia autorização da PREVIC.</w:t>
            </w:r>
          </w:p>
        </w:tc>
        <w:tc>
          <w:tcPr>
            <w:tcW w:w="4849" w:type="dxa"/>
            <w:noWrap/>
          </w:tcPr>
          <w:p w14:paraId="661AFA79" w14:textId="187E7E7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Parágrafo único.  A sentença arbitral não afasta a necessidade de observância dos trâmites e exigências legais referentes a procedimento de licenciamento, quando houver ato que dependa de prévia autorização da Previc.</w:t>
            </w:r>
          </w:p>
        </w:tc>
        <w:tc>
          <w:tcPr>
            <w:tcW w:w="4648" w:type="dxa"/>
            <w:noWrap/>
          </w:tcPr>
          <w:p w14:paraId="3407E1F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03D398B3" w14:textId="1FF33C4E" w:rsidTr="00E86BE2">
        <w:trPr>
          <w:trHeight w:val="290"/>
        </w:trPr>
        <w:tc>
          <w:tcPr>
            <w:tcW w:w="4815" w:type="dxa"/>
            <w:noWrap/>
          </w:tcPr>
          <w:p w14:paraId="444965EB" w14:textId="77777777" w:rsidR="00E86BE2" w:rsidRDefault="00E86BE2" w:rsidP="00E86BE2">
            <w:pPr>
              <w:jc w:val="center"/>
              <w:rPr>
                <w:rFonts w:cstheme="minorHAnsi"/>
                <w:sz w:val="24"/>
                <w:szCs w:val="24"/>
              </w:rPr>
            </w:pPr>
            <w:r w:rsidRPr="0010524E">
              <w:rPr>
                <w:rFonts w:cstheme="minorHAnsi"/>
                <w:sz w:val="24"/>
                <w:szCs w:val="24"/>
              </w:rPr>
              <w:t>CAPÍTULO VIII</w:t>
            </w:r>
          </w:p>
          <w:p w14:paraId="5A1602A2" w14:textId="4ED7B792" w:rsidR="00E86BE2" w:rsidRPr="0010524E" w:rsidRDefault="00E86BE2" w:rsidP="00E86BE2">
            <w:pPr>
              <w:jc w:val="center"/>
              <w:rPr>
                <w:rFonts w:eastAsia="Times New Roman" w:cstheme="minorHAnsi"/>
                <w:sz w:val="24"/>
                <w:szCs w:val="24"/>
                <w:lang w:eastAsia="pt-BR"/>
              </w:rPr>
            </w:pPr>
            <w:r w:rsidRPr="0010524E">
              <w:rPr>
                <w:rFonts w:cstheme="minorHAnsi"/>
                <w:sz w:val="24"/>
                <w:szCs w:val="24"/>
              </w:rPr>
              <w:t>DISPOSIÇÕES FINAIS</w:t>
            </w:r>
          </w:p>
        </w:tc>
        <w:tc>
          <w:tcPr>
            <w:tcW w:w="4849" w:type="dxa"/>
            <w:noWrap/>
          </w:tcPr>
          <w:p w14:paraId="35FD21D6" w14:textId="77777777" w:rsidR="00E86BE2" w:rsidRDefault="00E86BE2" w:rsidP="00E86BE2">
            <w:pPr>
              <w:jc w:val="center"/>
              <w:rPr>
                <w:rFonts w:cstheme="minorHAnsi"/>
                <w:b/>
                <w:bCs/>
                <w:sz w:val="24"/>
                <w:szCs w:val="24"/>
              </w:rPr>
            </w:pPr>
            <w:r w:rsidRPr="0010524E">
              <w:rPr>
                <w:rFonts w:cstheme="minorHAnsi"/>
                <w:b/>
                <w:bCs/>
                <w:sz w:val="24"/>
                <w:szCs w:val="24"/>
              </w:rPr>
              <w:t>Subseção V</w:t>
            </w:r>
          </w:p>
          <w:p w14:paraId="196FE722" w14:textId="4B07DADF" w:rsidR="00E86BE2" w:rsidRPr="0010524E" w:rsidRDefault="00E86BE2" w:rsidP="00E86BE2">
            <w:pPr>
              <w:jc w:val="center"/>
              <w:rPr>
                <w:rFonts w:eastAsia="Times New Roman" w:cstheme="minorHAnsi"/>
                <w:b/>
                <w:bCs/>
                <w:sz w:val="24"/>
                <w:szCs w:val="24"/>
                <w:lang w:eastAsia="pt-BR"/>
              </w:rPr>
            </w:pPr>
            <w:r w:rsidRPr="0010524E">
              <w:rPr>
                <w:rFonts w:cstheme="minorHAnsi"/>
                <w:b/>
                <w:bCs/>
                <w:sz w:val="24"/>
                <w:szCs w:val="24"/>
              </w:rPr>
              <w:t>Disposições gerais</w:t>
            </w:r>
          </w:p>
        </w:tc>
        <w:tc>
          <w:tcPr>
            <w:tcW w:w="4648" w:type="dxa"/>
            <w:noWrap/>
          </w:tcPr>
          <w:p w14:paraId="7502B480" w14:textId="77777777" w:rsidR="00E86BE2" w:rsidRPr="0010524E" w:rsidRDefault="00E86BE2" w:rsidP="00E86BE2">
            <w:pPr>
              <w:jc w:val="both"/>
              <w:rPr>
                <w:rFonts w:eastAsia="Times New Roman" w:cstheme="minorHAnsi"/>
                <w:sz w:val="24"/>
                <w:szCs w:val="24"/>
                <w:lang w:eastAsia="pt-BR"/>
              </w:rPr>
            </w:pPr>
          </w:p>
        </w:tc>
      </w:tr>
      <w:tr w:rsidR="00E86BE2" w:rsidRPr="0010524E" w14:paraId="152E3BC0" w14:textId="490760F3" w:rsidTr="00E86BE2">
        <w:trPr>
          <w:trHeight w:val="290"/>
        </w:trPr>
        <w:tc>
          <w:tcPr>
            <w:tcW w:w="4815" w:type="dxa"/>
            <w:noWrap/>
          </w:tcPr>
          <w:p w14:paraId="58E7956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18. As comunicações previstas neste regulamento serão feitas por qualquer meio que assegure a ciência inequívoca dos destinatários e serão realizadas, preferencialmente, através de endereço eletrônico previamente informado nos autos, mediante confirmação de recebimento, sob pena de nulidade.</w:t>
            </w:r>
          </w:p>
        </w:tc>
        <w:tc>
          <w:tcPr>
            <w:tcW w:w="4849" w:type="dxa"/>
            <w:noWrap/>
          </w:tcPr>
          <w:p w14:paraId="475B54FA" w14:textId="5D59ECB7"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368.  As comunicações previstas nesta Seção devem ser feitas por qualquer meio que assegure a ciência inequívoca dos destinatários e serão realizadas, preferencialmente, através de endereço eletrônico previamente informado nos autos, mediante confirmação de recebimento, sob pena de nulidade.</w:t>
            </w:r>
          </w:p>
        </w:tc>
        <w:tc>
          <w:tcPr>
            <w:tcW w:w="4648" w:type="dxa"/>
            <w:noWrap/>
          </w:tcPr>
          <w:p w14:paraId="15D7DC61"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2B5ADCD4" w14:textId="338012AB" w:rsidTr="00E86BE2">
        <w:trPr>
          <w:trHeight w:val="290"/>
        </w:trPr>
        <w:tc>
          <w:tcPr>
            <w:tcW w:w="4815" w:type="dxa"/>
            <w:noWrap/>
          </w:tcPr>
          <w:p w14:paraId="29B6E54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1º As comunicações serão dirigidas, sempre que possível, ao procurador nomeado pela parte.</w:t>
            </w:r>
          </w:p>
        </w:tc>
        <w:tc>
          <w:tcPr>
            <w:tcW w:w="4849" w:type="dxa"/>
            <w:noWrap/>
          </w:tcPr>
          <w:p w14:paraId="6887AFC9" w14:textId="36CF4BA2"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1º  As comunicações devem ser dirigidas, sempre que possível, ao procurador nomeado pela parte.</w:t>
            </w:r>
          </w:p>
        </w:tc>
        <w:tc>
          <w:tcPr>
            <w:tcW w:w="4648" w:type="dxa"/>
            <w:noWrap/>
          </w:tcPr>
          <w:p w14:paraId="386F92A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2F37C82A" w14:textId="173C3A16" w:rsidTr="00E86BE2">
        <w:trPr>
          <w:trHeight w:val="290"/>
        </w:trPr>
        <w:tc>
          <w:tcPr>
            <w:tcW w:w="4815" w:type="dxa"/>
            <w:noWrap/>
          </w:tcPr>
          <w:p w14:paraId="57D66CA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2º As partes serão responsáveis por todas as informações prestadas à Câmara de Mediação, Conciliação e Arbitragem, devendo ser informada qualquer alteração de endereço eletrônico para correspondência postal, número de telefone e demais dados de contato, caso em que o Presidente da CMCA determinará que sejam reiteradas as comunicações eventualmente expedidas nos 10(dez) dias anteriores.</w:t>
            </w:r>
          </w:p>
        </w:tc>
        <w:tc>
          <w:tcPr>
            <w:tcW w:w="4849" w:type="dxa"/>
            <w:noWrap/>
          </w:tcPr>
          <w:p w14:paraId="58135959" w14:textId="0182269E"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2º  As partes são responsáveis por todas as informações prestadas à Câmara de Mediação, Conciliação e Arbitragem, devendo ser informada qualquer alteração de endereço eletrônico para correspondência postal, número de telefone e demais dados de contato, caso em que o Presidente da Câmara de Mediação, Conciliação e Arbitragem determina que sejam reiteradas as comunicações eventualmente expedidas nos dez dias anteriores.</w:t>
            </w:r>
          </w:p>
        </w:tc>
        <w:tc>
          <w:tcPr>
            <w:tcW w:w="4648" w:type="dxa"/>
            <w:noWrap/>
          </w:tcPr>
          <w:p w14:paraId="79578FE2"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1D823E91" w14:textId="4E8FEFFA" w:rsidTr="00E86BE2">
        <w:trPr>
          <w:trHeight w:val="290"/>
        </w:trPr>
        <w:tc>
          <w:tcPr>
            <w:tcW w:w="4815" w:type="dxa"/>
            <w:noWrap/>
          </w:tcPr>
          <w:p w14:paraId="0A06BEDD" w14:textId="77777777" w:rsidR="00E86BE2" w:rsidRPr="0010524E" w:rsidRDefault="00E86BE2" w:rsidP="00E86BE2">
            <w:pPr>
              <w:jc w:val="both"/>
              <w:rPr>
                <w:rFonts w:cstheme="minorHAnsi"/>
                <w:sz w:val="24"/>
                <w:szCs w:val="24"/>
              </w:rPr>
            </w:pPr>
          </w:p>
        </w:tc>
        <w:tc>
          <w:tcPr>
            <w:tcW w:w="4849" w:type="dxa"/>
            <w:noWrap/>
          </w:tcPr>
          <w:p w14:paraId="3FD4E253" w14:textId="7AE92FCE"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 3º  Os árbitros, conciliadores e </w:t>
            </w:r>
            <w:r w:rsidRPr="0010524E">
              <w:rPr>
                <w:rFonts w:ascii="Calibri" w:eastAsia="Calibri" w:hAnsi="Calibri" w:cs="Calibri"/>
                <w:b/>
                <w:bCs/>
                <w:sz w:val="24"/>
                <w:szCs w:val="24"/>
              </w:rPr>
              <w:t>experts</w:t>
            </w:r>
            <w:r w:rsidRPr="0010524E">
              <w:rPr>
                <w:rFonts w:ascii="Calibri" w:eastAsia="Calibri" w:hAnsi="Calibri" w:cs="Calibri"/>
                <w:sz w:val="24"/>
                <w:szCs w:val="24"/>
              </w:rPr>
              <w:t xml:space="preserve"> que participarem do processo de composição extrajudicial do conflito, somente podem ser responsabilizados civil, administrativa ou criminalmente, quando tiverem agido mediante dolo ou fraude.</w:t>
            </w:r>
          </w:p>
        </w:tc>
        <w:tc>
          <w:tcPr>
            <w:tcW w:w="4648" w:type="dxa"/>
            <w:noWrap/>
          </w:tcPr>
          <w:p w14:paraId="64FB734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Realocado - antigo artigo 11 do Anexo da Instrução Previc nº 17, de 2019.</w:t>
            </w:r>
          </w:p>
        </w:tc>
      </w:tr>
      <w:tr w:rsidR="00E86BE2" w:rsidRPr="0010524E" w14:paraId="1DA76012" w14:textId="36F9A51F" w:rsidTr="00E86BE2">
        <w:trPr>
          <w:trHeight w:val="290"/>
        </w:trPr>
        <w:tc>
          <w:tcPr>
            <w:tcW w:w="4815" w:type="dxa"/>
            <w:noWrap/>
          </w:tcPr>
          <w:p w14:paraId="28A6F700"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19. Os membros do Comitê Conciliador, do Tribunal Arbitral, os experts e as testemunhas deverão dar-se por suspeitos ou impedidos nas hipóteses dos arts. 144, 145, 148 e 447, §§ 2º e 3º, do Código de Processo Civil, bem como observado o disposto na Lei 12.813, de 16 de maio de 2013.</w:t>
            </w:r>
          </w:p>
        </w:tc>
        <w:tc>
          <w:tcPr>
            <w:tcW w:w="4849" w:type="dxa"/>
            <w:noWrap/>
          </w:tcPr>
          <w:p w14:paraId="285E88ED" w14:textId="3800AE73"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Art. 369.  A suspeição e o impedimento podem ser arguidos pelas partes diretamente ao mediador ou ao tribunal arbitral, que deve proferir decisão no prazo de dez dias, cabendo impugnação desta decisão ao Presidente da Câmara de Mediação, Conciliação e Arbitragem. </w:t>
            </w:r>
          </w:p>
        </w:tc>
        <w:tc>
          <w:tcPr>
            <w:tcW w:w="4648" w:type="dxa"/>
            <w:noWrap/>
          </w:tcPr>
          <w:p w14:paraId="4DB7C25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Nova redação para deixá-lo mais conciso.</w:t>
            </w:r>
          </w:p>
        </w:tc>
      </w:tr>
      <w:tr w:rsidR="00E86BE2" w:rsidRPr="0010524E" w14:paraId="2BCDE8AF" w14:textId="1A451EB6" w:rsidTr="00E86BE2">
        <w:trPr>
          <w:trHeight w:val="290"/>
        </w:trPr>
        <w:tc>
          <w:tcPr>
            <w:tcW w:w="4815" w:type="dxa"/>
            <w:noWrap/>
          </w:tcPr>
          <w:p w14:paraId="391D4B8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Parágrafo único. A suspeição e o impedimento poderão ser arguidos pelas partes diretamente ao mediador, ao Comitê Conciliador ou ao Tribunal Arbitral, que proferirá decisão no prazo de 10 (dez) dias, cabendo impugnação desta decisão ao Presidente da Câmara.</w:t>
            </w:r>
          </w:p>
        </w:tc>
        <w:tc>
          <w:tcPr>
            <w:tcW w:w="4849" w:type="dxa"/>
            <w:noWrap/>
          </w:tcPr>
          <w:p w14:paraId="33E88F8E"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7BD815EC" w14:textId="77777777" w:rsidR="00E86BE2" w:rsidRPr="0010524E" w:rsidRDefault="00E86BE2" w:rsidP="00E86BE2">
            <w:pPr>
              <w:jc w:val="both"/>
              <w:rPr>
                <w:rFonts w:eastAsia="Times New Roman" w:cstheme="minorHAnsi"/>
                <w:sz w:val="24"/>
                <w:szCs w:val="24"/>
                <w:lang w:eastAsia="pt-BR"/>
              </w:rPr>
            </w:pPr>
          </w:p>
        </w:tc>
      </w:tr>
      <w:tr w:rsidR="00E86BE2" w:rsidRPr="0010524E" w14:paraId="7112C472" w14:textId="75C3C571" w:rsidTr="00E86BE2">
        <w:trPr>
          <w:trHeight w:val="290"/>
        </w:trPr>
        <w:tc>
          <w:tcPr>
            <w:tcW w:w="4815" w:type="dxa"/>
            <w:noWrap/>
          </w:tcPr>
          <w:p w14:paraId="1564556C"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20. As partes poderão ser assistidas por advogados por elas contratados.</w:t>
            </w:r>
          </w:p>
        </w:tc>
        <w:tc>
          <w:tcPr>
            <w:tcW w:w="4849" w:type="dxa"/>
            <w:noWrap/>
          </w:tcPr>
          <w:p w14:paraId="452DCD87" w14:textId="3E9D6CA1" w:rsidR="00E86BE2" w:rsidRPr="0010524E" w:rsidRDefault="00E86BE2" w:rsidP="00E86BE2">
            <w:pPr>
              <w:spacing w:before="120"/>
              <w:jc w:val="both"/>
              <w:rPr>
                <w:rFonts w:eastAsia="Times New Roman" w:cstheme="minorHAnsi"/>
                <w:sz w:val="24"/>
                <w:szCs w:val="24"/>
                <w:lang w:eastAsia="pt-BR"/>
              </w:rPr>
            </w:pPr>
            <w:r w:rsidRPr="0010524E">
              <w:rPr>
                <w:rFonts w:ascii="Calibri" w:eastAsia="Calibri" w:hAnsi="Calibri" w:cs="Calibri"/>
                <w:sz w:val="24"/>
                <w:szCs w:val="24"/>
              </w:rPr>
              <w:t>Art. 370.  As partes podem ser assistidas por advogados por elas contratados.</w:t>
            </w:r>
          </w:p>
        </w:tc>
        <w:tc>
          <w:tcPr>
            <w:tcW w:w="4648" w:type="dxa"/>
            <w:noWrap/>
          </w:tcPr>
          <w:p w14:paraId="09327DD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3BC4A304" w14:textId="5F3B3F15" w:rsidTr="00E86BE2">
        <w:trPr>
          <w:trHeight w:val="290"/>
        </w:trPr>
        <w:tc>
          <w:tcPr>
            <w:tcW w:w="4815" w:type="dxa"/>
            <w:noWrap/>
          </w:tcPr>
          <w:p w14:paraId="780748B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21. O Presidente da CMCA poderá expedir normas complementares a este regulamento</w:t>
            </w:r>
          </w:p>
        </w:tc>
        <w:tc>
          <w:tcPr>
            <w:tcW w:w="4849" w:type="dxa"/>
            <w:noWrap/>
          </w:tcPr>
          <w:p w14:paraId="4A7D85B2"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4C7EE930" w14:textId="77777777" w:rsidR="00E86BE2" w:rsidRPr="0010524E" w:rsidRDefault="00E86BE2" w:rsidP="00E86BE2">
            <w:pPr>
              <w:jc w:val="both"/>
              <w:rPr>
                <w:rFonts w:eastAsia="Times New Roman" w:cstheme="minorHAnsi"/>
                <w:sz w:val="24"/>
                <w:szCs w:val="24"/>
                <w:lang w:eastAsia="pt-BR"/>
              </w:rPr>
            </w:pPr>
            <w:r w:rsidRPr="0010524E">
              <w:rPr>
                <w:sz w:val="24"/>
                <w:szCs w:val="24"/>
              </w:rPr>
              <w:t>Excluído.</w:t>
            </w:r>
          </w:p>
        </w:tc>
      </w:tr>
      <w:tr w:rsidR="00E86BE2" w:rsidRPr="0010524E" w14:paraId="4DFFF85A" w14:textId="55D54FFC" w:rsidTr="00E86BE2">
        <w:trPr>
          <w:trHeight w:val="290"/>
        </w:trPr>
        <w:tc>
          <w:tcPr>
            <w:tcW w:w="4815" w:type="dxa"/>
            <w:noWrap/>
          </w:tcPr>
          <w:p w14:paraId="01AE9C5C"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Art.22. Aplicam-se subsidiariamente a este regulamento as regras previstas na Lei nº 9.307, de 1996, e no Código de Processo Civil.</w:t>
            </w:r>
          </w:p>
        </w:tc>
        <w:tc>
          <w:tcPr>
            <w:tcW w:w="4849" w:type="dxa"/>
            <w:noWrap/>
          </w:tcPr>
          <w:p w14:paraId="7F3D2487" w14:textId="77777777" w:rsidR="00E86BE2" w:rsidRPr="0010524E" w:rsidRDefault="00E86BE2" w:rsidP="00E86BE2">
            <w:pPr>
              <w:spacing w:before="120"/>
              <w:jc w:val="both"/>
              <w:rPr>
                <w:sz w:val="24"/>
                <w:szCs w:val="24"/>
              </w:rPr>
            </w:pPr>
            <w:r w:rsidRPr="0010524E">
              <w:rPr>
                <w:rFonts w:ascii="Calibri" w:eastAsia="Calibri" w:hAnsi="Calibri" w:cs="Calibri"/>
                <w:sz w:val="24"/>
                <w:szCs w:val="24"/>
              </w:rPr>
              <w:t xml:space="preserve">Art. 371.  Aplicam-se subsidiariamente a esta seção </w:t>
            </w:r>
            <w:r w:rsidRPr="0010524E">
              <w:rPr>
                <w:rFonts w:ascii="Calibri" w:eastAsia="Calibri" w:hAnsi="Calibri" w:cs="Calibri"/>
                <w:strike/>
                <w:sz w:val="24"/>
                <w:szCs w:val="24"/>
              </w:rPr>
              <w:t>este regulamento</w:t>
            </w:r>
            <w:r w:rsidRPr="0010524E">
              <w:rPr>
                <w:rFonts w:ascii="Calibri" w:eastAsia="Calibri" w:hAnsi="Calibri" w:cs="Calibri"/>
                <w:sz w:val="24"/>
                <w:szCs w:val="24"/>
              </w:rPr>
              <w:t xml:space="preserve"> as regras previstas na Lei nº 9.307, de 1996.</w:t>
            </w:r>
          </w:p>
          <w:p w14:paraId="22B128FA" w14:textId="27EB0C21" w:rsidR="00E86BE2" w:rsidRPr="0010524E" w:rsidRDefault="00E86BE2" w:rsidP="00E86BE2">
            <w:pPr>
              <w:jc w:val="both"/>
              <w:rPr>
                <w:rFonts w:eastAsia="Times New Roman" w:cstheme="minorHAnsi"/>
                <w:sz w:val="24"/>
                <w:szCs w:val="24"/>
                <w:lang w:eastAsia="pt-BR"/>
              </w:rPr>
            </w:pPr>
          </w:p>
        </w:tc>
        <w:tc>
          <w:tcPr>
            <w:tcW w:w="4648" w:type="dxa"/>
            <w:noWrap/>
          </w:tcPr>
          <w:p w14:paraId="017DB11B"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5DE5366A" w14:textId="54608C2F" w:rsidTr="00E86BE2">
        <w:trPr>
          <w:trHeight w:val="290"/>
        </w:trPr>
        <w:tc>
          <w:tcPr>
            <w:tcW w:w="4815" w:type="dxa"/>
            <w:noWrap/>
          </w:tcPr>
          <w:p w14:paraId="6FE7809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Art. 23. O presidente da Câmara de Mediação, Conciliação e Arbitragem decidirá sobre os casos omissos.</w:t>
            </w:r>
          </w:p>
        </w:tc>
        <w:tc>
          <w:tcPr>
            <w:tcW w:w="4849" w:type="dxa"/>
            <w:noWrap/>
          </w:tcPr>
          <w:p w14:paraId="39146371" w14:textId="77777777" w:rsidR="00E86BE2" w:rsidRPr="0010524E" w:rsidRDefault="00E86BE2" w:rsidP="00E86BE2">
            <w:pPr>
              <w:spacing w:before="120"/>
              <w:jc w:val="both"/>
              <w:rPr>
                <w:sz w:val="24"/>
                <w:szCs w:val="24"/>
              </w:rPr>
            </w:pPr>
            <w:r w:rsidRPr="0010524E">
              <w:rPr>
                <w:rFonts w:ascii="Calibri" w:eastAsia="Calibri" w:hAnsi="Calibri" w:cs="Calibri"/>
                <w:sz w:val="24"/>
                <w:szCs w:val="24"/>
              </w:rPr>
              <w:t xml:space="preserve">Art. 372.  O Presidente da Câmara de Mediação, Conciliação e Arbitragem pode decidir sobre os casos omissos. </w:t>
            </w:r>
          </w:p>
          <w:p w14:paraId="1F3D1BBD" w14:textId="66AA949E" w:rsidR="00E86BE2" w:rsidRPr="0010524E" w:rsidRDefault="00E86BE2" w:rsidP="00E86BE2">
            <w:pPr>
              <w:jc w:val="both"/>
              <w:rPr>
                <w:rFonts w:eastAsia="Times New Roman" w:cstheme="minorHAnsi"/>
                <w:sz w:val="24"/>
                <w:szCs w:val="24"/>
                <w:lang w:eastAsia="pt-BR"/>
              </w:rPr>
            </w:pPr>
          </w:p>
        </w:tc>
        <w:tc>
          <w:tcPr>
            <w:tcW w:w="4648" w:type="dxa"/>
            <w:noWrap/>
          </w:tcPr>
          <w:p w14:paraId="065DF74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Ajuste de redação.</w:t>
            </w:r>
          </w:p>
        </w:tc>
      </w:tr>
      <w:tr w:rsidR="00E86BE2" w:rsidRPr="0010524E" w14:paraId="34623EEC" w14:textId="1CEB85A1" w:rsidTr="00E86BE2">
        <w:trPr>
          <w:trHeight w:val="290"/>
        </w:trPr>
        <w:tc>
          <w:tcPr>
            <w:tcW w:w="4815" w:type="dxa"/>
            <w:noWrap/>
          </w:tcPr>
          <w:p w14:paraId="64516EF7" w14:textId="77777777" w:rsidR="00E86BE2" w:rsidRPr="003437B8" w:rsidRDefault="00E86BE2" w:rsidP="00E86BE2">
            <w:pPr>
              <w:jc w:val="both"/>
              <w:rPr>
                <w:rFonts w:eastAsia="Times New Roman" w:cstheme="minorHAnsi"/>
                <w:sz w:val="24"/>
                <w:szCs w:val="24"/>
                <w:lang w:eastAsia="pt-BR"/>
              </w:rPr>
            </w:pPr>
            <w:r w:rsidRPr="003437B8">
              <w:rPr>
                <w:rFonts w:eastAsia="Times New Roman" w:cs="Times New Roman"/>
                <w:b/>
                <w:sz w:val="24"/>
                <w:szCs w:val="24"/>
              </w:rPr>
              <w:t>PORTARIA MPS/SPC Nº 2.862, DE 28 DE ABRIL DE 2009</w:t>
            </w:r>
          </w:p>
        </w:tc>
        <w:tc>
          <w:tcPr>
            <w:tcW w:w="4849" w:type="dxa"/>
            <w:noWrap/>
          </w:tcPr>
          <w:p w14:paraId="231AE51B"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59D3FB73" w14:textId="77777777" w:rsidR="00E86BE2" w:rsidRPr="0010524E" w:rsidRDefault="00E86BE2" w:rsidP="00E86BE2">
            <w:pPr>
              <w:jc w:val="both"/>
              <w:rPr>
                <w:rFonts w:eastAsia="Times New Roman" w:cstheme="minorHAnsi"/>
                <w:sz w:val="24"/>
                <w:szCs w:val="24"/>
                <w:lang w:eastAsia="pt-BR"/>
              </w:rPr>
            </w:pPr>
          </w:p>
        </w:tc>
      </w:tr>
      <w:tr w:rsidR="00E86BE2" w:rsidRPr="0010524E" w14:paraId="25190FF0" w14:textId="4256CE81" w:rsidTr="00E86BE2">
        <w:trPr>
          <w:trHeight w:val="290"/>
        </w:trPr>
        <w:tc>
          <w:tcPr>
            <w:tcW w:w="4815" w:type="dxa"/>
            <w:noWrap/>
          </w:tcPr>
          <w:p w14:paraId="3814BCE6" w14:textId="2D19F6E5" w:rsidR="00E86BE2" w:rsidRPr="003437B8" w:rsidRDefault="00E86BE2" w:rsidP="00E86BE2">
            <w:pPr>
              <w:jc w:val="both"/>
              <w:rPr>
                <w:rFonts w:cstheme="minorHAnsi"/>
                <w:sz w:val="24"/>
                <w:szCs w:val="24"/>
              </w:rPr>
            </w:pPr>
            <w:r w:rsidRPr="003437B8">
              <w:rPr>
                <w:rFonts w:cstheme="minorHAnsi"/>
                <w:sz w:val="24"/>
                <w:szCs w:val="24"/>
              </w:rPr>
              <w:t>O SECRETÁRIO</w:t>
            </w:r>
            <w:r>
              <w:rPr>
                <w:rFonts w:cstheme="minorHAnsi"/>
                <w:sz w:val="24"/>
                <w:szCs w:val="24"/>
              </w:rPr>
              <w:t xml:space="preserve"> </w:t>
            </w:r>
            <w:r w:rsidRPr="003437B8">
              <w:rPr>
                <w:rFonts w:cstheme="minorHAnsi"/>
                <w:sz w:val="24"/>
                <w:szCs w:val="24"/>
              </w:rPr>
              <w:t>DE</w:t>
            </w:r>
            <w:r>
              <w:rPr>
                <w:rFonts w:cstheme="minorHAnsi"/>
                <w:sz w:val="24"/>
                <w:szCs w:val="24"/>
              </w:rPr>
              <w:t xml:space="preserve"> </w:t>
            </w:r>
            <w:r w:rsidRPr="003437B8">
              <w:rPr>
                <w:rFonts w:cstheme="minorHAnsi"/>
                <w:sz w:val="24"/>
                <w:szCs w:val="24"/>
              </w:rPr>
              <w:t xml:space="preserve">PREVIDÊNCIA COMPLEMENTAR DO </w:t>
            </w:r>
            <w:r w:rsidRPr="003437B8">
              <w:rPr>
                <w:rFonts w:cstheme="minorHAnsi"/>
                <w:sz w:val="24"/>
                <w:szCs w:val="24"/>
              </w:rPr>
              <w:tab/>
              <w:t xml:space="preserve">MINISTÉRIO DA </w:t>
            </w:r>
          </w:p>
          <w:p w14:paraId="0E9FA33E" w14:textId="77777777" w:rsidR="00E86BE2" w:rsidRPr="003437B8" w:rsidRDefault="00E86BE2" w:rsidP="00E86BE2">
            <w:pPr>
              <w:jc w:val="both"/>
              <w:rPr>
                <w:rFonts w:cstheme="minorHAnsi"/>
                <w:sz w:val="24"/>
                <w:szCs w:val="24"/>
              </w:rPr>
            </w:pPr>
            <w:r w:rsidRPr="003437B8">
              <w:rPr>
                <w:rFonts w:cstheme="minorHAnsi"/>
                <w:sz w:val="24"/>
                <w:szCs w:val="24"/>
              </w:rPr>
              <w:t xml:space="preserve">PREVIDÊNCIA SOCIAL, no uso das atribuições que lhe conferem os arts. 5º e 74 da Lei Complementar nº 109, de 29 de maio de 2001, o art. 11 do Anexo I, do Decreto nº 6.417, de 31 de março de 2008, e a Resolução CGPC nº 09, de 19 de fevereiro de 2004, resolve: </w:t>
            </w:r>
          </w:p>
          <w:p w14:paraId="1D463347" w14:textId="77777777" w:rsidR="00E86BE2" w:rsidRPr="003437B8" w:rsidRDefault="00E86BE2" w:rsidP="00E86BE2">
            <w:pPr>
              <w:jc w:val="both"/>
              <w:rPr>
                <w:rFonts w:cstheme="minorHAnsi"/>
                <w:sz w:val="24"/>
                <w:szCs w:val="24"/>
              </w:rPr>
            </w:pPr>
          </w:p>
        </w:tc>
        <w:tc>
          <w:tcPr>
            <w:tcW w:w="4849" w:type="dxa"/>
            <w:noWrap/>
          </w:tcPr>
          <w:p w14:paraId="2929F5A6" w14:textId="77777777" w:rsidR="00E86BE2" w:rsidRPr="0010524E" w:rsidRDefault="00E86BE2" w:rsidP="00E86BE2">
            <w:pPr>
              <w:jc w:val="both"/>
              <w:rPr>
                <w:rFonts w:cstheme="minorHAnsi"/>
                <w:sz w:val="24"/>
                <w:szCs w:val="24"/>
              </w:rPr>
            </w:pPr>
          </w:p>
        </w:tc>
        <w:tc>
          <w:tcPr>
            <w:tcW w:w="4648" w:type="dxa"/>
            <w:noWrap/>
          </w:tcPr>
          <w:p w14:paraId="49C1A663" w14:textId="59D3395C" w:rsidR="00E86BE2" w:rsidRPr="0010524E" w:rsidRDefault="00E86BE2" w:rsidP="00E86BE2">
            <w:pPr>
              <w:jc w:val="both"/>
              <w:rPr>
                <w:rFonts w:cstheme="minorHAnsi"/>
                <w:sz w:val="24"/>
                <w:szCs w:val="24"/>
              </w:rPr>
            </w:pPr>
            <w:r w:rsidRPr="0010524E">
              <w:rPr>
                <w:rFonts w:cstheme="minorHAnsi"/>
                <w:sz w:val="24"/>
                <w:szCs w:val="24"/>
              </w:rPr>
              <w:t>Exclu</w:t>
            </w:r>
            <w:r>
              <w:rPr>
                <w:rFonts w:cstheme="minorHAnsi"/>
                <w:sz w:val="24"/>
                <w:szCs w:val="24"/>
              </w:rPr>
              <w:t>ído</w:t>
            </w:r>
          </w:p>
        </w:tc>
      </w:tr>
      <w:tr w:rsidR="00E86BE2" w:rsidRPr="0010524E" w14:paraId="50917413" w14:textId="18DF169A" w:rsidTr="00E86BE2">
        <w:trPr>
          <w:trHeight w:val="290"/>
        </w:trPr>
        <w:tc>
          <w:tcPr>
            <w:tcW w:w="4815" w:type="dxa"/>
            <w:noWrap/>
          </w:tcPr>
          <w:p w14:paraId="4D853A36" w14:textId="77777777" w:rsidR="00E86BE2" w:rsidRPr="0010524E" w:rsidRDefault="00E86BE2" w:rsidP="00E86BE2">
            <w:pPr>
              <w:jc w:val="both"/>
              <w:rPr>
                <w:rFonts w:cstheme="minorHAnsi"/>
                <w:sz w:val="24"/>
                <w:szCs w:val="24"/>
              </w:rPr>
            </w:pPr>
            <w:r w:rsidRPr="0010524E">
              <w:rPr>
                <w:rFonts w:cstheme="minorHAnsi"/>
                <w:sz w:val="24"/>
                <w:szCs w:val="24"/>
              </w:rPr>
              <w:t xml:space="preserve">Art. 1º Instituir a Comissão Nacional de Atuária - CNA, instância colegiada de caráter opinativo em matéria atuarial, no âmbito do regime de previdência complementar. </w:t>
            </w:r>
          </w:p>
          <w:p w14:paraId="0B170329" w14:textId="77777777" w:rsidR="00E86BE2" w:rsidRPr="0010524E" w:rsidRDefault="00E86BE2" w:rsidP="00E86BE2">
            <w:pPr>
              <w:jc w:val="both"/>
              <w:rPr>
                <w:rFonts w:cstheme="minorHAnsi"/>
                <w:sz w:val="24"/>
                <w:szCs w:val="24"/>
              </w:rPr>
            </w:pPr>
          </w:p>
        </w:tc>
        <w:tc>
          <w:tcPr>
            <w:tcW w:w="4849" w:type="dxa"/>
            <w:noWrap/>
          </w:tcPr>
          <w:p w14:paraId="0CE0F1B2" w14:textId="77777777" w:rsidR="00E86BE2" w:rsidRPr="0010524E" w:rsidRDefault="00E86BE2" w:rsidP="00E86BE2">
            <w:pPr>
              <w:jc w:val="both"/>
              <w:rPr>
                <w:rFonts w:cstheme="minorHAnsi"/>
                <w:sz w:val="24"/>
                <w:szCs w:val="24"/>
              </w:rPr>
            </w:pPr>
          </w:p>
        </w:tc>
        <w:tc>
          <w:tcPr>
            <w:tcW w:w="4648" w:type="dxa"/>
            <w:noWrap/>
          </w:tcPr>
          <w:p w14:paraId="2CA4FD2D" w14:textId="0B4A8503" w:rsidR="00E86BE2" w:rsidRPr="0010524E" w:rsidRDefault="00E86BE2" w:rsidP="00E86BE2">
            <w:pPr>
              <w:jc w:val="both"/>
              <w:rPr>
                <w:rFonts w:cstheme="minorHAnsi"/>
                <w:sz w:val="24"/>
                <w:szCs w:val="24"/>
              </w:rPr>
            </w:pPr>
            <w:r w:rsidRPr="0010524E">
              <w:rPr>
                <w:rFonts w:cstheme="minorHAnsi"/>
                <w:sz w:val="24"/>
                <w:szCs w:val="24"/>
              </w:rPr>
              <w:t>Exclu</w:t>
            </w:r>
            <w:r>
              <w:rPr>
                <w:rFonts w:cstheme="minorHAnsi"/>
                <w:sz w:val="24"/>
                <w:szCs w:val="24"/>
              </w:rPr>
              <w:t>ído</w:t>
            </w:r>
          </w:p>
        </w:tc>
      </w:tr>
      <w:tr w:rsidR="00E86BE2" w:rsidRPr="0010524E" w14:paraId="282B9D21" w14:textId="6E25EE36" w:rsidTr="00E86BE2">
        <w:trPr>
          <w:trHeight w:val="290"/>
        </w:trPr>
        <w:tc>
          <w:tcPr>
            <w:tcW w:w="4815" w:type="dxa"/>
            <w:noWrap/>
          </w:tcPr>
          <w:p w14:paraId="771ED6BD" w14:textId="77777777" w:rsidR="00E86BE2" w:rsidRPr="0010524E" w:rsidRDefault="00E86BE2" w:rsidP="00E86BE2">
            <w:pPr>
              <w:jc w:val="both"/>
              <w:rPr>
                <w:rFonts w:cstheme="minorHAnsi"/>
                <w:sz w:val="24"/>
                <w:szCs w:val="24"/>
              </w:rPr>
            </w:pPr>
            <w:r w:rsidRPr="0010524E">
              <w:rPr>
                <w:rFonts w:cstheme="minorHAnsi"/>
                <w:sz w:val="24"/>
                <w:szCs w:val="24"/>
              </w:rPr>
              <w:t>Art. 2º Aprovar o Regimento Interno da Comissão Nacional de Atuária - CNA na forma do Anexo Único desta Portaria.</w:t>
            </w:r>
          </w:p>
        </w:tc>
        <w:tc>
          <w:tcPr>
            <w:tcW w:w="4849" w:type="dxa"/>
            <w:noWrap/>
          </w:tcPr>
          <w:p w14:paraId="752108B1" w14:textId="77777777" w:rsidR="00E86BE2" w:rsidRPr="0010524E" w:rsidRDefault="00E86BE2" w:rsidP="00E86BE2">
            <w:pPr>
              <w:jc w:val="both"/>
              <w:rPr>
                <w:rFonts w:cstheme="minorHAnsi"/>
                <w:sz w:val="24"/>
                <w:szCs w:val="24"/>
              </w:rPr>
            </w:pPr>
          </w:p>
        </w:tc>
        <w:tc>
          <w:tcPr>
            <w:tcW w:w="4648" w:type="dxa"/>
            <w:noWrap/>
          </w:tcPr>
          <w:p w14:paraId="0F576E35" w14:textId="3C17F45B" w:rsidR="00E86BE2" w:rsidRPr="0010524E" w:rsidRDefault="00E86BE2" w:rsidP="00E86BE2">
            <w:pPr>
              <w:jc w:val="both"/>
              <w:rPr>
                <w:rFonts w:cstheme="minorHAnsi"/>
                <w:sz w:val="24"/>
                <w:szCs w:val="24"/>
              </w:rPr>
            </w:pPr>
            <w:r w:rsidRPr="0010524E">
              <w:rPr>
                <w:rFonts w:cstheme="minorHAnsi"/>
                <w:sz w:val="24"/>
                <w:szCs w:val="24"/>
              </w:rPr>
              <w:t>Exclu</w:t>
            </w:r>
            <w:r>
              <w:rPr>
                <w:rFonts w:cstheme="minorHAnsi"/>
                <w:sz w:val="24"/>
                <w:szCs w:val="24"/>
              </w:rPr>
              <w:t>ído</w:t>
            </w:r>
          </w:p>
        </w:tc>
      </w:tr>
      <w:tr w:rsidR="00E86BE2" w:rsidRPr="0010524E" w14:paraId="4F8C1973" w14:textId="1DF1EEC0" w:rsidTr="00E86BE2">
        <w:trPr>
          <w:trHeight w:val="290"/>
        </w:trPr>
        <w:tc>
          <w:tcPr>
            <w:tcW w:w="4815" w:type="dxa"/>
            <w:noWrap/>
          </w:tcPr>
          <w:p w14:paraId="2C37C578" w14:textId="77777777" w:rsidR="00E86BE2" w:rsidRPr="0010524E" w:rsidRDefault="00E86BE2" w:rsidP="00E86BE2">
            <w:pPr>
              <w:jc w:val="both"/>
              <w:rPr>
                <w:rFonts w:cstheme="minorHAnsi"/>
                <w:sz w:val="24"/>
                <w:szCs w:val="24"/>
              </w:rPr>
            </w:pPr>
            <w:bookmarkStart w:id="37" w:name="_Hlk138423985"/>
            <w:r w:rsidRPr="0010524E">
              <w:rPr>
                <w:rFonts w:cstheme="minorHAnsi"/>
                <w:sz w:val="24"/>
                <w:szCs w:val="24"/>
              </w:rPr>
              <w:t xml:space="preserve">Art. 3º Esta Portaria entra em vigor na data de sua publicação. </w:t>
            </w:r>
          </w:p>
          <w:p w14:paraId="729F5532" w14:textId="77777777" w:rsidR="00E86BE2" w:rsidRPr="0010524E" w:rsidRDefault="00E86BE2" w:rsidP="00E86BE2">
            <w:pPr>
              <w:jc w:val="both"/>
              <w:rPr>
                <w:rFonts w:cstheme="minorHAnsi"/>
                <w:sz w:val="24"/>
                <w:szCs w:val="24"/>
              </w:rPr>
            </w:pPr>
          </w:p>
        </w:tc>
        <w:tc>
          <w:tcPr>
            <w:tcW w:w="4849" w:type="dxa"/>
            <w:noWrap/>
          </w:tcPr>
          <w:p w14:paraId="65945FBD" w14:textId="77777777" w:rsidR="00E86BE2" w:rsidRPr="0010524E" w:rsidRDefault="00E86BE2" w:rsidP="00E86BE2">
            <w:pPr>
              <w:jc w:val="center"/>
              <w:rPr>
                <w:rFonts w:cstheme="minorHAnsi"/>
                <w:b/>
                <w:bCs/>
                <w:sz w:val="24"/>
                <w:szCs w:val="24"/>
              </w:rPr>
            </w:pPr>
            <w:r w:rsidRPr="0010524E">
              <w:rPr>
                <w:rFonts w:cstheme="minorHAnsi"/>
                <w:b/>
                <w:bCs/>
                <w:sz w:val="24"/>
                <w:szCs w:val="24"/>
              </w:rPr>
              <w:t>Seção IV</w:t>
            </w:r>
          </w:p>
          <w:p w14:paraId="0829CA2D" w14:textId="77777777" w:rsidR="00E86BE2" w:rsidRPr="0010524E" w:rsidRDefault="00E86BE2" w:rsidP="00E86BE2">
            <w:pPr>
              <w:jc w:val="center"/>
              <w:rPr>
                <w:rFonts w:cstheme="minorHAnsi"/>
                <w:sz w:val="24"/>
                <w:szCs w:val="24"/>
              </w:rPr>
            </w:pPr>
            <w:r w:rsidRPr="0010524E">
              <w:rPr>
                <w:rFonts w:cstheme="minorHAnsi"/>
                <w:b/>
                <w:bCs/>
                <w:sz w:val="24"/>
                <w:szCs w:val="24"/>
              </w:rPr>
              <w:t>Comissão Nacional de Atuária</w:t>
            </w:r>
          </w:p>
        </w:tc>
        <w:tc>
          <w:tcPr>
            <w:tcW w:w="4648" w:type="dxa"/>
            <w:noWrap/>
          </w:tcPr>
          <w:p w14:paraId="463DE522" w14:textId="77777777" w:rsidR="00E86BE2" w:rsidRPr="0010524E" w:rsidRDefault="00E86BE2" w:rsidP="00E86BE2">
            <w:pPr>
              <w:jc w:val="both"/>
              <w:rPr>
                <w:rFonts w:cstheme="minorHAnsi"/>
                <w:sz w:val="24"/>
                <w:szCs w:val="24"/>
              </w:rPr>
            </w:pPr>
            <w:r w:rsidRPr="0010524E">
              <w:rPr>
                <w:rFonts w:cstheme="minorHAnsi"/>
                <w:sz w:val="24"/>
                <w:szCs w:val="24"/>
              </w:rPr>
              <w:t>Inserção de seção.</w:t>
            </w:r>
          </w:p>
        </w:tc>
      </w:tr>
      <w:tr w:rsidR="00E86BE2" w:rsidRPr="0010524E" w14:paraId="7C68862B" w14:textId="5586960E" w:rsidTr="00E86BE2">
        <w:trPr>
          <w:trHeight w:val="290"/>
        </w:trPr>
        <w:tc>
          <w:tcPr>
            <w:tcW w:w="4815" w:type="dxa"/>
            <w:noWrap/>
          </w:tcPr>
          <w:p w14:paraId="4CB93149" w14:textId="77777777" w:rsidR="00E86BE2" w:rsidRPr="0010524E" w:rsidRDefault="00E86BE2" w:rsidP="00E86BE2">
            <w:pPr>
              <w:jc w:val="both"/>
              <w:rPr>
                <w:rFonts w:cstheme="minorHAnsi"/>
                <w:sz w:val="24"/>
                <w:szCs w:val="24"/>
              </w:rPr>
            </w:pPr>
            <w:bookmarkStart w:id="38" w:name="_Hlk138424048"/>
            <w:bookmarkEnd w:id="37"/>
            <w:r w:rsidRPr="0010524E">
              <w:rPr>
                <w:rFonts w:cstheme="minorHAnsi"/>
                <w:sz w:val="24"/>
                <w:szCs w:val="24"/>
              </w:rPr>
              <w:t xml:space="preserve">ANEXO </w:t>
            </w:r>
          </w:p>
          <w:p w14:paraId="000A7934" w14:textId="1E7E3F23" w:rsidR="00E86BE2" w:rsidRPr="0010524E" w:rsidRDefault="00E86BE2" w:rsidP="00E86BE2">
            <w:pPr>
              <w:jc w:val="both"/>
              <w:rPr>
                <w:rFonts w:cstheme="minorHAnsi"/>
                <w:sz w:val="24"/>
                <w:szCs w:val="24"/>
              </w:rPr>
            </w:pPr>
            <w:r w:rsidRPr="0010524E">
              <w:rPr>
                <w:rFonts w:cstheme="minorHAnsi"/>
                <w:sz w:val="24"/>
                <w:szCs w:val="24"/>
              </w:rPr>
              <w:lastRenderedPageBreak/>
              <w:t xml:space="preserve">REGIMENTO INTERNO DA COMISSÃO NACIONAL DE ATUÁRIA </w:t>
            </w:r>
          </w:p>
          <w:p w14:paraId="2CD862E2" w14:textId="40E56D73" w:rsidR="00E86BE2" w:rsidRPr="0010524E" w:rsidRDefault="00E86BE2" w:rsidP="00E86BE2">
            <w:pPr>
              <w:jc w:val="both"/>
              <w:rPr>
                <w:rFonts w:cstheme="minorHAnsi"/>
                <w:sz w:val="24"/>
                <w:szCs w:val="24"/>
              </w:rPr>
            </w:pPr>
          </w:p>
          <w:p w14:paraId="04564B47" w14:textId="54B930EF" w:rsidR="00E86BE2" w:rsidRPr="0010524E" w:rsidRDefault="00E86BE2" w:rsidP="00E86BE2">
            <w:pPr>
              <w:jc w:val="center"/>
              <w:rPr>
                <w:rFonts w:cstheme="minorHAnsi"/>
                <w:sz w:val="24"/>
                <w:szCs w:val="24"/>
              </w:rPr>
            </w:pPr>
            <w:r w:rsidRPr="0010524E">
              <w:rPr>
                <w:rFonts w:cstheme="minorHAnsi"/>
                <w:sz w:val="24"/>
                <w:szCs w:val="24"/>
              </w:rPr>
              <w:t>CAPÍTULO I</w:t>
            </w:r>
          </w:p>
          <w:p w14:paraId="7D92955E" w14:textId="5F9725D3" w:rsidR="00E86BE2" w:rsidRPr="0010524E" w:rsidRDefault="00E86BE2" w:rsidP="00E86BE2">
            <w:pPr>
              <w:jc w:val="center"/>
              <w:rPr>
                <w:rFonts w:cstheme="minorHAnsi"/>
                <w:sz w:val="24"/>
                <w:szCs w:val="24"/>
              </w:rPr>
            </w:pPr>
            <w:r w:rsidRPr="0010524E">
              <w:rPr>
                <w:rFonts w:cstheme="minorHAnsi"/>
                <w:sz w:val="24"/>
                <w:szCs w:val="24"/>
              </w:rPr>
              <w:t>DA NATUREZA, COMPETÊNCIA E FINALIDADE:</w:t>
            </w:r>
          </w:p>
          <w:p w14:paraId="7B792849" w14:textId="77777777" w:rsidR="00E86BE2" w:rsidRPr="0010524E" w:rsidRDefault="00E86BE2" w:rsidP="00E86BE2">
            <w:pPr>
              <w:jc w:val="both"/>
              <w:rPr>
                <w:rFonts w:cstheme="minorHAnsi"/>
                <w:sz w:val="24"/>
                <w:szCs w:val="24"/>
              </w:rPr>
            </w:pPr>
          </w:p>
        </w:tc>
        <w:tc>
          <w:tcPr>
            <w:tcW w:w="4849" w:type="dxa"/>
            <w:noWrap/>
          </w:tcPr>
          <w:p w14:paraId="720B8382" w14:textId="08733E28" w:rsidR="00E86BE2" w:rsidRPr="0010524E" w:rsidRDefault="00E86BE2" w:rsidP="00E86BE2">
            <w:pPr>
              <w:jc w:val="center"/>
              <w:rPr>
                <w:rFonts w:cstheme="minorHAnsi"/>
                <w:b/>
                <w:bCs/>
                <w:sz w:val="24"/>
                <w:szCs w:val="24"/>
              </w:rPr>
            </w:pPr>
            <w:bookmarkStart w:id="39" w:name="_Hlk138424173"/>
            <w:r w:rsidRPr="0010524E">
              <w:rPr>
                <w:rFonts w:cstheme="minorHAnsi"/>
                <w:b/>
                <w:bCs/>
                <w:sz w:val="24"/>
                <w:szCs w:val="24"/>
              </w:rPr>
              <w:lastRenderedPageBreak/>
              <w:t>Subseção I</w:t>
            </w:r>
          </w:p>
          <w:p w14:paraId="3EC11055" w14:textId="77777777" w:rsidR="00E86BE2" w:rsidRPr="0010524E" w:rsidRDefault="00E86BE2" w:rsidP="00E86BE2">
            <w:pPr>
              <w:jc w:val="center"/>
              <w:rPr>
                <w:rFonts w:cstheme="minorHAnsi"/>
                <w:sz w:val="24"/>
                <w:szCs w:val="24"/>
              </w:rPr>
            </w:pPr>
            <w:r w:rsidRPr="0010524E">
              <w:rPr>
                <w:rFonts w:cstheme="minorHAnsi"/>
                <w:b/>
                <w:bCs/>
                <w:sz w:val="24"/>
                <w:szCs w:val="24"/>
              </w:rPr>
              <w:t>Natureza, competência e finalidade</w:t>
            </w:r>
            <w:bookmarkEnd w:id="39"/>
          </w:p>
        </w:tc>
        <w:tc>
          <w:tcPr>
            <w:tcW w:w="4648" w:type="dxa"/>
            <w:noWrap/>
          </w:tcPr>
          <w:p w14:paraId="0F9C5B55" w14:textId="77777777" w:rsidR="00E86BE2" w:rsidRPr="0010524E" w:rsidRDefault="00E86BE2" w:rsidP="00E86BE2">
            <w:pPr>
              <w:jc w:val="both"/>
              <w:rPr>
                <w:rFonts w:cstheme="minorHAnsi"/>
                <w:sz w:val="24"/>
                <w:szCs w:val="24"/>
              </w:rPr>
            </w:pPr>
          </w:p>
        </w:tc>
      </w:tr>
      <w:tr w:rsidR="00E86BE2" w:rsidRPr="0010524E" w14:paraId="3220C8F1" w14:textId="18CDF96A" w:rsidTr="00E86BE2">
        <w:trPr>
          <w:trHeight w:val="290"/>
        </w:trPr>
        <w:tc>
          <w:tcPr>
            <w:tcW w:w="4815" w:type="dxa"/>
            <w:noWrap/>
          </w:tcPr>
          <w:p w14:paraId="50F02BF6" w14:textId="77777777" w:rsidR="00E86BE2" w:rsidRPr="0010524E" w:rsidRDefault="00E86BE2" w:rsidP="00E86BE2">
            <w:pPr>
              <w:jc w:val="both"/>
              <w:rPr>
                <w:rFonts w:cstheme="minorHAnsi"/>
                <w:sz w:val="24"/>
                <w:szCs w:val="24"/>
              </w:rPr>
            </w:pPr>
            <w:bookmarkStart w:id="40" w:name="_Hlk138424180"/>
            <w:r w:rsidRPr="0010524E">
              <w:rPr>
                <w:rFonts w:cstheme="minorHAnsi"/>
                <w:sz w:val="24"/>
                <w:szCs w:val="24"/>
              </w:rPr>
              <w:t>Art. 1º A Comissão Nacional de Atuária - CNA é instância colegiada auxiliar da Secretaria de Previdência Complementar, de natureza consultiva, a quem compete opinar sobre temas atuariais referentes ao regime de previdência complementar operado pelas entidades fechadas de previdência complementar.</w:t>
            </w:r>
          </w:p>
        </w:tc>
        <w:tc>
          <w:tcPr>
            <w:tcW w:w="4849" w:type="dxa"/>
            <w:noWrap/>
          </w:tcPr>
          <w:p w14:paraId="4FDB32B3" w14:textId="37F9B364"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Art.  373. A Comissão Nacional de Atuária - CNA é instância colegiada auxiliar da Previc, de natureza consultiva, a quem compete opinar sobre temas atuariais referentes ao regime de previdência complementar operado pelas entidades fechadas de previdência complementar. </w:t>
            </w:r>
          </w:p>
        </w:tc>
        <w:tc>
          <w:tcPr>
            <w:tcW w:w="4648" w:type="dxa"/>
            <w:noWrap/>
          </w:tcPr>
          <w:p w14:paraId="2734DD76" w14:textId="77777777" w:rsidR="00E86BE2" w:rsidRPr="0010524E" w:rsidRDefault="00E86BE2" w:rsidP="00E86BE2">
            <w:pPr>
              <w:jc w:val="both"/>
              <w:rPr>
                <w:rFonts w:cstheme="minorHAnsi"/>
                <w:sz w:val="24"/>
                <w:szCs w:val="24"/>
              </w:rPr>
            </w:pPr>
            <w:r w:rsidRPr="0010524E">
              <w:rPr>
                <w:rFonts w:cstheme="minorHAnsi"/>
                <w:sz w:val="24"/>
                <w:szCs w:val="24"/>
              </w:rPr>
              <w:t>Ajuste redacional.</w:t>
            </w:r>
          </w:p>
        </w:tc>
      </w:tr>
      <w:tr w:rsidR="00E86BE2" w:rsidRPr="0010524E" w14:paraId="20AE3441" w14:textId="05120DC8" w:rsidTr="00E86BE2">
        <w:trPr>
          <w:trHeight w:val="290"/>
        </w:trPr>
        <w:tc>
          <w:tcPr>
            <w:tcW w:w="4815" w:type="dxa"/>
            <w:noWrap/>
          </w:tcPr>
          <w:p w14:paraId="2EC98D8F" w14:textId="77777777" w:rsidR="00E86BE2" w:rsidRPr="0010524E" w:rsidRDefault="00E86BE2" w:rsidP="00E86BE2">
            <w:pPr>
              <w:jc w:val="both"/>
              <w:rPr>
                <w:rFonts w:cstheme="minorHAnsi"/>
                <w:sz w:val="24"/>
                <w:szCs w:val="24"/>
              </w:rPr>
            </w:pPr>
            <w:bookmarkStart w:id="41" w:name="_Hlk138424184"/>
            <w:bookmarkEnd w:id="40"/>
            <w:r w:rsidRPr="0010524E">
              <w:rPr>
                <w:rFonts w:cstheme="minorHAnsi"/>
                <w:sz w:val="24"/>
                <w:szCs w:val="24"/>
              </w:rPr>
              <w:t xml:space="preserve">Parágrafo único. A CNA se pronunciará mediante solicitação exclusiva da Secretaria de Previdência Complementar. </w:t>
            </w:r>
          </w:p>
          <w:p w14:paraId="05486FC9" w14:textId="77777777" w:rsidR="00E86BE2" w:rsidRPr="0010524E" w:rsidRDefault="00E86BE2" w:rsidP="00E86BE2">
            <w:pPr>
              <w:jc w:val="both"/>
              <w:rPr>
                <w:rFonts w:cstheme="minorHAnsi"/>
                <w:sz w:val="24"/>
                <w:szCs w:val="24"/>
              </w:rPr>
            </w:pPr>
          </w:p>
        </w:tc>
        <w:tc>
          <w:tcPr>
            <w:tcW w:w="4849" w:type="dxa"/>
            <w:noWrap/>
          </w:tcPr>
          <w:p w14:paraId="47087184" w14:textId="0163E2F1" w:rsidR="00E86BE2" w:rsidRPr="0010524E" w:rsidRDefault="00E86BE2" w:rsidP="00E86BE2">
            <w:pPr>
              <w:jc w:val="both"/>
              <w:rPr>
                <w:rFonts w:cstheme="minorHAnsi"/>
                <w:sz w:val="24"/>
                <w:szCs w:val="24"/>
              </w:rPr>
            </w:pPr>
            <w:r w:rsidRPr="0010524E">
              <w:rPr>
                <w:rFonts w:ascii="Calibri" w:eastAsia="Calibri" w:hAnsi="Calibri" w:cs="Calibri"/>
                <w:sz w:val="24"/>
                <w:szCs w:val="24"/>
              </w:rPr>
              <w:t>Parágrafo único. A Comissão Nacional de Atuária se pronuncia mediante solicitação exclusiva da Previc.</w:t>
            </w:r>
          </w:p>
        </w:tc>
        <w:tc>
          <w:tcPr>
            <w:tcW w:w="4648" w:type="dxa"/>
            <w:noWrap/>
          </w:tcPr>
          <w:p w14:paraId="29F7C0DA" w14:textId="77777777" w:rsidR="00E86BE2" w:rsidRPr="0010524E" w:rsidRDefault="00E86BE2" w:rsidP="00E86BE2">
            <w:pPr>
              <w:jc w:val="both"/>
              <w:rPr>
                <w:rFonts w:cstheme="minorHAnsi"/>
                <w:sz w:val="24"/>
                <w:szCs w:val="24"/>
              </w:rPr>
            </w:pPr>
            <w:r w:rsidRPr="0010524E">
              <w:rPr>
                <w:rFonts w:cstheme="minorHAnsi"/>
                <w:sz w:val="24"/>
                <w:szCs w:val="24"/>
              </w:rPr>
              <w:t>Ajuste redacional.</w:t>
            </w:r>
          </w:p>
        </w:tc>
      </w:tr>
      <w:tr w:rsidR="00E86BE2" w:rsidRPr="0010524E" w14:paraId="7507EF4B" w14:textId="51B73153" w:rsidTr="00E86BE2">
        <w:trPr>
          <w:trHeight w:val="290"/>
        </w:trPr>
        <w:tc>
          <w:tcPr>
            <w:tcW w:w="4815" w:type="dxa"/>
            <w:noWrap/>
          </w:tcPr>
          <w:p w14:paraId="561758E9" w14:textId="77777777" w:rsidR="00E86BE2" w:rsidRPr="0010524E" w:rsidRDefault="00E86BE2" w:rsidP="00E86BE2">
            <w:pPr>
              <w:jc w:val="both"/>
              <w:rPr>
                <w:rFonts w:cstheme="minorHAnsi"/>
                <w:sz w:val="24"/>
                <w:szCs w:val="24"/>
              </w:rPr>
            </w:pPr>
            <w:bookmarkStart w:id="42" w:name="_Hlk138424189"/>
            <w:bookmarkEnd w:id="41"/>
            <w:r w:rsidRPr="0010524E">
              <w:rPr>
                <w:rFonts w:cstheme="minorHAnsi"/>
                <w:sz w:val="24"/>
                <w:szCs w:val="24"/>
              </w:rPr>
              <w:t xml:space="preserve">Art. 2º A CNA tem por finalidade: </w:t>
            </w:r>
          </w:p>
          <w:p w14:paraId="58BABE6E" w14:textId="77777777" w:rsidR="00E86BE2" w:rsidRPr="0010524E" w:rsidRDefault="00E86BE2" w:rsidP="00E86BE2">
            <w:pPr>
              <w:jc w:val="both"/>
              <w:rPr>
                <w:rFonts w:cstheme="minorHAnsi"/>
                <w:sz w:val="24"/>
                <w:szCs w:val="24"/>
              </w:rPr>
            </w:pPr>
          </w:p>
        </w:tc>
        <w:tc>
          <w:tcPr>
            <w:tcW w:w="4849" w:type="dxa"/>
            <w:noWrap/>
          </w:tcPr>
          <w:p w14:paraId="0F286F5C" w14:textId="2CC8CC38"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Art.  374. A Comissão Nacional de Atuária tem por finalidade:  </w:t>
            </w:r>
          </w:p>
        </w:tc>
        <w:tc>
          <w:tcPr>
            <w:tcW w:w="4648" w:type="dxa"/>
            <w:noWrap/>
          </w:tcPr>
          <w:p w14:paraId="1D44D765" w14:textId="77777777" w:rsidR="00E86BE2" w:rsidRPr="0010524E" w:rsidRDefault="00E86BE2" w:rsidP="00E86BE2">
            <w:pPr>
              <w:jc w:val="both"/>
              <w:rPr>
                <w:rFonts w:cstheme="minorHAnsi"/>
                <w:sz w:val="24"/>
                <w:szCs w:val="24"/>
              </w:rPr>
            </w:pPr>
          </w:p>
        </w:tc>
      </w:tr>
      <w:tr w:rsidR="00E86BE2" w:rsidRPr="0010524E" w14:paraId="1E7D98F4" w14:textId="2AD64479" w:rsidTr="00E86BE2">
        <w:trPr>
          <w:trHeight w:val="290"/>
        </w:trPr>
        <w:tc>
          <w:tcPr>
            <w:tcW w:w="4815" w:type="dxa"/>
            <w:noWrap/>
          </w:tcPr>
          <w:p w14:paraId="4C73F387" w14:textId="48D93E64" w:rsidR="00E86BE2" w:rsidRPr="0010524E" w:rsidRDefault="00E86BE2" w:rsidP="00E86BE2">
            <w:pPr>
              <w:jc w:val="both"/>
              <w:rPr>
                <w:rFonts w:cstheme="minorHAnsi"/>
                <w:sz w:val="24"/>
                <w:szCs w:val="24"/>
              </w:rPr>
            </w:pPr>
            <w:bookmarkStart w:id="43" w:name="_Hlk138424198"/>
            <w:bookmarkEnd w:id="42"/>
            <w:r>
              <w:rPr>
                <w:rFonts w:cstheme="minorHAnsi"/>
                <w:sz w:val="24"/>
                <w:szCs w:val="24"/>
              </w:rPr>
              <w:t xml:space="preserve">I </w:t>
            </w:r>
            <w:r w:rsidRPr="0010524E">
              <w:rPr>
                <w:rFonts w:cstheme="minorHAnsi"/>
                <w:sz w:val="24"/>
                <w:szCs w:val="24"/>
              </w:rPr>
              <w:t xml:space="preserve">- realizar pesquisas, estudos, artigos, ensaios e outros trabalhos envolvendo o campo do conhecimento atuarial com vistas ao aprimoramento do sistema de previdência complementar; e </w:t>
            </w:r>
          </w:p>
          <w:p w14:paraId="17524F72" w14:textId="77777777" w:rsidR="00E86BE2" w:rsidRPr="0010524E" w:rsidRDefault="00E86BE2" w:rsidP="00E86BE2">
            <w:pPr>
              <w:jc w:val="both"/>
              <w:rPr>
                <w:rFonts w:cstheme="minorHAnsi"/>
                <w:sz w:val="24"/>
                <w:szCs w:val="24"/>
              </w:rPr>
            </w:pPr>
          </w:p>
        </w:tc>
        <w:tc>
          <w:tcPr>
            <w:tcW w:w="4849" w:type="dxa"/>
            <w:noWrap/>
          </w:tcPr>
          <w:p w14:paraId="6949E178" w14:textId="2E4F5098"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 - realizar pesquisas, estudos, artigos, ensaios e outros trabalhos envolvendo o campo do conhecimento atuarial com vistas ao aprimoramento do regime de previdência complementar; e </w:t>
            </w:r>
          </w:p>
        </w:tc>
        <w:tc>
          <w:tcPr>
            <w:tcW w:w="4648" w:type="dxa"/>
            <w:noWrap/>
          </w:tcPr>
          <w:p w14:paraId="525B955B" w14:textId="77777777" w:rsidR="00E86BE2" w:rsidRPr="0010524E" w:rsidRDefault="00E86BE2" w:rsidP="00E86BE2">
            <w:pPr>
              <w:jc w:val="both"/>
              <w:rPr>
                <w:rFonts w:cstheme="minorHAnsi"/>
                <w:sz w:val="24"/>
                <w:szCs w:val="24"/>
              </w:rPr>
            </w:pPr>
          </w:p>
        </w:tc>
      </w:tr>
      <w:tr w:rsidR="00E86BE2" w:rsidRPr="0010524E" w14:paraId="6592CB1B" w14:textId="1BAE0756" w:rsidTr="00E86BE2">
        <w:trPr>
          <w:trHeight w:val="290"/>
        </w:trPr>
        <w:tc>
          <w:tcPr>
            <w:tcW w:w="4815" w:type="dxa"/>
            <w:noWrap/>
          </w:tcPr>
          <w:p w14:paraId="53619AC3" w14:textId="2CBF9A79" w:rsidR="00E86BE2" w:rsidRPr="0010524E" w:rsidRDefault="00E86BE2" w:rsidP="00E86BE2">
            <w:pPr>
              <w:jc w:val="both"/>
              <w:rPr>
                <w:rFonts w:cstheme="minorHAnsi"/>
                <w:sz w:val="24"/>
                <w:szCs w:val="24"/>
              </w:rPr>
            </w:pPr>
            <w:bookmarkStart w:id="44" w:name="_Hlk138424204"/>
            <w:bookmarkEnd w:id="43"/>
            <w:r>
              <w:rPr>
                <w:rFonts w:cstheme="minorHAnsi"/>
                <w:sz w:val="24"/>
                <w:szCs w:val="24"/>
              </w:rPr>
              <w:t xml:space="preserve">II </w:t>
            </w:r>
            <w:r w:rsidRPr="0010524E">
              <w:rPr>
                <w:rFonts w:cstheme="minorHAnsi"/>
                <w:sz w:val="24"/>
                <w:szCs w:val="24"/>
              </w:rPr>
              <w:t xml:space="preserve">- propor ao Secretário de Previdência Complementar a edição (sic) instrumentos </w:t>
            </w:r>
            <w:r w:rsidRPr="0010524E">
              <w:rPr>
                <w:rFonts w:cstheme="minorHAnsi"/>
                <w:sz w:val="24"/>
                <w:szCs w:val="24"/>
              </w:rPr>
              <w:lastRenderedPageBreak/>
              <w:t xml:space="preserve">normativos que promovam os avanços decorrentes da sua produção científica. </w:t>
            </w:r>
          </w:p>
          <w:p w14:paraId="627B07AD" w14:textId="77777777" w:rsidR="00E86BE2" w:rsidRPr="0010524E" w:rsidRDefault="00E86BE2" w:rsidP="00E86BE2">
            <w:pPr>
              <w:jc w:val="both"/>
              <w:rPr>
                <w:rFonts w:cstheme="minorHAnsi"/>
                <w:sz w:val="24"/>
                <w:szCs w:val="24"/>
              </w:rPr>
            </w:pPr>
          </w:p>
        </w:tc>
        <w:tc>
          <w:tcPr>
            <w:tcW w:w="4849" w:type="dxa"/>
            <w:noWrap/>
          </w:tcPr>
          <w:p w14:paraId="24E253B6" w14:textId="58931CC5" w:rsidR="00E86BE2" w:rsidRPr="0010524E" w:rsidRDefault="00E86BE2" w:rsidP="00E86BE2">
            <w:pPr>
              <w:jc w:val="both"/>
              <w:rPr>
                <w:rFonts w:cstheme="minorHAnsi"/>
                <w:sz w:val="24"/>
                <w:szCs w:val="24"/>
              </w:rPr>
            </w:pPr>
            <w:r w:rsidRPr="0010524E">
              <w:rPr>
                <w:rFonts w:ascii="Calibri" w:eastAsia="Calibri" w:hAnsi="Calibri" w:cs="Calibri"/>
                <w:sz w:val="24"/>
                <w:szCs w:val="24"/>
              </w:rPr>
              <w:lastRenderedPageBreak/>
              <w:t xml:space="preserve">II - propor à Diretoria Colegiada da Previc a edição de instrumentos normativos que </w:t>
            </w:r>
            <w:r w:rsidRPr="0010524E">
              <w:rPr>
                <w:rFonts w:ascii="Calibri" w:eastAsia="Calibri" w:hAnsi="Calibri" w:cs="Calibri"/>
                <w:sz w:val="24"/>
                <w:szCs w:val="24"/>
              </w:rPr>
              <w:lastRenderedPageBreak/>
              <w:t xml:space="preserve">promovam os avanços decorrentes da sua produção científica. </w:t>
            </w:r>
          </w:p>
        </w:tc>
        <w:tc>
          <w:tcPr>
            <w:tcW w:w="4648" w:type="dxa"/>
            <w:noWrap/>
          </w:tcPr>
          <w:p w14:paraId="19B23B1F" w14:textId="77777777" w:rsidR="00E86BE2" w:rsidRPr="0010524E" w:rsidRDefault="00E86BE2" w:rsidP="00E86BE2">
            <w:pPr>
              <w:jc w:val="both"/>
              <w:rPr>
                <w:rFonts w:cstheme="minorHAnsi"/>
                <w:sz w:val="24"/>
                <w:szCs w:val="24"/>
              </w:rPr>
            </w:pPr>
            <w:r w:rsidRPr="0010524E">
              <w:rPr>
                <w:rFonts w:cstheme="minorHAnsi"/>
                <w:sz w:val="24"/>
                <w:szCs w:val="24"/>
              </w:rPr>
              <w:lastRenderedPageBreak/>
              <w:t>Ajuste redacional.</w:t>
            </w:r>
          </w:p>
        </w:tc>
      </w:tr>
      <w:bookmarkEnd w:id="44"/>
      <w:tr w:rsidR="00E86BE2" w:rsidRPr="0010524E" w14:paraId="5D48E0A7" w14:textId="33CAB05F" w:rsidTr="00E86BE2">
        <w:trPr>
          <w:trHeight w:val="290"/>
        </w:trPr>
        <w:tc>
          <w:tcPr>
            <w:tcW w:w="4815" w:type="dxa"/>
            <w:noWrap/>
          </w:tcPr>
          <w:p w14:paraId="4B86C983" w14:textId="7D6228F1" w:rsidR="00E86BE2" w:rsidRPr="0010524E" w:rsidRDefault="00E86BE2" w:rsidP="00E86BE2">
            <w:pPr>
              <w:jc w:val="center"/>
              <w:rPr>
                <w:rFonts w:cstheme="minorHAnsi"/>
                <w:sz w:val="24"/>
                <w:szCs w:val="24"/>
              </w:rPr>
            </w:pPr>
            <w:r w:rsidRPr="0010524E">
              <w:rPr>
                <w:rFonts w:cstheme="minorHAnsi"/>
                <w:sz w:val="24"/>
                <w:szCs w:val="24"/>
              </w:rPr>
              <w:t>CAPÍTULO II</w:t>
            </w:r>
          </w:p>
          <w:p w14:paraId="0F47E36B" w14:textId="4D95D06C" w:rsidR="00E86BE2" w:rsidRPr="0010524E" w:rsidRDefault="00E86BE2" w:rsidP="00E86BE2">
            <w:pPr>
              <w:jc w:val="center"/>
              <w:rPr>
                <w:rFonts w:cstheme="minorHAnsi"/>
                <w:sz w:val="24"/>
                <w:szCs w:val="24"/>
              </w:rPr>
            </w:pPr>
            <w:r w:rsidRPr="0010524E">
              <w:rPr>
                <w:rFonts w:cstheme="minorHAnsi"/>
                <w:sz w:val="24"/>
                <w:szCs w:val="24"/>
              </w:rPr>
              <w:t>DA ORGANIZAÇÃO</w:t>
            </w:r>
          </w:p>
        </w:tc>
        <w:tc>
          <w:tcPr>
            <w:tcW w:w="4849" w:type="dxa"/>
            <w:noWrap/>
          </w:tcPr>
          <w:p w14:paraId="53EC469A" w14:textId="77777777" w:rsidR="00E86BE2" w:rsidRPr="0010524E" w:rsidRDefault="00E86BE2" w:rsidP="00E86BE2">
            <w:pPr>
              <w:jc w:val="both"/>
              <w:rPr>
                <w:rFonts w:cstheme="minorHAnsi"/>
                <w:sz w:val="24"/>
                <w:szCs w:val="24"/>
              </w:rPr>
            </w:pPr>
          </w:p>
        </w:tc>
        <w:tc>
          <w:tcPr>
            <w:tcW w:w="4648" w:type="dxa"/>
            <w:noWrap/>
          </w:tcPr>
          <w:p w14:paraId="2A5D6DC5" w14:textId="77777777" w:rsidR="00E86BE2" w:rsidRPr="0010524E" w:rsidRDefault="00E86BE2" w:rsidP="00E86BE2">
            <w:pPr>
              <w:jc w:val="both"/>
              <w:rPr>
                <w:rFonts w:cstheme="minorHAnsi"/>
                <w:sz w:val="24"/>
                <w:szCs w:val="24"/>
              </w:rPr>
            </w:pPr>
          </w:p>
        </w:tc>
      </w:tr>
      <w:tr w:rsidR="00E86BE2" w:rsidRPr="0010524E" w14:paraId="6F2E652E" w14:textId="184670FD" w:rsidTr="00E86BE2">
        <w:trPr>
          <w:trHeight w:val="290"/>
        </w:trPr>
        <w:tc>
          <w:tcPr>
            <w:tcW w:w="4815" w:type="dxa"/>
            <w:noWrap/>
          </w:tcPr>
          <w:p w14:paraId="4FDF4873" w14:textId="09D9F86A" w:rsidR="00E86BE2" w:rsidRPr="002F44DC" w:rsidRDefault="00E86BE2" w:rsidP="00E86BE2">
            <w:pPr>
              <w:jc w:val="center"/>
              <w:rPr>
                <w:rFonts w:cstheme="minorHAnsi"/>
                <w:b/>
                <w:bCs/>
                <w:sz w:val="24"/>
                <w:szCs w:val="24"/>
              </w:rPr>
            </w:pPr>
            <w:bookmarkStart w:id="45" w:name="_Hlk138424210"/>
            <w:r w:rsidRPr="002F44DC">
              <w:rPr>
                <w:rFonts w:cstheme="minorHAnsi"/>
                <w:b/>
                <w:bCs/>
                <w:sz w:val="24"/>
                <w:szCs w:val="24"/>
              </w:rPr>
              <w:t>Seção I</w:t>
            </w:r>
          </w:p>
          <w:p w14:paraId="32E4055B" w14:textId="0769AF7B" w:rsidR="00E86BE2" w:rsidRPr="0010524E" w:rsidRDefault="00E86BE2" w:rsidP="00E86BE2">
            <w:pPr>
              <w:jc w:val="center"/>
              <w:rPr>
                <w:rFonts w:cstheme="minorHAnsi"/>
                <w:sz w:val="24"/>
                <w:szCs w:val="24"/>
              </w:rPr>
            </w:pPr>
            <w:r w:rsidRPr="002F44DC">
              <w:rPr>
                <w:rFonts w:cstheme="minorHAnsi"/>
                <w:b/>
                <w:bCs/>
                <w:sz w:val="24"/>
                <w:szCs w:val="24"/>
              </w:rPr>
              <w:t>Da sede e composição</w:t>
            </w:r>
          </w:p>
        </w:tc>
        <w:tc>
          <w:tcPr>
            <w:tcW w:w="4849" w:type="dxa"/>
            <w:noWrap/>
          </w:tcPr>
          <w:p w14:paraId="70AE43A1" w14:textId="1EC39C91" w:rsidR="00E86BE2" w:rsidRPr="0010524E" w:rsidRDefault="00E86BE2" w:rsidP="00E86BE2">
            <w:pPr>
              <w:jc w:val="center"/>
              <w:rPr>
                <w:rFonts w:cstheme="minorHAnsi"/>
                <w:b/>
                <w:bCs/>
                <w:sz w:val="24"/>
                <w:szCs w:val="24"/>
              </w:rPr>
            </w:pPr>
            <w:r w:rsidRPr="0010524E">
              <w:rPr>
                <w:rFonts w:cstheme="minorHAnsi"/>
                <w:b/>
                <w:bCs/>
                <w:sz w:val="24"/>
                <w:szCs w:val="24"/>
              </w:rPr>
              <w:t>Subseção II</w:t>
            </w:r>
          </w:p>
          <w:p w14:paraId="686573F1" w14:textId="77777777" w:rsidR="00E86BE2" w:rsidRPr="0010524E" w:rsidRDefault="00E86BE2" w:rsidP="00E86BE2">
            <w:pPr>
              <w:jc w:val="center"/>
              <w:rPr>
                <w:rFonts w:cstheme="minorHAnsi"/>
                <w:sz w:val="24"/>
                <w:szCs w:val="24"/>
              </w:rPr>
            </w:pPr>
            <w:r w:rsidRPr="0010524E">
              <w:rPr>
                <w:rFonts w:cstheme="minorHAnsi"/>
                <w:b/>
                <w:bCs/>
                <w:sz w:val="24"/>
                <w:szCs w:val="24"/>
              </w:rPr>
              <w:t>Sede e composição</w:t>
            </w:r>
          </w:p>
        </w:tc>
        <w:tc>
          <w:tcPr>
            <w:tcW w:w="4648" w:type="dxa"/>
            <w:noWrap/>
          </w:tcPr>
          <w:p w14:paraId="171DD984" w14:textId="77777777" w:rsidR="00E86BE2" w:rsidRPr="0010524E" w:rsidRDefault="00E86BE2" w:rsidP="00E86BE2">
            <w:pPr>
              <w:jc w:val="both"/>
              <w:rPr>
                <w:rFonts w:cstheme="minorHAnsi"/>
                <w:sz w:val="24"/>
                <w:szCs w:val="24"/>
              </w:rPr>
            </w:pPr>
          </w:p>
        </w:tc>
      </w:tr>
      <w:tr w:rsidR="00E86BE2" w:rsidRPr="0010524E" w14:paraId="4103E821" w14:textId="22DE5435" w:rsidTr="00E86BE2">
        <w:trPr>
          <w:trHeight w:val="290"/>
        </w:trPr>
        <w:tc>
          <w:tcPr>
            <w:tcW w:w="4815" w:type="dxa"/>
            <w:noWrap/>
          </w:tcPr>
          <w:p w14:paraId="61EC99CF" w14:textId="77777777" w:rsidR="00E86BE2" w:rsidRPr="0010524E" w:rsidRDefault="00E86BE2" w:rsidP="00E86BE2">
            <w:pPr>
              <w:jc w:val="both"/>
              <w:rPr>
                <w:rFonts w:cstheme="minorHAnsi"/>
                <w:sz w:val="24"/>
                <w:szCs w:val="24"/>
              </w:rPr>
            </w:pPr>
            <w:bookmarkStart w:id="46" w:name="_Hlk138424215"/>
            <w:bookmarkEnd w:id="45"/>
            <w:r w:rsidRPr="0010524E">
              <w:rPr>
                <w:rFonts w:cstheme="minorHAnsi"/>
                <w:sz w:val="24"/>
                <w:szCs w:val="24"/>
              </w:rPr>
              <w:t xml:space="preserve">Art. 3º A CNA tem sede em Brasília/DF e será composta pelos seguintes membros: </w:t>
            </w:r>
          </w:p>
          <w:p w14:paraId="4CD57D07" w14:textId="77777777" w:rsidR="00E86BE2" w:rsidRPr="0010524E" w:rsidRDefault="00E86BE2" w:rsidP="00E86BE2">
            <w:pPr>
              <w:jc w:val="both"/>
              <w:rPr>
                <w:rFonts w:cstheme="minorHAnsi"/>
                <w:sz w:val="24"/>
                <w:szCs w:val="24"/>
              </w:rPr>
            </w:pPr>
          </w:p>
        </w:tc>
        <w:tc>
          <w:tcPr>
            <w:tcW w:w="4849" w:type="dxa"/>
            <w:noWrap/>
          </w:tcPr>
          <w:p w14:paraId="352A65C9" w14:textId="6C153501" w:rsidR="00E86BE2" w:rsidRPr="0010524E" w:rsidRDefault="00E86BE2" w:rsidP="00E86BE2">
            <w:pPr>
              <w:jc w:val="both"/>
              <w:rPr>
                <w:rFonts w:cstheme="minorHAnsi"/>
                <w:sz w:val="24"/>
                <w:szCs w:val="24"/>
              </w:rPr>
            </w:pPr>
            <w:r w:rsidRPr="0010524E">
              <w:rPr>
                <w:rFonts w:ascii="Calibri" w:eastAsia="Calibri" w:hAnsi="Calibri" w:cs="Calibri"/>
                <w:sz w:val="24"/>
                <w:szCs w:val="24"/>
              </w:rPr>
              <w:t>Art. 375. A Comissão Nacional de Atuária tem sede em Brasília/DF e é composta pelos seguintes membros:</w:t>
            </w:r>
          </w:p>
        </w:tc>
        <w:tc>
          <w:tcPr>
            <w:tcW w:w="4648" w:type="dxa"/>
            <w:noWrap/>
          </w:tcPr>
          <w:p w14:paraId="368FAD9B" w14:textId="77777777" w:rsidR="00E86BE2" w:rsidRPr="0010524E" w:rsidRDefault="00E86BE2" w:rsidP="00E86BE2">
            <w:pPr>
              <w:jc w:val="both"/>
              <w:rPr>
                <w:rFonts w:cstheme="minorHAnsi"/>
                <w:sz w:val="24"/>
                <w:szCs w:val="24"/>
              </w:rPr>
            </w:pPr>
          </w:p>
        </w:tc>
      </w:tr>
      <w:tr w:rsidR="00E86BE2" w:rsidRPr="0010524E" w14:paraId="5336E674" w14:textId="3468EA87" w:rsidTr="00E86BE2">
        <w:trPr>
          <w:trHeight w:val="290"/>
        </w:trPr>
        <w:tc>
          <w:tcPr>
            <w:tcW w:w="4815" w:type="dxa"/>
            <w:noWrap/>
          </w:tcPr>
          <w:p w14:paraId="18EB170A" w14:textId="11B258C4" w:rsidR="00E86BE2" w:rsidRPr="0010524E" w:rsidRDefault="00E86BE2" w:rsidP="00E86BE2">
            <w:pPr>
              <w:jc w:val="both"/>
              <w:rPr>
                <w:rFonts w:cstheme="minorHAnsi"/>
                <w:sz w:val="24"/>
                <w:szCs w:val="24"/>
              </w:rPr>
            </w:pPr>
            <w:bookmarkStart w:id="47" w:name="_Hlk138424226"/>
            <w:bookmarkEnd w:id="46"/>
            <w:r>
              <w:rPr>
                <w:rFonts w:cstheme="minorHAnsi"/>
                <w:sz w:val="24"/>
                <w:szCs w:val="24"/>
              </w:rPr>
              <w:t xml:space="preserve">I </w:t>
            </w:r>
            <w:r w:rsidRPr="0010524E">
              <w:rPr>
                <w:rFonts w:cstheme="minorHAnsi"/>
                <w:sz w:val="24"/>
                <w:szCs w:val="24"/>
              </w:rPr>
              <w:t xml:space="preserve">- um representante da Secretaria de Previdência Complementar do Ministério da Previdência Social, que o presidirá; </w:t>
            </w:r>
          </w:p>
        </w:tc>
        <w:tc>
          <w:tcPr>
            <w:tcW w:w="4849" w:type="dxa"/>
            <w:noWrap/>
          </w:tcPr>
          <w:p w14:paraId="0DDF8FC3" w14:textId="7299F451" w:rsidR="00E86BE2" w:rsidRPr="0010524E" w:rsidRDefault="00E86BE2" w:rsidP="00E86BE2">
            <w:pPr>
              <w:jc w:val="both"/>
              <w:rPr>
                <w:rFonts w:cstheme="minorHAnsi"/>
                <w:sz w:val="24"/>
                <w:szCs w:val="24"/>
              </w:rPr>
            </w:pPr>
            <w:r w:rsidRPr="0010524E">
              <w:rPr>
                <w:rFonts w:ascii="Calibri" w:eastAsia="Calibri" w:hAnsi="Calibri" w:cs="Calibri"/>
                <w:sz w:val="24"/>
                <w:szCs w:val="24"/>
              </w:rPr>
              <w:t>I - um representante da Previc, que o presidirá;</w:t>
            </w:r>
          </w:p>
        </w:tc>
        <w:tc>
          <w:tcPr>
            <w:tcW w:w="4648" w:type="dxa"/>
            <w:noWrap/>
          </w:tcPr>
          <w:p w14:paraId="549AD6FF" w14:textId="77777777" w:rsidR="00E86BE2" w:rsidRPr="0010524E" w:rsidRDefault="00E86BE2" w:rsidP="00E86BE2">
            <w:pPr>
              <w:jc w:val="both"/>
              <w:rPr>
                <w:rFonts w:cstheme="minorHAnsi"/>
                <w:sz w:val="24"/>
                <w:szCs w:val="24"/>
              </w:rPr>
            </w:pPr>
            <w:r w:rsidRPr="0010524E">
              <w:rPr>
                <w:rFonts w:cstheme="minorHAnsi"/>
                <w:sz w:val="24"/>
                <w:szCs w:val="24"/>
              </w:rPr>
              <w:t>Ajuste redacional.</w:t>
            </w:r>
          </w:p>
        </w:tc>
      </w:tr>
      <w:tr w:rsidR="00E86BE2" w:rsidRPr="0010524E" w14:paraId="65C0BFE6" w14:textId="0D4D304F" w:rsidTr="00E86BE2">
        <w:trPr>
          <w:trHeight w:val="290"/>
        </w:trPr>
        <w:tc>
          <w:tcPr>
            <w:tcW w:w="4815" w:type="dxa"/>
            <w:noWrap/>
          </w:tcPr>
          <w:p w14:paraId="7C33C69B" w14:textId="32603DDA" w:rsidR="00E86BE2" w:rsidRPr="0010524E" w:rsidRDefault="00E86BE2" w:rsidP="00E86BE2">
            <w:pPr>
              <w:jc w:val="both"/>
              <w:rPr>
                <w:rFonts w:cstheme="minorHAnsi"/>
                <w:sz w:val="24"/>
                <w:szCs w:val="24"/>
              </w:rPr>
            </w:pPr>
            <w:bookmarkStart w:id="48" w:name="_Hlk138424230"/>
            <w:bookmarkEnd w:id="47"/>
            <w:r>
              <w:rPr>
                <w:rFonts w:cstheme="minorHAnsi"/>
                <w:sz w:val="24"/>
                <w:szCs w:val="24"/>
              </w:rPr>
              <w:t xml:space="preserve">II </w:t>
            </w:r>
            <w:r w:rsidRPr="0010524E">
              <w:rPr>
                <w:rFonts w:cstheme="minorHAnsi"/>
                <w:sz w:val="24"/>
                <w:szCs w:val="24"/>
              </w:rPr>
              <w:t xml:space="preserve">- um representante da Secretaria de Políticas de Previdência Social do Ministério da Previdência Social; </w:t>
            </w:r>
          </w:p>
          <w:p w14:paraId="695719AC" w14:textId="77777777" w:rsidR="00E86BE2" w:rsidRPr="0010524E" w:rsidRDefault="00E86BE2" w:rsidP="00E86BE2">
            <w:pPr>
              <w:jc w:val="both"/>
              <w:rPr>
                <w:rFonts w:cstheme="minorHAnsi"/>
                <w:sz w:val="24"/>
                <w:szCs w:val="24"/>
              </w:rPr>
            </w:pPr>
          </w:p>
        </w:tc>
        <w:tc>
          <w:tcPr>
            <w:tcW w:w="4849" w:type="dxa"/>
            <w:noWrap/>
          </w:tcPr>
          <w:p w14:paraId="4D80D4F1" w14:textId="5C247856" w:rsidR="00E86BE2" w:rsidRPr="0010524E" w:rsidRDefault="00E86BE2" w:rsidP="00E86BE2">
            <w:pPr>
              <w:jc w:val="both"/>
              <w:rPr>
                <w:rFonts w:cstheme="minorHAnsi"/>
                <w:sz w:val="24"/>
                <w:szCs w:val="24"/>
              </w:rPr>
            </w:pPr>
            <w:r w:rsidRPr="0010524E">
              <w:rPr>
                <w:rFonts w:ascii="Calibri" w:eastAsia="Calibri" w:hAnsi="Calibri" w:cs="Calibri"/>
                <w:sz w:val="24"/>
                <w:szCs w:val="24"/>
              </w:rPr>
              <w:t>II - um representante da Secretaria do Regime Próprio e Complementar do Ministério da Previdência Social;</w:t>
            </w:r>
          </w:p>
        </w:tc>
        <w:tc>
          <w:tcPr>
            <w:tcW w:w="4648" w:type="dxa"/>
            <w:noWrap/>
          </w:tcPr>
          <w:p w14:paraId="62760C3F" w14:textId="77777777" w:rsidR="00E86BE2" w:rsidRPr="0010524E" w:rsidRDefault="00E86BE2" w:rsidP="00E86BE2">
            <w:pPr>
              <w:jc w:val="both"/>
              <w:rPr>
                <w:rFonts w:cstheme="minorHAnsi"/>
                <w:sz w:val="24"/>
                <w:szCs w:val="24"/>
              </w:rPr>
            </w:pPr>
            <w:r w:rsidRPr="0010524E">
              <w:rPr>
                <w:rFonts w:cstheme="minorHAnsi"/>
                <w:sz w:val="24"/>
                <w:szCs w:val="24"/>
              </w:rPr>
              <w:t>Ajuste redacional.</w:t>
            </w:r>
          </w:p>
        </w:tc>
      </w:tr>
      <w:tr w:rsidR="00E86BE2" w:rsidRPr="0010524E" w14:paraId="1DCAB7C4" w14:textId="539E97E0" w:rsidTr="00E86BE2">
        <w:trPr>
          <w:trHeight w:val="290"/>
        </w:trPr>
        <w:tc>
          <w:tcPr>
            <w:tcW w:w="4815" w:type="dxa"/>
            <w:noWrap/>
          </w:tcPr>
          <w:p w14:paraId="2E8ED3CA" w14:textId="0C3C53D8" w:rsidR="00E86BE2" w:rsidRPr="0010524E" w:rsidRDefault="00E86BE2" w:rsidP="00E86BE2">
            <w:pPr>
              <w:jc w:val="both"/>
              <w:rPr>
                <w:rFonts w:cstheme="minorHAnsi"/>
                <w:sz w:val="24"/>
                <w:szCs w:val="24"/>
              </w:rPr>
            </w:pPr>
            <w:bookmarkStart w:id="49" w:name="_Hlk138424234"/>
            <w:bookmarkEnd w:id="48"/>
            <w:r>
              <w:rPr>
                <w:rFonts w:cstheme="minorHAnsi"/>
                <w:sz w:val="24"/>
                <w:szCs w:val="24"/>
              </w:rPr>
              <w:t xml:space="preserve">III </w:t>
            </w:r>
            <w:r w:rsidRPr="0010524E">
              <w:rPr>
                <w:rFonts w:cstheme="minorHAnsi"/>
                <w:sz w:val="24"/>
                <w:szCs w:val="24"/>
              </w:rPr>
              <w:t xml:space="preserve">- um representante da Agência Nacional de Saúde Suplementar - ANS, do Ministério da Saúde; </w:t>
            </w:r>
          </w:p>
          <w:p w14:paraId="385FC22D" w14:textId="77777777" w:rsidR="00E86BE2" w:rsidRPr="0010524E" w:rsidRDefault="00E86BE2" w:rsidP="00E86BE2">
            <w:pPr>
              <w:jc w:val="both"/>
              <w:rPr>
                <w:rFonts w:cstheme="minorHAnsi"/>
                <w:sz w:val="24"/>
                <w:szCs w:val="24"/>
              </w:rPr>
            </w:pPr>
          </w:p>
        </w:tc>
        <w:tc>
          <w:tcPr>
            <w:tcW w:w="4849" w:type="dxa"/>
            <w:noWrap/>
          </w:tcPr>
          <w:p w14:paraId="4CA9115D" w14:textId="174F4327" w:rsidR="00E86BE2" w:rsidRPr="0010524E" w:rsidRDefault="00E86BE2" w:rsidP="00E86BE2">
            <w:pPr>
              <w:jc w:val="both"/>
              <w:rPr>
                <w:rFonts w:cstheme="minorHAnsi"/>
                <w:sz w:val="24"/>
                <w:szCs w:val="24"/>
              </w:rPr>
            </w:pPr>
            <w:r w:rsidRPr="0010524E">
              <w:rPr>
                <w:rFonts w:ascii="Calibri" w:eastAsia="Calibri" w:hAnsi="Calibri" w:cs="Calibri"/>
                <w:sz w:val="24"/>
                <w:szCs w:val="24"/>
              </w:rPr>
              <w:t>III - um representante da Agência Nacional de Saúde Suplementar - ANS, do Ministério da Saúde;</w:t>
            </w:r>
          </w:p>
        </w:tc>
        <w:tc>
          <w:tcPr>
            <w:tcW w:w="4648" w:type="dxa"/>
            <w:noWrap/>
          </w:tcPr>
          <w:p w14:paraId="0D0BEE89" w14:textId="77777777" w:rsidR="00E86BE2" w:rsidRPr="0010524E" w:rsidRDefault="00E86BE2" w:rsidP="00E86BE2">
            <w:pPr>
              <w:jc w:val="both"/>
              <w:rPr>
                <w:rFonts w:cstheme="minorHAnsi"/>
                <w:sz w:val="24"/>
                <w:szCs w:val="24"/>
              </w:rPr>
            </w:pPr>
          </w:p>
        </w:tc>
      </w:tr>
      <w:tr w:rsidR="00E86BE2" w:rsidRPr="0010524E" w14:paraId="5EBF0D56" w14:textId="45A55436" w:rsidTr="00E86BE2">
        <w:trPr>
          <w:trHeight w:val="290"/>
        </w:trPr>
        <w:tc>
          <w:tcPr>
            <w:tcW w:w="4815" w:type="dxa"/>
            <w:noWrap/>
          </w:tcPr>
          <w:p w14:paraId="04F8A450" w14:textId="0A31AE0B" w:rsidR="00E86BE2" w:rsidRPr="0010524E" w:rsidRDefault="00E86BE2" w:rsidP="00E86BE2">
            <w:pPr>
              <w:jc w:val="both"/>
              <w:rPr>
                <w:rFonts w:cstheme="minorHAnsi"/>
                <w:sz w:val="24"/>
                <w:szCs w:val="24"/>
              </w:rPr>
            </w:pPr>
            <w:bookmarkStart w:id="50" w:name="_Hlk138424239"/>
            <w:bookmarkEnd w:id="49"/>
            <w:r>
              <w:rPr>
                <w:rFonts w:cstheme="minorHAnsi"/>
                <w:sz w:val="24"/>
                <w:szCs w:val="24"/>
              </w:rPr>
              <w:t xml:space="preserve">IV </w:t>
            </w:r>
            <w:r w:rsidRPr="0010524E">
              <w:rPr>
                <w:rFonts w:cstheme="minorHAnsi"/>
                <w:sz w:val="24"/>
                <w:szCs w:val="24"/>
              </w:rPr>
              <w:t xml:space="preserve">- um representante da Superintendência de Seguros Privados - SUSEP, do Ministério da Fazenda; </w:t>
            </w:r>
          </w:p>
          <w:p w14:paraId="51C436D3" w14:textId="77777777" w:rsidR="00E86BE2" w:rsidRPr="0010524E" w:rsidRDefault="00E86BE2" w:rsidP="00E86BE2">
            <w:pPr>
              <w:jc w:val="both"/>
              <w:rPr>
                <w:rFonts w:cstheme="minorHAnsi"/>
                <w:sz w:val="24"/>
                <w:szCs w:val="24"/>
              </w:rPr>
            </w:pPr>
          </w:p>
        </w:tc>
        <w:tc>
          <w:tcPr>
            <w:tcW w:w="4849" w:type="dxa"/>
            <w:noWrap/>
          </w:tcPr>
          <w:p w14:paraId="6F782B78" w14:textId="7F4AF037" w:rsidR="00E86BE2" w:rsidRPr="0010524E" w:rsidRDefault="00E86BE2" w:rsidP="00E86BE2">
            <w:pPr>
              <w:jc w:val="both"/>
              <w:rPr>
                <w:rFonts w:cstheme="minorHAnsi"/>
                <w:sz w:val="24"/>
                <w:szCs w:val="24"/>
              </w:rPr>
            </w:pPr>
            <w:r w:rsidRPr="0010524E">
              <w:rPr>
                <w:rFonts w:ascii="Calibri" w:eastAsia="Calibri" w:hAnsi="Calibri" w:cs="Calibri"/>
                <w:sz w:val="24"/>
                <w:szCs w:val="24"/>
              </w:rPr>
              <w:t>IV - um representante da Superintendência de Seguros Privados - SUSEP, do Ministério da Fazenda;</w:t>
            </w:r>
          </w:p>
        </w:tc>
        <w:tc>
          <w:tcPr>
            <w:tcW w:w="4648" w:type="dxa"/>
            <w:noWrap/>
          </w:tcPr>
          <w:p w14:paraId="70288D3B" w14:textId="77777777" w:rsidR="00E86BE2" w:rsidRPr="0010524E" w:rsidRDefault="00E86BE2" w:rsidP="00E86BE2">
            <w:pPr>
              <w:jc w:val="both"/>
              <w:rPr>
                <w:rFonts w:cstheme="minorHAnsi"/>
                <w:sz w:val="24"/>
                <w:szCs w:val="24"/>
              </w:rPr>
            </w:pPr>
          </w:p>
        </w:tc>
      </w:tr>
      <w:tr w:rsidR="00E86BE2" w:rsidRPr="0010524E" w14:paraId="41CABE2A" w14:textId="782A7179" w:rsidTr="00E86BE2">
        <w:trPr>
          <w:trHeight w:val="290"/>
        </w:trPr>
        <w:tc>
          <w:tcPr>
            <w:tcW w:w="4815" w:type="dxa"/>
            <w:noWrap/>
          </w:tcPr>
          <w:p w14:paraId="626F94A6" w14:textId="1272D614" w:rsidR="00E86BE2" w:rsidRPr="0010524E" w:rsidRDefault="00E86BE2" w:rsidP="00E86BE2">
            <w:pPr>
              <w:jc w:val="both"/>
              <w:rPr>
                <w:rFonts w:cstheme="minorHAnsi"/>
                <w:sz w:val="24"/>
                <w:szCs w:val="24"/>
              </w:rPr>
            </w:pPr>
            <w:bookmarkStart w:id="51" w:name="_Hlk138424243"/>
            <w:bookmarkEnd w:id="50"/>
            <w:r>
              <w:rPr>
                <w:rFonts w:cstheme="minorHAnsi"/>
                <w:sz w:val="24"/>
                <w:szCs w:val="24"/>
              </w:rPr>
              <w:t xml:space="preserve">V </w:t>
            </w:r>
            <w:r w:rsidRPr="0010524E">
              <w:rPr>
                <w:rFonts w:cstheme="minorHAnsi"/>
                <w:sz w:val="24"/>
                <w:szCs w:val="24"/>
              </w:rPr>
              <w:t xml:space="preserve">- um representante do Instituto Brasileiro de Geografia e Estatística - IBGE, do Ministério do Planejamento, Orçamento e Gestão; </w:t>
            </w:r>
          </w:p>
          <w:p w14:paraId="6DA6A089" w14:textId="77777777" w:rsidR="00E86BE2" w:rsidRPr="0010524E" w:rsidRDefault="00E86BE2" w:rsidP="00E86BE2">
            <w:pPr>
              <w:jc w:val="both"/>
              <w:rPr>
                <w:rFonts w:cstheme="minorHAnsi"/>
                <w:sz w:val="24"/>
                <w:szCs w:val="24"/>
              </w:rPr>
            </w:pPr>
          </w:p>
        </w:tc>
        <w:tc>
          <w:tcPr>
            <w:tcW w:w="4849" w:type="dxa"/>
            <w:noWrap/>
          </w:tcPr>
          <w:p w14:paraId="6789C4D0" w14:textId="78EE6663" w:rsidR="00E86BE2" w:rsidRPr="0010524E" w:rsidRDefault="00E86BE2" w:rsidP="00E86BE2">
            <w:pPr>
              <w:jc w:val="both"/>
              <w:rPr>
                <w:rFonts w:cstheme="minorHAnsi"/>
                <w:sz w:val="24"/>
                <w:szCs w:val="24"/>
              </w:rPr>
            </w:pPr>
            <w:r w:rsidRPr="0010524E">
              <w:rPr>
                <w:rFonts w:ascii="Calibri" w:eastAsia="Calibri" w:hAnsi="Calibri" w:cs="Calibri"/>
                <w:sz w:val="24"/>
                <w:szCs w:val="24"/>
              </w:rPr>
              <w:lastRenderedPageBreak/>
              <w:t xml:space="preserve">V - um representante do Instituto Brasileiro de Geografia e Estatística - IBGE, do Ministério do Planejamento e Orçamento; </w:t>
            </w:r>
          </w:p>
        </w:tc>
        <w:tc>
          <w:tcPr>
            <w:tcW w:w="4648" w:type="dxa"/>
            <w:noWrap/>
          </w:tcPr>
          <w:p w14:paraId="2B504744" w14:textId="77777777" w:rsidR="00E86BE2" w:rsidRPr="0010524E" w:rsidRDefault="00E86BE2" w:rsidP="00E86BE2">
            <w:pPr>
              <w:jc w:val="both"/>
              <w:rPr>
                <w:rFonts w:cstheme="minorHAnsi"/>
                <w:sz w:val="24"/>
                <w:szCs w:val="24"/>
              </w:rPr>
            </w:pPr>
          </w:p>
        </w:tc>
      </w:tr>
      <w:tr w:rsidR="00E86BE2" w:rsidRPr="0010524E" w14:paraId="6DCE2FE0" w14:textId="11CC4E0B" w:rsidTr="00E86BE2">
        <w:trPr>
          <w:trHeight w:val="290"/>
        </w:trPr>
        <w:tc>
          <w:tcPr>
            <w:tcW w:w="4815" w:type="dxa"/>
            <w:noWrap/>
          </w:tcPr>
          <w:p w14:paraId="19EE2F85" w14:textId="40DCCEB7" w:rsidR="00E86BE2" w:rsidRPr="0010524E" w:rsidRDefault="00E86BE2" w:rsidP="00E86BE2">
            <w:pPr>
              <w:jc w:val="both"/>
              <w:rPr>
                <w:rFonts w:cstheme="minorHAnsi"/>
                <w:sz w:val="24"/>
                <w:szCs w:val="24"/>
              </w:rPr>
            </w:pPr>
            <w:bookmarkStart w:id="52" w:name="_Hlk138424248"/>
            <w:bookmarkEnd w:id="51"/>
            <w:r>
              <w:rPr>
                <w:rFonts w:cstheme="minorHAnsi"/>
                <w:sz w:val="24"/>
                <w:szCs w:val="24"/>
              </w:rPr>
              <w:t xml:space="preserve">VI </w:t>
            </w:r>
            <w:r w:rsidRPr="0010524E">
              <w:rPr>
                <w:rFonts w:cstheme="minorHAnsi"/>
                <w:sz w:val="24"/>
                <w:szCs w:val="24"/>
              </w:rPr>
              <w:t xml:space="preserve">- um representante do Instituto Brasileiro de Atuária - IBA; </w:t>
            </w:r>
          </w:p>
          <w:p w14:paraId="61A1C81F" w14:textId="77777777" w:rsidR="00E86BE2" w:rsidRPr="0010524E" w:rsidRDefault="00E86BE2" w:rsidP="00E86BE2">
            <w:pPr>
              <w:jc w:val="both"/>
              <w:rPr>
                <w:rFonts w:cstheme="minorHAnsi"/>
                <w:sz w:val="24"/>
                <w:szCs w:val="24"/>
              </w:rPr>
            </w:pPr>
          </w:p>
        </w:tc>
        <w:tc>
          <w:tcPr>
            <w:tcW w:w="4849" w:type="dxa"/>
            <w:noWrap/>
          </w:tcPr>
          <w:p w14:paraId="1687400E" w14:textId="23DA9E18" w:rsidR="00E86BE2" w:rsidRPr="0010524E" w:rsidRDefault="00E86BE2" w:rsidP="00E86BE2">
            <w:pPr>
              <w:jc w:val="both"/>
              <w:rPr>
                <w:rFonts w:cstheme="minorHAnsi"/>
                <w:sz w:val="24"/>
                <w:szCs w:val="24"/>
              </w:rPr>
            </w:pPr>
            <w:r w:rsidRPr="0010524E">
              <w:rPr>
                <w:rFonts w:ascii="Calibri" w:eastAsia="Calibri" w:hAnsi="Calibri" w:cs="Calibri"/>
                <w:sz w:val="24"/>
                <w:szCs w:val="24"/>
              </w:rPr>
              <w:t>VI - um representante do Instituto Brasileiro de Atuária - IBA;</w:t>
            </w:r>
          </w:p>
        </w:tc>
        <w:tc>
          <w:tcPr>
            <w:tcW w:w="4648" w:type="dxa"/>
            <w:noWrap/>
          </w:tcPr>
          <w:p w14:paraId="5DB1170D" w14:textId="77777777" w:rsidR="00E86BE2" w:rsidRPr="0010524E" w:rsidRDefault="00E86BE2" w:rsidP="00E86BE2">
            <w:pPr>
              <w:jc w:val="both"/>
              <w:rPr>
                <w:rFonts w:cstheme="minorHAnsi"/>
                <w:sz w:val="24"/>
                <w:szCs w:val="24"/>
              </w:rPr>
            </w:pPr>
          </w:p>
        </w:tc>
      </w:tr>
      <w:tr w:rsidR="00E86BE2" w:rsidRPr="0010524E" w14:paraId="178A0DD3" w14:textId="1084F267" w:rsidTr="00E86BE2">
        <w:trPr>
          <w:trHeight w:val="290"/>
        </w:trPr>
        <w:tc>
          <w:tcPr>
            <w:tcW w:w="4815" w:type="dxa"/>
            <w:noWrap/>
          </w:tcPr>
          <w:p w14:paraId="1A0FA2A2" w14:textId="71A7DD83" w:rsidR="00E86BE2" w:rsidRPr="0010524E" w:rsidRDefault="00E86BE2" w:rsidP="00E86BE2">
            <w:pPr>
              <w:jc w:val="both"/>
              <w:rPr>
                <w:rFonts w:cstheme="minorHAnsi"/>
                <w:sz w:val="24"/>
                <w:szCs w:val="24"/>
              </w:rPr>
            </w:pPr>
            <w:bookmarkStart w:id="53" w:name="_Hlk138424252"/>
            <w:bookmarkEnd w:id="52"/>
            <w:r>
              <w:rPr>
                <w:rFonts w:cstheme="minorHAnsi"/>
                <w:sz w:val="24"/>
                <w:szCs w:val="24"/>
              </w:rPr>
              <w:t xml:space="preserve">VII </w:t>
            </w:r>
            <w:r w:rsidRPr="0010524E">
              <w:rPr>
                <w:rFonts w:cstheme="minorHAnsi"/>
                <w:sz w:val="24"/>
                <w:szCs w:val="24"/>
              </w:rPr>
              <w:t xml:space="preserve">- um representante dos patrocinadores e instituidores de entidades fechadas de previdência complementar; </w:t>
            </w:r>
          </w:p>
          <w:p w14:paraId="64DED6DF" w14:textId="77777777" w:rsidR="00E86BE2" w:rsidRPr="0010524E" w:rsidRDefault="00E86BE2" w:rsidP="00E86BE2">
            <w:pPr>
              <w:jc w:val="both"/>
              <w:rPr>
                <w:rFonts w:cstheme="minorHAnsi"/>
                <w:sz w:val="24"/>
                <w:szCs w:val="24"/>
              </w:rPr>
            </w:pPr>
          </w:p>
        </w:tc>
        <w:tc>
          <w:tcPr>
            <w:tcW w:w="4849" w:type="dxa"/>
            <w:noWrap/>
          </w:tcPr>
          <w:p w14:paraId="3F91571C" w14:textId="4EEF47A8"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VII - um representante dos patrocinadores e instituidores de entidades fechadas de previdência complementar; </w:t>
            </w:r>
          </w:p>
        </w:tc>
        <w:tc>
          <w:tcPr>
            <w:tcW w:w="4648" w:type="dxa"/>
            <w:noWrap/>
          </w:tcPr>
          <w:p w14:paraId="45C7A823" w14:textId="77777777" w:rsidR="00E86BE2" w:rsidRPr="0010524E" w:rsidRDefault="00E86BE2" w:rsidP="00E86BE2">
            <w:pPr>
              <w:jc w:val="both"/>
              <w:rPr>
                <w:rFonts w:cstheme="minorHAnsi"/>
                <w:sz w:val="24"/>
                <w:szCs w:val="24"/>
              </w:rPr>
            </w:pPr>
          </w:p>
        </w:tc>
      </w:tr>
      <w:tr w:rsidR="00E86BE2" w:rsidRPr="0010524E" w14:paraId="1248CF5F" w14:textId="4D23AE83" w:rsidTr="00E86BE2">
        <w:trPr>
          <w:trHeight w:val="290"/>
        </w:trPr>
        <w:tc>
          <w:tcPr>
            <w:tcW w:w="4815" w:type="dxa"/>
            <w:noWrap/>
          </w:tcPr>
          <w:p w14:paraId="26411997" w14:textId="1008A9E1" w:rsidR="00E86BE2" w:rsidRPr="0010524E" w:rsidRDefault="00E86BE2" w:rsidP="00E86BE2">
            <w:pPr>
              <w:jc w:val="both"/>
              <w:rPr>
                <w:rFonts w:cstheme="minorHAnsi"/>
                <w:sz w:val="24"/>
                <w:szCs w:val="24"/>
              </w:rPr>
            </w:pPr>
            <w:bookmarkStart w:id="54" w:name="_Hlk138424259"/>
            <w:bookmarkEnd w:id="53"/>
            <w:r>
              <w:rPr>
                <w:rFonts w:cstheme="minorHAnsi"/>
                <w:sz w:val="24"/>
                <w:szCs w:val="24"/>
              </w:rPr>
              <w:t xml:space="preserve">VIII </w:t>
            </w:r>
            <w:r w:rsidRPr="0010524E">
              <w:rPr>
                <w:rFonts w:cstheme="minorHAnsi"/>
                <w:sz w:val="24"/>
                <w:szCs w:val="24"/>
              </w:rPr>
              <w:t xml:space="preserve">- um representante das entidades fechadas de previdência complementar; </w:t>
            </w:r>
          </w:p>
          <w:p w14:paraId="2A7F89B4" w14:textId="77777777" w:rsidR="00E86BE2" w:rsidRPr="0010524E" w:rsidRDefault="00E86BE2" w:rsidP="00E86BE2">
            <w:pPr>
              <w:jc w:val="both"/>
              <w:rPr>
                <w:rFonts w:cstheme="minorHAnsi"/>
                <w:sz w:val="24"/>
                <w:szCs w:val="24"/>
              </w:rPr>
            </w:pPr>
          </w:p>
        </w:tc>
        <w:tc>
          <w:tcPr>
            <w:tcW w:w="4849" w:type="dxa"/>
            <w:noWrap/>
          </w:tcPr>
          <w:p w14:paraId="1ADFB262" w14:textId="4C9CDDB5"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VIII - um representante das entidades fechadas de previdência complementar; </w:t>
            </w:r>
          </w:p>
        </w:tc>
        <w:tc>
          <w:tcPr>
            <w:tcW w:w="4648" w:type="dxa"/>
            <w:noWrap/>
          </w:tcPr>
          <w:p w14:paraId="12CB09EF" w14:textId="77777777" w:rsidR="00E86BE2" w:rsidRPr="0010524E" w:rsidRDefault="00E86BE2" w:rsidP="00E86BE2">
            <w:pPr>
              <w:jc w:val="both"/>
              <w:rPr>
                <w:rFonts w:cstheme="minorHAnsi"/>
                <w:sz w:val="24"/>
                <w:szCs w:val="24"/>
              </w:rPr>
            </w:pPr>
          </w:p>
        </w:tc>
      </w:tr>
      <w:tr w:rsidR="00E86BE2" w:rsidRPr="0010524E" w14:paraId="7E8185B8" w14:textId="02917B8B" w:rsidTr="00E86BE2">
        <w:trPr>
          <w:trHeight w:val="290"/>
        </w:trPr>
        <w:tc>
          <w:tcPr>
            <w:tcW w:w="4815" w:type="dxa"/>
            <w:noWrap/>
          </w:tcPr>
          <w:p w14:paraId="0E48362C" w14:textId="37E6585C" w:rsidR="00E86BE2" w:rsidRPr="0010524E" w:rsidRDefault="00E86BE2" w:rsidP="00E86BE2">
            <w:pPr>
              <w:jc w:val="both"/>
              <w:rPr>
                <w:rFonts w:cstheme="minorHAnsi"/>
                <w:sz w:val="24"/>
                <w:szCs w:val="24"/>
              </w:rPr>
            </w:pPr>
            <w:bookmarkStart w:id="55" w:name="_Hlk138424270"/>
            <w:bookmarkEnd w:id="54"/>
            <w:r>
              <w:rPr>
                <w:rFonts w:cstheme="minorHAnsi"/>
                <w:sz w:val="24"/>
                <w:szCs w:val="24"/>
              </w:rPr>
              <w:t xml:space="preserve">IX </w:t>
            </w:r>
            <w:r w:rsidRPr="0010524E">
              <w:rPr>
                <w:rFonts w:cstheme="minorHAnsi"/>
                <w:sz w:val="24"/>
                <w:szCs w:val="24"/>
              </w:rPr>
              <w:t xml:space="preserve">- um representante dos participantes e assistidos das entidades fechadas de previdência complementar; e </w:t>
            </w:r>
          </w:p>
          <w:p w14:paraId="0352F47B" w14:textId="77777777" w:rsidR="00E86BE2" w:rsidRPr="0010524E" w:rsidRDefault="00E86BE2" w:rsidP="00E86BE2">
            <w:pPr>
              <w:jc w:val="both"/>
              <w:rPr>
                <w:rFonts w:cstheme="minorHAnsi"/>
                <w:sz w:val="24"/>
                <w:szCs w:val="24"/>
              </w:rPr>
            </w:pPr>
          </w:p>
        </w:tc>
        <w:tc>
          <w:tcPr>
            <w:tcW w:w="4849" w:type="dxa"/>
            <w:noWrap/>
          </w:tcPr>
          <w:p w14:paraId="77C2C673" w14:textId="38F25540"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IX - um representante dos participantes e assistidos das entidades fechadas de previdência complementar; e </w:t>
            </w:r>
          </w:p>
        </w:tc>
        <w:tc>
          <w:tcPr>
            <w:tcW w:w="4648" w:type="dxa"/>
            <w:noWrap/>
          </w:tcPr>
          <w:p w14:paraId="06441FB8" w14:textId="77777777" w:rsidR="00E86BE2" w:rsidRPr="0010524E" w:rsidRDefault="00E86BE2" w:rsidP="00E86BE2">
            <w:pPr>
              <w:jc w:val="both"/>
              <w:rPr>
                <w:rFonts w:cstheme="minorHAnsi"/>
                <w:sz w:val="24"/>
                <w:szCs w:val="24"/>
              </w:rPr>
            </w:pPr>
          </w:p>
        </w:tc>
      </w:tr>
      <w:tr w:rsidR="00E86BE2" w:rsidRPr="0010524E" w14:paraId="6F03B893" w14:textId="1FF75134" w:rsidTr="00E86BE2">
        <w:trPr>
          <w:trHeight w:val="290"/>
        </w:trPr>
        <w:tc>
          <w:tcPr>
            <w:tcW w:w="4815" w:type="dxa"/>
            <w:noWrap/>
          </w:tcPr>
          <w:p w14:paraId="49F3E6AB" w14:textId="7F6AD1CE" w:rsidR="00E86BE2" w:rsidRPr="0010524E" w:rsidRDefault="00E86BE2" w:rsidP="00E86BE2">
            <w:pPr>
              <w:jc w:val="both"/>
              <w:rPr>
                <w:rFonts w:cstheme="minorHAnsi"/>
                <w:sz w:val="24"/>
                <w:szCs w:val="24"/>
              </w:rPr>
            </w:pPr>
            <w:bookmarkStart w:id="56" w:name="_Hlk138424285"/>
            <w:bookmarkEnd w:id="55"/>
            <w:r>
              <w:rPr>
                <w:rFonts w:cstheme="minorHAnsi"/>
                <w:sz w:val="24"/>
                <w:szCs w:val="24"/>
              </w:rPr>
              <w:t xml:space="preserve">X </w:t>
            </w:r>
            <w:r w:rsidRPr="0010524E">
              <w:rPr>
                <w:rFonts w:cstheme="minorHAnsi"/>
                <w:sz w:val="24"/>
                <w:szCs w:val="24"/>
              </w:rPr>
              <w:t xml:space="preserve">- um representante do meio acadêmico. </w:t>
            </w:r>
          </w:p>
          <w:p w14:paraId="2CE50DA8" w14:textId="77777777" w:rsidR="00E86BE2" w:rsidRPr="0010524E" w:rsidRDefault="00E86BE2" w:rsidP="00E86BE2">
            <w:pPr>
              <w:jc w:val="both"/>
              <w:rPr>
                <w:rFonts w:cstheme="minorHAnsi"/>
                <w:sz w:val="24"/>
                <w:szCs w:val="24"/>
              </w:rPr>
            </w:pPr>
          </w:p>
        </w:tc>
        <w:tc>
          <w:tcPr>
            <w:tcW w:w="4849" w:type="dxa"/>
            <w:noWrap/>
          </w:tcPr>
          <w:p w14:paraId="27F9DAB7" w14:textId="511A0CFE" w:rsidR="00E86BE2" w:rsidRPr="0010524E" w:rsidRDefault="00E86BE2" w:rsidP="00E86BE2">
            <w:pPr>
              <w:jc w:val="both"/>
              <w:rPr>
                <w:rFonts w:cstheme="minorHAnsi"/>
                <w:sz w:val="24"/>
                <w:szCs w:val="24"/>
              </w:rPr>
            </w:pPr>
            <w:r w:rsidRPr="0010524E">
              <w:rPr>
                <w:rFonts w:ascii="Calibri" w:eastAsia="Calibri" w:hAnsi="Calibri" w:cs="Calibri"/>
                <w:sz w:val="24"/>
                <w:szCs w:val="24"/>
              </w:rPr>
              <w:t>X - um representante do meio acadêmico.</w:t>
            </w:r>
          </w:p>
        </w:tc>
        <w:tc>
          <w:tcPr>
            <w:tcW w:w="4648" w:type="dxa"/>
            <w:noWrap/>
          </w:tcPr>
          <w:p w14:paraId="374862D1" w14:textId="77777777" w:rsidR="00E86BE2" w:rsidRPr="0010524E" w:rsidRDefault="00E86BE2" w:rsidP="00E86BE2">
            <w:pPr>
              <w:jc w:val="both"/>
              <w:rPr>
                <w:rFonts w:cstheme="minorHAnsi"/>
                <w:sz w:val="24"/>
                <w:szCs w:val="24"/>
              </w:rPr>
            </w:pPr>
          </w:p>
        </w:tc>
      </w:tr>
      <w:tr w:rsidR="00E86BE2" w:rsidRPr="0010524E" w14:paraId="61ED5D33" w14:textId="1FA5F3FF" w:rsidTr="00E86BE2">
        <w:trPr>
          <w:trHeight w:val="290"/>
        </w:trPr>
        <w:tc>
          <w:tcPr>
            <w:tcW w:w="4815" w:type="dxa"/>
            <w:noWrap/>
          </w:tcPr>
          <w:p w14:paraId="7CCCD8A2" w14:textId="77777777" w:rsidR="00E86BE2" w:rsidRPr="0010524E" w:rsidRDefault="00E86BE2" w:rsidP="00E86BE2">
            <w:pPr>
              <w:jc w:val="both"/>
              <w:rPr>
                <w:rFonts w:cstheme="minorHAnsi"/>
                <w:sz w:val="24"/>
                <w:szCs w:val="24"/>
              </w:rPr>
            </w:pPr>
            <w:bookmarkStart w:id="57" w:name="_Hlk138424290"/>
            <w:bookmarkEnd w:id="56"/>
            <w:r w:rsidRPr="0010524E">
              <w:rPr>
                <w:rFonts w:cstheme="minorHAnsi"/>
                <w:sz w:val="24"/>
                <w:szCs w:val="24"/>
              </w:rPr>
              <w:t xml:space="preserve">§ 1º Os representantes da CNA serão designados por ato do Secretário de Previdência Complementar, ressalvada a possibilidade de delegação. </w:t>
            </w:r>
          </w:p>
          <w:p w14:paraId="599FBB28" w14:textId="77777777" w:rsidR="00E86BE2" w:rsidRPr="0010524E" w:rsidRDefault="00E86BE2" w:rsidP="00E86BE2">
            <w:pPr>
              <w:jc w:val="both"/>
              <w:rPr>
                <w:rFonts w:cstheme="minorHAnsi"/>
                <w:sz w:val="24"/>
                <w:szCs w:val="24"/>
              </w:rPr>
            </w:pPr>
          </w:p>
        </w:tc>
        <w:tc>
          <w:tcPr>
            <w:tcW w:w="4849" w:type="dxa"/>
            <w:noWrap/>
          </w:tcPr>
          <w:p w14:paraId="46DF0638" w14:textId="6F714B0E"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 1º Os representantes da Comissão Nacional de Atuária são designados por ato do Diretor-Superintendente, ressalvada a possibilidade de delegação. </w:t>
            </w:r>
          </w:p>
        </w:tc>
        <w:tc>
          <w:tcPr>
            <w:tcW w:w="4648" w:type="dxa"/>
            <w:noWrap/>
          </w:tcPr>
          <w:p w14:paraId="74FE7C24" w14:textId="77777777" w:rsidR="00E86BE2" w:rsidRPr="0010524E" w:rsidRDefault="00E86BE2" w:rsidP="00E86BE2">
            <w:pPr>
              <w:jc w:val="both"/>
              <w:rPr>
                <w:rFonts w:cstheme="minorHAnsi"/>
                <w:sz w:val="24"/>
                <w:szCs w:val="24"/>
              </w:rPr>
            </w:pPr>
          </w:p>
        </w:tc>
      </w:tr>
      <w:tr w:rsidR="00E86BE2" w:rsidRPr="0010524E" w14:paraId="11671C3D" w14:textId="3A7143FF" w:rsidTr="00E86BE2">
        <w:trPr>
          <w:trHeight w:val="290"/>
        </w:trPr>
        <w:tc>
          <w:tcPr>
            <w:tcW w:w="4815" w:type="dxa"/>
            <w:noWrap/>
          </w:tcPr>
          <w:p w14:paraId="6A1D4B8F" w14:textId="77777777" w:rsidR="00E86BE2" w:rsidRPr="0010524E" w:rsidRDefault="00E86BE2" w:rsidP="00E86BE2">
            <w:pPr>
              <w:jc w:val="both"/>
              <w:rPr>
                <w:rFonts w:cstheme="minorHAnsi"/>
                <w:sz w:val="24"/>
                <w:szCs w:val="24"/>
              </w:rPr>
            </w:pPr>
            <w:bookmarkStart w:id="58" w:name="_Hlk138424295"/>
            <w:bookmarkEnd w:id="57"/>
            <w:r w:rsidRPr="0010524E">
              <w:rPr>
                <w:rFonts w:cstheme="minorHAnsi"/>
                <w:sz w:val="24"/>
                <w:szCs w:val="24"/>
              </w:rPr>
              <w:t xml:space="preserve">§ 2º Os representantes referidos nos incisos I a VI serão indicados pelo dirigente máximo dos respectivos órgãos que representam. </w:t>
            </w:r>
          </w:p>
          <w:p w14:paraId="00E8AB95" w14:textId="77777777" w:rsidR="00E86BE2" w:rsidRPr="0010524E" w:rsidRDefault="00E86BE2" w:rsidP="00E86BE2">
            <w:pPr>
              <w:jc w:val="both"/>
              <w:rPr>
                <w:rFonts w:cstheme="minorHAnsi"/>
                <w:sz w:val="24"/>
                <w:szCs w:val="24"/>
              </w:rPr>
            </w:pPr>
          </w:p>
        </w:tc>
        <w:tc>
          <w:tcPr>
            <w:tcW w:w="4849" w:type="dxa"/>
            <w:noWrap/>
          </w:tcPr>
          <w:p w14:paraId="67E18CA4" w14:textId="68594FAB"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 2º Os representantes referidos nos incisos I a VI são indicados pelo dirigente máximo dos respectivos órgãos que representam. </w:t>
            </w:r>
          </w:p>
        </w:tc>
        <w:tc>
          <w:tcPr>
            <w:tcW w:w="4648" w:type="dxa"/>
            <w:noWrap/>
          </w:tcPr>
          <w:p w14:paraId="52DD5DDF" w14:textId="77777777" w:rsidR="00E86BE2" w:rsidRPr="0010524E" w:rsidRDefault="00E86BE2" w:rsidP="00E86BE2">
            <w:pPr>
              <w:jc w:val="both"/>
              <w:rPr>
                <w:rFonts w:cstheme="minorHAnsi"/>
                <w:sz w:val="24"/>
                <w:szCs w:val="24"/>
              </w:rPr>
            </w:pPr>
          </w:p>
        </w:tc>
      </w:tr>
      <w:tr w:rsidR="00E86BE2" w:rsidRPr="0010524E" w14:paraId="376C4786" w14:textId="0C45E977" w:rsidTr="00E86BE2">
        <w:trPr>
          <w:trHeight w:val="290"/>
        </w:trPr>
        <w:tc>
          <w:tcPr>
            <w:tcW w:w="4815" w:type="dxa"/>
            <w:noWrap/>
          </w:tcPr>
          <w:p w14:paraId="3BB31D0A" w14:textId="77777777" w:rsidR="00E86BE2" w:rsidRPr="0010524E" w:rsidRDefault="00E86BE2" w:rsidP="00E86BE2">
            <w:pPr>
              <w:jc w:val="both"/>
              <w:rPr>
                <w:rFonts w:cstheme="minorHAnsi"/>
                <w:sz w:val="24"/>
                <w:szCs w:val="24"/>
              </w:rPr>
            </w:pPr>
            <w:bookmarkStart w:id="59" w:name="_Hlk138424304"/>
            <w:bookmarkEnd w:id="58"/>
            <w:r w:rsidRPr="0010524E">
              <w:rPr>
                <w:rFonts w:cstheme="minorHAnsi"/>
                <w:sz w:val="24"/>
                <w:szCs w:val="24"/>
              </w:rPr>
              <w:lastRenderedPageBreak/>
              <w:t xml:space="preserve">§ 3º O representante referido no inciso VII será indicado pelo Secretário de Previdência Complementar. </w:t>
            </w:r>
          </w:p>
          <w:p w14:paraId="616DCA0B" w14:textId="77777777" w:rsidR="00E86BE2" w:rsidRPr="0010524E" w:rsidRDefault="00E86BE2" w:rsidP="00E86BE2">
            <w:pPr>
              <w:jc w:val="both"/>
              <w:rPr>
                <w:rFonts w:cstheme="minorHAnsi"/>
                <w:sz w:val="24"/>
                <w:szCs w:val="24"/>
              </w:rPr>
            </w:pPr>
          </w:p>
        </w:tc>
        <w:tc>
          <w:tcPr>
            <w:tcW w:w="4849" w:type="dxa"/>
            <w:noWrap/>
          </w:tcPr>
          <w:p w14:paraId="38CE0DDD" w14:textId="45524F6D"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 3º O representante referido no inciso VII é indicado pelo Diretor-Superintendente. </w:t>
            </w:r>
          </w:p>
        </w:tc>
        <w:tc>
          <w:tcPr>
            <w:tcW w:w="4648" w:type="dxa"/>
            <w:noWrap/>
          </w:tcPr>
          <w:p w14:paraId="53F6A031" w14:textId="77777777" w:rsidR="00E86BE2" w:rsidRPr="0010524E" w:rsidRDefault="00E86BE2" w:rsidP="00E86BE2">
            <w:pPr>
              <w:jc w:val="both"/>
              <w:rPr>
                <w:rFonts w:cstheme="minorHAnsi"/>
                <w:sz w:val="24"/>
                <w:szCs w:val="24"/>
              </w:rPr>
            </w:pPr>
            <w:r w:rsidRPr="0010524E">
              <w:rPr>
                <w:rFonts w:cstheme="minorHAnsi"/>
                <w:sz w:val="24"/>
                <w:szCs w:val="24"/>
              </w:rPr>
              <w:t>Ajuste redacional.</w:t>
            </w:r>
          </w:p>
        </w:tc>
      </w:tr>
      <w:tr w:rsidR="00E86BE2" w:rsidRPr="0010524E" w14:paraId="53C04B3D" w14:textId="15F637CE" w:rsidTr="00E86BE2">
        <w:trPr>
          <w:trHeight w:val="290"/>
        </w:trPr>
        <w:tc>
          <w:tcPr>
            <w:tcW w:w="4815" w:type="dxa"/>
            <w:noWrap/>
          </w:tcPr>
          <w:p w14:paraId="5000C3B5" w14:textId="77777777" w:rsidR="00E86BE2" w:rsidRPr="0010524E" w:rsidRDefault="00E86BE2" w:rsidP="00E86BE2">
            <w:pPr>
              <w:jc w:val="both"/>
              <w:rPr>
                <w:rFonts w:cstheme="minorHAnsi"/>
                <w:sz w:val="24"/>
                <w:szCs w:val="24"/>
              </w:rPr>
            </w:pPr>
            <w:bookmarkStart w:id="60" w:name="_Hlk138424308"/>
            <w:bookmarkEnd w:id="59"/>
            <w:r w:rsidRPr="0010524E">
              <w:rPr>
                <w:rFonts w:cstheme="minorHAnsi"/>
                <w:sz w:val="24"/>
                <w:szCs w:val="24"/>
              </w:rPr>
              <w:t xml:space="preserve">§ 4º Os representantes referidos nos incisos VIII e IX serão indicados pela Associação Brasileira das Entidades Fechadas de Previdência Complementar - ABRAPP e pela Associação Nacional dos Participantes de Fundos de Pensão - ANAPAR, respectivamente. </w:t>
            </w:r>
          </w:p>
          <w:p w14:paraId="4860E366" w14:textId="77777777" w:rsidR="00E86BE2" w:rsidRPr="0010524E" w:rsidRDefault="00E86BE2" w:rsidP="00E86BE2">
            <w:pPr>
              <w:jc w:val="both"/>
              <w:rPr>
                <w:rFonts w:cstheme="minorHAnsi"/>
                <w:sz w:val="24"/>
                <w:szCs w:val="24"/>
              </w:rPr>
            </w:pPr>
          </w:p>
        </w:tc>
        <w:tc>
          <w:tcPr>
            <w:tcW w:w="4849" w:type="dxa"/>
            <w:noWrap/>
          </w:tcPr>
          <w:p w14:paraId="2C22B177" w14:textId="01BDEF8E"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 4º Os representantes referidos nos incisos VIII e IX são indicados pela Associação Brasileira das Entidades Fechadas de Previdência Complementar - ABRAPP e pela Associação Nacional dos Participantes de Previdência Complementar e Autogestão em Saúde - ANAPAR, respectivamente. </w:t>
            </w:r>
          </w:p>
        </w:tc>
        <w:tc>
          <w:tcPr>
            <w:tcW w:w="4648" w:type="dxa"/>
            <w:noWrap/>
          </w:tcPr>
          <w:p w14:paraId="49FEEC69" w14:textId="77777777" w:rsidR="00E86BE2" w:rsidRPr="0010524E" w:rsidRDefault="00E86BE2" w:rsidP="00E86BE2">
            <w:pPr>
              <w:jc w:val="both"/>
              <w:rPr>
                <w:rFonts w:cstheme="minorHAnsi"/>
                <w:sz w:val="24"/>
                <w:szCs w:val="24"/>
              </w:rPr>
            </w:pPr>
            <w:r w:rsidRPr="0010524E">
              <w:rPr>
                <w:rFonts w:cstheme="minorHAnsi"/>
                <w:sz w:val="24"/>
                <w:szCs w:val="24"/>
              </w:rPr>
              <w:t>Ajuste redacional.</w:t>
            </w:r>
          </w:p>
        </w:tc>
      </w:tr>
      <w:tr w:rsidR="00E86BE2" w:rsidRPr="0010524E" w14:paraId="76C749E3" w14:textId="02876514" w:rsidTr="00E86BE2">
        <w:trPr>
          <w:trHeight w:val="290"/>
        </w:trPr>
        <w:tc>
          <w:tcPr>
            <w:tcW w:w="4815" w:type="dxa"/>
            <w:noWrap/>
          </w:tcPr>
          <w:p w14:paraId="13134DDC" w14:textId="77777777" w:rsidR="00E86BE2" w:rsidRPr="0010524E" w:rsidRDefault="00E86BE2" w:rsidP="00E86BE2">
            <w:pPr>
              <w:jc w:val="both"/>
              <w:rPr>
                <w:rFonts w:cstheme="minorHAnsi"/>
                <w:sz w:val="24"/>
                <w:szCs w:val="24"/>
              </w:rPr>
            </w:pPr>
            <w:bookmarkStart w:id="61" w:name="_Hlk138424313"/>
            <w:bookmarkEnd w:id="60"/>
            <w:r w:rsidRPr="0010524E">
              <w:rPr>
                <w:rFonts w:cstheme="minorHAnsi"/>
                <w:sz w:val="24"/>
                <w:szCs w:val="24"/>
              </w:rPr>
              <w:t xml:space="preserve">§ 5º O representante referido no inciso X, bem como seus suplentes, serão escolhidos dentre os indicados por dirigentes de universidades de reconhecida proficiência na área de formação atuarial, mediante resposta formal ao convite que lhes for encaminhado pelo Secretário de Previdência Complementar. </w:t>
            </w:r>
          </w:p>
          <w:p w14:paraId="669EBD92" w14:textId="77777777" w:rsidR="00E86BE2" w:rsidRPr="0010524E" w:rsidRDefault="00E86BE2" w:rsidP="00E86BE2">
            <w:pPr>
              <w:jc w:val="both"/>
              <w:rPr>
                <w:rFonts w:cstheme="minorHAnsi"/>
                <w:sz w:val="24"/>
                <w:szCs w:val="24"/>
              </w:rPr>
            </w:pPr>
          </w:p>
        </w:tc>
        <w:tc>
          <w:tcPr>
            <w:tcW w:w="4849" w:type="dxa"/>
            <w:noWrap/>
          </w:tcPr>
          <w:p w14:paraId="63F165CB" w14:textId="6E9BBDBA"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 5º O representante referido no inciso X, bem como seus suplentes, são escolhidos dentre os indicados por dirigentes de universidades de reconhecida proficiência na área de formação atuarial, mediante resposta formal ao convite que lhes for encaminhado pelo Diretor-Superintendente. </w:t>
            </w:r>
          </w:p>
        </w:tc>
        <w:tc>
          <w:tcPr>
            <w:tcW w:w="4648" w:type="dxa"/>
            <w:noWrap/>
          </w:tcPr>
          <w:p w14:paraId="3EDB1BD3" w14:textId="77777777" w:rsidR="00E86BE2" w:rsidRPr="0010524E" w:rsidRDefault="00E86BE2" w:rsidP="00E86BE2">
            <w:pPr>
              <w:jc w:val="both"/>
              <w:rPr>
                <w:rFonts w:cstheme="minorHAnsi"/>
                <w:sz w:val="24"/>
                <w:szCs w:val="24"/>
              </w:rPr>
            </w:pPr>
          </w:p>
        </w:tc>
      </w:tr>
      <w:tr w:rsidR="00E86BE2" w:rsidRPr="0010524E" w14:paraId="555EAA10" w14:textId="124D7482" w:rsidTr="00E86BE2">
        <w:trPr>
          <w:trHeight w:val="290"/>
        </w:trPr>
        <w:tc>
          <w:tcPr>
            <w:tcW w:w="4815" w:type="dxa"/>
            <w:noWrap/>
          </w:tcPr>
          <w:p w14:paraId="566A7A4E" w14:textId="77777777" w:rsidR="00E86BE2" w:rsidRPr="0010524E" w:rsidRDefault="00E86BE2" w:rsidP="00E86BE2">
            <w:pPr>
              <w:jc w:val="both"/>
              <w:rPr>
                <w:rFonts w:cstheme="minorHAnsi"/>
                <w:sz w:val="24"/>
                <w:szCs w:val="24"/>
              </w:rPr>
            </w:pPr>
            <w:bookmarkStart w:id="62" w:name="_Hlk138424321"/>
            <w:bookmarkEnd w:id="61"/>
            <w:r w:rsidRPr="0010524E">
              <w:rPr>
                <w:rFonts w:cstheme="minorHAnsi"/>
                <w:sz w:val="24"/>
                <w:szCs w:val="24"/>
              </w:rPr>
              <w:t xml:space="preserve">§ 6º Relativamente a cada membro titular será indicado e designado um respectivo suplente, salvo o membro referido no inciso X, que terá dois suplentes, preferencialmente de universidades distintas, todos com direito a voz nas reuniões. </w:t>
            </w:r>
          </w:p>
          <w:p w14:paraId="4DE2F174" w14:textId="77777777" w:rsidR="00E86BE2" w:rsidRPr="0010524E" w:rsidRDefault="00E86BE2" w:rsidP="00E86BE2">
            <w:pPr>
              <w:jc w:val="both"/>
              <w:rPr>
                <w:rFonts w:cstheme="minorHAnsi"/>
                <w:sz w:val="24"/>
                <w:szCs w:val="24"/>
              </w:rPr>
            </w:pPr>
          </w:p>
        </w:tc>
        <w:tc>
          <w:tcPr>
            <w:tcW w:w="4849" w:type="dxa"/>
            <w:noWrap/>
          </w:tcPr>
          <w:p w14:paraId="1655D74B" w14:textId="5B451259" w:rsidR="00E86BE2" w:rsidRPr="0010524E" w:rsidRDefault="00E86BE2" w:rsidP="00E86BE2">
            <w:pPr>
              <w:jc w:val="both"/>
              <w:rPr>
                <w:rFonts w:cstheme="minorHAnsi"/>
                <w:sz w:val="24"/>
                <w:szCs w:val="24"/>
              </w:rPr>
            </w:pPr>
            <w:r w:rsidRPr="0010524E">
              <w:rPr>
                <w:rFonts w:ascii="Calibri" w:eastAsia="Calibri" w:hAnsi="Calibri" w:cs="Calibri"/>
                <w:sz w:val="24"/>
                <w:szCs w:val="24"/>
              </w:rPr>
              <w:t>§ 6º Relativamente a cada membro titular é indicado e designado um respectivo suplente, salvo o membro referido no inciso X, que tem dois suplentes, preferencialmente de universidades distintas, todos com direito a voz nas reuniões.</w:t>
            </w:r>
          </w:p>
        </w:tc>
        <w:tc>
          <w:tcPr>
            <w:tcW w:w="4648" w:type="dxa"/>
            <w:noWrap/>
          </w:tcPr>
          <w:p w14:paraId="76311E27" w14:textId="77777777" w:rsidR="00E86BE2" w:rsidRPr="0010524E" w:rsidRDefault="00E86BE2" w:rsidP="00E86BE2">
            <w:pPr>
              <w:jc w:val="both"/>
              <w:rPr>
                <w:rFonts w:cstheme="minorHAnsi"/>
                <w:sz w:val="24"/>
                <w:szCs w:val="24"/>
              </w:rPr>
            </w:pPr>
          </w:p>
        </w:tc>
      </w:tr>
      <w:tr w:rsidR="00E86BE2" w:rsidRPr="0010524E" w14:paraId="0BA95E3E" w14:textId="59C10B4A" w:rsidTr="00E86BE2">
        <w:trPr>
          <w:trHeight w:val="290"/>
        </w:trPr>
        <w:tc>
          <w:tcPr>
            <w:tcW w:w="4815" w:type="dxa"/>
            <w:noWrap/>
          </w:tcPr>
          <w:p w14:paraId="2BAF173C" w14:textId="77777777" w:rsidR="00E86BE2" w:rsidRPr="0010524E" w:rsidRDefault="00E86BE2" w:rsidP="00E86BE2">
            <w:pPr>
              <w:jc w:val="both"/>
              <w:rPr>
                <w:rFonts w:cstheme="minorHAnsi"/>
                <w:sz w:val="24"/>
                <w:szCs w:val="24"/>
              </w:rPr>
            </w:pPr>
            <w:bookmarkStart w:id="63" w:name="_Hlk138424325"/>
            <w:bookmarkEnd w:id="62"/>
            <w:r w:rsidRPr="0010524E">
              <w:rPr>
                <w:rFonts w:cstheme="minorHAnsi"/>
                <w:sz w:val="24"/>
                <w:szCs w:val="24"/>
              </w:rPr>
              <w:t xml:space="preserve">Art. 4º Sempre que for oportuno, conveniente ou necessário, qualquer dos membros poderá </w:t>
            </w:r>
            <w:r w:rsidRPr="0010524E">
              <w:rPr>
                <w:rFonts w:cstheme="minorHAnsi"/>
                <w:sz w:val="24"/>
                <w:szCs w:val="24"/>
              </w:rPr>
              <w:lastRenderedPageBreak/>
              <w:t xml:space="preserve">propor a participação de convidados nas reuniões, sujeita à aprovação prévia da maioria dos representantes presentes. </w:t>
            </w:r>
          </w:p>
          <w:p w14:paraId="771B1017" w14:textId="77777777" w:rsidR="00E86BE2" w:rsidRPr="0010524E" w:rsidRDefault="00E86BE2" w:rsidP="00E86BE2">
            <w:pPr>
              <w:jc w:val="both"/>
              <w:rPr>
                <w:rFonts w:cstheme="minorHAnsi"/>
                <w:sz w:val="24"/>
                <w:szCs w:val="24"/>
              </w:rPr>
            </w:pPr>
          </w:p>
        </w:tc>
        <w:tc>
          <w:tcPr>
            <w:tcW w:w="4849" w:type="dxa"/>
            <w:noWrap/>
          </w:tcPr>
          <w:p w14:paraId="5934032E" w14:textId="03DDCDE2" w:rsidR="00E86BE2" w:rsidRPr="0010524E" w:rsidRDefault="00E86BE2" w:rsidP="00E86BE2">
            <w:pPr>
              <w:jc w:val="both"/>
              <w:rPr>
                <w:rFonts w:cstheme="minorHAnsi"/>
                <w:sz w:val="24"/>
                <w:szCs w:val="24"/>
              </w:rPr>
            </w:pPr>
            <w:r w:rsidRPr="0010524E">
              <w:rPr>
                <w:rFonts w:ascii="Calibri" w:eastAsia="Calibri" w:hAnsi="Calibri" w:cs="Calibri"/>
                <w:sz w:val="24"/>
                <w:szCs w:val="24"/>
              </w:rPr>
              <w:lastRenderedPageBreak/>
              <w:t xml:space="preserve">Art.  376. Sempre que for oportuno, conveniente ou necessário, qualquer dos </w:t>
            </w:r>
            <w:r w:rsidRPr="0010524E">
              <w:rPr>
                <w:rFonts w:ascii="Calibri" w:eastAsia="Calibri" w:hAnsi="Calibri" w:cs="Calibri"/>
                <w:sz w:val="24"/>
                <w:szCs w:val="24"/>
              </w:rPr>
              <w:lastRenderedPageBreak/>
              <w:t xml:space="preserve">membros poderá propor a participação de convidados nas reuniões, sujeita à aprovação prévia da maioria dos representantes presentes. </w:t>
            </w:r>
          </w:p>
        </w:tc>
        <w:tc>
          <w:tcPr>
            <w:tcW w:w="4648" w:type="dxa"/>
            <w:noWrap/>
          </w:tcPr>
          <w:p w14:paraId="3B6ACF8E" w14:textId="77777777" w:rsidR="00E86BE2" w:rsidRPr="0010524E" w:rsidRDefault="00E86BE2" w:rsidP="00E86BE2">
            <w:pPr>
              <w:jc w:val="both"/>
              <w:rPr>
                <w:rFonts w:cstheme="minorHAnsi"/>
                <w:sz w:val="24"/>
                <w:szCs w:val="24"/>
              </w:rPr>
            </w:pPr>
          </w:p>
        </w:tc>
      </w:tr>
      <w:tr w:rsidR="00E86BE2" w:rsidRPr="0010524E" w14:paraId="1E8966A9" w14:textId="34D7AA9C" w:rsidTr="00E86BE2">
        <w:trPr>
          <w:trHeight w:val="290"/>
        </w:trPr>
        <w:tc>
          <w:tcPr>
            <w:tcW w:w="4815" w:type="dxa"/>
            <w:noWrap/>
          </w:tcPr>
          <w:p w14:paraId="7B913A53" w14:textId="77777777" w:rsidR="00E86BE2" w:rsidRPr="0010524E" w:rsidRDefault="00E86BE2" w:rsidP="00E86BE2">
            <w:pPr>
              <w:jc w:val="both"/>
              <w:rPr>
                <w:rFonts w:cstheme="minorHAnsi"/>
                <w:sz w:val="24"/>
                <w:szCs w:val="24"/>
              </w:rPr>
            </w:pPr>
            <w:bookmarkStart w:id="64" w:name="_Hlk138424329"/>
            <w:bookmarkEnd w:id="63"/>
            <w:r w:rsidRPr="0010524E">
              <w:rPr>
                <w:rFonts w:cstheme="minorHAnsi"/>
                <w:sz w:val="24"/>
                <w:szCs w:val="24"/>
              </w:rPr>
              <w:t xml:space="preserve">Art. 5º Quando a dimensão ou a complexidade do trabalho a ser desenvolvido assim o exigir, poderão ser criadas subcomissões com propósito específico, a serem coordenadas por um membro titular da CNA escolhido pelo Presidente, aplicando-se-lhe, no que for compatível, as disposições constantes do art. 11 deste Regimento. </w:t>
            </w:r>
          </w:p>
          <w:p w14:paraId="0D777F23" w14:textId="77777777" w:rsidR="00E86BE2" w:rsidRPr="0010524E" w:rsidRDefault="00E86BE2" w:rsidP="00E86BE2">
            <w:pPr>
              <w:jc w:val="both"/>
              <w:rPr>
                <w:rFonts w:cstheme="minorHAnsi"/>
                <w:sz w:val="24"/>
                <w:szCs w:val="24"/>
              </w:rPr>
            </w:pPr>
          </w:p>
        </w:tc>
        <w:tc>
          <w:tcPr>
            <w:tcW w:w="4849" w:type="dxa"/>
            <w:noWrap/>
          </w:tcPr>
          <w:p w14:paraId="3C55144B" w14:textId="1E88FEAB" w:rsidR="00E86BE2" w:rsidRPr="0010524E" w:rsidRDefault="00E86BE2" w:rsidP="00E86BE2">
            <w:pPr>
              <w:jc w:val="both"/>
              <w:rPr>
                <w:rFonts w:cstheme="minorHAnsi"/>
                <w:sz w:val="24"/>
                <w:szCs w:val="24"/>
              </w:rPr>
            </w:pPr>
            <w:r w:rsidRPr="0010524E">
              <w:rPr>
                <w:rFonts w:ascii="Calibri" w:eastAsia="Calibri" w:hAnsi="Calibri" w:cs="Calibri"/>
                <w:sz w:val="24"/>
                <w:szCs w:val="24"/>
              </w:rPr>
              <w:t>Art.  377. Quando a dimensão ou a complexidade do trabalho a ser desenvolvido assim o exigir, podem ser criadas subcomissões com propósito específico, a serem coordenadas por um membro titular da Comissão Nacional de Atuária escolhido pelo Presidente.</w:t>
            </w:r>
          </w:p>
        </w:tc>
        <w:tc>
          <w:tcPr>
            <w:tcW w:w="4648" w:type="dxa"/>
            <w:noWrap/>
          </w:tcPr>
          <w:p w14:paraId="26F84C07" w14:textId="77777777" w:rsidR="00E86BE2" w:rsidRPr="0010524E" w:rsidRDefault="00E86BE2" w:rsidP="00E86BE2">
            <w:pPr>
              <w:jc w:val="both"/>
              <w:rPr>
                <w:rFonts w:cstheme="minorHAnsi"/>
                <w:sz w:val="24"/>
                <w:szCs w:val="24"/>
              </w:rPr>
            </w:pPr>
          </w:p>
        </w:tc>
      </w:tr>
      <w:tr w:rsidR="00E86BE2" w:rsidRPr="0010524E" w14:paraId="30CC2FF9" w14:textId="63A2206C" w:rsidTr="00E86BE2">
        <w:trPr>
          <w:trHeight w:val="290"/>
        </w:trPr>
        <w:tc>
          <w:tcPr>
            <w:tcW w:w="4815" w:type="dxa"/>
            <w:noWrap/>
          </w:tcPr>
          <w:p w14:paraId="18342B20" w14:textId="1AF6D31A" w:rsidR="00E86BE2" w:rsidRPr="002F44DC" w:rsidRDefault="00E86BE2" w:rsidP="00E86BE2">
            <w:pPr>
              <w:jc w:val="center"/>
              <w:rPr>
                <w:rFonts w:cstheme="minorHAnsi"/>
                <w:b/>
                <w:bCs/>
                <w:sz w:val="24"/>
                <w:szCs w:val="24"/>
              </w:rPr>
            </w:pPr>
            <w:bookmarkStart w:id="65" w:name="_Hlk138424339"/>
            <w:bookmarkEnd w:id="64"/>
            <w:r w:rsidRPr="002F44DC">
              <w:rPr>
                <w:rFonts w:cstheme="minorHAnsi"/>
                <w:b/>
                <w:bCs/>
                <w:sz w:val="24"/>
                <w:szCs w:val="24"/>
              </w:rPr>
              <w:t>Seção II</w:t>
            </w:r>
          </w:p>
          <w:p w14:paraId="27336C7E" w14:textId="4AF21B2B" w:rsidR="00E86BE2" w:rsidRPr="0010524E" w:rsidRDefault="00E86BE2" w:rsidP="00E86BE2">
            <w:pPr>
              <w:jc w:val="center"/>
              <w:rPr>
                <w:rFonts w:cstheme="minorHAnsi"/>
                <w:sz w:val="24"/>
                <w:szCs w:val="24"/>
              </w:rPr>
            </w:pPr>
            <w:r w:rsidRPr="002F44DC">
              <w:rPr>
                <w:rFonts w:cstheme="minorHAnsi"/>
                <w:b/>
                <w:bCs/>
                <w:sz w:val="24"/>
                <w:szCs w:val="24"/>
              </w:rPr>
              <w:t>Do mandato</w:t>
            </w:r>
          </w:p>
        </w:tc>
        <w:tc>
          <w:tcPr>
            <w:tcW w:w="4849" w:type="dxa"/>
            <w:noWrap/>
          </w:tcPr>
          <w:p w14:paraId="7AD5E82D" w14:textId="089EA3CA" w:rsidR="00E86BE2" w:rsidRPr="0010524E" w:rsidRDefault="00E86BE2" w:rsidP="00E86BE2">
            <w:pPr>
              <w:jc w:val="center"/>
              <w:rPr>
                <w:rFonts w:cstheme="minorHAnsi"/>
                <w:b/>
                <w:bCs/>
                <w:sz w:val="24"/>
                <w:szCs w:val="24"/>
              </w:rPr>
            </w:pPr>
            <w:r w:rsidRPr="0010524E">
              <w:rPr>
                <w:rFonts w:cstheme="minorHAnsi"/>
                <w:b/>
                <w:bCs/>
                <w:sz w:val="24"/>
                <w:szCs w:val="24"/>
              </w:rPr>
              <w:t>Subseção III</w:t>
            </w:r>
          </w:p>
          <w:p w14:paraId="7B38EE58" w14:textId="77777777" w:rsidR="00E86BE2" w:rsidRPr="0010524E" w:rsidRDefault="00E86BE2" w:rsidP="00E86BE2">
            <w:pPr>
              <w:jc w:val="center"/>
              <w:rPr>
                <w:rFonts w:cstheme="minorHAnsi"/>
                <w:b/>
                <w:bCs/>
                <w:sz w:val="24"/>
                <w:szCs w:val="24"/>
              </w:rPr>
            </w:pPr>
            <w:r w:rsidRPr="0010524E">
              <w:rPr>
                <w:rFonts w:cstheme="minorHAnsi"/>
                <w:b/>
                <w:bCs/>
                <w:sz w:val="24"/>
                <w:szCs w:val="24"/>
              </w:rPr>
              <w:t>Mandato</w:t>
            </w:r>
          </w:p>
        </w:tc>
        <w:tc>
          <w:tcPr>
            <w:tcW w:w="4648" w:type="dxa"/>
            <w:noWrap/>
          </w:tcPr>
          <w:p w14:paraId="521CAAAA" w14:textId="77777777" w:rsidR="00E86BE2" w:rsidRPr="0010524E" w:rsidRDefault="00E86BE2" w:rsidP="00E86BE2">
            <w:pPr>
              <w:jc w:val="both"/>
              <w:rPr>
                <w:rFonts w:cstheme="minorHAnsi"/>
                <w:sz w:val="24"/>
                <w:szCs w:val="24"/>
              </w:rPr>
            </w:pPr>
          </w:p>
        </w:tc>
      </w:tr>
      <w:tr w:rsidR="00E86BE2" w:rsidRPr="0010524E" w14:paraId="1C6A499F" w14:textId="4A7F9420" w:rsidTr="00E86BE2">
        <w:trPr>
          <w:trHeight w:val="290"/>
        </w:trPr>
        <w:tc>
          <w:tcPr>
            <w:tcW w:w="4815" w:type="dxa"/>
            <w:noWrap/>
          </w:tcPr>
          <w:p w14:paraId="7DC24EB6" w14:textId="77777777" w:rsidR="00E86BE2" w:rsidRPr="0010524E" w:rsidRDefault="00E86BE2" w:rsidP="00E86BE2">
            <w:pPr>
              <w:jc w:val="both"/>
              <w:rPr>
                <w:rFonts w:cstheme="minorHAnsi"/>
                <w:sz w:val="24"/>
                <w:szCs w:val="24"/>
              </w:rPr>
            </w:pPr>
            <w:bookmarkStart w:id="66" w:name="_Hlk138424344"/>
            <w:bookmarkEnd w:id="65"/>
            <w:r w:rsidRPr="0010524E">
              <w:rPr>
                <w:rFonts w:cstheme="minorHAnsi"/>
                <w:sz w:val="24"/>
                <w:szCs w:val="24"/>
              </w:rPr>
              <w:t xml:space="preserve">Art. 6º O mandato dos representantes, titulares e suplentes, será de dois anos, permitida uma recondução. </w:t>
            </w:r>
          </w:p>
          <w:p w14:paraId="2252AA8F" w14:textId="77777777" w:rsidR="00E86BE2" w:rsidRPr="0010524E" w:rsidRDefault="00E86BE2" w:rsidP="00E86BE2">
            <w:pPr>
              <w:jc w:val="both"/>
              <w:rPr>
                <w:rFonts w:cstheme="minorHAnsi"/>
                <w:sz w:val="24"/>
                <w:szCs w:val="24"/>
              </w:rPr>
            </w:pPr>
          </w:p>
        </w:tc>
        <w:tc>
          <w:tcPr>
            <w:tcW w:w="4849" w:type="dxa"/>
            <w:noWrap/>
          </w:tcPr>
          <w:p w14:paraId="5865EEF6" w14:textId="6521A9D3" w:rsidR="00E86BE2" w:rsidRPr="0010524E" w:rsidRDefault="00E86BE2" w:rsidP="00E86BE2">
            <w:pPr>
              <w:jc w:val="both"/>
              <w:rPr>
                <w:rFonts w:cstheme="minorHAnsi"/>
                <w:sz w:val="24"/>
                <w:szCs w:val="24"/>
              </w:rPr>
            </w:pPr>
            <w:r w:rsidRPr="0010524E">
              <w:rPr>
                <w:rFonts w:ascii="Calibri" w:eastAsia="Calibri" w:hAnsi="Calibri" w:cs="Calibri"/>
                <w:sz w:val="24"/>
                <w:szCs w:val="24"/>
              </w:rPr>
              <w:t>Art.  378. O mandato dos representantes, titulares e suplentes, é de dois anos, permitida uma recondução.</w:t>
            </w:r>
          </w:p>
        </w:tc>
        <w:tc>
          <w:tcPr>
            <w:tcW w:w="4648" w:type="dxa"/>
            <w:noWrap/>
          </w:tcPr>
          <w:p w14:paraId="598D4A5A" w14:textId="77777777" w:rsidR="00E86BE2" w:rsidRPr="0010524E" w:rsidRDefault="00E86BE2" w:rsidP="00E86BE2">
            <w:pPr>
              <w:jc w:val="both"/>
              <w:rPr>
                <w:rFonts w:cstheme="minorHAnsi"/>
                <w:sz w:val="24"/>
                <w:szCs w:val="24"/>
              </w:rPr>
            </w:pPr>
          </w:p>
        </w:tc>
      </w:tr>
      <w:tr w:rsidR="00E86BE2" w:rsidRPr="0010524E" w14:paraId="69CA00D7" w14:textId="27FC3CD9" w:rsidTr="00E86BE2">
        <w:trPr>
          <w:trHeight w:val="290"/>
        </w:trPr>
        <w:tc>
          <w:tcPr>
            <w:tcW w:w="4815" w:type="dxa"/>
            <w:noWrap/>
          </w:tcPr>
          <w:p w14:paraId="349713F5" w14:textId="77777777" w:rsidR="00E86BE2" w:rsidRPr="0010524E" w:rsidRDefault="00E86BE2" w:rsidP="00E86BE2">
            <w:pPr>
              <w:jc w:val="both"/>
              <w:rPr>
                <w:rFonts w:cstheme="minorHAnsi"/>
                <w:sz w:val="24"/>
                <w:szCs w:val="24"/>
              </w:rPr>
            </w:pPr>
            <w:bookmarkStart w:id="67" w:name="_Hlk138424349"/>
            <w:bookmarkEnd w:id="66"/>
            <w:r w:rsidRPr="0010524E">
              <w:rPr>
                <w:rFonts w:cstheme="minorHAnsi"/>
                <w:sz w:val="24"/>
                <w:szCs w:val="24"/>
              </w:rPr>
              <w:t xml:space="preserve">§ 1º A contagem do período do mandato será coincidente com a do ano civil. </w:t>
            </w:r>
          </w:p>
          <w:p w14:paraId="22E56483" w14:textId="77777777" w:rsidR="00E86BE2" w:rsidRPr="0010524E" w:rsidRDefault="00E86BE2" w:rsidP="00E86BE2">
            <w:pPr>
              <w:jc w:val="both"/>
              <w:rPr>
                <w:rFonts w:cstheme="minorHAnsi"/>
                <w:sz w:val="24"/>
                <w:szCs w:val="24"/>
              </w:rPr>
            </w:pPr>
          </w:p>
        </w:tc>
        <w:tc>
          <w:tcPr>
            <w:tcW w:w="4849" w:type="dxa"/>
            <w:noWrap/>
          </w:tcPr>
          <w:p w14:paraId="24AB65AE" w14:textId="577CF3E5"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 1º A contagem do período do mandato é coincidente com a do ano civil. </w:t>
            </w:r>
          </w:p>
        </w:tc>
        <w:tc>
          <w:tcPr>
            <w:tcW w:w="4648" w:type="dxa"/>
            <w:noWrap/>
          </w:tcPr>
          <w:p w14:paraId="5E687E81" w14:textId="77777777" w:rsidR="00E86BE2" w:rsidRPr="0010524E" w:rsidRDefault="00E86BE2" w:rsidP="00E86BE2">
            <w:pPr>
              <w:jc w:val="both"/>
              <w:rPr>
                <w:rFonts w:cstheme="minorHAnsi"/>
                <w:sz w:val="24"/>
                <w:szCs w:val="24"/>
              </w:rPr>
            </w:pPr>
          </w:p>
        </w:tc>
      </w:tr>
      <w:tr w:rsidR="00E86BE2" w:rsidRPr="0010524E" w14:paraId="0C03C6D9" w14:textId="1286385D" w:rsidTr="00E86BE2">
        <w:trPr>
          <w:trHeight w:val="290"/>
        </w:trPr>
        <w:tc>
          <w:tcPr>
            <w:tcW w:w="4815" w:type="dxa"/>
            <w:noWrap/>
          </w:tcPr>
          <w:p w14:paraId="058F1A1E" w14:textId="77777777" w:rsidR="00E86BE2" w:rsidRPr="0010524E" w:rsidRDefault="00E86BE2" w:rsidP="00E86BE2">
            <w:pPr>
              <w:jc w:val="both"/>
              <w:rPr>
                <w:rFonts w:cstheme="minorHAnsi"/>
                <w:sz w:val="24"/>
                <w:szCs w:val="24"/>
              </w:rPr>
            </w:pPr>
            <w:bookmarkStart w:id="68" w:name="_Hlk138424353"/>
            <w:bookmarkEnd w:id="67"/>
            <w:r w:rsidRPr="0010524E">
              <w:rPr>
                <w:rFonts w:cstheme="minorHAnsi"/>
                <w:sz w:val="24"/>
                <w:szCs w:val="24"/>
              </w:rPr>
              <w:t xml:space="preserve">§ 2º Em caso de afastamento definitivo do titular, assumirá o suplente ou, na impossibilidade, outro representante indicado e designado na forma do art. 3º, para cumprir o período restante do mesmo mandado. </w:t>
            </w:r>
          </w:p>
          <w:p w14:paraId="5DE9947D" w14:textId="77777777" w:rsidR="00E86BE2" w:rsidRPr="0010524E" w:rsidRDefault="00E86BE2" w:rsidP="00E86BE2">
            <w:pPr>
              <w:jc w:val="both"/>
              <w:rPr>
                <w:rFonts w:cstheme="minorHAnsi"/>
                <w:sz w:val="24"/>
                <w:szCs w:val="24"/>
              </w:rPr>
            </w:pPr>
          </w:p>
        </w:tc>
        <w:tc>
          <w:tcPr>
            <w:tcW w:w="4849" w:type="dxa"/>
            <w:noWrap/>
          </w:tcPr>
          <w:p w14:paraId="41F1CB6E" w14:textId="6FA575C6"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 2º Em caso de afastamento definitivo do titular, assume o suplente ou, na impossibilidade, outro representante indicado e designado na forma do art. 375, para cumprir o período restante do mesmo mandado. </w:t>
            </w:r>
          </w:p>
        </w:tc>
        <w:tc>
          <w:tcPr>
            <w:tcW w:w="4648" w:type="dxa"/>
            <w:noWrap/>
          </w:tcPr>
          <w:p w14:paraId="7416067C" w14:textId="77777777" w:rsidR="00E86BE2" w:rsidRPr="0010524E" w:rsidRDefault="00E86BE2" w:rsidP="00E86BE2">
            <w:pPr>
              <w:jc w:val="both"/>
              <w:rPr>
                <w:rFonts w:cstheme="minorHAnsi"/>
                <w:sz w:val="24"/>
                <w:szCs w:val="24"/>
              </w:rPr>
            </w:pPr>
          </w:p>
        </w:tc>
      </w:tr>
      <w:bookmarkEnd w:id="68"/>
      <w:tr w:rsidR="00E86BE2" w:rsidRPr="0010524E" w14:paraId="4F881A22" w14:textId="5678BF6E" w:rsidTr="00E86BE2">
        <w:trPr>
          <w:trHeight w:val="290"/>
        </w:trPr>
        <w:tc>
          <w:tcPr>
            <w:tcW w:w="4815" w:type="dxa"/>
            <w:noWrap/>
          </w:tcPr>
          <w:p w14:paraId="25E5D4C0" w14:textId="4509191D" w:rsidR="00E86BE2" w:rsidRPr="0010524E" w:rsidRDefault="00E86BE2" w:rsidP="00E86BE2">
            <w:pPr>
              <w:jc w:val="both"/>
              <w:rPr>
                <w:rFonts w:cstheme="minorHAnsi"/>
                <w:sz w:val="24"/>
                <w:szCs w:val="24"/>
              </w:rPr>
            </w:pPr>
            <w:r w:rsidRPr="0010524E">
              <w:rPr>
                <w:rFonts w:cstheme="minorHAnsi"/>
                <w:sz w:val="24"/>
                <w:szCs w:val="24"/>
              </w:rPr>
              <w:lastRenderedPageBreak/>
              <w:t xml:space="preserve">§ 3º O tempo de exercício da representação como membro suplente não impede que o mesmo assuma a condição de membro titular na investidura imediatamente subseqüente ao término da recondução. </w:t>
            </w:r>
          </w:p>
        </w:tc>
        <w:tc>
          <w:tcPr>
            <w:tcW w:w="4849" w:type="dxa"/>
            <w:noWrap/>
          </w:tcPr>
          <w:p w14:paraId="7D1F7F78" w14:textId="77777777" w:rsidR="00E86BE2" w:rsidRPr="0010524E" w:rsidRDefault="00E86BE2" w:rsidP="00E86BE2">
            <w:pPr>
              <w:jc w:val="both"/>
              <w:rPr>
                <w:rFonts w:cstheme="minorHAnsi"/>
                <w:sz w:val="24"/>
                <w:szCs w:val="24"/>
              </w:rPr>
            </w:pPr>
          </w:p>
        </w:tc>
        <w:tc>
          <w:tcPr>
            <w:tcW w:w="4648" w:type="dxa"/>
            <w:noWrap/>
          </w:tcPr>
          <w:p w14:paraId="3C6A27DD" w14:textId="77777777" w:rsidR="00E86BE2" w:rsidRPr="0010524E" w:rsidRDefault="00E86BE2" w:rsidP="00E86BE2">
            <w:pPr>
              <w:jc w:val="both"/>
              <w:rPr>
                <w:rFonts w:cstheme="minorHAnsi"/>
                <w:sz w:val="24"/>
                <w:szCs w:val="24"/>
              </w:rPr>
            </w:pPr>
            <w:r w:rsidRPr="0010524E">
              <w:rPr>
                <w:rFonts w:cstheme="minorHAnsi"/>
                <w:sz w:val="24"/>
                <w:szCs w:val="24"/>
              </w:rPr>
              <w:t>Excluir, muito detalhe.</w:t>
            </w:r>
          </w:p>
        </w:tc>
      </w:tr>
      <w:tr w:rsidR="00E86BE2" w:rsidRPr="0010524E" w14:paraId="1A8E63D7" w14:textId="5909103D" w:rsidTr="00E86BE2">
        <w:trPr>
          <w:trHeight w:val="290"/>
        </w:trPr>
        <w:tc>
          <w:tcPr>
            <w:tcW w:w="4815" w:type="dxa"/>
            <w:noWrap/>
          </w:tcPr>
          <w:p w14:paraId="335F63D1" w14:textId="77777777" w:rsidR="00E86BE2" w:rsidRPr="0010524E" w:rsidRDefault="00E86BE2" w:rsidP="00E86BE2">
            <w:pPr>
              <w:jc w:val="both"/>
              <w:rPr>
                <w:rFonts w:cstheme="minorHAnsi"/>
                <w:sz w:val="24"/>
                <w:szCs w:val="24"/>
              </w:rPr>
            </w:pPr>
            <w:bookmarkStart w:id="69" w:name="_Hlk138424361"/>
            <w:r w:rsidRPr="0010524E">
              <w:rPr>
                <w:rFonts w:cstheme="minorHAnsi"/>
                <w:sz w:val="24"/>
                <w:szCs w:val="24"/>
              </w:rPr>
              <w:t xml:space="preserve">§ 4º Cumprido o período do mandado e da eventual recondução, ainda que não integrais, o mesmo representante poderá voltar a exercer outro mandato após decorridos dois anos do afastamento. </w:t>
            </w:r>
          </w:p>
          <w:p w14:paraId="6D851E1E" w14:textId="77777777" w:rsidR="00E86BE2" w:rsidRPr="0010524E" w:rsidRDefault="00E86BE2" w:rsidP="00E86BE2">
            <w:pPr>
              <w:jc w:val="both"/>
              <w:rPr>
                <w:rFonts w:cstheme="minorHAnsi"/>
                <w:sz w:val="24"/>
                <w:szCs w:val="24"/>
              </w:rPr>
            </w:pPr>
          </w:p>
        </w:tc>
        <w:tc>
          <w:tcPr>
            <w:tcW w:w="4849" w:type="dxa"/>
            <w:noWrap/>
          </w:tcPr>
          <w:p w14:paraId="2D35E78B" w14:textId="48ED1A76"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 3º Cumprido o período do mandado e da eventual recondução, ainda que não integrais, o mesmo representante pode voltar a exercer outro mandato após decorridos dois anos do afastamento. </w:t>
            </w:r>
          </w:p>
        </w:tc>
        <w:tc>
          <w:tcPr>
            <w:tcW w:w="4648" w:type="dxa"/>
            <w:noWrap/>
          </w:tcPr>
          <w:p w14:paraId="08009CDC" w14:textId="77777777" w:rsidR="00E86BE2" w:rsidRPr="0010524E" w:rsidRDefault="00E86BE2" w:rsidP="00E86BE2">
            <w:pPr>
              <w:jc w:val="both"/>
              <w:rPr>
                <w:rFonts w:cstheme="minorHAnsi"/>
                <w:sz w:val="24"/>
                <w:szCs w:val="24"/>
              </w:rPr>
            </w:pPr>
            <w:r w:rsidRPr="0010524E">
              <w:rPr>
                <w:rFonts w:cstheme="minorHAnsi"/>
                <w:sz w:val="24"/>
                <w:szCs w:val="24"/>
              </w:rPr>
              <w:t>Renumeração.</w:t>
            </w:r>
          </w:p>
        </w:tc>
      </w:tr>
      <w:tr w:rsidR="00E86BE2" w:rsidRPr="0010524E" w14:paraId="46BBDEA1" w14:textId="42B0B960" w:rsidTr="00E86BE2">
        <w:trPr>
          <w:trHeight w:val="290"/>
        </w:trPr>
        <w:tc>
          <w:tcPr>
            <w:tcW w:w="4815" w:type="dxa"/>
            <w:noWrap/>
          </w:tcPr>
          <w:p w14:paraId="6398E042" w14:textId="77777777" w:rsidR="00E86BE2" w:rsidRPr="0010524E" w:rsidRDefault="00E86BE2" w:rsidP="00E86BE2">
            <w:pPr>
              <w:jc w:val="both"/>
              <w:rPr>
                <w:rFonts w:cstheme="minorHAnsi"/>
                <w:sz w:val="24"/>
                <w:szCs w:val="24"/>
              </w:rPr>
            </w:pPr>
            <w:bookmarkStart w:id="70" w:name="_Hlk138424366"/>
            <w:bookmarkEnd w:id="69"/>
            <w:r w:rsidRPr="0010524E">
              <w:rPr>
                <w:rFonts w:cstheme="minorHAnsi"/>
                <w:sz w:val="24"/>
                <w:szCs w:val="24"/>
              </w:rPr>
              <w:t xml:space="preserve">Art. 7º O Secretário de Previdência Complementar, atendendo relato circunstanciado do Presidente da CNA, poderá decretar a perda do mandato do membro, titular ou suplente, nos casos em que ele: </w:t>
            </w:r>
          </w:p>
          <w:p w14:paraId="7AE023CE" w14:textId="77777777" w:rsidR="00E86BE2" w:rsidRPr="0010524E" w:rsidRDefault="00E86BE2" w:rsidP="00E86BE2">
            <w:pPr>
              <w:jc w:val="both"/>
              <w:rPr>
                <w:rFonts w:cstheme="minorHAnsi"/>
                <w:sz w:val="24"/>
                <w:szCs w:val="24"/>
              </w:rPr>
            </w:pPr>
          </w:p>
        </w:tc>
        <w:tc>
          <w:tcPr>
            <w:tcW w:w="4849" w:type="dxa"/>
            <w:noWrap/>
          </w:tcPr>
          <w:p w14:paraId="0FBF5A61" w14:textId="4B1CEE91"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Art.  379. O Diretor-Superintendente, atendendo relato circunstanciado do Presidente da Comissão Nacional de Atuária, pode decretar a perda do mandato do membro, titular ou suplente, nos casos em que ele: </w:t>
            </w:r>
          </w:p>
        </w:tc>
        <w:tc>
          <w:tcPr>
            <w:tcW w:w="4648" w:type="dxa"/>
            <w:noWrap/>
          </w:tcPr>
          <w:p w14:paraId="3AFAE8A5" w14:textId="77777777" w:rsidR="00E86BE2" w:rsidRPr="0010524E" w:rsidRDefault="00E86BE2" w:rsidP="00E86BE2">
            <w:pPr>
              <w:jc w:val="both"/>
              <w:rPr>
                <w:rFonts w:cstheme="minorHAnsi"/>
                <w:sz w:val="24"/>
                <w:szCs w:val="24"/>
              </w:rPr>
            </w:pPr>
            <w:r w:rsidRPr="0010524E">
              <w:rPr>
                <w:rFonts w:cstheme="minorHAnsi"/>
                <w:sz w:val="24"/>
                <w:szCs w:val="24"/>
              </w:rPr>
              <w:t>Ajuste redacional.</w:t>
            </w:r>
          </w:p>
        </w:tc>
      </w:tr>
      <w:tr w:rsidR="00E86BE2" w:rsidRPr="0010524E" w14:paraId="0ABD6485" w14:textId="58996A30" w:rsidTr="00E86BE2">
        <w:trPr>
          <w:trHeight w:val="290"/>
        </w:trPr>
        <w:tc>
          <w:tcPr>
            <w:tcW w:w="4815" w:type="dxa"/>
            <w:noWrap/>
          </w:tcPr>
          <w:p w14:paraId="3058946A" w14:textId="77777777" w:rsidR="00E86BE2" w:rsidRPr="0010524E" w:rsidRDefault="00E86BE2" w:rsidP="00E86BE2">
            <w:pPr>
              <w:jc w:val="both"/>
              <w:rPr>
                <w:rFonts w:cstheme="minorHAnsi"/>
                <w:sz w:val="24"/>
                <w:szCs w:val="24"/>
              </w:rPr>
            </w:pPr>
            <w:bookmarkStart w:id="71" w:name="_Hlk138424370"/>
            <w:bookmarkEnd w:id="70"/>
            <w:r w:rsidRPr="0010524E">
              <w:rPr>
                <w:rFonts w:cstheme="minorHAnsi"/>
                <w:sz w:val="24"/>
                <w:szCs w:val="24"/>
              </w:rPr>
              <w:t xml:space="preserve">- retardar injustificadamente, por período superior ao estabelecido pelo Presidente da CNA, o cumprimento de tarefa que for de sua atribuição; </w:t>
            </w:r>
          </w:p>
          <w:p w14:paraId="51427CC0" w14:textId="77777777" w:rsidR="00E86BE2" w:rsidRPr="0010524E" w:rsidRDefault="00E86BE2" w:rsidP="00E86BE2">
            <w:pPr>
              <w:jc w:val="both"/>
              <w:rPr>
                <w:rFonts w:cstheme="minorHAnsi"/>
                <w:sz w:val="24"/>
                <w:szCs w:val="24"/>
              </w:rPr>
            </w:pPr>
          </w:p>
        </w:tc>
        <w:tc>
          <w:tcPr>
            <w:tcW w:w="4849" w:type="dxa"/>
            <w:noWrap/>
          </w:tcPr>
          <w:p w14:paraId="0E002D01" w14:textId="2FF91861"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 - retardar injustificadamente, por período superior ao estabelecido pelo Presidente da Comissão Nacional de Atuária, o cumprimento de tarefa que for de sua atribuição; </w:t>
            </w:r>
          </w:p>
        </w:tc>
        <w:tc>
          <w:tcPr>
            <w:tcW w:w="4648" w:type="dxa"/>
            <w:noWrap/>
          </w:tcPr>
          <w:p w14:paraId="37CB3BAE" w14:textId="77777777" w:rsidR="00E86BE2" w:rsidRPr="0010524E" w:rsidRDefault="00E86BE2" w:rsidP="00E86BE2">
            <w:pPr>
              <w:jc w:val="both"/>
              <w:rPr>
                <w:rFonts w:cstheme="minorHAnsi"/>
                <w:sz w:val="24"/>
                <w:szCs w:val="24"/>
              </w:rPr>
            </w:pPr>
          </w:p>
        </w:tc>
      </w:tr>
      <w:tr w:rsidR="00E86BE2" w:rsidRPr="0010524E" w14:paraId="160566F9" w14:textId="59243B82" w:rsidTr="00E86BE2">
        <w:trPr>
          <w:trHeight w:val="290"/>
        </w:trPr>
        <w:tc>
          <w:tcPr>
            <w:tcW w:w="4815" w:type="dxa"/>
            <w:noWrap/>
          </w:tcPr>
          <w:p w14:paraId="1EC601C8" w14:textId="77777777" w:rsidR="00E86BE2" w:rsidRPr="0010524E" w:rsidRDefault="00E86BE2" w:rsidP="00E86BE2">
            <w:pPr>
              <w:jc w:val="both"/>
              <w:rPr>
                <w:rFonts w:cstheme="minorHAnsi"/>
                <w:sz w:val="24"/>
                <w:szCs w:val="24"/>
              </w:rPr>
            </w:pPr>
            <w:bookmarkStart w:id="72" w:name="_Hlk138424374"/>
            <w:bookmarkEnd w:id="71"/>
            <w:r w:rsidRPr="0010524E">
              <w:rPr>
                <w:rFonts w:cstheme="minorHAnsi"/>
                <w:sz w:val="24"/>
                <w:szCs w:val="24"/>
              </w:rPr>
              <w:t xml:space="preserve">- deixar de comparecer injustificadamente, sem comunicar a ausência com antecedência razoável ao seu suplente e à CNA, a três reuniões, consecutivas ou intercaladas, no período de um ano civil; </w:t>
            </w:r>
          </w:p>
          <w:p w14:paraId="2D3F29BA" w14:textId="77777777" w:rsidR="00E86BE2" w:rsidRPr="0010524E" w:rsidRDefault="00E86BE2" w:rsidP="00E86BE2">
            <w:pPr>
              <w:jc w:val="both"/>
              <w:rPr>
                <w:rFonts w:cstheme="minorHAnsi"/>
                <w:sz w:val="24"/>
                <w:szCs w:val="24"/>
              </w:rPr>
            </w:pPr>
          </w:p>
        </w:tc>
        <w:tc>
          <w:tcPr>
            <w:tcW w:w="4849" w:type="dxa"/>
            <w:noWrap/>
          </w:tcPr>
          <w:p w14:paraId="4214C102" w14:textId="022903B4"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II - deixar de comparecer injustificadamente, sem comunicar a ausência com antecedência razoável ao seu suplente e à Comissão Nacional de Atuária, a três reuniões, consecutivas ou intercaladas, no período de um ano civil; </w:t>
            </w:r>
          </w:p>
        </w:tc>
        <w:tc>
          <w:tcPr>
            <w:tcW w:w="4648" w:type="dxa"/>
            <w:noWrap/>
          </w:tcPr>
          <w:p w14:paraId="313D4178" w14:textId="77777777" w:rsidR="00E86BE2" w:rsidRPr="0010524E" w:rsidRDefault="00E86BE2" w:rsidP="00E86BE2">
            <w:pPr>
              <w:jc w:val="both"/>
              <w:rPr>
                <w:rFonts w:cstheme="minorHAnsi"/>
                <w:sz w:val="24"/>
                <w:szCs w:val="24"/>
              </w:rPr>
            </w:pPr>
          </w:p>
        </w:tc>
      </w:tr>
      <w:tr w:rsidR="00E86BE2" w:rsidRPr="0010524E" w14:paraId="4310ACDD" w14:textId="083EE5E1" w:rsidTr="00E86BE2">
        <w:trPr>
          <w:trHeight w:val="290"/>
        </w:trPr>
        <w:tc>
          <w:tcPr>
            <w:tcW w:w="4815" w:type="dxa"/>
            <w:noWrap/>
          </w:tcPr>
          <w:p w14:paraId="684C11C8" w14:textId="77777777" w:rsidR="00E86BE2" w:rsidRPr="0010524E" w:rsidRDefault="00E86BE2" w:rsidP="00E86BE2">
            <w:pPr>
              <w:jc w:val="both"/>
              <w:rPr>
                <w:rFonts w:cstheme="minorHAnsi"/>
                <w:sz w:val="24"/>
                <w:szCs w:val="24"/>
              </w:rPr>
            </w:pPr>
            <w:bookmarkStart w:id="73" w:name="_Hlk138424391"/>
            <w:bookmarkEnd w:id="72"/>
            <w:r w:rsidRPr="0010524E">
              <w:rPr>
                <w:rFonts w:cstheme="minorHAnsi"/>
                <w:sz w:val="24"/>
                <w:szCs w:val="24"/>
              </w:rPr>
              <w:lastRenderedPageBreak/>
              <w:t>- sofrer penalidade por cometimento de crime ou de ilícito administrativo, apurados segundo o devido processo legal, penal ou administrativo, com decisão transitada em julgado;</w:t>
            </w:r>
          </w:p>
        </w:tc>
        <w:tc>
          <w:tcPr>
            <w:tcW w:w="4849" w:type="dxa"/>
            <w:noWrap/>
          </w:tcPr>
          <w:p w14:paraId="49530FC1" w14:textId="133385B2" w:rsidR="00E86BE2" w:rsidRPr="0010524E" w:rsidRDefault="00E86BE2" w:rsidP="00E86BE2">
            <w:pPr>
              <w:jc w:val="both"/>
              <w:rPr>
                <w:rFonts w:cstheme="minorHAnsi"/>
                <w:sz w:val="24"/>
                <w:szCs w:val="24"/>
              </w:rPr>
            </w:pPr>
            <w:r w:rsidRPr="0010524E">
              <w:rPr>
                <w:rFonts w:ascii="Calibri" w:eastAsia="Calibri" w:hAnsi="Calibri" w:cs="Calibri"/>
                <w:sz w:val="24"/>
                <w:szCs w:val="24"/>
              </w:rPr>
              <w:t>III - sofrer penalidade por cometimento de crime ou de ilícito administrativo, apurados segundo o devido processo legal, penal ou administrativo, com decisão transitada em julgado;</w:t>
            </w:r>
          </w:p>
        </w:tc>
        <w:tc>
          <w:tcPr>
            <w:tcW w:w="4648" w:type="dxa"/>
            <w:noWrap/>
          </w:tcPr>
          <w:p w14:paraId="129040BF" w14:textId="77777777" w:rsidR="00E86BE2" w:rsidRPr="0010524E" w:rsidRDefault="00E86BE2" w:rsidP="00E86BE2">
            <w:pPr>
              <w:jc w:val="both"/>
              <w:rPr>
                <w:rFonts w:cstheme="minorHAnsi"/>
                <w:sz w:val="24"/>
                <w:szCs w:val="24"/>
              </w:rPr>
            </w:pPr>
          </w:p>
        </w:tc>
      </w:tr>
      <w:tr w:rsidR="00E86BE2" w:rsidRPr="0010524E" w14:paraId="6DBC252A" w14:textId="24F2DCE0" w:rsidTr="00E86BE2">
        <w:trPr>
          <w:trHeight w:val="290"/>
        </w:trPr>
        <w:tc>
          <w:tcPr>
            <w:tcW w:w="4815" w:type="dxa"/>
            <w:noWrap/>
          </w:tcPr>
          <w:p w14:paraId="71C46D14" w14:textId="77777777" w:rsidR="00E86BE2" w:rsidRPr="0010524E" w:rsidRDefault="00E86BE2" w:rsidP="00E86BE2">
            <w:pPr>
              <w:jc w:val="both"/>
              <w:rPr>
                <w:rFonts w:cstheme="minorHAnsi"/>
                <w:sz w:val="24"/>
                <w:szCs w:val="24"/>
              </w:rPr>
            </w:pPr>
            <w:bookmarkStart w:id="74" w:name="_Hlk138424396"/>
            <w:bookmarkEnd w:id="73"/>
            <w:r w:rsidRPr="0010524E">
              <w:rPr>
                <w:rFonts w:cstheme="minorHAnsi"/>
                <w:sz w:val="24"/>
                <w:szCs w:val="24"/>
              </w:rPr>
              <w:t xml:space="preserve">- apresentar, no exercício do mandato ou na vida privada, conduta incompatível com o decoro da função de membro da CNA; </w:t>
            </w:r>
          </w:p>
          <w:p w14:paraId="17998D75" w14:textId="77777777" w:rsidR="00E86BE2" w:rsidRPr="0010524E" w:rsidRDefault="00E86BE2" w:rsidP="00E86BE2">
            <w:pPr>
              <w:jc w:val="both"/>
              <w:rPr>
                <w:rFonts w:cstheme="minorHAnsi"/>
                <w:sz w:val="24"/>
                <w:szCs w:val="24"/>
              </w:rPr>
            </w:pPr>
          </w:p>
        </w:tc>
        <w:tc>
          <w:tcPr>
            <w:tcW w:w="4849" w:type="dxa"/>
            <w:noWrap/>
          </w:tcPr>
          <w:p w14:paraId="0A170D2B" w14:textId="3A9CBABB"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IV - apresentar, no exercício do mandato ou na vida privada, conduta incompatível com o decoro da função de membro da Comissão Nacional de Atuária; </w:t>
            </w:r>
          </w:p>
        </w:tc>
        <w:tc>
          <w:tcPr>
            <w:tcW w:w="4648" w:type="dxa"/>
            <w:noWrap/>
          </w:tcPr>
          <w:p w14:paraId="3160E84A" w14:textId="77777777" w:rsidR="00E86BE2" w:rsidRPr="0010524E" w:rsidRDefault="00E86BE2" w:rsidP="00E86BE2">
            <w:pPr>
              <w:jc w:val="both"/>
              <w:rPr>
                <w:rFonts w:cstheme="minorHAnsi"/>
                <w:sz w:val="24"/>
                <w:szCs w:val="24"/>
              </w:rPr>
            </w:pPr>
          </w:p>
        </w:tc>
      </w:tr>
      <w:tr w:rsidR="00E86BE2" w:rsidRPr="0010524E" w14:paraId="3FE0D15E" w14:textId="4E9BD0EF" w:rsidTr="00E86BE2">
        <w:trPr>
          <w:trHeight w:val="290"/>
        </w:trPr>
        <w:tc>
          <w:tcPr>
            <w:tcW w:w="4815" w:type="dxa"/>
            <w:noWrap/>
          </w:tcPr>
          <w:p w14:paraId="75BAB5BD" w14:textId="3D7BE2D1" w:rsidR="00E86BE2" w:rsidRPr="0010524E" w:rsidRDefault="00E86BE2" w:rsidP="00E86BE2">
            <w:pPr>
              <w:jc w:val="both"/>
              <w:rPr>
                <w:rFonts w:cstheme="minorHAnsi"/>
                <w:sz w:val="24"/>
                <w:szCs w:val="24"/>
              </w:rPr>
            </w:pPr>
            <w:bookmarkStart w:id="75" w:name="_Hlk138424400"/>
            <w:bookmarkEnd w:id="74"/>
            <w:r w:rsidRPr="0010524E">
              <w:rPr>
                <w:rFonts w:cstheme="minorHAnsi"/>
                <w:sz w:val="24"/>
                <w:szCs w:val="24"/>
              </w:rPr>
              <w:t xml:space="preserve">- renunciar ao mandato. </w:t>
            </w:r>
          </w:p>
        </w:tc>
        <w:tc>
          <w:tcPr>
            <w:tcW w:w="4849" w:type="dxa"/>
            <w:noWrap/>
          </w:tcPr>
          <w:p w14:paraId="69BBE350" w14:textId="29B47333"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 - renunciar ao mandato. </w:t>
            </w:r>
          </w:p>
        </w:tc>
        <w:tc>
          <w:tcPr>
            <w:tcW w:w="4648" w:type="dxa"/>
            <w:noWrap/>
          </w:tcPr>
          <w:p w14:paraId="680C6DE5" w14:textId="77777777" w:rsidR="00E86BE2" w:rsidRPr="0010524E" w:rsidRDefault="00E86BE2" w:rsidP="00E86BE2">
            <w:pPr>
              <w:jc w:val="both"/>
              <w:rPr>
                <w:rFonts w:cstheme="minorHAnsi"/>
                <w:sz w:val="24"/>
                <w:szCs w:val="24"/>
              </w:rPr>
            </w:pPr>
          </w:p>
        </w:tc>
      </w:tr>
      <w:tr w:rsidR="00E86BE2" w:rsidRPr="0010524E" w14:paraId="54A52864" w14:textId="24BA2BA8" w:rsidTr="00E86BE2">
        <w:trPr>
          <w:trHeight w:val="290"/>
        </w:trPr>
        <w:tc>
          <w:tcPr>
            <w:tcW w:w="4815" w:type="dxa"/>
            <w:noWrap/>
          </w:tcPr>
          <w:p w14:paraId="2ECCE18F" w14:textId="77777777" w:rsidR="00E86BE2" w:rsidRPr="0010524E" w:rsidRDefault="00E86BE2" w:rsidP="00E86BE2">
            <w:pPr>
              <w:jc w:val="both"/>
              <w:rPr>
                <w:rFonts w:cstheme="minorHAnsi"/>
                <w:sz w:val="24"/>
                <w:szCs w:val="24"/>
              </w:rPr>
            </w:pPr>
            <w:bookmarkStart w:id="76" w:name="_Hlk138424406"/>
            <w:bookmarkEnd w:id="75"/>
            <w:r w:rsidRPr="0010524E">
              <w:rPr>
                <w:rFonts w:cstheme="minorHAnsi"/>
                <w:sz w:val="24"/>
                <w:szCs w:val="24"/>
              </w:rPr>
              <w:t xml:space="preserve">Parágrafo único. Salvo na hipótese do inciso V, o membro afastado ficará impedido de integrar a CNA, ressalvada a hipótese de reabilitação. </w:t>
            </w:r>
          </w:p>
          <w:p w14:paraId="04F5FFB2" w14:textId="77777777" w:rsidR="00E86BE2" w:rsidRPr="0010524E" w:rsidRDefault="00E86BE2" w:rsidP="00E86BE2">
            <w:pPr>
              <w:jc w:val="both"/>
              <w:rPr>
                <w:rFonts w:cstheme="minorHAnsi"/>
                <w:sz w:val="24"/>
                <w:szCs w:val="24"/>
              </w:rPr>
            </w:pPr>
          </w:p>
        </w:tc>
        <w:tc>
          <w:tcPr>
            <w:tcW w:w="4849" w:type="dxa"/>
            <w:noWrap/>
          </w:tcPr>
          <w:p w14:paraId="168950EA" w14:textId="0AB42826"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Parágrafo único. Salvo na hipótese do inciso V, o membro afastado fica impedido de integrar a Comissão Nacional de Atuária, ressalvada a hipótese de reabilitação. </w:t>
            </w:r>
          </w:p>
        </w:tc>
        <w:tc>
          <w:tcPr>
            <w:tcW w:w="4648" w:type="dxa"/>
            <w:noWrap/>
          </w:tcPr>
          <w:p w14:paraId="2CF1D5D5" w14:textId="77777777" w:rsidR="00E86BE2" w:rsidRPr="0010524E" w:rsidRDefault="00E86BE2" w:rsidP="00E86BE2">
            <w:pPr>
              <w:jc w:val="both"/>
              <w:rPr>
                <w:rFonts w:cstheme="minorHAnsi"/>
                <w:sz w:val="24"/>
                <w:szCs w:val="24"/>
              </w:rPr>
            </w:pPr>
          </w:p>
        </w:tc>
      </w:tr>
      <w:tr w:rsidR="00E86BE2" w:rsidRPr="0010524E" w14:paraId="0B731F33" w14:textId="78ADBA9D" w:rsidTr="00E86BE2">
        <w:trPr>
          <w:trHeight w:val="290"/>
        </w:trPr>
        <w:tc>
          <w:tcPr>
            <w:tcW w:w="4815" w:type="dxa"/>
            <w:noWrap/>
          </w:tcPr>
          <w:p w14:paraId="5F0B6043" w14:textId="77777777" w:rsidR="00E86BE2" w:rsidRPr="0010524E" w:rsidRDefault="00E86BE2" w:rsidP="00E86BE2">
            <w:pPr>
              <w:jc w:val="both"/>
              <w:rPr>
                <w:rFonts w:cstheme="minorHAnsi"/>
                <w:sz w:val="24"/>
                <w:szCs w:val="24"/>
              </w:rPr>
            </w:pPr>
            <w:bookmarkStart w:id="77" w:name="_Hlk138424410"/>
            <w:bookmarkEnd w:id="76"/>
            <w:r w:rsidRPr="0010524E">
              <w:rPr>
                <w:rFonts w:cstheme="minorHAnsi"/>
                <w:sz w:val="24"/>
                <w:szCs w:val="24"/>
              </w:rPr>
              <w:t xml:space="preserve">Art. 8º A indicação e a designação dos representantes referidos no art. 3º deverão recair sobre profissionais de reputação ilibada, com grau de escolaridade de nível superior e, à exceção dos representantes referidos nos incisos I e V do art. 3º, com formação acadêmica específica na área atuarial. </w:t>
            </w:r>
          </w:p>
          <w:p w14:paraId="5278E5AC" w14:textId="77777777" w:rsidR="00E86BE2" w:rsidRPr="0010524E" w:rsidRDefault="00E86BE2" w:rsidP="00E86BE2">
            <w:pPr>
              <w:jc w:val="both"/>
              <w:rPr>
                <w:rFonts w:cstheme="minorHAnsi"/>
                <w:sz w:val="24"/>
                <w:szCs w:val="24"/>
              </w:rPr>
            </w:pPr>
          </w:p>
        </w:tc>
        <w:tc>
          <w:tcPr>
            <w:tcW w:w="4849" w:type="dxa"/>
            <w:noWrap/>
          </w:tcPr>
          <w:p w14:paraId="10C1701F" w14:textId="3C74EB42"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Art.  380. A indicação e a designação dos representantes referidos no art. 375 deverão recair sobre profissionais de reputação ilibada, com grau de escolaridade de nível superior e, à exceção dos representantes referidos nos incisos I e V do art. 375, com formação acadêmica específica na área atuarial. </w:t>
            </w:r>
          </w:p>
        </w:tc>
        <w:tc>
          <w:tcPr>
            <w:tcW w:w="4648" w:type="dxa"/>
            <w:noWrap/>
          </w:tcPr>
          <w:p w14:paraId="67F70B23" w14:textId="77777777" w:rsidR="00E86BE2" w:rsidRPr="0010524E" w:rsidRDefault="00E86BE2" w:rsidP="00E86BE2">
            <w:pPr>
              <w:jc w:val="both"/>
              <w:rPr>
                <w:rFonts w:cstheme="minorHAnsi"/>
                <w:sz w:val="24"/>
                <w:szCs w:val="24"/>
              </w:rPr>
            </w:pPr>
          </w:p>
        </w:tc>
      </w:tr>
      <w:tr w:rsidR="00E86BE2" w:rsidRPr="0010524E" w14:paraId="3C3E44DE" w14:textId="2A915CC1" w:rsidTr="00E86BE2">
        <w:trPr>
          <w:trHeight w:val="290"/>
        </w:trPr>
        <w:tc>
          <w:tcPr>
            <w:tcW w:w="4815" w:type="dxa"/>
            <w:noWrap/>
          </w:tcPr>
          <w:p w14:paraId="5A80A711" w14:textId="77777777" w:rsidR="00E86BE2" w:rsidRPr="0010524E" w:rsidRDefault="00E86BE2" w:rsidP="00E86BE2">
            <w:pPr>
              <w:jc w:val="both"/>
              <w:rPr>
                <w:rFonts w:cstheme="minorHAnsi"/>
                <w:sz w:val="24"/>
                <w:szCs w:val="24"/>
              </w:rPr>
            </w:pPr>
            <w:bookmarkStart w:id="78" w:name="_Hlk138424415"/>
            <w:bookmarkEnd w:id="77"/>
            <w:r w:rsidRPr="0010524E">
              <w:rPr>
                <w:rFonts w:cstheme="minorHAnsi"/>
                <w:sz w:val="24"/>
                <w:szCs w:val="24"/>
              </w:rPr>
              <w:t xml:space="preserve">Art. 9º No exercício do mandato, o membro componente da CNA goza de plena autonomia técnica e funcional. </w:t>
            </w:r>
          </w:p>
          <w:p w14:paraId="14961237" w14:textId="77777777" w:rsidR="00E86BE2" w:rsidRPr="0010524E" w:rsidRDefault="00E86BE2" w:rsidP="00E86BE2">
            <w:pPr>
              <w:jc w:val="both"/>
              <w:rPr>
                <w:rFonts w:cstheme="minorHAnsi"/>
                <w:sz w:val="24"/>
                <w:szCs w:val="24"/>
              </w:rPr>
            </w:pPr>
          </w:p>
        </w:tc>
        <w:tc>
          <w:tcPr>
            <w:tcW w:w="4849" w:type="dxa"/>
            <w:noWrap/>
          </w:tcPr>
          <w:p w14:paraId="749A7B43" w14:textId="6C721851"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Art.  381. No exercício do mandato, o membro componente da Comissão Nacional de Atuária goza de plena autonomia técnica e funcional. </w:t>
            </w:r>
          </w:p>
        </w:tc>
        <w:tc>
          <w:tcPr>
            <w:tcW w:w="4648" w:type="dxa"/>
            <w:noWrap/>
          </w:tcPr>
          <w:p w14:paraId="6577B3EC" w14:textId="77777777" w:rsidR="00E86BE2" w:rsidRPr="0010524E" w:rsidRDefault="00E86BE2" w:rsidP="00E86BE2">
            <w:pPr>
              <w:jc w:val="both"/>
              <w:rPr>
                <w:rFonts w:cstheme="minorHAnsi"/>
                <w:sz w:val="24"/>
                <w:szCs w:val="24"/>
              </w:rPr>
            </w:pPr>
          </w:p>
        </w:tc>
      </w:tr>
      <w:tr w:rsidR="00E86BE2" w:rsidRPr="0010524E" w14:paraId="3F22418B" w14:textId="0DA08FB4" w:rsidTr="00E86BE2">
        <w:trPr>
          <w:trHeight w:val="290"/>
        </w:trPr>
        <w:tc>
          <w:tcPr>
            <w:tcW w:w="4815" w:type="dxa"/>
            <w:noWrap/>
          </w:tcPr>
          <w:p w14:paraId="3BE4D436" w14:textId="77777777" w:rsidR="00E86BE2" w:rsidRPr="0010524E" w:rsidRDefault="00E86BE2" w:rsidP="00E86BE2">
            <w:pPr>
              <w:jc w:val="both"/>
              <w:rPr>
                <w:rFonts w:cstheme="minorHAnsi"/>
                <w:sz w:val="24"/>
                <w:szCs w:val="24"/>
              </w:rPr>
            </w:pPr>
            <w:bookmarkStart w:id="79" w:name="_Hlk138424426"/>
            <w:bookmarkEnd w:id="78"/>
            <w:r w:rsidRPr="0010524E">
              <w:rPr>
                <w:rFonts w:cstheme="minorHAnsi"/>
                <w:sz w:val="24"/>
                <w:szCs w:val="24"/>
              </w:rPr>
              <w:t xml:space="preserve">Parágrafo único. O exercício do mandato será considerado serviço público relevante, não </w:t>
            </w:r>
            <w:r w:rsidRPr="0010524E">
              <w:rPr>
                <w:rFonts w:cstheme="minorHAnsi"/>
                <w:sz w:val="24"/>
                <w:szCs w:val="24"/>
              </w:rPr>
              <w:lastRenderedPageBreak/>
              <w:t xml:space="preserve">configurando relação de emprego nem gerando qualquer espécie de vínculo de natureza trabalhista, estatutária ou contratual com a Administração Pública. </w:t>
            </w:r>
          </w:p>
          <w:p w14:paraId="54ADF41B" w14:textId="77777777" w:rsidR="00E86BE2" w:rsidRPr="0010524E" w:rsidRDefault="00E86BE2" w:rsidP="00E86BE2">
            <w:pPr>
              <w:jc w:val="both"/>
              <w:rPr>
                <w:rFonts w:cstheme="minorHAnsi"/>
                <w:sz w:val="24"/>
                <w:szCs w:val="24"/>
              </w:rPr>
            </w:pPr>
            <w:r w:rsidRPr="0010524E">
              <w:rPr>
                <w:rFonts w:cstheme="minorHAnsi"/>
                <w:sz w:val="24"/>
                <w:szCs w:val="24"/>
              </w:rPr>
              <w:t xml:space="preserve">  </w:t>
            </w:r>
          </w:p>
          <w:p w14:paraId="307A9D81" w14:textId="77777777" w:rsidR="00E86BE2" w:rsidRPr="0010524E" w:rsidRDefault="00E86BE2" w:rsidP="00E86BE2">
            <w:pPr>
              <w:jc w:val="both"/>
              <w:rPr>
                <w:rFonts w:cstheme="minorHAnsi"/>
                <w:sz w:val="24"/>
                <w:szCs w:val="24"/>
              </w:rPr>
            </w:pPr>
          </w:p>
        </w:tc>
        <w:tc>
          <w:tcPr>
            <w:tcW w:w="4849" w:type="dxa"/>
            <w:noWrap/>
          </w:tcPr>
          <w:p w14:paraId="29ECA1BA" w14:textId="701BD75B" w:rsidR="00E86BE2" w:rsidRPr="0010524E" w:rsidRDefault="00E86BE2" w:rsidP="00E86BE2">
            <w:pPr>
              <w:jc w:val="both"/>
              <w:rPr>
                <w:rFonts w:cstheme="minorHAnsi"/>
                <w:sz w:val="24"/>
                <w:szCs w:val="24"/>
              </w:rPr>
            </w:pPr>
            <w:r w:rsidRPr="0010524E">
              <w:rPr>
                <w:rFonts w:ascii="Calibri" w:eastAsia="Calibri" w:hAnsi="Calibri" w:cs="Calibri"/>
                <w:sz w:val="24"/>
                <w:szCs w:val="24"/>
              </w:rPr>
              <w:lastRenderedPageBreak/>
              <w:t xml:space="preserve">Parágrafo único. O exercício do mandato é considerado serviço público relevante, não </w:t>
            </w:r>
            <w:r w:rsidRPr="0010524E">
              <w:rPr>
                <w:rFonts w:ascii="Calibri" w:eastAsia="Calibri" w:hAnsi="Calibri" w:cs="Calibri"/>
                <w:sz w:val="24"/>
                <w:szCs w:val="24"/>
              </w:rPr>
              <w:lastRenderedPageBreak/>
              <w:t xml:space="preserve">configurando relação de emprego nem gerando qualquer espécie de vínculo de natureza trabalhista, estatutária ou contratual com a Administração Pública. </w:t>
            </w:r>
          </w:p>
        </w:tc>
        <w:tc>
          <w:tcPr>
            <w:tcW w:w="4648" w:type="dxa"/>
            <w:noWrap/>
          </w:tcPr>
          <w:p w14:paraId="760529D2" w14:textId="77777777" w:rsidR="00E86BE2" w:rsidRPr="0010524E" w:rsidRDefault="00E86BE2" w:rsidP="00E86BE2">
            <w:pPr>
              <w:jc w:val="both"/>
              <w:rPr>
                <w:rFonts w:cstheme="minorHAnsi"/>
                <w:sz w:val="24"/>
                <w:szCs w:val="24"/>
              </w:rPr>
            </w:pPr>
          </w:p>
        </w:tc>
      </w:tr>
      <w:tr w:rsidR="00E86BE2" w:rsidRPr="0010524E" w14:paraId="7B1C67FF" w14:textId="4B8BE4C2" w:rsidTr="00E86BE2">
        <w:trPr>
          <w:trHeight w:val="290"/>
        </w:trPr>
        <w:tc>
          <w:tcPr>
            <w:tcW w:w="4815" w:type="dxa"/>
            <w:noWrap/>
          </w:tcPr>
          <w:p w14:paraId="20394CD6" w14:textId="3FFFD448" w:rsidR="00E86BE2" w:rsidRPr="002F44DC" w:rsidRDefault="00E86BE2" w:rsidP="00E86BE2">
            <w:pPr>
              <w:jc w:val="center"/>
              <w:rPr>
                <w:rFonts w:cstheme="minorHAnsi"/>
                <w:b/>
                <w:bCs/>
                <w:sz w:val="24"/>
                <w:szCs w:val="24"/>
              </w:rPr>
            </w:pPr>
            <w:bookmarkStart w:id="80" w:name="_Hlk138424430"/>
            <w:bookmarkEnd w:id="79"/>
            <w:r w:rsidRPr="002F44DC">
              <w:rPr>
                <w:rFonts w:cstheme="minorHAnsi"/>
                <w:b/>
                <w:bCs/>
                <w:sz w:val="24"/>
                <w:szCs w:val="24"/>
              </w:rPr>
              <w:t>Seção III</w:t>
            </w:r>
          </w:p>
          <w:p w14:paraId="70197735" w14:textId="7E2B7119" w:rsidR="00E86BE2" w:rsidRPr="0010524E" w:rsidRDefault="00E86BE2" w:rsidP="00E86BE2">
            <w:pPr>
              <w:jc w:val="center"/>
              <w:rPr>
                <w:rFonts w:cstheme="minorHAnsi"/>
                <w:sz w:val="24"/>
                <w:szCs w:val="24"/>
              </w:rPr>
            </w:pPr>
            <w:r w:rsidRPr="002F44DC">
              <w:rPr>
                <w:rFonts w:cstheme="minorHAnsi"/>
                <w:b/>
                <w:bCs/>
                <w:sz w:val="24"/>
                <w:szCs w:val="24"/>
              </w:rPr>
              <w:t>Da Secretaria-Executiva</w:t>
            </w:r>
          </w:p>
        </w:tc>
        <w:tc>
          <w:tcPr>
            <w:tcW w:w="4849" w:type="dxa"/>
            <w:noWrap/>
          </w:tcPr>
          <w:p w14:paraId="1BFF2856" w14:textId="7721A8AE" w:rsidR="00E86BE2" w:rsidRPr="0010524E" w:rsidRDefault="00E86BE2" w:rsidP="00E86BE2">
            <w:pPr>
              <w:jc w:val="center"/>
              <w:rPr>
                <w:rFonts w:cstheme="minorHAnsi"/>
                <w:b/>
                <w:bCs/>
                <w:sz w:val="24"/>
                <w:szCs w:val="24"/>
              </w:rPr>
            </w:pPr>
            <w:r w:rsidRPr="0010524E">
              <w:rPr>
                <w:rFonts w:cstheme="minorHAnsi"/>
                <w:b/>
                <w:bCs/>
                <w:sz w:val="24"/>
                <w:szCs w:val="24"/>
              </w:rPr>
              <w:t>Subseção IV</w:t>
            </w:r>
          </w:p>
          <w:p w14:paraId="782B15BF" w14:textId="7C7DB8E7" w:rsidR="00E86BE2" w:rsidRPr="0010524E" w:rsidRDefault="00E86BE2" w:rsidP="00E86BE2">
            <w:pPr>
              <w:jc w:val="center"/>
              <w:rPr>
                <w:rFonts w:cstheme="minorHAnsi"/>
                <w:sz w:val="24"/>
                <w:szCs w:val="24"/>
              </w:rPr>
            </w:pPr>
            <w:r w:rsidRPr="0010524E">
              <w:rPr>
                <w:rFonts w:cstheme="minorHAnsi"/>
                <w:b/>
                <w:bCs/>
                <w:sz w:val="24"/>
                <w:szCs w:val="24"/>
              </w:rPr>
              <w:t>Secretaria-Executiva e atribuições</w:t>
            </w:r>
          </w:p>
        </w:tc>
        <w:tc>
          <w:tcPr>
            <w:tcW w:w="4648" w:type="dxa"/>
            <w:noWrap/>
          </w:tcPr>
          <w:p w14:paraId="27EE46BC" w14:textId="77777777" w:rsidR="00E86BE2" w:rsidRPr="0010524E" w:rsidRDefault="00E86BE2" w:rsidP="00E86BE2">
            <w:pPr>
              <w:jc w:val="both"/>
              <w:rPr>
                <w:rFonts w:cstheme="minorHAnsi"/>
                <w:sz w:val="24"/>
                <w:szCs w:val="24"/>
              </w:rPr>
            </w:pPr>
          </w:p>
        </w:tc>
      </w:tr>
      <w:tr w:rsidR="00E86BE2" w:rsidRPr="0010524E" w14:paraId="270436A5" w14:textId="65FE9B2D" w:rsidTr="00E86BE2">
        <w:trPr>
          <w:trHeight w:val="290"/>
        </w:trPr>
        <w:tc>
          <w:tcPr>
            <w:tcW w:w="4815" w:type="dxa"/>
            <w:noWrap/>
          </w:tcPr>
          <w:p w14:paraId="0BCE8957" w14:textId="77777777" w:rsidR="00E86BE2" w:rsidRPr="0010524E" w:rsidRDefault="00E86BE2" w:rsidP="00E86BE2">
            <w:pPr>
              <w:jc w:val="both"/>
              <w:rPr>
                <w:rFonts w:cstheme="minorHAnsi"/>
                <w:sz w:val="24"/>
                <w:szCs w:val="24"/>
              </w:rPr>
            </w:pPr>
            <w:bookmarkStart w:id="81" w:name="_Hlk138424434"/>
            <w:bookmarkEnd w:id="80"/>
            <w:r w:rsidRPr="0010524E">
              <w:rPr>
                <w:rFonts w:cstheme="minorHAnsi"/>
                <w:sz w:val="24"/>
                <w:szCs w:val="24"/>
              </w:rPr>
              <w:t xml:space="preserve">Art. 10. A Secretaria de Previdência Complementar atuará como Secretaria-Executiva da CNA, executando as atividades de caráter administrativo necessárias ao seu regular funcionamento. </w:t>
            </w:r>
          </w:p>
          <w:p w14:paraId="0D779112" w14:textId="77777777" w:rsidR="00E86BE2" w:rsidRPr="0010524E" w:rsidRDefault="00E86BE2" w:rsidP="00E86BE2">
            <w:pPr>
              <w:jc w:val="both"/>
              <w:rPr>
                <w:rFonts w:cstheme="minorHAnsi"/>
                <w:sz w:val="24"/>
                <w:szCs w:val="24"/>
              </w:rPr>
            </w:pPr>
          </w:p>
        </w:tc>
        <w:tc>
          <w:tcPr>
            <w:tcW w:w="4849" w:type="dxa"/>
            <w:noWrap/>
          </w:tcPr>
          <w:p w14:paraId="4160EA7F" w14:textId="639EBD99" w:rsidR="00E86BE2" w:rsidRPr="0010524E" w:rsidRDefault="00E86BE2" w:rsidP="00E86BE2">
            <w:pPr>
              <w:spacing w:before="120"/>
              <w:jc w:val="both"/>
              <w:rPr>
                <w:rFonts w:cstheme="minorHAnsi"/>
                <w:sz w:val="24"/>
                <w:szCs w:val="24"/>
              </w:rPr>
            </w:pPr>
            <w:r w:rsidRPr="0010524E">
              <w:rPr>
                <w:rFonts w:ascii="Calibri" w:eastAsia="Calibri" w:hAnsi="Calibri" w:cs="Calibri"/>
                <w:sz w:val="24"/>
                <w:szCs w:val="24"/>
              </w:rPr>
              <w:t xml:space="preserve">Art.  382. A Previc atua como Secretaria-Executiva da Comissão Nacional de Atuária, executando as atividades de caráter administrativo necessárias ao seu regular funcionamento. </w:t>
            </w:r>
          </w:p>
        </w:tc>
        <w:tc>
          <w:tcPr>
            <w:tcW w:w="4648" w:type="dxa"/>
            <w:noWrap/>
          </w:tcPr>
          <w:p w14:paraId="3E10D690" w14:textId="77777777" w:rsidR="00E86BE2" w:rsidRPr="0010524E" w:rsidRDefault="00E86BE2" w:rsidP="00E86BE2">
            <w:pPr>
              <w:jc w:val="both"/>
              <w:rPr>
                <w:rFonts w:cstheme="minorHAnsi"/>
                <w:sz w:val="24"/>
                <w:szCs w:val="24"/>
              </w:rPr>
            </w:pPr>
          </w:p>
        </w:tc>
      </w:tr>
      <w:bookmarkEnd w:id="81"/>
      <w:tr w:rsidR="00E86BE2" w:rsidRPr="0010524E" w14:paraId="32B71DAE" w14:textId="0C4F8BA8" w:rsidTr="00E86BE2">
        <w:trPr>
          <w:trHeight w:val="290"/>
        </w:trPr>
        <w:tc>
          <w:tcPr>
            <w:tcW w:w="4815" w:type="dxa"/>
            <w:noWrap/>
          </w:tcPr>
          <w:p w14:paraId="67B113BB" w14:textId="3F098292" w:rsidR="00E86BE2" w:rsidRPr="0010524E" w:rsidRDefault="00E86BE2" w:rsidP="00E86BE2">
            <w:pPr>
              <w:jc w:val="center"/>
              <w:rPr>
                <w:rFonts w:cstheme="minorHAnsi"/>
                <w:sz w:val="24"/>
                <w:szCs w:val="24"/>
              </w:rPr>
            </w:pPr>
            <w:r w:rsidRPr="0010524E">
              <w:rPr>
                <w:rFonts w:cstheme="minorHAnsi"/>
                <w:sz w:val="24"/>
                <w:szCs w:val="24"/>
              </w:rPr>
              <w:t>CAPÍTULO III</w:t>
            </w:r>
          </w:p>
          <w:p w14:paraId="61A16CBF" w14:textId="5BDC779D" w:rsidR="00E86BE2" w:rsidRPr="0010524E" w:rsidRDefault="00E86BE2" w:rsidP="00E86BE2">
            <w:pPr>
              <w:jc w:val="center"/>
              <w:rPr>
                <w:rFonts w:cstheme="minorHAnsi"/>
                <w:sz w:val="24"/>
                <w:szCs w:val="24"/>
              </w:rPr>
            </w:pPr>
            <w:r w:rsidRPr="0010524E">
              <w:rPr>
                <w:rFonts w:cstheme="minorHAnsi"/>
                <w:sz w:val="24"/>
                <w:szCs w:val="24"/>
              </w:rPr>
              <w:t>DAS ATRIBUIÇÕES</w:t>
            </w:r>
          </w:p>
        </w:tc>
        <w:tc>
          <w:tcPr>
            <w:tcW w:w="4849" w:type="dxa"/>
            <w:noWrap/>
          </w:tcPr>
          <w:p w14:paraId="08D5D333" w14:textId="77777777" w:rsidR="00E86BE2" w:rsidRPr="0010524E" w:rsidRDefault="00E86BE2" w:rsidP="00E86BE2">
            <w:pPr>
              <w:jc w:val="both"/>
              <w:rPr>
                <w:rFonts w:cstheme="minorHAnsi"/>
                <w:sz w:val="24"/>
                <w:szCs w:val="24"/>
              </w:rPr>
            </w:pPr>
          </w:p>
        </w:tc>
        <w:tc>
          <w:tcPr>
            <w:tcW w:w="4648" w:type="dxa"/>
            <w:noWrap/>
          </w:tcPr>
          <w:p w14:paraId="0E141004" w14:textId="711F91CD" w:rsidR="00E86BE2" w:rsidRPr="0010524E" w:rsidRDefault="00E86BE2" w:rsidP="00E86BE2">
            <w:pPr>
              <w:jc w:val="both"/>
              <w:rPr>
                <w:rFonts w:cstheme="minorHAnsi"/>
                <w:sz w:val="24"/>
                <w:szCs w:val="24"/>
              </w:rPr>
            </w:pPr>
            <w:r w:rsidRPr="0010524E">
              <w:rPr>
                <w:rFonts w:cstheme="minorHAnsi"/>
                <w:sz w:val="24"/>
                <w:szCs w:val="24"/>
              </w:rPr>
              <w:t>Exclu</w:t>
            </w:r>
            <w:r>
              <w:rPr>
                <w:rFonts w:cstheme="minorHAnsi"/>
                <w:sz w:val="24"/>
                <w:szCs w:val="24"/>
              </w:rPr>
              <w:t>ído</w:t>
            </w:r>
          </w:p>
        </w:tc>
      </w:tr>
      <w:tr w:rsidR="00E86BE2" w:rsidRPr="0010524E" w14:paraId="65ABBD08" w14:textId="2FEB1343" w:rsidTr="00E86BE2">
        <w:trPr>
          <w:trHeight w:val="290"/>
        </w:trPr>
        <w:tc>
          <w:tcPr>
            <w:tcW w:w="4815" w:type="dxa"/>
            <w:noWrap/>
          </w:tcPr>
          <w:p w14:paraId="35FA66D7" w14:textId="77777777" w:rsidR="00E86BE2" w:rsidRPr="0010524E" w:rsidRDefault="00E86BE2" w:rsidP="00E86BE2">
            <w:pPr>
              <w:jc w:val="both"/>
              <w:rPr>
                <w:rFonts w:cstheme="minorHAnsi"/>
                <w:sz w:val="24"/>
                <w:szCs w:val="24"/>
              </w:rPr>
            </w:pPr>
            <w:bookmarkStart w:id="82" w:name="_Hlk138424442"/>
            <w:r w:rsidRPr="0010524E">
              <w:rPr>
                <w:rFonts w:cstheme="minorHAnsi"/>
                <w:sz w:val="24"/>
                <w:szCs w:val="24"/>
              </w:rPr>
              <w:t xml:space="preserve">Art. 11. Incumbe ao Presidente da CNA: </w:t>
            </w:r>
          </w:p>
          <w:p w14:paraId="62481CA5" w14:textId="77777777" w:rsidR="00E86BE2" w:rsidRPr="0010524E" w:rsidRDefault="00E86BE2" w:rsidP="00E86BE2">
            <w:pPr>
              <w:jc w:val="both"/>
              <w:rPr>
                <w:rFonts w:cstheme="minorHAnsi"/>
                <w:sz w:val="24"/>
                <w:szCs w:val="24"/>
              </w:rPr>
            </w:pPr>
          </w:p>
        </w:tc>
        <w:tc>
          <w:tcPr>
            <w:tcW w:w="4849" w:type="dxa"/>
            <w:noWrap/>
          </w:tcPr>
          <w:p w14:paraId="5B7F18B1" w14:textId="09F6B261"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Art.  383. Incumbe ao Presidente da Comissão Nacional de Atuária: </w:t>
            </w:r>
          </w:p>
        </w:tc>
        <w:tc>
          <w:tcPr>
            <w:tcW w:w="4648" w:type="dxa"/>
            <w:noWrap/>
          </w:tcPr>
          <w:p w14:paraId="35E32268" w14:textId="77777777" w:rsidR="00E86BE2" w:rsidRPr="0010524E" w:rsidRDefault="00E86BE2" w:rsidP="00E86BE2">
            <w:pPr>
              <w:jc w:val="both"/>
              <w:rPr>
                <w:rFonts w:cstheme="minorHAnsi"/>
                <w:sz w:val="24"/>
                <w:szCs w:val="24"/>
              </w:rPr>
            </w:pPr>
          </w:p>
        </w:tc>
      </w:tr>
      <w:tr w:rsidR="00E86BE2" w:rsidRPr="0010524E" w14:paraId="5B67DCAF" w14:textId="309383DE" w:rsidTr="00E86BE2">
        <w:trPr>
          <w:trHeight w:val="290"/>
        </w:trPr>
        <w:tc>
          <w:tcPr>
            <w:tcW w:w="4815" w:type="dxa"/>
            <w:noWrap/>
          </w:tcPr>
          <w:p w14:paraId="087FC02A" w14:textId="43E409FA" w:rsidR="00E86BE2" w:rsidRPr="0010524E" w:rsidRDefault="00E86BE2" w:rsidP="00E86BE2">
            <w:pPr>
              <w:jc w:val="both"/>
              <w:rPr>
                <w:rFonts w:cstheme="minorHAnsi"/>
                <w:sz w:val="24"/>
                <w:szCs w:val="24"/>
              </w:rPr>
            </w:pPr>
            <w:bookmarkStart w:id="83" w:name="_Hlk138424447"/>
            <w:bookmarkEnd w:id="82"/>
            <w:r>
              <w:rPr>
                <w:rFonts w:cstheme="minorHAnsi"/>
                <w:sz w:val="24"/>
                <w:szCs w:val="24"/>
              </w:rPr>
              <w:t xml:space="preserve">I </w:t>
            </w:r>
            <w:r w:rsidRPr="0010524E">
              <w:rPr>
                <w:rFonts w:cstheme="minorHAnsi"/>
                <w:sz w:val="24"/>
                <w:szCs w:val="24"/>
              </w:rPr>
              <w:t xml:space="preserve">- dirigir, supervisionar, coordenar e orientar as atividades da Comissão; </w:t>
            </w:r>
          </w:p>
          <w:p w14:paraId="27FBC016" w14:textId="77777777" w:rsidR="00E86BE2" w:rsidRPr="0010524E" w:rsidRDefault="00E86BE2" w:rsidP="00E86BE2">
            <w:pPr>
              <w:jc w:val="both"/>
              <w:rPr>
                <w:rFonts w:cstheme="minorHAnsi"/>
                <w:sz w:val="24"/>
                <w:szCs w:val="24"/>
              </w:rPr>
            </w:pPr>
          </w:p>
        </w:tc>
        <w:tc>
          <w:tcPr>
            <w:tcW w:w="4849" w:type="dxa"/>
            <w:noWrap/>
          </w:tcPr>
          <w:p w14:paraId="51858C84" w14:textId="5825EBF5"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 - dirigir, supervisionar, coordenar e orientar as atividades da Comissão; </w:t>
            </w:r>
          </w:p>
        </w:tc>
        <w:tc>
          <w:tcPr>
            <w:tcW w:w="4648" w:type="dxa"/>
            <w:noWrap/>
          </w:tcPr>
          <w:p w14:paraId="0B6C78ED" w14:textId="77777777" w:rsidR="00E86BE2" w:rsidRPr="0010524E" w:rsidRDefault="00E86BE2" w:rsidP="00E86BE2">
            <w:pPr>
              <w:jc w:val="both"/>
              <w:rPr>
                <w:rFonts w:cstheme="minorHAnsi"/>
                <w:sz w:val="24"/>
                <w:szCs w:val="24"/>
              </w:rPr>
            </w:pPr>
          </w:p>
        </w:tc>
      </w:tr>
      <w:tr w:rsidR="00E86BE2" w:rsidRPr="0010524E" w14:paraId="26AD0EE7" w14:textId="1BFA0CCB" w:rsidTr="00E86BE2">
        <w:trPr>
          <w:trHeight w:val="290"/>
        </w:trPr>
        <w:tc>
          <w:tcPr>
            <w:tcW w:w="4815" w:type="dxa"/>
            <w:noWrap/>
          </w:tcPr>
          <w:p w14:paraId="5E657128" w14:textId="3C499CDD" w:rsidR="00E86BE2" w:rsidRPr="0010524E" w:rsidRDefault="00E86BE2" w:rsidP="00E86BE2">
            <w:pPr>
              <w:jc w:val="both"/>
              <w:rPr>
                <w:rFonts w:cstheme="minorHAnsi"/>
                <w:sz w:val="24"/>
                <w:szCs w:val="24"/>
              </w:rPr>
            </w:pPr>
            <w:bookmarkStart w:id="84" w:name="_Hlk138424460"/>
            <w:bookmarkEnd w:id="83"/>
            <w:r>
              <w:rPr>
                <w:rFonts w:cstheme="minorHAnsi"/>
                <w:sz w:val="24"/>
                <w:szCs w:val="24"/>
              </w:rPr>
              <w:t xml:space="preserve">II </w:t>
            </w:r>
            <w:r w:rsidRPr="0010524E">
              <w:rPr>
                <w:rFonts w:cstheme="minorHAnsi"/>
                <w:sz w:val="24"/>
                <w:szCs w:val="24"/>
              </w:rPr>
              <w:t xml:space="preserve">- cumprir e fazer cumprir este Regimento; </w:t>
            </w:r>
          </w:p>
          <w:p w14:paraId="74B2F4F4" w14:textId="77777777" w:rsidR="00E86BE2" w:rsidRPr="0010524E" w:rsidRDefault="00E86BE2" w:rsidP="00E86BE2">
            <w:pPr>
              <w:jc w:val="both"/>
              <w:rPr>
                <w:rFonts w:cstheme="minorHAnsi"/>
                <w:sz w:val="24"/>
                <w:szCs w:val="24"/>
              </w:rPr>
            </w:pPr>
          </w:p>
        </w:tc>
        <w:tc>
          <w:tcPr>
            <w:tcW w:w="4849" w:type="dxa"/>
            <w:noWrap/>
          </w:tcPr>
          <w:p w14:paraId="1031D860" w14:textId="41DA031A"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II - cumprir e fazer cumprir esta seção </w:t>
            </w:r>
            <w:r w:rsidRPr="0010524E">
              <w:rPr>
                <w:rFonts w:ascii="Calibri" w:eastAsia="Calibri" w:hAnsi="Calibri" w:cs="Calibri"/>
                <w:strike/>
                <w:sz w:val="24"/>
                <w:szCs w:val="24"/>
              </w:rPr>
              <w:t>este Regimento</w:t>
            </w:r>
            <w:r w:rsidRPr="0010524E">
              <w:rPr>
                <w:rFonts w:ascii="Calibri" w:eastAsia="Calibri" w:hAnsi="Calibri" w:cs="Calibri"/>
                <w:sz w:val="24"/>
                <w:szCs w:val="24"/>
              </w:rPr>
              <w:t xml:space="preserve">; </w:t>
            </w:r>
          </w:p>
        </w:tc>
        <w:tc>
          <w:tcPr>
            <w:tcW w:w="4648" w:type="dxa"/>
            <w:noWrap/>
          </w:tcPr>
          <w:p w14:paraId="63469AC9" w14:textId="77777777" w:rsidR="00E86BE2" w:rsidRPr="0010524E" w:rsidRDefault="00E86BE2" w:rsidP="00E86BE2">
            <w:pPr>
              <w:jc w:val="both"/>
              <w:rPr>
                <w:rFonts w:cstheme="minorHAnsi"/>
                <w:sz w:val="24"/>
                <w:szCs w:val="24"/>
              </w:rPr>
            </w:pPr>
          </w:p>
        </w:tc>
      </w:tr>
      <w:tr w:rsidR="00E86BE2" w:rsidRPr="0010524E" w14:paraId="07D1C207" w14:textId="660A9111" w:rsidTr="00E86BE2">
        <w:trPr>
          <w:trHeight w:val="290"/>
        </w:trPr>
        <w:tc>
          <w:tcPr>
            <w:tcW w:w="4815" w:type="dxa"/>
            <w:noWrap/>
          </w:tcPr>
          <w:p w14:paraId="58216D63" w14:textId="6610FC21" w:rsidR="00E86BE2" w:rsidRPr="0010524E" w:rsidRDefault="00E86BE2" w:rsidP="00E86BE2">
            <w:pPr>
              <w:jc w:val="both"/>
              <w:rPr>
                <w:rFonts w:cstheme="minorHAnsi"/>
                <w:sz w:val="24"/>
                <w:szCs w:val="24"/>
              </w:rPr>
            </w:pPr>
            <w:bookmarkStart w:id="85" w:name="_Hlk138424465"/>
            <w:bookmarkEnd w:id="84"/>
            <w:r>
              <w:rPr>
                <w:rFonts w:cstheme="minorHAnsi"/>
                <w:sz w:val="24"/>
                <w:szCs w:val="24"/>
              </w:rPr>
              <w:t xml:space="preserve">III </w:t>
            </w:r>
            <w:r w:rsidRPr="0010524E">
              <w:rPr>
                <w:rFonts w:cstheme="minorHAnsi"/>
                <w:sz w:val="24"/>
                <w:szCs w:val="24"/>
              </w:rPr>
              <w:t xml:space="preserve">- distribuir equitativamente as tarefas afetas aos membros ou às subcomissões da CNA quando não houver consenso entre os pares a respeito das incumbências a serem assumidas; </w:t>
            </w:r>
          </w:p>
          <w:p w14:paraId="156E5505" w14:textId="77777777" w:rsidR="00E86BE2" w:rsidRPr="0010524E" w:rsidRDefault="00E86BE2" w:rsidP="00E86BE2">
            <w:pPr>
              <w:jc w:val="both"/>
              <w:rPr>
                <w:rFonts w:cstheme="minorHAnsi"/>
                <w:sz w:val="24"/>
                <w:szCs w:val="24"/>
              </w:rPr>
            </w:pPr>
          </w:p>
        </w:tc>
        <w:tc>
          <w:tcPr>
            <w:tcW w:w="4849" w:type="dxa"/>
            <w:noWrap/>
          </w:tcPr>
          <w:p w14:paraId="23B338CC" w14:textId="63B5C1E7"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III - distribuir equitativamente as tarefas afetas aos membros ou às subcomissões da Comissão Nacional de Atuária quando não houver consenso entre os pares a respeito das incumbências a serem assumidas; </w:t>
            </w:r>
          </w:p>
        </w:tc>
        <w:tc>
          <w:tcPr>
            <w:tcW w:w="4648" w:type="dxa"/>
            <w:noWrap/>
          </w:tcPr>
          <w:p w14:paraId="2D96A8AD" w14:textId="77777777" w:rsidR="00E86BE2" w:rsidRPr="0010524E" w:rsidRDefault="00E86BE2" w:rsidP="00E86BE2">
            <w:pPr>
              <w:jc w:val="both"/>
              <w:rPr>
                <w:rFonts w:cstheme="minorHAnsi"/>
                <w:sz w:val="24"/>
                <w:szCs w:val="24"/>
              </w:rPr>
            </w:pPr>
          </w:p>
        </w:tc>
      </w:tr>
      <w:tr w:rsidR="00E86BE2" w:rsidRPr="0010524E" w14:paraId="47FC5D54" w14:textId="573E62CA" w:rsidTr="00E86BE2">
        <w:trPr>
          <w:trHeight w:val="290"/>
        </w:trPr>
        <w:tc>
          <w:tcPr>
            <w:tcW w:w="4815" w:type="dxa"/>
            <w:noWrap/>
          </w:tcPr>
          <w:p w14:paraId="150D3D78" w14:textId="01639B29" w:rsidR="00E86BE2" w:rsidRPr="0010524E" w:rsidRDefault="00E86BE2" w:rsidP="00E86BE2">
            <w:pPr>
              <w:jc w:val="both"/>
              <w:rPr>
                <w:rFonts w:cstheme="minorHAnsi"/>
                <w:sz w:val="24"/>
                <w:szCs w:val="24"/>
              </w:rPr>
            </w:pPr>
            <w:bookmarkStart w:id="86" w:name="_Hlk138424469"/>
            <w:bookmarkEnd w:id="85"/>
            <w:r>
              <w:rPr>
                <w:rFonts w:cstheme="minorHAnsi"/>
                <w:sz w:val="24"/>
                <w:szCs w:val="24"/>
              </w:rPr>
              <w:lastRenderedPageBreak/>
              <w:t xml:space="preserve">IV </w:t>
            </w:r>
            <w:r w:rsidRPr="0010524E">
              <w:rPr>
                <w:rFonts w:cstheme="minorHAnsi"/>
                <w:sz w:val="24"/>
                <w:szCs w:val="24"/>
              </w:rPr>
              <w:t xml:space="preserve">- convocar e presidir as reuniões da CNA, manter a ordem e a harmonia das sessões, resolver as questões de ordem que lhe forem submetidas pelos demais membros, apurar as votações e proclamar os resultados; </w:t>
            </w:r>
          </w:p>
          <w:p w14:paraId="37FBDD8A" w14:textId="77777777" w:rsidR="00E86BE2" w:rsidRPr="0010524E" w:rsidRDefault="00E86BE2" w:rsidP="00E86BE2">
            <w:pPr>
              <w:jc w:val="both"/>
              <w:rPr>
                <w:rFonts w:cstheme="minorHAnsi"/>
                <w:sz w:val="24"/>
                <w:szCs w:val="24"/>
              </w:rPr>
            </w:pPr>
          </w:p>
        </w:tc>
        <w:tc>
          <w:tcPr>
            <w:tcW w:w="4849" w:type="dxa"/>
            <w:noWrap/>
          </w:tcPr>
          <w:p w14:paraId="3A98AF07" w14:textId="4EDCA35E"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IV - convocar e presidir as reuniões da Comissão Nacional de Atuária, manter a ordem e a harmonia das sessões, resolver as questões de ordem que lhe forem submetidas pelos demais membros, apurar as votações e proclamar os resultados; </w:t>
            </w:r>
          </w:p>
        </w:tc>
        <w:tc>
          <w:tcPr>
            <w:tcW w:w="4648" w:type="dxa"/>
            <w:noWrap/>
          </w:tcPr>
          <w:p w14:paraId="0E7F62C2" w14:textId="77777777" w:rsidR="00E86BE2" w:rsidRPr="0010524E" w:rsidRDefault="00E86BE2" w:rsidP="00E86BE2">
            <w:pPr>
              <w:jc w:val="both"/>
              <w:rPr>
                <w:rFonts w:cstheme="minorHAnsi"/>
                <w:sz w:val="24"/>
                <w:szCs w:val="24"/>
              </w:rPr>
            </w:pPr>
          </w:p>
        </w:tc>
      </w:tr>
      <w:tr w:rsidR="00E86BE2" w:rsidRPr="0010524E" w14:paraId="41C6B986" w14:textId="108B64E5" w:rsidTr="00E86BE2">
        <w:trPr>
          <w:trHeight w:val="290"/>
        </w:trPr>
        <w:tc>
          <w:tcPr>
            <w:tcW w:w="4815" w:type="dxa"/>
            <w:noWrap/>
          </w:tcPr>
          <w:p w14:paraId="379549D7" w14:textId="77777777" w:rsidR="00E86BE2" w:rsidRPr="0010524E" w:rsidRDefault="00E86BE2" w:rsidP="00E86BE2">
            <w:pPr>
              <w:jc w:val="both"/>
              <w:rPr>
                <w:rFonts w:cstheme="minorHAnsi"/>
                <w:sz w:val="24"/>
                <w:szCs w:val="24"/>
              </w:rPr>
            </w:pPr>
            <w:bookmarkStart w:id="87" w:name="_Hlk138424474"/>
            <w:bookmarkEnd w:id="86"/>
          </w:p>
          <w:p w14:paraId="753E8D47" w14:textId="04310779" w:rsidR="00E86BE2" w:rsidRPr="0010524E" w:rsidRDefault="00E86BE2" w:rsidP="00E86BE2">
            <w:pPr>
              <w:jc w:val="both"/>
              <w:rPr>
                <w:rFonts w:cstheme="minorHAnsi"/>
                <w:sz w:val="24"/>
                <w:szCs w:val="24"/>
              </w:rPr>
            </w:pPr>
            <w:r>
              <w:rPr>
                <w:rFonts w:cstheme="minorHAnsi"/>
                <w:sz w:val="24"/>
                <w:szCs w:val="24"/>
              </w:rPr>
              <w:t xml:space="preserve">V </w:t>
            </w:r>
            <w:r w:rsidRPr="0010524E">
              <w:rPr>
                <w:rFonts w:cstheme="minorHAnsi"/>
                <w:sz w:val="24"/>
                <w:szCs w:val="24"/>
              </w:rPr>
              <w:t xml:space="preserve">- votar nas deliberações colegiadas, cabendo-lhe, além do seu, o voto de desempate, quando for o caso; </w:t>
            </w:r>
          </w:p>
          <w:p w14:paraId="7BBEC444" w14:textId="77777777" w:rsidR="00E86BE2" w:rsidRPr="0010524E" w:rsidRDefault="00E86BE2" w:rsidP="00E86BE2">
            <w:pPr>
              <w:jc w:val="both"/>
              <w:rPr>
                <w:rFonts w:cstheme="minorHAnsi"/>
                <w:sz w:val="24"/>
                <w:szCs w:val="24"/>
              </w:rPr>
            </w:pPr>
          </w:p>
        </w:tc>
        <w:tc>
          <w:tcPr>
            <w:tcW w:w="4849" w:type="dxa"/>
            <w:noWrap/>
          </w:tcPr>
          <w:p w14:paraId="25A5AB6E" w14:textId="01742EEF"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 - votar nas deliberações colegiadas, cabendo-lhe, além do seu, o voto de desempate, quando for o caso; </w:t>
            </w:r>
          </w:p>
        </w:tc>
        <w:tc>
          <w:tcPr>
            <w:tcW w:w="4648" w:type="dxa"/>
            <w:noWrap/>
          </w:tcPr>
          <w:p w14:paraId="5FAE6E34" w14:textId="77777777" w:rsidR="00E86BE2" w:rsidRPr="0010524E" w:rsidRDefault="00E86BE2" w:rsidP="00E86BE2">
            <w:pPr>
              <w:jc w:val="both"/>
              <w:rPr>
                <w:rFonts w:cstheme="minorHAnsi"/>
                <w:sz w:val="24"/>
                <w:szCs w:val="24"/>
              </w:rPr>
            </w:pPr>
          </w:p>
        </w:tc>
      </w:tr>
      <w:tr w:rsidR="00E86BE2" w:rsidRPr="0010524E" w14:paraId="776793FC" w14:textId="784C2776" w:rsidTr="00E86BE2">
        <w:trPr>
          <w:trHeight w:val="290"/>
        </w:trPr>
        <w:tc>
          <w:tcPr>
            <w:tcW w:w="4815" w:type="dxa"/>
            <w:noWrap/>
          </w:tcPr>
          <w:p w14:paraId="7FC83473" w14:textId="30583715" w:rsidR="00E86BE2" w:rsidRPr="0010524E" w:rsidRDefault="00E86BE2" w:rsidP="00E86BE2">
            <w:pPr>
              <w:jc w:val="both"/>
              <w:rPr>
                <w:rFonts w:cstheme="minorHAnsi"/>
                <w:sz w:val="24"/>
                <w:szCs w:val="24"/>
              </w:rPr>
            </w:pPr>
            <w:bookmarkStart w:id="88" w:name="_Hlk138424486"/>
            <w:bookmarkEnd w:id="87"/>
            <w:r>
              <w:rPr>
                <w:rFonts w:cstheme="minorHAnsi"/>
                <w:sz w:val="24"/>
                <w:szCs w:val="24"/>
              </w:rPr>
              <w:t xml:space="preserve">VI </w:t>
            </w:r>
            <w:r w:rsidRPr="0010524E">
              <w:rPr>
                <w:rFonts w:cstheme="minorHAnsi"/>
                <w:sz w:val="24"/>
                <w:szCs w:val="24"/>
              </w:rPr>
              <w:t xml:space="preserve">- encaminhar ao Secretário de Previdência Complementar o resultado dos trabalhos da Comissão; </w:t>
            </w:r>
          </w:p>
          <w:p w14:paraId="3E9119C3" w14:textId="77777777" w:rsidR="00E86BE2" w:rsidRPr="0010524E" w:rsidRDefault="00E86BE2" w:rsidP="00E86BE2">
            <w:pPr>
              <w:jc w:val="both"/>
              <w:rPr>
                <w:rFonts w:cstheme="minorHAnsi"/>
                <w:sz w:val="24"/>
                <w:szCs w:val="24"/>
              </w:rPr>
            </w:pPr>
          </w:p>
        </w:tc>
        <w:tc>
          <w:tcPr>
            <w:tcW w:w="4849" w:type="dxa"/>
            <w:noWrap/>
          </w:tcPr>
          <w:p w14:paraId="1CD3A307" w14:textId="61393BDF"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VI - encaminhar à Diretoria Colegiada o resultado dos trabalhos da Comissão; </w:t>
            </w:r>
          </w:p>
        </w:tc>
        <w:tc>
          <w:tcPr>
            <w:tcW w:w="4648" w:type="dxa"/>
            <w:noWrap/>
          </w:tcPr>
          <w:p w14:paraId="7E21F2AB" w14:textId="77777777" w:rsidR="00E86BE2" w:rsidRPr="0010524E" w:rsidRDefault="00E86BE2" w:rsidP="00E86BE2">
            <w:pPr>
              <w:jc w:val="both"/>
              <w:rPr>
                <w:rFonts w:cstheme="minorHAnsi"/>
                <w:sz w:val="24"/>
                <w:szCs w:val="24"/>
              </w:rPr>
            </w:pPr>
            <w:r w:rsidRPr="0010524E">
              <w:rPr>
                <w:rFonts w:cstheme="minorHAnsi"/>
                <w:sz w:val="24"/>
                <w:szCs w:val="24"/>
              </w:rPr>
              <w:t>Ajuste redacional.</w:t>
            </w:r>
          </w:p>
        </w:tc>
      </w:tr>
      <w:tr w:rsidR="00E86BE2" w:rsidRPr="0010524E" w14:paraId="5F14796D" w14:textId="491532AA" w:rsidTr="00E86BE2">
        <w:trPr>
          <w:trHeight w:val="290"/>
        </w:trPr>
        <w:tc>
          <w:tcPr>
            <w:tcW w:w="4815" w:type="dxa"/>
            <w:noWrap/>
          </w:tcPr>
          <w:p w14:paraId="5BA53324" w14:textId="69448141" w:rsidR="00E86BE2" w:rsidRPr="0010524E" w:rsidRDefault="00E86BE2" w:rsidP="00E86BE2">
            <w:pPr>
              <w:jc w:val="both"/>
              <w:rPr>
                <w:rFonts w:cstheme="minorHAnsi"/>
                <w:sz w:val="24"/>
                <w:szCs w:val="24"/>
              </w:rPr>
            </w:pPr>
            <w:bookmarkStart w:id="89" w:name="_Hlk138424490"/>
            <w:bookmarkEnd w:id="88"/>
            <w:r>
              <w:rPr>
                <w:rFonts w:cstheme="minorHAnsi"/>
                <w:sz w:val="24"/>
                <w:szCs w:val="24"/>
              </w:rPr>
              <w:t xml:space="preserve">VII </w:t>
            </w:r>
            <w:r w:rsidRPr="0010524E">
              <w:rPr>
                <w:rFonts w:cstheme="minorHAnsi"/>
                <w:sz w:val="24"/>
                <w:szCs w:val="24"/>
              </w:rPr>
              <w:t xml:space="preserve">- representar a CNA perante autoridades e entidades públicas e privadas; </w:t>
            </w:r>
          </w:p>
          <w:p w14:paraId="6BA7CB03" w14:textId="77777777" w:rsidR="00E86BE2" w:rsidRPr="0010524E" w:rsidRDefault="00E86BE2" w:rsidP="00E86BE2">
            <w:pPr>
              <w:jc w:val="both"/>
              <w:rPr>
                <w:rFonts w:cstheme="minorHAnsi"/>
                <w:sz w:val="24"/>
                <w:szCs w:val="24"/>
              </w:rPr>
            </w:pPr>
          </w:p>
        </w:tc>
        <w:tc>
          <w:tcPr>
            <w:tcW w:w="4849" w:type="dxa"/>
            <w:noWrap/>
          </w:tcPr>
          <w:p w14:paraId="45B6921A" w14:textId="6BBACAED"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VII - representar a Comissão Nacional de Atuária perante autoridades e entidades públicas e privadas; </w:t>
            </w:r>
          </w:p>
        </w:tc>
        <w:tc>
          <w:tcPr>
            <w:tcW w:w="4648" w:type="dxa"/>
            <w:noWrap/>
          </w:tcPr>
          <w:p w14:paraId="080FBEB9" w14:textId="77777777" w:rsidR="00E86BE2" w:rsidRPr="0010524E" w:rsidRDefault="00E86BE2" w:rsidP="00E86BE2">
            <w:pPr>
              <w:jc w:val="both"/>
              <w:rPr>
                <w:rFonts w:cstheme="minorHAnsi"/>
                <w:sz w:val="24"/>
                <w:szCs w:val="24"/>
              </w:rPr>
            </w:pPr>
          </w:p>
        </w:tc>
      </w:tr>
      <w:tr w:rsidR="00E86BE2" w:rsidRPr="0010524E" w14:paraId="1B2A564A" w14:textId="7EDEBD84" w:rsidTr="00E86BE2">
        <w:trPr>
          <w:trHeight w:val="290"/>
        </w:trPr>
        <w:tc>
          <w:tcPr>
            <w:tcW w:w="4815" w:type="dxa"/>
            <w:noWrap/>
          </w:tcPr>
          <w:p w14:paraId="2F83299C" w14:textId="77777777" w:rsidR="00E86BE2" w:rsidRPr="0010524E" w:rsidRDefault="00E86BE2" w:rsidP="00E86BE2">
            <w:pPr>
              <w:jc w:val="both"/>
              <w:rPr>
                <w:rFonts w:cstheme="minorHAnsi"/>
                <w:sz w:val="24"/>
                <w:szCs w:val="24"/>
              </w:rPr>
            </w:pPr>
            <w:bookmarkStart w:id="90" w:name="_Hlk138424494"/>
            <w:bookmarkEnd w:id="89"/>
          </w:p>
          <w:p w14:paraId="55E0056F" w14:textId="041F7C2D" w:rsidR="00E86BE2" w:rsidRPr="0010524E" w:rsidRDefault="00E86BE2" w:rsidP="00E86BE2">
            <w:pPr>
              <w:jc w:val="both"/>
              <w:rPr>
                <w:rFonts w:cstheme="minorHAnsi"/>
                <w:sz w:val="24"/>
                <w:szCs w:val="24"/>
              </w:rPr>
            </w:pPr>
            <w:r w:rsidRPr="0010524E">
              <w:rPr>
                <w:rFonts w:cstheme="minorHAnsi"/>
                <w:sz w:val="24"/>
                <w:szCs w:val="24"/>
              </w:rPr>
              <w:t>VIII</w:t>
            </w:r>
            <w:r>
              <w:rPr>
                <w:rFonts w:cstheme="minorHAnsi"/>
                <w:sz w:val="24"/>
                <w:szCs w:val="24"/>
              </w:rPr>
              <w:t xml:space="preserve"> </w:t>
            </w:r>
            <w:r w:rsidRPr="0010524E">
              <w:rPr>
                <w:rFonts w:cstheme="minorHAnsi"/>
                <w:sz w:val="24"/>
                <w:szCs w:val="24"/>
              </w:rPr>
              <w:t xml:space="preserve">- propor ao Secretário de Previdência Complementar a alteração deste Regimento; </w:t>
            </w:r>
          </w:p>
          <w:p w14:paraId="0E3D6345" w14:textId="77777777" w:rsidR="00E86BE2" w:rsidRPr="0010524E" w:rsidRDefault="00E86BE2" w:rsidP="00E86BE2">
            <w:pPr>
              <w:jc w:val="both"/>
              <w:rPr>
                <w:rFonts w:cstheme="minorHAnsi"/>
                <w:sz w:val="24"/>
                <w:szCs w:val="24"/>
              </w:rPr>
            </w:pPr>
          </w:p>
        </w:tc>
        <w:tc>
          <w:tcPr>
            <w:tcW w:w="4849" w:type="dxa"/>
            <w:noWrap/>
          </w:tcPr>
          <w:p w14:paraId="6036F93C" w14:textId="7807E77F"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VIII- propor à Diretoria Colegiada a alteração desta seção </w:t>
            </w:r>
            <w:r w:rsidRPr="0010524E">
              <w:rPr>
                <w:rFonts w:ascii="Calibri" w:eastAsia="Calibri" w:hAnsi="Calibri" w:cs="Calibri"/>
                <w:strike/>
                <w:sz w:val="24"/>
                <w:szCs w:val="24"/>
              </w:rPr>
              <w:t>deste Regimento</w:t>
            </w:r>
            <w:r w:rsidRPr="0010524E">
              <w:rPr>
                <w:rFonts w:ascii="Calibri" w:eastAsia="Calibri" w:hAnsi="Calibri" w:cs="Calibri"/>
                <w:sz w:val="24"/>
                <w:szCs w:val="24"/>
              </w:rPr>
              <w:t xml:space="preserve">; </w:t>
            </w:r>
          </w:p>
        </w:tc>
        <w:tc>
          <w:tcPr>
            <w:tcW w:w="4648" w:type="dxa"/>
            <w:noWrap/>
          </w:tcPr>
          <w:p w14:paraId="380461D7" w14:textId="77777777" w:rsidR="00E86BE2" w:rsidRPr="0010524E" w:rsidRDefault="00E86BE2" w:rsidP="00E86BE2">
            <w:pPr>
              <w:jc w:val="both"/>
              <w:rPr>
                <w:rFonts w:cstheme="minorHAnsi"/>
                <w:sz w:val="24"/>
                <w:szCs w:val="24"/>
              </w:rPr>
            </w:pPr>
            <w:r w:rsidRPr="0010524E">
              <w:rPr>
                <w:rFonts w:cstheme="minorHAnsi"/>
                <w:sz w:val="24"/>
                <w:szCs w:val="24"/>
              </w:rPr>
              <w:t>Ajuste redacional</w:t>
            </w:r>
          </w:p>
        </w:tc>
      </w:tr>
      <w:tr w:rsidR="00E86BE2" w:rsidRPr="0010524E" w14:paraId="2CC4ED04" w14:textId="6581386B" w:rsidTr="00E86BE2">
        <w:trPr>
          <w:trHeight w:val="290"/>
        </w:trPr>
        <w:tc>
          <w:tcPr>
            <w:tcW w:w="4815" w:type="dxa"/>
            <w:noWrap/>
          </w:tcPr>
          <w:p w14:paraId="423D1EEA" w14:textId="3D1566C0" w:rsidR="00E86BE2" w:rsidRPr="0010524E" w:rsidRDefault="00E86BE2" w:rsidP="00E86BE2">
            <w:pPr>
              <w:jc w:val="both"/>
              <w:rPr>
                <w:rFonts w:cstheme="minorHAnsi"/>
                <w:sz w:val="24"/>
                <w:szCs w:val="24"/>
              </w:rPr>
            </w:pPr>
            <w:bookmarkStart w:id="91" w:name="_Hlk138424498"/>
            <w:bookmarkEnd w:id="90"/>
            <w:r>
              <w:rPr>
                <w:rFonts w:cstheme="minorHAnsi"/>
                <w:sz w:val="24"/>
                <w:szCs w:val="24"/>
              </w:rPr>
              <w:t xml:space="preserve">IX </w:t>
            </w:r>
            <w:r w:rsidRPr="0010524E">
              <w:rPr>
                <w:rFonts w:cstheme="minorHAnsi"/>
                <w:sz w:val="24"/>
                <w:szCs w:val="24"/>
              </w:rPr>
              <w:t xml:space="preserve">- solicitar à Secretaria de Previdência Complementar os recursos materiais e humanos necessários ao funcionamento da CNA; </w:t>
            </w:r>
          </w:p>
          <w:p w14:paraId="3DD7BC2B" w14:textId="77777777" w:rsidR="00E86BE2" w:rsidRPr="0010524E" w:rsidRDefault="00E86BE2" w:rsidP="00E86BE2">
            <w:pPr>
              <w:jc w:val="both"/>
              <w:rPr>
                <w:rFonts w:cstheme="minorHAnsi"/>
                <w:sz w:val="24"/>
                <w:szCs w:val="24"/>
              </w:rPr>
            </w:pPr>
          </w:p>
        </w:tc>
        <w:tc>
          <w:tcPr>
            <w:tcW w:w="4849" w:type="dxa"/>
            <w:noWrap/>
          </w:tcPr>
          <w:p w14:paraId="6474926E" w14:textId="6248E7A6"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IX - solicitar à Previc os recursos materiais e humanos necessários ao funcionamento da Comissão Nacional de Atuária; </w:t>
            </w:r>
          </w:p>
        </w:tc>
        <w:tc>
          <w:tcPr>
            <w:tcW w:w="4648" w:type="dxa"/>
            <w:noWrap/>
          </w:tcPr>
          <w:p w14:paraId="67225FDF" w14:textId="77777777" w:rsidR="00E86BE2" w:rsidRPr="0010524E" w:rsidRDefault="00E86BE2" w:rsidP="00E86BE2">
            <w:pPr>
              <w:jc w:val="both"/>
              <w:rPr>
                <w:rFonts w:cstheme="minorHAnsi"/>
                <w:sz w:val="24"/>
                <w:szCs w:val="24"/>
              </w:rPr>
            </w:pPr>
          </w:p>
        </w:tc>
      </w:tr>
      <w:tr w:rsidR="00E86BE2" w:rsidRPr="0010524E" w14:paraId="3333A040" w14:textId="1F1348E3" w:rsidTr="00E86BE2">
        <w:trPr>
          <w:trHeight w:val="290"/>
        </w:trPr>
        <w:tc>
          <w:tcPr>
            <w:tcW w:w="4815" w:type="dxa"/>
            <w:noWrap/>
          </w:tcPr>
          <w:p w14:paraId="49F492CE" w14:textId="03FCDFC3" w:rsidR="00E86BE2" w:rsidRPr="0010524E" w:rsidRDefault="00E86BE2" w:rsidP="00E86BE2">
            <w:pPr>
              <w:jc w:val="both"/>
              <w:rPr>
                <w:rFonts w:cstheme="minorHAnsi"/>
                <w:sz w:val="24"/>
                <w:szCs w:val="24"/>
              </w:rPr>
            </w:pPr>
            <w:bookmarkStart w:id="92" w:name="_Hlk138424510"/>
            <w:bookmarkEnd w:id="91"/>
            <w:r>
              <w:rPr>
                <w:rFonts w:cstheme="minorHAnsi"/>
                <w:sz w:val="24"/>
                <w:szCs w:val="24"/>
              </w:rPr>
              <w:lastRenderedPageBreak/>
              <w:t xml:space="preserve">X </w:t>
            </w:r>
            <w:r w:rsidRPr="0010524E">
              <w:rPr>
                <w:rFonts w:cstheme="minorHAnsi"/>
                <w:sz w:val="24"/>
                <w:szCs w:val="24"/>
              </w:rPr>
              <w:t xml:space="preserve">- expedir normas complementares a este Regimento e outros atos necessários ao regular andamento dos trabalhos; </w:t>
            </w:r>
          </w:p>
          <w:p w14:paraId="46B0D76E" w14:textId="77777777" w:rsidR="00E86BE2" w:rsidRPr="0010524E" w:rsidRDefault="00E86BE2" w:rsidP="00E86BE2">
            <w:pPr>
              <w:jc w:val="both"/>
              <w:rPr>
                <w:rFonts w:cstheme="minorHAnsi"/>
                <w:sz w:val="24"/>
                <w:szCs w:val="24"/>
              </w:rPr>
            </w:pPr>
          </w:p>
        </w:tc>
        <w:tc>
          <w:tcPr>
            <w:tcW w:w="4849" w:type="dxa"/>
            <w:noWrap/>
          </w:tcPr>
          <w:p w14:paraId="71E1F925" w14:textId="21EBB687"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X - expedir normas complementares a esta seção </w:t>
            </w:r>
            <w:r w:rsidRPr="0010524E">
              <w:rPr>
                <w:rFonts w:ascii="Calibri" w:eastAsia="Calibri" w:hAnsi="Calibri" w:cs="Calibri"/>
                <w:strike/>
                <w:sz w:val="24"/>
                <w:szCs w:val="24"/>
              </w:rPr>
              <w:t>este Regimento</w:t>
            </w:r>
            <w:r w:rsidRPr="0010524E">
              <w:rPr>
                <w:rFonts w:ascii="Calibri" w:eastAsia="Calibri" w:hAnsi="Calibri" w:cs="Calibri"/>
                <w:sz w:val="24"/>
                <w:szCs w:val="24"/>
              </w:rPr>
              <w:t xml:space="preserve"> e outros atos necessários ao regular andamento dos trabalhos; </w:t>
            </w:r>
          </w:p>
        </w:tc>
        <w:tc>
          <w:tcPr>
            <w:tcW w:w="4648" w:type="dxa"/>
            <w:noWrap/>
          </w:tcPr>
          <w:p w14:paraId="051FE227" w14:textId="77777777" w:rsidR="00E86BE2" w:rsidRPr="0010524E" w:rsidRDefault="00E86BE2" w:rsidP="00E86BE2">
            <w:pPr>
              <w:jc w:val="both"/>
              <w:rPr>
                <w:rFonts w:cstheme="minorHAnsi"/>
                <w:sz w:val="24"/>
                <w:szCs w:val="24"/>
              </w:rPr>
            </w:pPr>
          </w:p>
        </w:tc>
      </w:tr>
      <w:tr w:rsidR="00E86BE2" w:rsidRPr="0010524E" w14:paraId="6C8587BF" w14:textId="45FAC293" w:rsidTr="00E86BE2">
        <w:trPr>
          <w:trHeight w:val="290"/>
        </w:trPr>
        <w:tc>
          <w:tcPr>
            <w:tcW w:w="4815" w:type="dxa"/>
            <w:noWrap/>
          </w:tcPr>
          <w:p w14:paraId="75F9A44B" w14:textId="540FC072" w:rsidR="00E86BE2" w:rsidRPr="0010524E" w:rsidRDefault="00E86BE2" w:rsidP="00E86BE2">
            <w:pPr>
              <w:jc w:val="both"/>
              <w:rPr>
                <w:rFonts w:cstheme="minorHAnsi"/>
                <w:sz w:val="24"/>
                <w:szCs w:val="24"/>
              </w:rPr>
            </w:pPr>
            <w:bookmarkStart w:id="93" w:name="_Hlk138424513"/>
            <w:bookmarkEnd w:id="92"/>
            <w:r>
              <w:rPr>
                <w:rFonts w:cstheme="minorHAnsi"/>
                <w:sz w:val="24"/>
                <w:szCs w:val="24"/>
              </w:rPr>
              <w:t xml:space="preserve">XI </w:t>
            </w:r>
            <w:r w:rsidRPr="0010524E">
              <w:rPr>
                <w:rFonts w:cstheme="minorHAnsi"/>
                <w:sz w:val="24"/>
                <w:szCs w:val="24"/>
              </w:rPr>
              <w:t xml:space="preserve">- decidir sobre a idoneidade das justificativas apresentadas para os fins do disposto nos incisos I e II do art. 7º deste Regimento; </w:t>
            </w:r>
          </w:p>
          <w:p w14:paraId="0520D13A" w14:textId="77777777" w:rsidR="00E86BE2" w:rsidRPr="0010524E" w:rsidRDefault="00E86BE2" w:rsidP="00E86BE2">
            <w:pPr>
              <w:jc w:val="both"/>
              <w:rPr>
                <w:rFonts w:cstheme="minorHAnsi"/>
                <w:sz w:val="24"/>
                <w:szCs w:val="24"/>
              </w:rPr>
            </w:pPr>
          </w:p>
        </w:tc>
        <w:tc>
          <w:tcPr>
            <w:tcW w:w="4849" w:type="dxa"/>
            <w:noWrap/>
          </w:tcPr>
          <w:p w14:paraId="0F573A3E" w14:textId="6AC6301B"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XI - decidir sobre a idoneidade das justificativas apresentadas para os fins do disposto nos incisos I e II do art. 379 desta seção </w:t>
            </w:r>
            <w:r w:rsidRPr="0010524E">
              <w:rPr>
                <w:rFonts w:ascii="Calibri" w:eastAsia="Calibri" w:hAnsi="Calibri" w:cs="Calibri"/>
                <w:strike/>
                <w:sz w:val="24"/>
                <w:szCs w:val="24"/>
              </w:rPr>
              <w:t>deste Regimento</w:t>
            </w:r>
            <w:r w:rsidRPr="0010524E">
              <w:rPr>
                <w:rFonts w:ascii="Calibri" w:eastAsia="Calibri" w:hAnsi="Calibri" w:cs="Calibri"/>
                <w:sz w:val="24"/>
                <w:szCs w:val="24"/>
              </w:rPr>
              <w:t xml:space="preserve">; </w:t>
            </w:r>
          </w:p>
        </w:tc>
        <w:tc>
          <w:tcPr>
            <w:tcW w:w="4648" w:type="dxa"/>
            <w:noWrap/>
          </w:tcPr>
          <w:p w14:paraId="20620C7B" w14:textId="77777777" w:rsidR="00E86BE2" w:rsidRPr="0010524E" w:rsidRDefault="00E86BE2" w:rsidP="00E86BE2">
            <w:pPr>
              <w:jc w:val="both"/>
              <w:rPr>
                <w:rFonts w:cstheme="minorHAnsi"/>
                <w:sz w:val="24"/>
                <w:szCs w:val="24"/>
              </w:rPr>
            </w:pPr>
          </w:p>
        </w:tc>
      </w:tr>
      <w:tr w:rsidR="00E86BE2" w:rsidRPr="0010524E" w14:paraId="484F1AA4" w14:textId="7535CBD7" w:rsidTr="00E86BE2">
        <w:trPr>
          <w:trHeight w:val="290"/>
        </w:trPr>
        <w:tc>
          <w:tcPr>
            <w:tcW w:w="4815" w:type="dxa"/>
            <w:noWrap/>
          </w:tcPr>
          <w:p w14:paraId="4D519419" w14:textId="3A00857C" w:rsidR="00E86BE2" w:rsidRPr="0010524E" w:rsidRDefault="00E86BE2" w:rsidP="00E86BE2">
            <w:pPr>
              <w:jc w:val="both"/>
              <w:rPr>
                <w:rFonts w:cstheme="minorHAnsi"/>
                <w:sz w:val="24"/>
                <w:szCs w:val="24"/>
              </w:rPr>
            </w:pPr>
            <w:bookmarkStart w:id="94" w:name="_Hlk138424518"/>
            <w:bookmarkEnd w:id="93"/>
            <w:r>
              <w:rPr>
                <w:rFonts w:cstheme="minorHAnsi"/>
                <w:sz w:val="24"/>
                <w:szCs w:val="24"/>
              </w:rPr>
              <w:t xml:space="preserve">XII </w:t>
            </w:r>
            <w:r w:rsidRPr="0010524E">
              <w:rPr>
                <w:rFonts w:cstheme="minorHAnsi"/>
                <w:sz w:val="24"/>
                <w:szCs w:val="24"/>
              </w:rPr>
              <w:t xml:space="preserve">- delegar atribuições, a seu critério; e </w:t>
            </w:r>
          </w:p>
        </w:tc>
        <w:tc>
          <w:tcPr>
            <w:tcW w:w="4849" w:type="dxa"/>
            <w:noWrap/>
          </w:tcPr>
          <w:p w14:paraId="0A4C6CC3" w14:textId="50307E8F"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XII - delegar atribuições, a seu critério; e </w:t>
            </w:r>
          </w:p>
        </w:tc>
        <w:tc>
          <w:tcPr>
            <w:tcW w:w="4648" w:type="dxa"/>
            <w:noWrap/>
          </w:tcPr>
          <w:p w14:paraId="30F529BE" w14:textId="77777777" w:rsidR="00E86BE2" w:rsidRPr="0010524E" w:rsidRDefault="00E86BE2" w:rsidP="00E86BE2">
            <w:pPr>
              <w:jc w:val="both"/>
              <w:rPr>
                <w:rFonts w:cstheme="minorHAnsi"/>
                <w:sz w:val="24"/>
                <w:szCs w:val="24"/>
              </w:rPr>
            </w:pPr>
          </w:p>
        </w:tc>
      </w:tr>
      <w:tr w:rsidR="00E86BE2" w:rsidRPr="0010524E" w14:paraId="504E4942" w14:textId="6136E2CC" w:rsidTr="00E86BE2">
        <w:trPr>
          <w:trHeight w:val="290"/>
        </w:trPr>
        <w:tc>
          <w:tcPr>
            <w:tcW w:w="4815" w:type="dxa"/>
            <w:noWrap/>
          </w:tcPr>
          <w:p w14:paraId="0442CBD7" w14:textId="7EDC5804" w:rsidR="00E86BE2" w:rsidRPr="0010524E" w:rsidRDefault="00E86BE2" w:rsidP="00E86BE2">
            <w:pPr>
              <w:jc w:val="both"/>
              <w:rPr>
                <w:rFonts w:cstheme="minorHAnsi"/>
                <w:sz w:val="24"/>
                <w:szCs w:val="24"/>
              </w:rPr>
            </w:pPr>
            <w:bookmarkStart w:id="95" w:name="_Hlk138424521"/>
            <w:bookmarkEnd w:id="94"/>
            <w:r>
              <w:rPr>
                <w:rFonts w:cstheme="minorHAnsi"/>
                <w:sz w:val="24"/>
                <w:szCs w:val="24"/>
              </w:rPr>
              <w:t xml:space="preserve">XIII </w:t>
            </w:r>
            <w:r w:rsidRPr="0010524E">
              <w:rPr>
                <w:rFonts w:cstheme="minorHAnsi"/>
                <w:sz w:val="24"/>
                <w:szCs w:val="24"/>
              </w:rPr>
              <w:t xml:space="preserve">- executar outras atribuições constantes deste Regimento ou dele decorrentes. </w:t>
            </w:r>
          </w:p>
        </w:tc>
        <w:tc>
          <w:tcPr>
            <w:tcW w:w="4849" w:type="dxa"/>
            <w:noWrap/>
          </w:tcPr>
          <w:p w14:paraId="39275097" w14:textId="6F740C70"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XIII - executar outras atribuições constantes desta seção </w:t>
            </w:r>
            <w:r w:rsidRPr="0010524E">
              <w:rPr>
                <w:rFonts w:ascii="Calibri" w:eastAsia="Calibri" w:hAnsi="Calibri" w:cs="Calibri"/>
                <w:strike/>
                <w:sz w:val="24"/>
                <w:szCs w:val="24"/>
              </w:rPr>
              <w:t>deste Regimento</w:t>
            </w:r>
            <w:r w:rsidRPr="0010524E">
              <w:rPr>
                <w:rFonts w:ascii="Calibri" w:eastAsia="Calibri" w:hAnsi="Calibri" w:cs="Calibri"/>
                <w:sz w:val="24"/>
                <w:szCs w:val="24"/>
              </w:rPr>
              <w:t xml:space="preserve"> ou dele decorrentes. </w:t>
            </w:r>
          </w:p>
        </w:tc>
        <w:tc>
          <w:tcPr>
            <w:tcW w:w="4648" w:type="dxa"/>
            <w:noWrap/>
          </w:tcPr>
          <w:p w14:paraId="344B8587" w14:textId="77777777" w:rsidR="00E86BE2" w:rsidRPr="0010524E" w:rsidRDefault="00E86BE2" w:rsidP="00E86BE2">
            <w:pPr>
              <w:jc w:val="both"/>
              <w:rPr>
                <w:rFonts w:cstheme="minorHAnsi"/>
                <w:sz w:val="24"/>
                <w:szCs w:val="24"/>
              </w:rPr>
            </w:pPr>
          </w:p>
        </w:tc>
      </w:tr>
      <w:tr w:rsidR="00E86BE2" w:rsidRPr="0010524E" w14:paraId="0442A0CA" w14:textId="6351A6DE" w:rsidTr="00E86BE2">
        <w:trPr>
          <w:trHeight w:val="290"/>
        </w:trPr>
        <w:tc>
          <w:tcPr>
            <w:tcW w:w="4815" w:type="dxa"/>
            <w:noWrap/>
          </w:tcPr>
          <w:p w14:paraId="4CB41B8F" w14:textId="50E45639" w:rsidR="00E86BE2" w:rsidRPr="0010524E" w:rsidRDefault="00E86BE2" w:rsidP="00E86BE2">
            <w:pPr>
              <w:jc w:val="both"/>
              <w:rPr>
                <w:rFonts w:cstheme="minorHAnsi"/>
                <w:sz w:val="24"/>
                <w:szCs w:val="24"/>
              </w:rPr>
            </w:pPr>
            <w:bookmarkStart w:id="96" w:name="_Hlk138424526"/>
            <w:bookmarkEnd w:id="95"/>
            <w:r w:rsidRPr="0010524E">
              <w:rPr>
                <w:rFonts w:cstheme="minorHAnsi"/>
                <w:sz w:val="24"/>
                <w:szCs w:val="24"/>
              </w:rPr>
              <w:t>Art. 12. Incumbe aos membros da CNA:</w:t>
            </w:r>
          </w:p>
        </w:tc>
        <w:tc>
          <w:tcPr>
            <w:tcW w:w="4849" w:type="dxa"/>
            <w:noWrap/>
          </w:tcPr>
          <w:p w14:paraId="13B5E051" w14:textId="520E1262"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Art.  384. Incumbe aos membros da Comissão Nacional de Atuária: </w:t>
            </w:r>
          </w:p>
        </w:tc>
        <w:tc>
          <w:tcPr>
            <w:tcW w:w="4648" w:type="dxa"/>
            <w:noWrap/>
          </w:tcPr>
          <w:p w14:paraId="436B3E52" w14:textId="77777777" w:rsidR="00E86BE2" w:rsidRPr="0010524E" w:rsidRDefault="00E86BE2" w:rsidP="00E86BE2">
            <w:pPr>
              <w:jc w:val="both"/>
              <w:rPr>
                <w:rFonts w:cstheme="minorHAnsi"/>
                <w:sz w:val="24"/>
                <w:szCs w:val="24"/>
              </w:rPr>
            </w:pPr>
          </w:p>
        </w:tc>
      </w:tr>
      <w:tr w:rsidR="00E86BE2" w:rsidRPr="0010524E" w14:paraId="183E5EB0" w14:textId="75646AE0" w:rsidTr="00E86BE2">
        <w:trPr>
          <w:trHeight w:val="290"/>
        </w:trPr>
        <w:tc>
          <w:tcPr>
            <w:tcW w:w="4815" w:type="dxa"/>
            <w:noWrap/>
          </w:tcPr>
          <w:p w14:paraId="4511CA30" w14:textId="60B278F3" w:rsidR="00E86BE2" w:rsidRPr="0010524E" w:rsidRDefault="00E86BE2" w:rsidP="00E86BE2">
            <w:pPr>
              <w:jc w:val="both"/>
              <w:rPr>
                <w:rFonts w:cstheme="minorHAnsi"/>
                <w:sz w:val="24"/>
                <w:szCs w:val="24"/>
              </w:rPr>
            </w:pPr>
            <w:bookmarkStart w:id="97" w:name="_Hlk138424530"/>
            <w:bookmarkEnd w:id="96"/>
            <w:r>
              <w:rPr>
                <w:rFonts w:cstheme="minorHAnsi"/>
                <w:sz w:val="24"/>
                <w:szCs w:val="24"/>
              </w:rPr>
              <w:t xml:space="preserve">I </w:t>
            </w:r>
            <w:r w:rsidRPr="0010524E">
              <w:rPr>
                <w:rFonts w:cstheme="minorHAnsi"/>
                <w:sz w:val="24"/>
                <w:szCs w:val="24"/>
              </w:rPr>
              <w:t xml:space="preserve">- participar das reuniões ordinárias e extraordinárias da CNA; </w:t>
            </w:r>
          </w:p>
          <w:p w14:paraId="56865BD1" w14:textId="77777777" w:rsidR="00E86BE2" w:rsidRPr="0010524E" w:rsidRDefault="00E86BE2" w:rsidP="00E86BE2">
            <w:pPr>
              <w:jc w:val="both"/>
              <w:rPr>
                <w:rFonts w:cstheme="minorHAnsi"/>
                <w:sz w:val="24"/>
                <w:szCs w:val="24"/>
              </w:rPr>
            </w:pPr>
          </w:p>
        </w:tc>
        <w:tc>
          <w:tcPr>
            <w:tcW w:w="4849" w:type="dxa"/>
            <w:noWrap/>
          </w:tcPr>
          <w:p w14:paraId="713CD6BD" w14:textId="00E41073"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 - participar das reuniões ordinárias e extraordinárias da Comissão Nacional de Atuária; </w:t>
            </w:r>
          </w:p>
        </w:tc>
        <w:tc>
          <w:tcPr>
            <w:tcW w:w="4648" w:type="dxa"/>
            <w:noWrap/>
          </w:tcPr>
          <w:p w14:paraId="460711B0" w14:textId="77777777" w:rsidR="00E86BE2" w:rsidRPr="0010524E" w:rsidRDefault="00E86BE2" w:rsidP="00E86BE2">
            <w:pPr>
              <w:jc w:val="both"/>
              <w:rPr>
                <w:rFonts w:cstheme="minorHAnsi"/>
                <w:sz w:val="24"/>
                <w:szCs w:val="24"/>
              </w:rPr>
            </w:pPr>
          </w:p>
        </w:tc>
      </w:tr>
      <w:tr w:rsidR="00E86BE2" w:rsidRPr="0010524E" w14:paraId="61023D48" w14:textId="44C1B3B9" w:rsidTr="00E86BE2">
        <w:trPr>
          <w:trHeight w:val="290"/>
        </w:trPr>
        <w:tc>
          <w:tcPr>
            <w:tcW w:w="4815" w:type="dxa"/>
            <w:noWrap/>
          </w:tcPr>
          <w:p w14:paraId="7C787DED" w14:textId="0E43ACBE" w:rsidR="00E86BE2" w:rsidRPr="0010524E" w:rsidRDefault="00E86BE2" w:rsidP="00E86BE2">
            <w:pPr>
              <w:jc w:val="both"/>
              <w:rPr>
                <w:rFonts w:cstheme="minorHAnsi"/>
                <w:sz w:val="24"/>
                <w:szCs w:val="24"/>
              </w:rPr>
            </w:pPr>
            <w:bookmarkStart w:id="98" w:name="_Hlk138424540"/>
            <w:bookmarkEnd w:id="97"/>
            <w:r>
              <w:rPr>
                <w:rFonts w:cstheme="minorHAnsi"/>
                <w:sz w:val="24"/>
                <w:szCs w:val="24"/>
              </w:rPr>
              <w:t xml:space="preserve">II </w:t>
            </w:r>
            <w:r w:rsidRPr="0010524E">
              <w:rPr>
                <w:rFonts w:cstheme="minorHAnsi"/>
                <w:sz w:val="24"/>
                <w:szCs w:val="24"/>
              </w:rPr>
              <w:t xml:space="preserve">- comunicar ao seu respectivo suplente e à Secretaria-Executiva da CNA com razoável antecedência, a impossibilidade de comparecimento às reuniões; </w:t>
            </w:r>
          </w:p>
          <w:p w14:paraId="3583DF97" w14:textId="77777777" w:rsidR="00E86BE2" w:rsidRPr="0010524E" w:rsidRDefault="00E86BE2" w:rsidP="00E86BE2">
            <w:pPr>
              <w:jc w:val="both"/>
              <w:rPr>
                <w:rFonts w:cstheme="minorHAnsi"/>
                <w:sz w:val="24"/>
                <w:szCs w:val="24"/>
              </w:rPr>
            </w:pPr>
          </w:p>
        </w:tc>
        <w:tc>
          <w:tcPr>
            <w:tcW w:w="4849" w:type="dxa"/>
            <w:noWrap/>
          </w:tcPr>
          <w:p w14:paraId="4A0EB0FF" w14:textId="4857ACE5"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II - comunicar ao seu respectivo suplente e à Secretaria-Executiva da Comissão Nacional de Atuária com razoável antecedência, a impossibilidade de comparecimento às reuniões; </w:t>
            </w:r>
          </w:p>
        </w:tc>
        <w:tc>
          <w:tcPr>
            <w:tcW w:w="4648" w:type="dxa"/>
            <w:noWrap/>
          </w:tcPr>
          <w:p w14:paraId="30A9111C" w14:textId="77777777" w:rsidR="00E86BE2" w:rsidRPr="0010524E" w:rsidRDefault="00E86BE2" w:rsidP="00E86BE2">
            <w:pPr>
              <w:jc w:val="both"/>
              <w:rPr>
                <w:rFonts w:cstheme="minorHAnsi"/>
                <w:sz w:val="24"/>
                <w:szCs w:val="24"/>
              </w:rPr>
            </w:pPr>
          </w:p>
        </w:tc>
      </w:tr>
      <w:tr w:rsidR="00E86BE2" w:rsidRPr="0010524E" w14:paraId="6C4B1187" w14:textId="07F1BA83" w:rsidTr="00E86BE2">
        <w:trPr>
          <w:trHeight w:val="290"/>
        </w:trPr>
        <w:tc>
          <w:tcPr>
            <w:tcW w:w="4815" w:type="dxa"/>
            <w:noWrap/>
          </w:tcPr>
          <w:p w14:paraId="55398C37" w14:textId="32B7B0F4" w:rsidR="00E86BE2" w:rsidRPr="0010524E" w:rsidRDefault="00E86BE2" w:rsidP="00E86BE2">
            <w:pPr>
              <w:jc w:val="both"/>
              <w:rPr>
                <w:rFonts w:cstheme="minorHAnsi"/>
                <w:sz w:val="24"/>
                <w:szCs w:val="24"/>
              </w:rPr>
            </w:pPr>
            <w:bookmarkStart w:id="99" w:name="_Hlk138424545"/>
            <w:bookmarkEnd w:id="98"/>
            <w:r>
              <w:rPr>
                <w:rFonts w:cstheme="minorHAnsi"/>
                <w:sz w:val="24"/>
                <w:szCs w:val="24"/>
              </w:rPr>
              <w:t xml:space="preserve">III </w:t>
            </w:r>
            <w:r w:rsidRPr="0010524E">
              <w:rPr>
                <w:rFonts w:cstheme="minorHAnsi"/>
                <w:sz w:val="24"/>
                <w:szCs w:val="24"/>
              </w:rPr>
              <w:t xml:space="preserve">- cumprir, a tempo e modo, individual ou conjuntamente, as incumbências assumidas no âmbito da CNA, consistentes na execução de pesquisas, estudos, artigos, ensaios e outros trabalhos envolvendo a matéria atuarial; </w:t>
            </w:r>
          </w:p>
        </w:tc>
        <w:tc>
          <w:tcPr>
            <w:tcW w:w="4849" w:type="dxa"/>
            <w:noWrap/>
          </w:tcPr>
          <w:p w14:paraId="5D8AD257" w14:textId="6690B1F8"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III - cumprir, a tempo e modo, individual ou conjuntamente, as incumbências assumidas no âmbito da Comissão Nacional de Atuária, consistentes na execução de pesquisas, estudos, artigos, ensaios e outros trabalhos envolvendo a matéria atuarial; </w:t>
            </w:r>
          </w:p>
        </w:tc>
        <w:tc>
          <w:tcPr>
            <w:tcW w:w="4648" w:type="dxa"/>
            <w:noWrap/>
          </w:tcPr>
          <w:p w14:paraId="31B4486B" w14:textId="77777777" w:rsidR="00E86BE2" w:rsidRPr="0010524E" w:rsidRDefault="00E86BE2" w:rsidP="00E86BE2">
            <w:pPr>
              <w:jc w:val="both"/>
              <w:rPr>
                <w:rFonts w:cstheme="minorHAnsi"/>
                <w:sz w:val="24"/>
                <w:szCs w:val="24"/>
              </w:rPr>
            </w:pPr>
          </w:p>
        </w:tc>
      </w:tr>
      <w:tr w:rsidR="00E86BE2" w:rsidRPr="0010524E" w14:paraId="362AAEE4" w14:textId="39C03D69" w:rsidTr="00E86BE2">
        <w:trPr>
          <w:trHeight w:val="290"/>
        </w:trPr>
        <w:tc>
          <w:tcPr>
            <w:tcW w:w="4815" w:type="dxa"/>
            <w:noWrap/>
          </w:tcPr>
          <w:p w14:paraId="0279F7E7" w14:textId="4253425F" w:rsidR="00E86BE2" w:rsidRPr="0010524E" w:rsidRDefault="00E86BE2" w:rsidP="00E86BE2">
            <w:pPr>
              <w:jc w:val="both"/>
              <w:rPr>
                <w:rFonts w:cstheme="minorHAnsi"/>
                <w:sz w:val="24"/>
                <w:szCs w:val="24"/>
              </w:rPr>
            </w:pPr>
            <w:bookmarkStart w:id="100" w:name="_Hlk138424548"/>
            <w:bookmarkEnd w:id="99"/>
            <w:r>
              <w:rPr>
                <w:rFonts w:cstheme="minorHAnsi"/>
                <w:sz w:val="24"/>
                <w:szCs w:val="24"/>
              </w:rPr>
              <w:lastRenderedPageBreak/>
              <w:t xml:space="preserve">IV </w:t>
            </w:r>
            <w:r w:rsidRPr="0010524E">
              <w:rPr>
                <w:rFonts w:cstheme="minorHAnsi"/>
                <w:sz w:val="24"/>
                <w:szCs w:val="24"/>
              </w:rPr>
              <w:t xml:space="preserve">- votar nas deliberações colegiadas; </w:t>
            </w:r>
          </w:p>
          <w:p w14:paraId="1C28037B" w14:textId="77777777" w:rsidR="00E86BE2" w:rsidRPr="0010524E" w:rsidRDefault="00E86BE2" w:rsidP="00E86BE2">
            <w:pPr>
              <w:jc w:val="both"/>
              <w:rPr>
                <w:rFonts w:cstheme="minorHAnsi"/>
                <w:sz w:val="24"/>
                <w:szCs w:val="24"/>
              </w:rPr>
            </w:pPr>
          </w:p>
        </w:tc>
        <w:tc>
          <w:tcPr>
            <w:tcW w:w="4849" w:type="dxa"/>
            <w:noWrap/>
          </w:tcPr>
          <w:p w14:paraId="1ADC91BE" w14:textId="58086829"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IV - votar nas deliberações colegiadas; </w:t>
            </w:r>
          </w:p>
        </w:tc>
        <w:tc>
          <w:tcPr>
            <w:tcW w:w="4648" w:type="dxa"/>
            <w:noWrap/>
          </w:tcPr>
          <w:p w14:paraId="1ACFEFAE" w14:textId="77777777" w:rsidR="00E86BE2" w:rsidRPr="0010524E" w:rsidRDefault="00E86BE2" w:rsidP="00E86BE2">
            <w:pPr>
              <w:jc w:val="both"/>
              <w:rPr>
                <w:rFonts w:cstheme="minorHAnsi"/>
                <w:sz w:val="24"/>
                <w:szCs w:val="24"/>
              </w:rPr>
            </w:pPr>
          </w:p>
        </w:tc>
      </w:tr>
      <w:tr w:rsidR="00E86BE2" w:rsidRPr="0010524E" w14:paraId="6A478880" w14:textId="7B1036B0" w:rsidTr="00E86BE2">
        <w:trPr>
          <w:trHeight w:val="290"/>
        </w:trPr>
        <w:tc>
          <w:tcPr>
            <w:tcW w:w="4815" w:type="dxa"/>
            <w:noWrap/>
          </w:tcPr>
          <w:p w14:paraId="3E80656C" w14:textId="4AFD1131" w:rsidR="00E86BE2" w:rsidRPr="0010524E" w:rsidRDefault="00E86BE2" w:rsidP="00E86BE2">
            <w:pPr>
              <w:jc w:val="both"/>
              <w:rPr>
                <w:rFonts w:cstheme="minorHAnsi"/>
                <w:sz w:val="24"/>
                <w:szCs w:val="24"/>
              </w:rPr>
            </w:pPr>
            <w:bookmarkStart w:id="101" w:name="_Hlk138424553"/>
            <w:bookmarkEnd w:id="100"/>
            <w:r>
              <w:rPr>
                <w:rFonts w:cstheme="minorHAnsi"/>
                <w:sz w:val="24"/>
                <w:szCs w:val="24"/>
              </w:rPr>
              <w:t xml:space="preserve">V </w:t>
            </w:r>
            <w:r w:rsidRPr="0010524E">
              <w:rPr>
                <w:rFonts w:cstheme="minorHAnsi"/>
                <w:sz w:val="24"/>
                <w:szCs w:val="24"/>
              </w:rPr>
              <w:t>- apresentar ao colegiado propostas de temas a serem abordados pela CNA;</w:t>
            </w:r>
          </w:p>
          <w:p w14:paraId="5EBFACCF" w14:textId="77777777" w:rsidR="00E86BE2" w:rsidRPr="0010524E" w:rsidRDefault="00E86BE2" w:rsidP="00E86BE2">
            <w:pPr>
              <w:jc w:val="both"/>
              <w:rPr>
                <w:rFonts w:cstheme="minorHAnsi"/>
                <w:sz w:val="24"/>
                <w:szCs w:val="24"/>
              </w:rPr>
            </w:pPr>
          </w:p>
        </w:tc>
        <w:tc>
          <w:tcPr>
            <w:tcW w:w="4849" w:type="dxa"/>
            <w:noWrap/>
          </w:tcPr>
          <w:p w14:paraId="1D63F4E6" w14:textId="5590CA67"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 - apresentar ao colegiado propostas de temas a serem abordados pela Comissão Nacional de Atuária; </w:t>
            </w:r>
          </w:p>
        </w:tc>
        <w:tc>
          <w:tcPr>
            <w:tcW w:w="4648" w:type="dxa"/>
            <w:noWrap/>
          </w:tcPr>
          <w:p w14:paraId="1EB6EA4F" w14:textId="77777777" w:rsidR="00E86BE2" w:rsidRPr="0010524E" w:rsidRDefault="00E86BE2" w:rsidP="00E86BE2">
            <w:pPr>
              <w:jc w:val="both"/>
              <w:rPr>
                <w:rFonts w:cstheme="minorHAnsi"/>
                <w:sz w:val="24"/>
                <w:szCs w:val="24"/>
              </w:rPr>
            </w:pPr>
          </w:p>
        </w:tc>
      </w:tr>
      <w:tr w:rsidR="00E86BE2" w:rsidRPr="0010524E" w14:paraId="3D62EAF6" w14:textId="3388CD9F" w:rsidTr="00E86BE2">
        <w:trPr>
          <w:trHeight w:val="290"/>
        </w:trPr>
        <w:tc>
          <w:tcPr>
            <w:tcW w:w="4815" w:type="dxa"/>
            <w:noWrap/>
          </w:tcPr>
          <w:p w14:paraId="554C925B" w14:textId="71B8B7C4" w:rsidR="00E86BE2" w:rsidRPr="0010524E" w:rsidRDefault="00E86BE2" w:rsidP="00E86BE2">
            <w:pPr>
              <w:jc w:val="both"/>
              <w:rPr>
                <w:rFonts w:cstheme="minorHAnsi"/>
                <w:sz w:val="24"/>
                <w:szCs w:val="24"/>
              </w:rPr>
            </w:pPr>
            <w:bookmarkStart w:id="102" w:name="_Hlk138424557"/>
            <w:bookmarkEnd w:id="101"/>
            <w:r>
              <w:rPr>
                <w:rFonts w:cstheme="minorHAnsi"/>
                <w:sz w:val="24"/>
                <w:szCs w:val="24"/>
              </w:rPr>
              <w:t xml:space="preserve">VI </w:t>
            </w:r>
            <w:r w:rsidRPr="0010524E">
              <w:rPr>
                <w:rFonts w:cstheme="minorHAnsi"/>
                <w:sz w:val="24"/>
                <w:szCs w:val="24"/>
              </w:rPr>
              <w:t xml:space="preserve">- propor a participação de convidados no âmbito da CNA; </w:t>
            </w:r>
          </w:p>
          <w:p w14:paraId="7597908F" w14:textId="77777777" w:rsidR="00E86BE2" w:rsidRPr="0010524E" w:rsidRDefault="00E86BE2" w:rsidP="00E86BE2">
            <w:pPr>
              <w:jc w:val="both"/>
              <w:rPr>
                <w:rFonts w:cstheme="minorHAnsi"/>
                <w:sz w:val="24"/>
                <w:szCs w:val="24"/>
              </w:rPr>
            </w:pPr>
          </w:p>
        </w:tc>
        <w:tc>
          <w:tcPr>
            <w:tcW w:w="4849" w:type="dxa"/>
            <w:noWrap/>
          </w:tcPr>
          <w:p w14:paraId="3D7AA16E" w14:textId="2EB1C5A2"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VI - propor a participação de convidados no âmbito da Comissão Nacional de Atuária; </w:t>
            </w:r>
          </w:p>
        </w:tc>
        <w:tc>
          <w:tcPr>
            <w:tcW w:w="4648" w:type="dxa"/>
            <w:noWrap/>
          </w:tcPr>
          <w:p w14:paraId="248FD81F" w14:textId="77777777" w:rsidR="00E86BE2" w:rsidRPr="0010524E" w:rsidRDefault="00E86BE2" w:rsidP="00E86BE2">
            <w:pPr>
              <w:jc w:val="both"/>
              <w:rPr>
                <w:rFonts w:cstheme="minorHAnsi"/>
                <w:sz w:val="24"/>
                <w:szCs w:val="24"/>
              </w:rPr>
            </w:pPr>
          </w:p>
        </w:tc>
      </w:tr>
      <w:tr w:rsidR="00E86BE2" w:rsidRPr="0010524E" w14:paraId="2D06B087" w14:textId="4E90FA07" w:rsidTr="00E86BE2">
        <w:trPr>
          <w:trHeight w:val="290"/>
        </w:trPr>
        <w:tc>
          <w:tcPr>
            <w:tcW w:w="4815" w:type="dxa"/>
            <w:noWrap/>
          </w:tcPr>
          <w:p w14:paraId="16DCC712" w14:textId="77777777" w:rsidR="00E86BE2" w:rsidRPr="0010524E" w:rsidRDefault="00E86BE2" w:rsidP="00E86BE2">
            <w:pPr>
              <w:jc w:val="both"/>
              <w:rPr>
                <w:rFonts w:cstheme="minorHAnsi"/>
                <w:sz w:val="24"/>
                <w:szCs w:val="24"/>
              </w:rPr>
            </w:pPr>
            <w:bookmarkStart w:id="103" w:name="_Hlk138424569"/>
            <w:bookmarkEnd w:id="102"/>
          </w:p>
          <w:p w14:paraId="2ECDC000" w14:textId="102C9189" w:rsidR="00E86BE2" w:rsidRPr="0010524E" w:rsidRDefault="00E86BE2" w:rsidP="00E86BE2">
            <w:pPr>
              <w:jc w:val="both"/>
              <w:rPr>
                <w:rFonts w:cstheme="minorHAnsi"/>
                <w:sz w:val="24"/>
                <w:szCs w:val="24"/>
              </w:rPr>
            </w:pPr>
            <w:r>
              <w:rPr>
                <w:rFonts w:cstheme="minorHAnsi"/>
                <w:sz w:val="24"/>
                <w:szCs w:val="24"/>
              </w:rPr>
              <w:t xml:space="preserve">VII </w:t>
            </w:r>
            <w:r w:rsidRPr="0010524E">
              <w:rPr>
                <w:rFonts w:cstheme="minorHAnsi"/>
                <w:sz w:val="24"/>
                <w:szCs w:val="24"/>
              </w:rPr>
              <w:t xml:space="preserve">- requerer, justificadamente, dilação de prazo para apresentação de tarefa a seu cargo; </w:t>
            </w:r>
          </w:p>
          <w:p w14:paraId="264B9E43" w14:textId="77777777" w:rsidR="00E86BE2" w:rsidRPr="0010524E" w:rsidRDefault="00E86BE2" w:rsidP="00E86BE2">
            <w:pPr>
              <w:jc w:val="both"/>
              <w:rPr>
                <w:rFonts w:cstheme="minorHAnsi"/>
                <w:sz w:val="24"/>
                <w:szCs w:val="24"/>
              </w:rPr>
            </w:pPr>
          </w:p>
        </w:tc>
        <w:tc>
          <w:tcPr>
            <w:tcW w:w="4849" w:type="dxa"/>
            <w:noWrap/>
          </w:tcPr>
          <w:p w14:paraId="48A2B0C3" w14:textId="74F7A71F"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VII - requerer, justificadamente, dilação de prazo para apresentação de tarefa a seu cargo; </w:t>
            </w:r>
          </w:p>
        </w:tc>
        <w:tc>
          <w:tcPr>
            <w:tcW w:w="4648" w:type="dxa"/>
            <w:noWrap/>
          </w:tcPr>
          <w:p w14:paraId="24640AFF" w14:textId="77777777" w:rsidR="00E86BE2" w:rsidRPr="0010524E" w:rsidRDefault="00E86BE2" w:rsidP="00E86BE2">
            <w:pPr>
              <w:jc w:val="both"/>
              <w:rPr>
                <w:rFonts w:cstheme="minorHAnsi"/>
                <w:sz w:val="24"/>
                <w:szCs w:val="24"/>
              </w:rPr>
            </w:pPr>
          </w:p>
        </w:tc>
      </w:tr>
      <w:tr w:rsidR="00E86BE2" w:rsidRPr="0010524E" w14:paraId="6559AC1B" w14:textId="3D144063" w:rsidTr="00E86BE2">
        <w:trPr>
          <w:trHeight w:val="290"/>
        </w:trPr>
        <w:tc>
          <w:tcPr>
            <w:tcW w:w="4815" w:type="dxa"/>
            <w:noWrap/>
          </w:tcPr>
          <w:p w14:paraId="79B9FF81" w14:textId="01FAE3B1" w:rsidR="00E86BE2" w:rsidRPr="0010524E" w:rsidRDefault="00E86BE2" w:rsidP="00E86BE2">
            <w:pPr>
              <w:jc w:val="both"/>
              <w:rPr>
                <w:rFonts w:cstheme="minorHAnsi"/>
                <w:sz w:val="24"/>
                <w:szCs w:val="24"/>
              </w:rPr>
            </w:pPr>
            <w:bookmarkStart w:id="104" w:name="_Hlk138424574"/>
            <w:bookmarkEnd w:id="103"/>
            <w:r>
              <w:rPr>
                <w:rFonts w:cstheme="minorHAnsi"/>
                <w:sz w:val="24"/>
                <w:szCs w:val="24"/>
              </w:rPr>
              <w:t xml:space="preserve">VIII </w:t>
            </w:r>
            <w:r w:rsidRPr="0010524E">
              <w:rPr>
                <w:rFonts w:cstheme="minorHAnsi"/>
                <w:sz w:val="24"/>
                <w:szCs w:val="24"/>
              </w:rPr>
              <w:t xml:space="preserve">- conduzir-se conforme o Código de Ética Profissional do Atuário, aprovado pelo Instituto Brasileiro de Atuária - IBA em 22 de fevereiro de 1989, no que for compatível com o exercício do mandato na CNA; e </w:t>
            </w:r>
          </w:p>
        </w:tc>
        <w:tc>
          <w:tcPr>
            <w:tcW w:w="4849" w:type="dxa"/>
            <w:noWrap/>
          </w:tcPr>
          <w:p w14:paraId="64881AA6" w14:textId="5BD35735"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VIII - conduzir-se conforme o Código de Ética Profissional do Atuário, aprovado pelo Instituto Brasileiro de Atuária - IBA em 22 de fevereiro de 1989, no que for compatível com o exercício do mandato na Comissão Nacional de Atuária; e </w:t>
            </w:r>
          </w:p>
        </w:tc>
        <w:tc>
          <w:tcPr>
            <w:tcW w:w="4648" w:type="dxa"/>
            <w:noWrap/>
          </w:tcPr>
          <w:p w14:paraId="54734638" w14:textId="77777777" w:rsidR="00E86BE2" w:rsidRPr="0010524E" w:rsidRDefault="00E86BE2" w:rsidP="00E86BE2">
            <w:pPr>
              <w:jc w:val="both"/>
              <w:rPr>
                <w:rFonts w:cstheme="minorHAnsi"/>
                <w:sz w:val="24"/>
                <w:szCs w:val="24"/>
              </w:rPr>
            </w:pPr>
          </w:p>
        </w:tc>
      </w:tr>
      <w:tr w:rsidR="00E86BE2" w:rsidRPr="0010524E" w14:paraId="718FF2B2" w14:textId="37C22A5D" w:rsidTr="00E86BE2">
        <w:trPr>
          <w:trHeight w:val="290"/>
        </w:trPr>
        <w:tc>
          <w:tcPr>
            <w:tcW w:w="4815" w:type="dxa"/>
            <w:noWrap/>
          </w:tcPr>
          <w:p w14:paraId="3C2C78E0" w14:textId="7A57FC8A" w:rsidR="00E86BE2" w:rsidRPr="0010524E" w:rsidRDefault="00E86BE2" w:rsidP="00E86BE2">
            <w:pPr>
              <w:jc w:val="both"/>
              <w:rPr>
                <w:rFonts w:cstheme="minorHAnsi"/>
                <w:sz w:val="24"/>
                <w:szCs w:val="24"/>
              </w:rPr>
            </w:pPr>
            <w:bookmarkStart w:id="105" w:name="_Hlk138424578"/>
            <w:bookmarkEnd w:id="104"/>
            <w:r>
              <w:rPr>
                <w:rFonts w:cstheme="minorHAnsi"/>
                <w:sz w:val="24"/>
                <w:szCs w:val="24"/>
              </w:rPr>
              <w:t xml:space="preserve">IX </w:t>
            </w:r>
            <w:r w:rsidRPr="0010524E">
              <w:rPr>
                <w:rFonts w:cstheme="minorHAnsi"/>
                <w:sz w:val="24"/>
                <w:szCs w:val="24"/>
              </w:rPr>
              <w:t>- executar outras atribuições constantes deste Regimento ou dele decorrentes</w:t>
            </w:r>
          </w:p>
        </w:tc>
        <w:tc>
          <w:tcPr>
            <w:tcW w:w="4849" w:type="dxa"/>
            <w:noWrap/>
          </w:tcPr>
          <w:p w14:paraId="112606E4" w14:textId="11B3AF57"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IX - executar outras atribuições constantes desta seção </w:t>
            </w:r>
            <w:r w:rsidRPr="0010524E">
              <w:rPr>
                <w:rFonts w:ascii="Calibri" w:eastAsia="Calibri" w:hAnsi="Calibri" w:cs="Calibri"/>
                <w:strike/>
                <w:sz w:val="24"/>
                <w:szCs w:val="24"/>
              </w:rPr>
              <w:t>deste Regimento</w:t>
            </w:r>
            <w:r w:rsidRPr="0010524E">
              <w:rPr>
                <w:rFonts w:ascii="Calibri" w:eastAsia="Calibri" w:hAnsi="Calibri" w:cs="Calibri"/>
                <w:sz w:val="24"/>
                <w:szCs w:val="24"/>
              </w:rPr>
              <w:t xml:space="preserve"> ou dele decorrentes.</w:t>
            </w:r>
          </w:p>
        </w:tc>
        <w:tc>
          <w:tcPr>
            <w:tcW w:w="4648" w:type="dxa"/>
            <w:noWrap/>
          </w:tcPr>
          <w:p w14:paraId="7AE30050" w14:textId="77777777" w:rsidR="00E86BE2" w:rsidRPr="0010524E" w:rsidRDefault="00E86BE2" w:rsidP="00E86BE2">
            <w:pPr>
              <w:jc w:val="both"/>
              <w:rPr>
                <w:rFonts w:cstheme="minorHAnsi"/>
                <w:sz w:val="24"/>
                <w:szCs w:val="24"/>
              </w:rPr>
            </w:pPr>
          </w:p>
        </w:tc>
      </w:tr>
      <w:tr w:rsidR="00E86BE2" w:rsidRPr="0010524E" w14:paraId="51FD8B4A" w14:textId="62563FE0" w:rsidTr="00E86BE2">
        <w:trPr>
          <w:trHeight w:val="290"/>
        </w:trPr>
        <w:tc>
          <w:tcPr>
            <w:tcW w:w="4815" w:type="dxa"/>
            <w:noWrap/>
          </w:tcPr>
          <w:p w14:paraId="5AD7087F" w14:textId="1C803099" w:rsidR="00E86BE2" w:rsidRPr="0010524E" w:rsidRDefault="00E86BE2" w:rsidP="00E86BE2">
            <w:pPr>
              <w:jc w:val="both"/>
              <w:rPr>
                <w:rFonts w:cstheme="minorHAnsi"/>
                <w:sz w:val="24"/>
                <w:szCs w:val="24"/>
              </w:rPr>
            </w:pPr>
            <w:bookmarkStart w:id="106" w:name="_Hlk138424583"/>
            <w:bookmarkEnd w:id="105"/>
            <w:r w:rsidRPr="0010524E">
              <w:rPr>
                <w:rFonts w:cstheme="minorHAnsi"/>
                <w:sz w:val="24"/>
                <w:szCs w:val="24"/>
              </w:rPr>
              <w:t xml:space="preserve">Art. 13. Incumbe à Secretaria-Executiva da CNA: </w:t>
            </w:r>
          </w:p>
        </w:tc>
        <w:tc>
          <w:tcPr>
            <w:tcW w:w="4849" w:type="dxa"/>
            <w:noWrap/>
          </w:tcPr>
          <w:p w14:paraId="3E90DA7B" w14:textId="355A6211"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Art.  385. Incumbe à Secretaria-Executiva da Comissão Nacional de Atuária: </w:t>
            </w:r>
          </w:p>
        </w:tc>
        <w:tc>
          <w:tcPr>
            <w:tcW w:w="4648" w:type="dxa"/>
            <w:noWrap/>
          </w:tcPr>
          <w:p w14:paraId="561A8217" w14:textId="77777777" w:rsidR="00E86BE2" w:rsidRPr="0010524E" w:rsidRDefault="00E86BE2" w:rsidP="00E86BE2">
            <w:pPr>
              <w:jc w:val="both"/>
              <w:rPr>
                <w:rFonts w:cstheme="minorHAnsi"/>
                <w:sz w:val="24"/>
                <w:szCs w:val="24"/>
              </w:rPr>
            </w:pPr>
          </w:p>
        </w:tc>
      </w:tr>
      <w:tr w:rsidR="00E86BE2" w:rsidRPr="0010524E" w14:paraId="15C56420" w14:textId="44EB64AD" w:rsidTr="00E86BE2">
        <w:trPr>
          <w:trHeight w:val="290"/>
        </w:trPr>
        <w:tc>
          <w:tcPr>
            <w:tcW w:w="4815" w:type="dxa"/>
            <w:noWrap/>
          </w:tcPr>
          <w:p w14:paraId="45F7F4B2" w14:textId="3049A01F" w:rsidR="00E86BE2" w:rsidRPr="0010524E" w:rsidRDefault="00E86BE2" w:rsidP="00E86BE2">
            <w:pPr>
              <w:jc w:val="both"/>
              <w:rPr>
                <w:rFonts w:cstheme="minorHAnsi"/>
                <w:sz w:val="24"/>
                <w:szCs w:val="24"/>
              </w:rPr>
            </w:pPr>
            <w:bookmarkStart w:id="107" w:name="_Hlk138424587"/>
            <w:bookmarkEnd w:id="106"/>
            <w:r>
              <w:rPr>
                <w:rFonts w:cstheme="minorHAnsi"/>
                <w:sz w:val="24"/>
                <w:szCs w:val="24"/>
              </w:rPr>
              <w:t xml:space="preserve">I </w:t>
            </w:r>
            <w:r w:rsidRPr="0010524E">
              <w:rPr>
                <w:rFonts w:cstheme="minorHAnsi"/>
                <w:sz w:val="24"/>
                <w:szCs w:val="24"/>
              </w:rPr>
              <w:t xml:space="preserve">- organizar as reuniões, elaborando a pauta dos trabalhos e disponibilizando aos membros todo o material que nelas será apreciado; </w:t>
            </w:r>
          </w:p>
          <w:p w14:paraId="5473385D" w14:textId="77777777" w:rsidR="00E86BE2" w:rsidRPr="0010524E" w:rsidRDefault="00E86BE2" w:rsidP="00E86BE2">
            <w:pPr>
              <w:jc w:val="both"/>
              <w:rPr>
                <w:rFonts w:cstheme="minorHAnsi"/>
                <w:sz w:val="24"/>
                <w:szCs w:val="24"/>
              </w:rPr>
            </w:pPr>
          </w:p>
        </w:tc>
        <w:tc>
          <w:tcPr>
            <w:tcW w:w="4849" w:type="dxa"/>
            <w:noWrap/>
          </w:tcPr>
          <w:p w14:paraId="6C1ACDA1" w14:textId="6770E843"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 - organizar as reuniões, elaborando a pauta dos trabalhos e disponibilizando aos membros todo o material que nelas será apreciado; </w:t>
            </w:r>
          </w:p>
        </w:tc>
        <w:tc>
          <w:tcPr>
            <w:tcW w:w="4648" w:type="dxa"/>
            <w:noWrap/>
          </w:tcPr>
          <w:p w14:paraId="5B4F8C47" w14:textId="77777777" w:rsidR="00E86BE2" w:rsidRPr="0010524E" w:rsidRDefault="00E86BE2" w:rsidP="00E86BE2">
            <w:pPr>
              <w:jc w:val="both"/>
              <w:rPr>
                <w:rFonts w:cstheme="minorHAnsi"/>
                <w:sz w:val="24"/>
                <w:szCs w:val="24"/>
              </w:rPr>
            </w:pPr>
          </w:p>
        </w:tc>
      </w:tr>
      <w:tr w:rsidR="00E86BE2" w:rsidRPr="0010524E" w14:paraId="3CE87F01" w14:textId="38F39E61" w:rsidTr="00E86BE2">
        <w:trPr>
          <w:trHeight w:val="290"/>
        </w:trPr>
        <w:tc>
          <w:tcPr>
            <w:tcW w:w="4815" w:type="dxa"/>
            <w:noWrap/>
          </w:tcPr>
          <w:p w14:paraId="79546FC2" w14:textId="675751D9" w:rsidR="00E86BE2" w:rsidRPr="0010524E" w:rsidRDefault="00E86BE2" w:rsidP="00E86BE2">
            <w:pPr>
              <w:jc w:val="both"/>
              <w:rPr>
                <w:rFonts w:cstheme="minorHAnsi"/>
                <w:sz w:val="24"/>
                <w:szCs w:val="24"/>
              </w:rPr>
            </w:pPr>
            <w:bookmarkStart w:id="108" w:name="_Hlk138424591"/>
            <w:bookmarkEnd w:id="107"/>
            <w:r>
              <w:rPr>
                <w:rFonts w:cstheme="minorHAnsi"/>
                <w:sz w:val="24"/>
                <w:szCs w:val="24"/>
              </w:rPr>
              <w:t xml:space="preserve">II </w:t>
            </w:r>
            <w:r w:rsidRPr="0010524E">
              <w:rPr>
                <w:rFonts w:cstheme="minorHAnsi"/>
                <w:sz w:val="24"/>
                <w:szCs w:val="24"/>
              </w:rPr>
              <w:t xml:space="preserve">- comunicar aos membros, titulares e suplentes, a data, a hora e o local das reuniões ordinárias e extraordinárias; </w:t>
            </w:r>
          </w:p>
          <w:p w14:paraId="37506827" w14:textId="77777777" w:rsidR="00E86BE2" w:rsidRPr="0010524E" w:rsidRDefault="00E86BE2" w:rsidP="00E86BE2">
            <w:pPr>
              <w:jc w:val="both"/>
              <w:rPr>
                <w:rFonts w:cstheme="minorHAnsi"/>
                <w:sz w:val="24"/>
                <w:szCs w:val="24"/>
              </w:rPr>
            </w:pPr>
          </w:p>
        </w:tc>
        <w:tc>
          <w:tcPr>
            <w:tcW w:w="4849" w:type="dxa"/>
            <w:noWrap/>
          </w:tcPr>
          <w:p w14:paraId="1D6F7EB1" w14:textId="718B341E" w:rsidR="00E86BE2" w:rsidRPr="0010524E" w:rsidRDefault="00E86BE2" w:rsidP="00E86BE2">
            <w:pPr>
              <w:jc w:val="both"/>
              <w:rPr>
                <w:rFonts w:cstheme="minorHAnsi"/>
                <w:sz w:val="24"/>
                <w:szCs w:val="24"/>
              </w:rPr>
            </w:pPr>
            <w:r w:rsidRPr="0010524E">
              <w:rPr>
                <w:rFonts w:ascii="Calibri" w:eastAsia="Calibri" w:hAnsi="Calibri" w:cs="Calibri"/>
                <w:sz w:val="24"/>
                <w:szCs w:val="24"/>
              </w:rPr>
              <w:lastRenderedPageBreak/>
              <w:t xml:space="preserve">II - comunicar aos membros, titulares e suplentes, a data, a hora e o local das reuniões ordinárias e extraordinárias; </w:t>
            </w:r>
          </w:p>
        </w:tc>
        <w:tc>
          <w:tcPr>
            <w:tcW w:w="4648" w:type="dxa"/>
            <w:noWrap/>
          </w:tcPr>
          <w:p w14:paraId="595C16EE" w14:textId="77777777" w:rsidR="00E86BE2" w:rsidRPr="0010524E" w:rsidRDefault="00E86BE2" w:rsidP="00E86BE2">
            <w:pPr>
              <w:jc w:val="both"/>
              <w:rPr>
                <w:rFonts w:cstheme="minorHAnsi"/>
                <w:sz w:val="24"/>
                <w:szCs w:val="24"/>
              </w:rPr>
            </w:pPr>
          </w:p>
        </w:tc>
      </w:tr>
      <w:bookmarkEnd w:id="108"/>
      <w:tr w:rsidR="00E86BE2" w:rsidRPr="0010524E" w14:paraId="6ED64B1E" w14:textId="7AEC6710" w:rsidTr="00E86BE2">
        <w:trPr>
          <w:trHeight w:val="290"/>
        </w:trPr>
        <w:tc>
          <w:tcPr>
            <w:tcW w:w="4815" w:type="dxa"/>
            <w:noWrap/>
          </w:tcPr>
          <w:p w14:paraId="3E5D1B56" w14:textId="630CB267" w:rsidR="00E86BE2" w:rsidRPr="0010524E" w:rsidRDefault="00E86BE2" w:rsidP="00E86BE2">
            <w:pPr>
              <w:jc w:val="both"/>
              <w:rPr>
                <w:rFonts w:cstheme="minorHAnsi"/>
                <w:sz w:val="24"/>
                <w:szCs w:val="24"/>
              </w:rPr>
            </w:pPr>
            <w:r>
              <w:rPr>
                <w:rFonts w:cstheme="minorHAnsi"/>
                <w:sz w:val="24"/>
                <w:szCs w:val="24"/>
              </w:rPr>
              <w:t xml:space="preserve">III </w:t>
            </w:r>
            <w:r w:rsidRPr="0010524E">
              <w:rPr>
                <w:rFonts w:cstheme="minorHAnsi"/>
                <w:sz w:val="24"/>
                <w:szCs w:val="24"/>
              </w:rPr>
              <w:t xml:space="preserve">- articular-se com os membros e coordenadores das subcomissões, visando a integração de suas atividades e o exercício de suas competências; </w:t>
            </w:r>
          </w:p>
          <w:p w14:paraId="14EE8125" w14:textId="77777777" w:rsidR="00E86BE2" w:rsidRPr="0010524E" w:rsidRDefault="00E86BE2" w:rsidP="00E86BE2">
            <w:pPr>
              <w:jc w:val="both"/>
              <w:rPr>
                <w:rFonts w:cstheme="minorHAnsi"/>
                <w:sz w:val="24"/>
                <w:szCs w:val="24"/>
              </w:rPr>
            </w:pPr>
          </w:p>
        </w:tc>
        <w:tc>
          <w:tcPr>
            <w:tcW w:w="4849" w:type="dxa"/>
            <w:noWrap/>
          </w:tcPr>
          <w:p w14:paraId="6B0EA653" w14:textId="045B64AE"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III - articular-se com os membros e coordenadores das subcomissões, visando a integração de suas atividades e o exercício de suas competências; </w:t>
            </w:r>
          </w:p>
        </w:tc>
        <w:tc>
          <w:tcPr>
            <w:tcW w:w="4648" w:type="dxa"/>
            <w:noWrap/>
          </w:tcPr>
          <w:p w14:paraId="2C0FA268" w14:textId="77777777" w:rsidR="00E86BE2" w:rsidRPr="0010524E" w:rsidRDefault="00E86BE2" w:rsidP="00E86BE2">
            <w:pPr>
              <w:jc w:val="both"/>
              <w:rPr>
                <w:rFonts w:cstheme="minorHAnsi"/>
                <w:sz w:val="24"/>
                <w:szCs w:val="24"/>
              </w:rPr>
            </w:pPr>
          </w:p>
        </w:tc>
      </w:tr>
      <w:tr w:rsidR="00E86BE2" w:rsidRPr="0010524E" w14:paraId="27A28D8F" w14:textId="1E2D2969" w:rsidTr="00E86BE2">
        <w:trPr>
          <w:trHeight w:val="290"/>
        </w:trPr>
        <w:tc>
          <w:tcPr>
            <w:tcW w:w="4815" w:type="dxa"/>
            <w:noWrap/>
          </w:tcPr>
          <w:p w14:paraId="369003AD" w14:textId="1D40A65A" w:rsidR="00E86BE2" w:rsidRPr="0010524E" w:rsidRDefault="00E86BE2" w:rsidP="00E86BE2">
            <w:pPr>
              <w:jc w:val="both"/>
              <w:rPr>
                <w:rFonts w:cstheme="minorHAnsi"/>
                <w:sz w:val="24"/>
                <w:szCs w:val="24"/>
              </w:rPr>
            </w:pPr>
            <w:bookmarkStart w:id="109" w:name="_Hlk138424600"/>
            <w:r>
              <w:rPr>
                <w:rFonts w:cstheme="minorHAnsi"/>
                <w:sz w:val="24"/>
                <w:szCs w:val="24"/>
              </w:rPr>
              <w:t xml:space="preserve">IV </w:t>
            </w:r>
            <w:r w:rsidRPr="0010524E">
              <w:rPr>
                <w:rFonts w:cstheme="minorHAnsi"/>
                <w:sz w:val="24"/>
                <w:szCs w:val="24"/>
              </w:rPr>
              <w:t xml:space="preserve">- secretariar as reuniões da CNA e promover as medidas necessárias ao regular funcionamento da Comissão; </w:t>
            </w:r>
          </w:p>
          <w:p w14:paraId="4DE9E780" w14:textId="77777777" w:rsidR="00E86BE2" w:rsidRPr="0010524E" w:rsidRDefault="00E86BE2" w:rsidP="00E86BE2">
            <w:pPr>
              <w:jc w:val="both"/>
              <w:rPr>
                <w:rFonts w:cstheme="minorHAnsi"/>
                <w:sz w:val="24"/>
                <w:szCs w:val="24"/>
              </w:rPr>
            </w:pPr>
          </w:p>
        </w:tc>
        <w:tc>
          <w:tcPr>
            <w:tcW w:w="4849" w:type="dxa"/>
            <w:noWrap/>
          </w:tcPr>
          <w:p w14:paraId="390D1A9A" w14:textId="51890682"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IV - secretariar as reuniões da Comissão Nacional de Atuária e promover as medidas necessárias ao regular funcionamento da Comissão; </w:t>
            </w:r>
          </w:p>
        </w:tc>
        <w:tc>
          <w:tcPr>
            <w:tcW w:w="4648" w:type="dxa"/>
            <w:noWrap/>
          </w:tcPr>
          <w:p w14:paraId="46C250CC" w14:textId="77777777" w:rsidR="00E86BE2" w:rsidRPr="0010524E" w:rsidRDefault="00E86BE2" w:rsidP="00E86BE2">
            <w:pPr>
              <w:jc w:val="both"/>
              <w:rPr>
                <w:rFonts w:cstheme="minorHAnsi"/>
                <w:sz w:val="24"/>
                <w:szCs w:val="24"/>
              </w:rPr>
            </w:pPr>
          </w:p>
        </w:tc>
      </w:tr>
      <w:tr w:rsidR="00E86BE2" w:rsidRPr="0010524E" w14:paraId="5591B2BD" w14:textId="4F39AC13" w:rsidTr="00E86BE2">
        <w:trPr>
          <w:trHeight w:val="290"/>
        </w:trPr>
        <w:tc>
          <w:tcPr>
            <w:tcW w:w="4815" w:type="dxa"/>
            <w:noWrap/>
          </w:tcPr>
          <w:p w14:paraId="5DDA79F9" w14:textId="630FCF44" w:rsidR="00E86BE2" w:rsidRPr="0010524E" w:rsidRDefault="00E86BE2" w:rsidP="00E86BE2">
            <w:pPr>
              <w:jc w:val="both"/>
              <w:rPr>
                <w:rFonts w:cstheme="minorHAnsi"/>
                <w:sz w:val="24"/>
                <w:szCs w:val="24"/>
              </w:rPr>
            </w:pPr>
            <w:bookmarkStart w:id="110" w:name="_Hlk138424613"/>
            <w:bookmarkEnd w:id="109"/>
            <w:r>
              <w:rPr>
                <w:rFonts w:cstheme="minorHAnsi"/>
                <w:sz w:val="24"/>
                <w:szCs w:val="24"/>
              </w:rPr>
              <w:t xml:space="preserve">V </w:t>
            </w:r>
            <w:r w:rsidRPr="0010524E">
              <w:rPr>
                <w:rFonts w:cstheme="minorHAnsi"/>
                <w:sz w:val="24"/>
                <w:szCs w:val="24"/>
              </w:rPr>
              <w:t xml:space="preserve">- lavrar as atas das reuniões, que deverão ser assinadas pelo Presidente da Comissão, com exposição sucinta dos trabalhos, conclusões, deliberações, resultado das votações, registro nominal dos votos e declaração de voto divergente do membro que o requerer; </w:t>
            </w:r>
          </w:p>
          <w:p w14:paraId="21861F00" w14:textId="77777777" w:rsidR="00E86BE2" w:rsidRPr="0010524E" w:rsidRDefault="00E86BE2" w:rsidP="00E86BE2">
            <w:pPr>
              <w:jc w:val="both"/>
              <w:rPr>
                <w:rFonts w:cstheme="minorHAnsi"/>
                <w:sz w:val="24"/>
                <w:szCs w:val="24"/>
              </w:rPr>
            </w:pPr>
          </w:p>
        </w:tc>
        <w:tc>
          <w:tcPr>
            <w:tcW w:w="4849" w:type="dxa"/>
            <w:noWrap/>
          </w:tcPr>
          <w:p w14:paraId="14B1F747" w14:textId="10CB9055"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 - lavrar as atas das reuniões, que deverão ser assinadas pelo Presidente da Comissão, com exposição sucinta dos trabalhos, conclusões, deliberações, resultado das votações, registro nominal dos votos e declaração de voto divergente do membro que o requerer; </w:t>
            </w:r>
          </w:p>
        </w:tc>
        <w:tc>
          <w:tcPr>
            <w:tcW w:w="4648" w:type="dxa"/>
            <w:noWrap/>
          </w:tcPr>
          <w:p w14:paraId="0A681246" w14:textId="77777777" w:rsidR="00E86BE2" w:rsidRPr="0010524E" w:rsidRDefault="00E86BE2" w:rsidP="00E86BE2">
            <w:pPr>
              <w:jc w:val="both"/>
              <w:rPr>
                <w:rFonts w:cstheme="minorHAnsi"/>
                <w:sz w:val="24"/>
                <w:szCs w:val="24"/>
              </w:rPr>
            </w:pPr>
          </w:p>
        </w:tc>
      </w:tr>
      <w:tr w:rsidR="00E86BE2" w:rsidRPr="0010524E" w14:paraId="677F385E" w14:textId="640538BB" w:rsidTr="00E86BE2">
        <w:trPr>
          <w:trHeight w:val="290"/>
        </w:trPr>
        <w:tc>
          <w:tcPr>
            <w:tcW w:w="4815" w:type="dxa"/>
            <w:noWrap/>
          </w:tcPr>
          <w:p w14:paraId="235A7EF3" w14:textId="7C3B8ACC" w:rsidR="00E86BE2" w:rsidRPr="0010524E" w:rsidRDefault="00E86BE2" w:rsidP="00E86BE2">
            <w:pPr>
              <w:jc w:val="both"/>
              <w:rPr>
                <w:rFonts w:cstheme="minorHAnsi"/>
                <w:sz w:val="24"/>
                <w:szCs w:val="24"/>
              </w:rPr>
            </w:pPr>
            <w:bookmarkStart w:id="111" w:name="_Hlk138424617"/>
            <w:bookmarkEnd w:id="110"/>
            <w:r>
              <w:rPr>
                <w:rFonts w:cstheme="minorHAnsi"/>
                <w:sz w:val="24"/>
                <w:szCs w:val="24"/>
              </w:rPr>
              <w:t xml:space="preserve">VI </w:t>
            </w:r>
            <w:r w:rsidRPr="0010524E">
              <w:rPr>
                <w:rFonts w:cstheme="minorHAnsi"/>
                <w:sz w:val="24"/>
                <w:szCs w:val="24"/>
              </w:rPr>
              <w:t xml:space="preserve">- fazer a revisão e propor a redação final do texto dos trabalhos aprovados pela CNA; </w:t>
            </w:r>
          </w:p>
          <w:p w14:paraId="61C4FC07" w14:textId="77777777" w:rsidR="00E86BE2" w:rsidRPr="0010524E" w:rsidRDefault="00E86BE2" w:rsidP="00E86BE2">
            <w:pPr>
              <w:jc w:val="both"/>
              <w:rPr>
                <w:rFonts w:cstheme="minorHAnsi"/>
                <w:sz w:val="24"/>
                <w:szCs w:val="24"/>
              </w:rPr>
            </w:pPr>
          </w:p>
        </w:tc>
        <w:tc>
          <w:tcPr>
            <w:tcW w:w="4849" w:type="dxa"/>
            <w:noWrap/>
          </w:tcPr>
          <w:p w14:paraId="019CF812" w14:textId="6C6CBDF4"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VI - fazer a revisão e propor a redação final do texto dos trabalhos aprovados pela Comissão Nacional de Atuária; </w:t>
            </w:r>
          </w:p>
        </w:tc>
        <w:tc>
          <w:tcPr>
            <w:tcW w:w="4648" w:type="dxa"/>
            <w:noWrap/>
          </w:tcPr>
          <w:p w14:paraId="7DE579D1" w14:textId="77777777" w:rsidR="00E86BE2" w:rsidRPr="0010524E" w:rsidRDefault="00E86BE2" w:rsidP="00E86BE2">
            <w:pPr>
              <w:jc w:val="both"/>
              <w:rPr>
                <w:rFonts w:cstheme="minorHAnsi"/>
                <w:sz w:val="24"/>
                <w:szCs w:val="24"/>
              </w:rPr>
            </w:pPr>
          </w:p>
        </w:tc>
      </w:tr>
      <w:tr w:rsidR="00E86BE2" w:rsidRPr="0010524E" w14:paraId="61CECDE7" w14:textId="392343D6" w:rsidTr="00E86BE2">
        <w:trPr>
          <w:trHeight w:val="290"/>
        </w:trPr>
        <w:tc>
          <w:tcPr>
            <w:tcW w:w="4815" w:type="dxa"/>
            <w:noWrap/>
          </w:tcPr>
          <w:p w14:paraId="6C70F268" w14:textId="1ED99AA4" w:rsidR="00E86BE2" w:rsidRPr="0010524E" w:rsidRDefault="00E86BE2" w:rsidP="00E86BE2">
            <w:pPr>
              <w:jc w:val="both"/>
              <w:rPr>
                <w:rFonts w:cstheme="minorHAnsi"/>
                <w:sz w:val="24"/>
                <w:szCs w:val="24"/>
              </w:rPr>
            </w:pPr>
            <w:bookmarkStart w:id="112" w:name="_Hlk138424621"/>
            <w:bookmarkEnd w:id="111"/>
            <w:r>
              <w:rPr>
                <w:rFonts w:cstheme="minorHAnsi"/>
                <w:sz w:val="24"/>
                <w:szCs w:val="24"/>
              </w:rPr>
              <w:t xml:space="preserve">VII </w:t>
            </w:r>
            <w:r w:rsidRPr="0010524E">
              <w:rPr>
                <w:rFonts w:cstheme="minorHAnsi"/>
                <w:sz w:val="24"/>
                <w:szCs w:val="24"/>
              </w:rPr>
              <w:t xml:space="preserve">- manter em arquivo físico e fazer publicar, na página eletrônica da Secretaria de </w:t>
            </w:r>
          </w:p>
          <w:p w14:paraId="44106276" w14:textId="77777777" w:rsidR="00E86BE2" w:rsidRPr="0010524E" w:rsidRDefault="00E86BE2" w:rsidP="00E86BE2">
            <w:pPr>
              <w:jc w:val="both"/>
              <w:rPr>
                <w:rFonts w:cstheme="minorHAnsi"/>
                <w:sz w:val="24"/>
                <w:szCs w:val="24"/>
              </w:rPr>
            </w:pPr>
            <w:r w:rsidRPr="0010524E">
              <w:rPr>
                <w:rFonts w:cstheme="minorHAnsi"/>
                <w:sz w:val="24"/>
                <w:szCs w:val="24"/>
              </w:rPr>
              <w:t xml:space="preserve">Previdência Complementar, toda a produção intelectual resultante dos trabalhos aprovados pela CNA; </w:t>
            </w:r>
          </w:p>
          <w:p w14:paraId="439E2B40" w14:textId="77777777" w:rsidR="00E86BE2" w:rsidRPr="0010524E" w:rsidRDefault="00E86BE2" w:rsidP="00E86BE2">
            <w:pPr>
              <w:jc w:val="both"/>
              <w:rPr>
                <w:rFonts w:cstheme="minorHAnsi"/>
                <w:sz w:val="24"/>
                <w:szCs w:val="24"/>
              </w:rPr>
            </w:pPr>
          </w:p>
        </w:tc>
        <w:tc>
          <w:tcPr>
            <w:tcW w:w="4849" w:type="dxa"/>
            <w:noWrap/>
          </w:tcPr>
          <w:p w14:paraId="428C0840" w14:textId="22C038DF"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VII - fazer publicar, na página eletrônica da Previc, toda a produção intelectual resultante dos trabalhos aprovados pela Comissão Nacional de Atuária; </w:t>
            </w:r>
          </w:p>
        </w:tc>
        <w:tc>
          <w:tcPr>
            <w:tcW w:w="4648" w:type="dxa"/>
            <w:noWrap/>
          </w:tcPr>
          <w:p w14:paraId="11255F89" w14:textId="77777777" w:rsidR="00E86BE2" w:rsidRPr="0010524E" w:rsidRDefault="00E86BE2" w:rsidP="00E86BE2">
            <w:pPr>
              <w:jc w:val="both"/>
              <w:rPr>
                <w:rFonts w:cstheme="minorHAnsi"/>
                <w:sz w:val="24"/>
                <w:szCs w:val="24"/>
              </w:rPr>
            </w:pPr>
            <w:r w:rsidRPr="0010524E">
              <w:rPr>
                <w:rFonts w:cstheme="minorHAnsi"/>
                <w:sz w:val="24"/>
                <w:szCs w:val="24"/>
              </w:rPr>
              <w:t>Ajuste redacional.</w:t>
            </w:r>
          </w:p>
        </w:tc>
      </w:tr>
      <w:tr w:rsidR="00E86BE2" w:rsidRPr="0010524E" w14:paraId="10F5052A" w14:textId="0868D533" w:rsidTr="00E86BE2">
        <w:trPr>
          <w:trHeight w:val="290"/>
        </w:trPr>
        <w:tc>
          <w:tcPr>
            <w:tcW w:w="4815" w:type="dxa"/>
            <w:noWrap/>
          </w:tcPr>
          <w:p w14:paraId="7719E27C" w14:textId="0BAB10F4" w:rsidR="00E86BE2" w:rsidRPr="0010524E" w:rsidRDefault="00E86BE2" w:rsidP="00E86BE2">
            <w:pPr>
              <w:jc w:val="both"/>
              <w:rPr>
                <w:rFonts w:cstheme="minorHAnsi"/>
                <w:sz w:val="24"/>
                <w:szCs w:val="24"/>
              </w:rPr>
            </w:pPr>
            <w:bookmarkStart w:id="113" w:name="_Hlk138424625"/>
            <w:bookmarkEnd w:id="112"/>
            <w:r>
              <w:rPr>
                <w:rFonts w:cstheme="minorHAnsi"/>
                <w:sz w:val="24"/>
                <w:szCs w:val="24"/>
              </w:rPr>
              <w:t xml:space="preserve">VIII </w:t>
            </w:r>
            <w:r w:rsidRPr="0010524E">
              <w:rPr>
                <w:rFonts w:cstheme="minorHAnsi"/>
                <w:sz w:val="24"/>
                <w:szCs w:val="24"/>
              </w:rPr>
              <w:t xml:space="preserve">- elaborar relatório anual das atividades da CNA; e </w:t>
            </w:r>
          </w:p>
          <w:p w14:paraId="3712A536" w14:textId="77777777" w:rsidR="00E86BE2" w:rsidRPr="0010524E" w:rsidRDefault="00E86BE2" w:rsidP="00E86BE2">
            <w:pPr>
              <w:jc w:val="both"/>
              <w:rPr>
                <w:rFonts w:cstheme="minorHAnsi"/>
                <w:sz w:val="24"/>
                <w:szCs w:val="24"/>
              </w:rPr>
            </w:pPr>
          </w:p>
        </w:tc>
        <w:tc>
          <w:tcPr>
            <w:tcW w:w="4849" w:type="dxa"/>
            <w:noWrap/>
          </w:tcPr>
          <w:p w14:paraId="28891692" w14:textId="435286F9" w:rsidR="00E86BE2" w:rsidRPr="0010524E" w:rsidRDefault="00E86BE2" w:rsidP="00E86BE2">
            <w:pPr>
              <w:jc w:val="both"/>
              <w:rPr>
                <w:rFonts w:cstheme="minorHAnsi"/>
                <w:sz w:val="24"/>
                <w:szCs w:val="24"/>
              </w:rPr>
            </w:pPr>
            <w:r w:rsidRPr="0010524E">
              <w:rPr>
                <w:rFonts w:ascii="Calibri" w:eastAsia="Calibri" w:hAnsi="Calibri" w:cs="Calibri"/>
                <w:sz w:val="24"/>
                <w:szCs w:val="24"/>
              </w:rPr>
              <w:lastRenderedPageBreak/>
              <w:t xml:space="preserve">VIII - elaborar relatório anual das atividades da Comissão Nacional de Atuária; e </w:t>
            </w:r>
          </w:p>
        </w:tc>
        <w:tc>
          <w:tcPr>
            <w:tcW w:w="4648" w:type="dxa"/>
            <w:noWrap/>
          </w:tcPr>
          <w:p w14:paraId="2E33B6B5" w14:textId="77777777" w:rsidR="00E86BE2" w:rsidRPr="0010524E" w:rsidRDefault="00E86BE2" w:rsidP="00E86BE2">
            <w:pPr>
              <w:jc w:val="both"/>
              <w:rPr>
                <w:rFonts w:cstheme="minorHAnsi"/>
                <w:sz w:val="24"/>
                <w:szCs w:val="24"/>
              </w:rPr>
            </w:pPr>
          </w:p>
        </w:tc>
      </w:tr>
      <w:tr w:rsidR="00E86BE2" w:rsidRPr="0010524E" w14:paraId="12F53019" w14:textId="6219A123" w:rsidTr="00E86BE2">
        <w:trPr>
          <w:trHeight w:val="290"/>
        </w:trPr>
        <w:tc>
          <w:tcPr>
            <w:tcW w:w="4815" w:type="dxa"/>
            <w:noWrap/>
          </w:tcPr>
          <w:p w14:paraId="22D3D3B5" w14:textId="01BC41E1" w:rsidR="00E86BE2" w:rsidRPr="0010524E" w:rsidRDefault="00E86BE2" w:rsidP="00E86BE2">
            <w:pPr>
              <w:jc w:val="both"/>
              <w:rPr>
                <w:rFonts w:cstheme="minorHAnsi"/>
                <w:sz w:val="24"/>
                <w:szCs w:val="24"/>
              </w:rPr>
            </w:pPr>
            <w:bookmarkStart w:id="114" w:name="_Hlk138424698"/>
            <w:bookmarkEnd w:id="113"/>
            <w:r>
              <w:rPr>
                <w:rFonts w:cstheme="minorHAnsi"/>
                <w:sz w:val="24"/>
                <w:szCs w:val="24"/>
              </w:rPr>
              <w:t xml:space="preserve">IX </w:t>
            </w:r>
            <w:r w:rsidRPr="0010524E">
              <w:rPr>
                <w:rFonts w:cstheme="minorHAnsi"/>
                <w:sz w:val="24"/>
                <w:szCs w:val="24"/>
              </w:rPr>
              <w:t xml:space="preserve">- exercer outras atribuições que lhe forem cometidas pela CNA ou por seu Presidente. </w:t>
            </w:r>
          </w:p>
          <w:p w14:paraId="336D8A1E" w14:textId="77777777" w:rsidR="00E86BE2" w:rsidRPr="0010524E" w:rsidRDefault="00E86BE2" w:rsidP="00E86BE2">
            <w:pPr>
              <w:jc w:val="both"/>
              <w:rPr>
                <w:rFonts w:cstheme="minorHAnsi"/>
                <w:sz w:val="24"/>
                <w:szCs w:val="24"/>
              </w:rPr>
            </w:pPr>
          </w:p>
        </w:tc>
        <w:tc>
          <w:tcPr>
            <w:tcW w:w="4849" w:type="dxa"/>
            <w:noWrap/>
          </w:tcPr>
          <w:p w14:paraId="355BC505" w14:textId="5010CEA1"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IX - exercer outras atribuições que lhe forem cometidas pela Comissão Nacional de Atuária ou por seu Presidente. </w:t>
            </w:r>
          </w:p>
        </w:tc>
        <w:tc>
          <w:tcPr>
            <w:tcW w:w="4648" w:type="dxa"/>
            <w:noWrap/>
          </w:tcPr>
          <w:p w14:paraId="1CA221BE" w14:textId="77777777" w:rsidR="00E86BE2" w:rsidRPr="0010524E" w:rsidRDefault="00E86BE2" w:rsidP="00E86BE2">
            <w:pPr>
              <w:jc w:val="both"/>
              <w:rPr>
                <w:rFonts w:cstheme="minorHAnsi"/>
                <w:sz w:val="24"/>
                <w:szCs w:val="24"/>
              </w:rPr>
            </w:pPr>
          </w:p>
        </w:tc>
      </w:tr>
      <w:tr w:rsidR="00E86BE2" w:rsidRPr="0010524E" w14:paraId="1D4445E2" w14:textId="31DC7346" w:rsidTr="00E86BE2">
        <w:trPr>
          <w:trHeight w:val="290"/>
        </w:trPr>
        <w:tc>
          <w:tcPr>
            <w:tcW w:w="4815" w:type="dxa"/>
            <w:noWrap/>
          </w:tcPr>
          <w:p w14:paraId="6342D9CA" w14:textId="2E37F64F" w:rsidR="00E86BE2" w:rsidRPr="0010524E" w:rsidRDefault="00E86BE2" w:rsidP="00E86BE2">
            <w:pPr>
              <w:jc w:val="center"/>
              <w:rPr>
                <w:rFonts w:cstheme="minorHAnsi"/>
                <w:sz w:val="24"/>
                <w:szCs w:val="24"/>
              </w:rPr>
            </w:pPr>
            <w:bookmarkStart w:id="115" w:name="_Hlk138424709"/>
            <w:bookmarkEnd w:id="114"/>
            <w:r w:rsidRPr="0010524E">
              <w:rPr>
                <w:rFonts w:cstheme="minorHAnsi"/>
                <w:sz w:val="24"/>
                <w:szCs w:val="24"/>
              </w:rPr>
              <w:t>CAPÍTULO IV</w:t>
            </w:r>
          </w:p>
          <w:p w14:paraId="141E9CF2" w14:textId="3E2FD631" w:rsidR="00E86BE2" w:rsidRPr="0010524E" w:rsidRDefault="00E86BE2" w:rsidP="00E86BE2">
            <w:pPr>
              <w:jc w:val="center"/>
              <w:rPr>
                <w:rFonts w:cstheme="minorHAnsi"/>
                <w:sz w:val="24"/>
                <w:szCs w:val="24"/>
              </w:rPr>
            </w:pPr>
            <w:r w:rsidRPr="0010524E">
              <w:rPr>
                <w:rFonts w:cstheme="minorHAnsi"/>
                <w:sz w:val="24"/>
                <w:szCs w:val="24"/>
              </w:rPr>
              <w:t>DAS REUNIÕES</w:t>
            </w:r>
          </w:p>
        </w:tc>
        <w:tc>
          <w:tcPr>
            <w:tcW w:w="4849" w:type="dxa"/>
            <w:noWrap/>
          </w:tcPr>
          <w:p w14:paraId="7577B8AB" w14:textId="77777777" w:rsidR="00E86BE2" w:rsidRPr="0010524E" w:rsidRDefault="00E86BE2" w:rsidP="00E86BE2">
            <w:pPr>
              <w:jc w:val="center"/>
              <w:rPr>
                <w:rFonts w:cstheme="minorHAnsi"/>
                <w:b/>
                <w:bCs/>
                <w:sz w:val="24"/>
                <w:szCs w:val="24"/>
              </w:rPr>
            </w:pPr>
            <w:r w:rsidRPr="0010524E">
              <w:rPr>
                <w:rFonts w:cstheme="minorHAnsi"/>
                <w:b/>
                <w:bCs/>
                <w:sz w:val="24"/>
                <w:szCs w:val="24"/>
              </w:rPr>
              <w:t>Subseção V</w:t>
            </w:r>
          </w:p>
          <w:p w14:paraId="0CF46046" w14:textId="77777777" w:rsidR="00E86BE2" w:rsidRPr="0010524E" w:rsidRDefault="00E86BE2" w:rsidP="00E86BE2">
            <w:pPr>
              <w:jc w:val="center"/>
              <w:rPr>
                <w:rFonts w:cstheme="minorHAnsi"/>
                <w:sz w:val="24"/>
                <w:szCs w:val="24"/>
              </w:rPr>
            </w:pPr>
            <w:r w:rsidRPr="0010524E">
              <w:rPr>
                <w:rFonts w:cstheme="minorHAnsi"/>
                <w:b/>
                <w:bCs/>
                <w:sz w:val="24"/>
                <w:szCs w:val="24"/>
              </w:rPr>
              <w:t>Reuniões</w:t>
            </w:r>
          </w:p>
        </w:tc>
        <w:tc>
          <w:tcPr>
            <w:tcW w:w="4648" w:type="dxa"/>
            <w:noWrap/>
          </w:tcPr>
          <w:p w14:paraId="161E237E" w14:textId="77777777" w:rsidR="00E86BE2" w:rsidRPr="0010524E" w:rsidRDefault="00E86BE2" w:rsidP="00E86BE2">
            <w:pPr>
              <w:jc w:val="both"/>
              <w:rPr>
                <w:rFonts w:cstheme="minorHAnsi"/>
                <w:sz w:val="24"/>
                <w:szCs w:val="24"/>
              </w:rPr>
            </w:pPr>
          </w:p>
        </w:tc>
      </w:tr>
      <w:tr w:rsidR="00E86BE2" w:rsidRPr="0010524E" w14:paraId="44CEAD71" w14:textId="1E8D0253" w:rsidTr="00E86BE2">
        <w:trPr>
          <w:trHeight w:val="290"/>
        </w:trPr>
        <w:tc>
          <w:tcPr>
            <w:tcW w:w="4815" w:type="dxa"/>
            <w:noWrap/>
          </w:tcPr>
          <w:p w14:paraId="5F39AFEA" w14:textId="77777777" w:rsidR="00E86BE2" w:rsidRPr="0010524E" w:rsidRDefault="00E86BE2" w:rsidP="00E86BE2">
            <w:pPr>
              <w:jc w:val="both"/>
              <w:rPr>
                <w:rFonts w:cstheme="minorHAnsi"/>
                <w:sz w:val="24"/>
                <w:szCs w:val="24"/>
              </w:rPr>
            </w:pPr>
            <w:bookmarkStart w:id="116" w:name="_Hlk138424714"/>
            <w:bookmarkEnd w:id="115"/>
            <w:r w:rsidRPr="0010524E">
              <w:rPr>
                <w:rFonts w:cstheme="minorHAnsi"/>
                <w:sz w:val="24"/>
                <w:szCs w:val="24"/>
              </w:rPr>
              <w:t xml:space="preserve">Art. 14. A CNA reunir-se-á ordinariamente uma vez a cada trimestre do ano civil e extraordinariamente sempre que as circunstâncias assim o exigirem. </w:t>
            </w:r>
          </w:p>
          <w:p w14:paraId="431E826B" w14:textId="77777777" w:rsidR="00E86BE2" w:rsidRPr="0010524E" w:rsidRDefault="00E86BE2" w:rsidP="00E86BE2">
            <w:pPr>
              <w:jc w:val="both"/>
              <w:rPr>
                <w:rFonts w:cstheme="minorHAnsi"/>
                <w:sz w:val="24"/>
                <w:szCs w:val="24"/>
              </w:rPr>
            </w:pPr>
          </w:p>
        </w:tc>
        <w:tc>
          <w:tcPr>
            <w:tcW w:w="4849" w:type="dxa"/>
            <w:noWrap/>
          </w:tcPr>
          <w:p w14:paraId="745CCC95" w14:textId="4C38F482" w:rsidR="00E86BE2" w:rsidRPr="0010524E" w:rsidRDefault="00E86BE2" w:rsidP="00E86BE2">
            <w:pPr>
              <w:spacing w:before="120"/>
              <w:jc w:val="both"/>
              <w:rPr>
                <w:rFonts w:cstheme="minorHAnsi"/>
                <w:sz w:val="24"/>
                <w:szCs w:val="24"/>
              </w:rPr>
            </w:pPr>
            <w:r w:rsidRPr="0010524E">
              <w:rPr>
                <w:rFonts w:ascii="Calibri" w:eastAsia="Calibri" w:hAnsi="Calibri" w:cs="Calibri"/>
                <w:sz w:val="24"/>
                <w:szCs w:val="24"/>
              </w:rPr>
              <w:t xml:space="preserve">Art.  386. A Comissão Nacional de Atuária deve se reunir ordinariamente uma vez a cada trimestre do ano civil e extraordinariamente sempre que as circunstâncias assim o exigirem. </w:t>
            </w:r>
          </w:p>
        </w:tc>
        <w:tc>
          <w:tcPr>
            <w:tcW w:w="4648" w:type="dxa"/>
            <w:noWrap/>
          </w:tcPr>
          <w:p w14:paraId="27215536" w14:textId="77777777" w:rsidR="00E86BE2" w:rsidRPr="0010524E" w:rsidRDefault="00E86BE2" w:rsidP="00E86BE2">
            <w:pPr>
              <w:jc w:val="both"/>
              <w:rPr>
                <w:rFonts w:cstheme="minorHAnsi"/>
                <w:sz w:val="24"/>
                <w:szCs w:val="24"/>
              </w:rPr>
            </w:pPr>
          </w:p>
        </w:tc>
      </w:tr>
      <w:bookmarkEnd w:id="116"/>
      <w:tr w:rsidR="00E86BE2" w:rsidRPr="0010524E" w14:paraId="7E939B89" w14:textId="47918E28" w:rsidTr="00E86BE2">
        <w:trPr>
          <w:trHeight w:val="290"/>
        </w:trPr>
        <w:tc>
          <w:tcPr>
            <w:tcW w:w="4815" w:type="dxa"/>
            <w:noWrap/>
          </w:tcPr>
          <w:p w14:paraId="47E0A410" w14:textId="77777777" w:rsidR="00E86BE2" w:rsidRPr="0010524E" w:rsidRDefault="00E86BE2" w:rsidP="00E86BE2">
            <w:pPr>
              <w:jc w:val="both"/>
              <w:rPr>
                <w:rFonts w:cstheme="minorHAnsi"/>
                <w:sz w:val="24"/>
                <w:szCs w:val="24"/>
              </w:rPr>
            </w:pPr>
            <w:r w:rsidRPr="0010524E">
              <w:rPr>
                <w:rFonts w:cstheme="minorHAnsi"/>
                <w:sz w:val="24"/>
                <w:szCs w:val="24"/>
              </w:rPr>
              <w:t xml:space="preserve">Parágrafo único. Na impossibilidade de conclusão de todos os trabalhos previstos na pauta no dia designado, a reunião será suspensa pelo Presidente e retomada no dia útil imediatamente subsequente. </w:t>
            </w:r>
          </w:p>
          <w:p w14:paraId="1002D5C1" w14:textId="77777777" w:rsidR="00E86BE2" w:rsidRPr="0010524E" w:rsidRDefault="00E86BE2" w:rsidP="00E86BE2">
            <w:pPr>
              <w:jc w:val="both"/>
              <w:rPr>
                <w:rFonts w:cstheme="minorHAnsi"/>
                <w:sz w:val="24"/>
                <w:szCs w:val="24"/>
              </w:rPr>
            </w:pPr>
          </w:p>
        </w:tc>
        <w:tc>
          <w:tcPr>
            <w:tcW w:w="4849" w:type="dxa"/>
            <w:noWrap/>
          </w:tcPr>
          <w:p w14:paraId="57CEFBB8" w14:textId="77777777" w:rsidR="00E86BE2" w:rsidRPr="0010524E" w:rsidRDefault="00E86BE2" w:rsidP="00E86BE2">
            <w:pPr>
              <w:jc w:val="both"/>
              <w:rPr>
                <w:rFonts w:cstheme="minorHAnsi"/>
                <w:sz w:val="24"/>
                <w:szCs w:val="24"/>
              </w:rPr>
            </w:pPr>
          </w:p>
        </w:tc>
        <w:tc>
          <w:tcPr>
            <w:tcW w:w="4648" w:type="dxa"/>
            <w:noWrap/>
          </w:tcPr>
          <w:p w14:paraId="3A9B9AEF" w14:textId="7FC9673D" w:rsidR="00E86BE2" w:rsidRPr="0010524E" w:rsidRDefault="00E86BE2" w:rsidP="00E86BE2">
            <w:pPr>
              <w:jc w:val="both"/>
              <w:rPr>
                <w:rFonts w:cstheme="minorHAnsi"/>
                <w:sz w:val="24"/>
                <w:szCs w:val="24"/>
              </w:rPr>
            </w:pPr>
            <w:r w:rsidRPr="0010524E">
              <w:rPr>
                <w:rFonts w:cstheme="minorHAnsi"/>
                <w:sz w:val="24"/>
                <w:szCs w:val="24"/>
              </w:rPr>
              <w:t>Exclu</w:t>
            </w:r>
            <w:r>
              <w:rPr>
                <w:rFonts w:cstheme="minorHAnsi"/>
                <w:sz w:val="24"/>
                <w:szCs w:val="24"/>
              </w:rPr>
              <w:t>ído</w:t>
            </w:r>
            <w:r w:rsidRPr="0010524E">
              <w:rPr>
                <w:rFonts w:cstheme="minorHAnsi"/>
                <w:sz w:val="24"/>
                <w:szCs w:val="24"/>
              </w:rPr>
              <w:t>.</w:t>
            </w:r>
          </w:p>
        </w:tc>
      </w:tr>
      <w:tr w:rsidR="00E86BE2" w:rsidRPr="0010524E" w14:paraId="4C3484C1" w14:textId="53DD5E4E" w:rsidTr="00E86BE2">
        <w:trPr>
          <w:trHeight w:val="290"/>
        </w:trPr>
        <w:tc>
          <w:tcPr>
            <w:tcW w:w="4815" w:type="dxa"/>
            <w:noWrap/>
          </w:tcPr>
          <w:p w14:paraId="7FC2D95E" w14:textId="77777777" w:rsidR="00E86BE2" w:rsidRPr="0010524E" w:rsidRDefault="00E86BE2" w:rsidP="00E86BE2">
            <w:pPr>
              <w:jc w:val="both"/>
              <w:rPr>
                <w:rFonts w:cstheme="minorHAnsi"/>
                <w:sz w:val="24"/>
                <w:szCs w:val="24"/>
              </w:rPr>
            </w:pPr>
            <w:r w:rsidRPr="0010524E">
              <w:rPr>
                <w:rFonts w:cstheme="minorHAnsi"/>
                <w:sz w:val="24"/>
                <w:szCs w:val="24"/>
              </w:rPr>
              <w:t xml:space="preserve">Art. 15. O quorum mínimo para instalação e funcionamento das reuniões da CNA é de seis representantes presentes, incluindo-se o Presidente. </w:t>
            </w:r>
          </w:p>
          <w:p w14:paraId="7119DC10" w14:textId="77777777" w:rsidR="00E86BE2" w:rsidRPr="0010524E" w:rsidRDefault="00E86BE2" w:rsidP="00E86BE2">
            <w:pPr>
              <w:jc w:val="both"/>
              <w:rPr>
                <w:rFonts w:cstheme="minorHAnsi"/>
                <w:sz w:val="24"/>
                <w:szCs w:val="24"/>
              </w:rPr>
            </w:pPr>
          </w:p>
        </w:tc>
        <w:tc>
          <w:tcPr>
            <w:tcW w:w="4849" w:type="dxa"/>
            <w:noWrap/>
          </w:tcPr>
          <w:p w14:paraId="081C47D4" w14:textId="77777777" w:rsidR="00E86BE2" w:rsidRPr="0010524E" w:rsidRDefault="00E86BE2" w:rsidP="00E86BE2">
            <w:pPr>
              <w:jc w:val="both"/>
              <w:rPr>
                <w:rFonts w:cstheme="minorHAnsi"/>
                <w:sz w:val="24"/>
                <w:szCs w:val="24"/>
              </w:rPr>
            </w:pPr>
          </w:p>
        </w:tc>
        <w:tc>
          <w:tcPr>
            <w:tcW w:w="4648" w:type="dxa"/>
            <w:noWrap/>
          </w:tcPr>
          <w:p w14:paraId="3FFC46CA" w14:textId="08793C9A" w:rsidR="00E86BE2" w:rsidRPr="0010524E" w:rsidRDefault="00E86BE2" w:rsidP="00E86BE2">
            <w:pPr>
              <w:jc w:val="both"/>
              <w:rPr>
                <w:rFonts w:cstheme="minorHAnsi"/>
                <w:sz w:val="24"/>
                <w:szCs w:val="24"/>
              </w:rPr>
            </w:pPr>
            <w:r w:rsidRPr="0010524E">
              <w:rPr>
                <w:rFonts w:cstheme="minorHAnsi"/>
                <w:sz w:val="24"/>
                <w:szCs w:val="24"/>
              </w:rPr>
              <w:t>Exclu</w:t>
            </w:r>
            <w:r>
              <w:rPr>
                <w:rFonts w:cstheme="minorHAnsi"/>
                <w:sz w:val="24"/>
                <w:szCs w:val="24"/>
              </w:rPr>
              <w:t>ído</w:t>
            </w:r>
            <w:r w:rsidRPr="0010524E">
              <w:rPr>
                <w:rFonts w:cstheme="minorHAnsi"/>
                <w:sz w:val="24"/>
                <w:szCs w:val="24"/>
              </w:rPr>
              <w:t>.</w:t>
            </w:r>
          </w:p>
        </w:tc>
      </w:tr>
      <w:tr w:rsidR="00E86BE2" w:rsidRPr="0010524E" w14:paraId="462D111A" w14:textId="04A25280" w:rsidTr="00E86BE2">
        <w:trPr>
          <w:trHeight w:val="290"/>
        </w:trPr>
        <w:tc>
          <w:tcPr>
            <w:tcW w:w="4815" w:type="dxa"/>
            <w:noWrap/>
          </w:tcPr>
          <w:p w14:paraId="15D5C3FF" w14:textId="77777777" w:rsidR="00E86BE2" w:rsidRPr="0010524E" w:rsidRDefault="00E86BE2" w:rsidP="00E86BE2">
            <w:pPr>
              <w:jc w:val="both"/>
              <w:rPr>
                <w:rFonts w:cstheme="minorHAnsi"/>
                <w:sz w:val="24"/>
                <w:szCs w:val="24"/>
              </w:rPr>
            </w:pPr>
            <w:bookmarkStart w:id="117" w:name="_Hlk138424724"/>
            <w:r w:rsidRPr="0010524E">
              <w:rPr>
                <w:rFonts w:cstheme="minorHAnsi"/>
                <w:sz w:val="24"/>
                <w:szCs w:val="24"/>
              </w:rPr>
              <w:t xml:space="preserve">Art. 16. As deliberações colegiadas devem preferencialmente ser tomadas por consenso. </w:t>
            </w:r>
          </w:p>
          <w:p w14:paraId="44CCC5FC" w14:textId="77777777" w:rsidR="00E86BE2" w:rsidRPr="0010524E" w:rsidRDefault="00E86BE2" w:rsidP="00E86BE2">
            <w:pPr>
              <w:jc w:val="both"/>
              <w:rPr>
                <w:rFonts w:cstheme="minorHAnsi"/>
                <w:sz w:val="24"/>
                <w:szCs w:val="24"/>
              </w:rPr>
            </w:pPr>
          </w:p>
        </w:tc>
        <w:tc>
          <w:tcPr>
            <w:tcW w:w="4849" w:type="dxa"/>
            <w:noWrap/>
          </w:tcPr>
          <w:p w14:paraId="2AAE788A" w14:textId="61E9304C"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Art.  387. As deliberações colegiadas devem preferencialmente ser tomadas por consenso. </w:t>
            </w:r>
          </w:p>
        </w:tc>
        <w:tc>
          <w:tcPr>
            <w:tcW w:w="4648" w:type="dxa"/>
            <w:noWrap/>
          </w:tcPr>
          <w:p w14:paraId="02530680" w14:textId="77777777" w:rsidR="00E86BE2" w:rsidRPr="0010524E" w:rsidRDefault="00E86BE2" w:rsidP="00E86BE2">
            <w:pPr>
              <w:jc w:val="both"/>
              <w:rPr>
                <w:rFonts w:cstheme="minorHAnsi"/>
                <w:sz w:val="24"/>
                <w:szCs w:val="24"/>
              </w:rPr>
            </w:pPr>
          </w:p>
        </w:tc>
      </w:tr>
      <w:tr w:rsidR="00E86BE2" w:rsidRPr="0010524E" w14:paraId="2DBD1F8B" w14:textId="5A31DB98" w:rsidTr="00E86BE2">
        <w:trPr>
          <w:trHeight w:val="290"/>
        </w:trPr>
        <w:tc>
          <w:tcPr>
            <w:tcW w:w="4815" w:type="dxa"/>
            <w:noWrap/>
          </w:tcPr>
          <w:p w14:paraId="49F5D98E" w14:textId="77777777" w:rsidR="00E86BE2" w:rsidRPr="0010524E" w:rsidRDefault="00E86BE2" w:rsidP="00E86BE2">
            <w:pPr>
              <w:jc w:val="both"/>
              <w:rPr>
                <w:rFonts w:cstheme="minorHAnsi"/>
                <w:sz w:val="24"/>
                <w:szCs w:val="24"/>
              </w:rPr>
            </w:pPr>
            <w:bookmarkStart w:id="118" w:name="_Hlk138424728"/>
            <w:bookmarkEnd w:id="117"/>
            <w:r w:rsidRPr="0010524E">
              <w:rPr>
                <w:rFonts w:cstheme="minorHAnsi"/>
                <w:sz w:val="24"/>
                <w:szCs w:val="24"/>
              </w:rPr>
              <w:t xml:space="preserve">Parágrafo único. Na impossibilidade da obtenção do consenso será procedida a votação, colhendo-se nominalmente os votos, </w:t>
            </w:r>
            <w:r w:rsidRPr="0010524E">
              <w:rPr>
                <w:rFonts w:cstheme="minorHAnsi"/>
                <w:sz w:val="24"/>
                <w:szCs w:val="24"/>
              </w:rPr>
              <w:lastRenderedPageBreak/>
              <w:t xml:space="preserve">facultado o registro, verbal ou escrito, dos motivos do voto divergente, a pedido do membro dissidente. </w:t>
            </w:r>
          </w:p>
          <w:p w14:paraId="77A7F586" w14:textId="77777777" w:rsidR="00E86BE2" w:rsidRPr="0010524E" w:rsidRDefault="00E86BE2" w:rsidP="00E86BE2">
            <w:pPr>
              <w:jc w:val="both"/>
              <w:rPr>
                <w:rFonts w:cstheme="minorHAnsi"/>
                <w:sz w:val="24"/>
                <w:szCs w:val="24"/>
              </w:rPr>
            </w:pPr>
          </w:p>
        </w:tc>
        <w:tc>
          <w:tcPr>
            <w:tcW w:w="4849" w:type="dxa"/>
            <w:noWrap/>
          </w:tcPr>
          <w:p w14:paraId="1AA98AEC" w14:textId="49EEC2E1" w:rsidR="00E86BE2" w:rsidRPr="0010524E" w:rsidRDefault="00E86BE2" w:rsidP="00E86BE2">
            <w:pPr>
              <w:jc w:val="both"/>
              <w:rPr>
                <w:rFonts w:cstheme="minorHAnsi"/>
                <w:sz w:val="24"/>
                <w:szCs w:val="24"/>
              </w:rPr>
            </w:pPr>
            <w:r w:rsidRPr="0010524E">
              <w:rPr>
                <w:rFonts w:ascii="Calibri" w:eastAsia="Calibri" w:hAnsi="Calibri" w:cs="Calibri"/>
                <w:sz w:val="24"/>
                <w:szCs w:val="24"/>
              </w:rPr>
              <w:lastRenderedPageBreak/>
              <w:t xml:space="preserve">Parágrafo único. Na impossibilidade da obtenção do consenso é procedida a votação, colhendo-se nominalmente os votos, facultado </w:t>
            </w:r>
            <w:r w:rsidRPr="0010524E">
              <w:rPr>
                <w:rFonts w:ascii="Calibri" w:eastAsia="Calibri" w:hAnsi="Calibri" w:cs="Calibri"/>
                <w:sz w:val="24"/>
                <w:szCs w:val="24"/>
              </w:rPr>
              <w:lastRenderedPageBreak/>
              <w:t xml:space="preserve">o registro, verbal ou escrito, dos motivos do voto divergente, a pedido do membro dissidente. </w:t>
            </w:r>
          </w:p>
        </w:tc>
        <w:tc>
          <w:tcPr>
            <w:tcW w:w="4648" w:type="dxa"/>
            <w:noWrap/>
          </w:tcPr>
          <w:p w14:paraId="75433109" w14:textId="77777777" w:rsidR="00E86BE2" w:rsidRPr="0010524E" w:rsidRDefault="00E86BE2" w:rsidP="00E86BE2">
            <w:pPr>
              <w:jc w:val="both"/>
              <w:rPr>
                <w:rFonts w:cstheme="minorHAnsi"/>
                <w:sz w:val="24"/>
                <w:szCs w:val="24"/>
              </w:rPr>
            </w:pPr>
          </w:p>
        </w:tc>
      </w:tr>
      <w:tr w:rsidR="00E86BE2" w:rsidRPr="0010524E" w14:paraId="2F051023" w14:textId="4655BA23" w:rsidTr="00E86BE2">
        <w:trPr>
          <w:trHeight w:val="290"/>
        </w:trPr>
        <w:tc>
          <w:tcPr>
            <w:tcW w:w="4815" w:type="dxa"/>
            <w:noWrap/>
          </w:tcPr>
          <w:p w14:paraId="4B6FDDB4" w14:textId="77777777" w:rsidR="00E86BE2" w:rsidRPr="0010524E" w:rsidRDefault="00E86BE2" w:rsidP="00E86BE2">
            <w:pPr>
              <w:jc w:val="both"/>
              <w:rPr>
                <w:rFonts w:cstheme="minorHAnsi"/>
                <w:sz w:val="24"/>
                <w:szCs w:val="24"/>
              </w:rPr>
            </w:pPr>
            <w:bookmarkStart w:id="119" w:name="_Hlk138424733"/>
            <w:bookmarkEnd w:id="118"/>
            <w:r w:rsidRPr="0010524E">
              <w:rPr>
                <w:rFonts w:cstheme="minorHAnsi"/>
                <w:sz w:val="24"/>
                <w:szCs w:val="24"/>
              </w:rPr>
              <w:t xml:space="preserve">Art. 17. Os trabalhos produzidos pela CNA serão considerados aprovados quando obtiverem, no mínimo, sete votos favoráveis. </w:t>
            </w:r>
          </w:p>
          <w:p w14:paraId="1D9923CD" w14:textId="77777777" w:rsidR="00E86BE2" w:rsidRPr="0010524E" w:rsidRDefault="00E86BE2" w:rsidP="00E86BE2">
            <w:pPr>
              <w:jc w:val="both"/>
              <w:rPr>
                <w:rFonts w:cstheme="minorHAnsi"/>
                <w:sz w:val="24"/>
                <w:szCs w:val="24"/>
              </w:rPr>
            </w:pPr>
          </w:p>
        </w:tc>
        <w:tc>
          <w:tcPr>
            <w:tcW w:w="4849" w:type="dxa"/>
            <w:noWrap/>
          </w:tcPr>
          <w:p w14:paraId="55B00D27" w14:textId="67B70176"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Art.  388. Os trabalhos produzidos pela Comissão Nacional de Atuária são considerados aprovados quando obtiverem, no mínimo, sete votos favoráveis. </w:t>
            </w:r>
          </w:p>
        </w:tc>
        <w:tc>
          <w:tcPr>
            <w:tcW w:w="4648" w:type="dxa"/>
            <w:noWrap/>
          </w:tcPr>
          <w:p w14:paraId="5DF5853B" w14:textId="77777777" w:rsidR="00E86BE2" w:rsidRPr="0010524E" w:rsidRDefault="00E86BE2" w:rsidP="00E86BE2">
            <w:pPr>
              <w:jc w:val="both"/>
              <w:rPr>
                <w:rFonts w:cstheme="minorHAnsi"/>
                <w:sz w:val="24"/>
                <w:szCs w:val="24"/>
              </w:rPr>
            </w:pPr>
          </w:p>
        </w:tc>
      </w:tr>
      <w:tr w:rsidR="00E86BE2" w:rsidRPr="0010524E" w14:paraId="441E9E10" w14:textId="6AF9CED7" w:rsidTr="00E86BE2">
        <w:trPr>
          <w:trHeight w:val="290"/>
        </w:trPr>
        <w:tc>
          <w:tcPr>
            <w:tcW w:w="4815" w:type="dxa"/>
            <w:noWrap/>
          </w:tcPr>
          <w:p w14:paraId="7048D12C" w14:textId="77777777" w:rsidR="00E86BE2" w:rsidRPr="0010524E" w:rsidRDefault="00E86BE2" w:rsidP="00E86BE2">
            <w:pPr>
              <w:jc w:val="both"/>
              <w:rPr>
                <w:rFonts w:cstheme="minorHAnsi"/>
                <w:sz w:val="24"/>
                <w:szCs w:val="24"/>
              </w:rPr>
            </w:pPr>
            <w:bookmarkStart w:id="120" w:name="_Hlk138424737"/>
            <w:bookmarkEnd w:id="119"/>
            <w:r w:rsidRPr="0010524E">
              <w:rPr>
                <w:rFonts w:cstheme="minorHAnsi"/>
                <w:sz w:val="24"/>
                <w:szCs w:val="24"/>
              </w:rPr>
              <w:t xml:space="preserve">Art. 18. O Presidente da CNA poderá, motivadamente, determinar a convocação de reuniões extraordinárias, comunicando-se aos demais membros com antecedência mínima de cinco dias úteis. </w:t>
            </w:r>
          </w:p>
          <w:p w14:paraId="348D899C" w14:textId="77777777" w:rsidR="00E86BE2" w:rsidRPr="0010524E" w:rsidRDefault="00E86BE2" w:rsidP="00E86BE2">
            <w:pPr>
              <w:jc w:val="both"/>
              <w:rPr>
                <w:rFonts w:cstheme="minorHAnsi"/>
                <w:sz w:val="24"/>
                <w:szCs w:val="24"/>
              </w:rPr>
            </w:pPr>
          </w:p>
        </w:tc>
        <w:tc>
          <w:tcPr>
            <w:tcW w:w="4849" w:type="dxa"/>
            <w:noWrap/>
          </w:tcPr>
          <w:p w14:paraId="4D56B6DA" w14:textId="72BFEFE5"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Art. 389. O Presidente da Comissão Nacional de Atuária pode, motivadamente, determinar a convocação de reuniões extraordinárias, comunicando-se aos demais membros com antecedência mínima de cinco dias úteis. </w:t>
            </w:r>
          </w:p>
        </w:tc>
        <w:tc>
          <w:tcPr>
            <w:tcW w:w="4648" w:type="dxa"/>
            <w:noWrap/>
          </w:tcPr>
          <w:p w14:paraId="12B1A549" w14:textId="77777777" w:rsidR="00E86BE2" w:rsidRPr="0010524E" w:rsidRDefault="00E86BE2" w:rsidP="00E86BE2">
            <w:pPr>
              <w:jc w:val="both"/>
              <w:rPr>
                <w:rFonts w:cstheme="minorHAnsi"/>
                <w:sz w:val="24"/>
                <w:szCs w:val="24"/>
              </w:rPr>
            </w:pPr>
          </w:p>
        </w:tc>
      </w:tr>
      <w:tr w:rsidR="00E86BE2" w:rsidRPr="0010524E" w14:paraId="752897D6" w14:textId="4C3193EA" w:rsidTr="00E86BE2">
        <w:trPr>
          <w:trHeight w:val="290"/>
        </w:trPr>
        <w:tc>
          <w:tcPr>
            <w:tcW w:w="4815" w:type="dxa"/>
            <w:noWrap/>
          </w:tcPr>
          <w:p w14:paraId="65A29CA8" w14:textId="77777777" w:rsidR="00E86BE2" w:rsidRPr="0010524E" w:rsidRDefault="00E86BE2" w:rsidP="00E86BE2">
            <w:pPr>
              <w:jc w:val="both"/>
              <w:rPr>
                <w:rFonts w:cstheme="minorHAnsi"/>
                <w:sz w:val="24"/>
                <w:szCs w:val="24"/>
              </w:rPr>
            </w:pPr>
            <w:bookmarkStart w:id="121" w:name="_Hlk138424741"/>
            <w:bookmarkEnd w:id="120"/>
            <w:r w:rsidRPr="0010524E">
              <w:rPr>
                <w:rFonts w:cstheme="minorHAnsi"/>
                <w:sz w:val="24"/>
                <w:szCs w:val="24"/>
              </w:rPr>
              <w:t xml:space="preserve">Parágrafo único. A requerimento de pelo menos seis membros, o Presidente da CNA deverá determinar à Secretaria-Executiva a convocação de reunião extraordinária. </w:t>
            </w:r>
          </w:p>
          <w:p w14:paraId="2A60D8DC" w14:textId="77777777" w:rsidR="00E86BE2" w:rsidRPr="0010524E" w:rsidRDefault="00E86BE2" w:rsidP="00E86BE2">
            <w:pPr>
              <w:jc w:val="both"/>
              <w:rPr>
                <w:rFonts w:cstheme="minorHAnsi"/>
                <w:sz w:val="24"/>
                <w:szCs w:val="24"/>
              </w:rPr>
            </w:pPr>
          </w:p>
        </w:tc>
        <w:tc>
          <w:tcPr>
            <w:tcW w:w="4849" w:type="dxa"/>
            <w:noWrap/>
          </w:tcPr>
          <w:p w14:paraId="34A45788" w14:textId="486310D6"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Parágrafo único. A requerimento de pelo menos seis membros, o Presidente da Comissão Nacional de Atuária deve determinar à Secretaria-Executiva a convocação de reunião extraordinária. </w:t>
            </w:r>
          </w:p>
        </w:tc>
        <w:tc>
          <w:tcPr>
            <w:tcW w:w="4648" w:type="dxa"/>
            <w:noWrap/>
          </w:tcPr>
          <w:p w14:paraId="1FBEC8C3" w14:textId="77777777" w:rsidR="00E86BE2" w:rsidRPr="0010524E" w:rsidRDefault="00E86BE2" w:rsidP="00E86BE2">
            <w:pPr>
              <w:jc w:val="both"/>
              <w:rPr>
                <w:rFonts w:cstheme="minorHAnsi"/>
                <w:sz w:val="24"/>
                <w:szCs w:val="24"/>
              </w:rPr>
            </w:pPr>
          </w:p>
        </w:tc>
      </w:tr>
      <w:bookmarkEnd w:id="121"/>
      <w:tr w:rsidR="00E86BE2" w:rsidRPr="0010524E" w14:paraId="4EF958DF" w14:textId="31C7A360" w:rsidTr="00E86BE2">
        <w:trPr>
          <w:trHeight w:val="290"/>
        </w:trPr>
        <w:tc>
          <w:tcPr>
            <w:tcW w:w="4815" w:type="dxa"/>
            <w:noWrap/>
          </w:tcPr>
          <w:p w14:paraId="3155D305" w14:textId="77777777" w:rsidR="00E86BE2" w:rsidRPr="0010524E" w:rsidRDefault="00E86BE2" w:rsidP="00E86BE2">
            <w:pPr>
              <w:jc w:val="both"/>
              <w:rPr>
                <w:rFonts w:cstheme="minorHAnsi"/>
                <w:sz w:val="24"/>
                <w:szCs w:val="24"/>
              </w:rPr>
            </w:pPr>
            <w:r w:rsidRPr="0010524E">
              <w:rPr>
                <w:rFonts w:cstheme="minorHAnsi"/>
                <w:sz w:val="24"/>
                <w:szCs w:val="24"/>
              </w:rPr>
              <w:t xml:space="preserve">Art. 19. As comunicações sobre a realização das reuniões e sobre os demais atos que devam chegar ao conhecimento dos membros da CNA serão feitas preferencialmente por meio eletrônico, assegurada a certificação do recebimento da mensagem, ou por qualquer outro meio idôneo. </w:t>
            </w:r>
          </w:p>
          <w:p w14:paraId="448D3E68" w14:textId="77777777" w:rsidR="00E86BE2" w:rsidRPr="0010524E" w:rsidRDefault="00E86BE2" w:rsidP="00E86BE2">
            <w:pPr>
              <w:jc w:val="both"/>
              <w:rPr>
                <w:rFonts w:cstheme="minorHAnsi"/>
                <w:sz w:val="24"/>
                <w:szCs w:val="24"/>
              </w:rPr>
            </w:pPr>
          </w:p>
        </w:tc>
        <w:tc>
          <w:tcPr>
            <w:tcW w:w="4849" w:type="dxa"/>
            <w:noWrap/>
          </w:tcPr>
          <w:p w14:paraId="79A00294" w14:textId="77777777" w:rsidR="00E86BE2" w:rsidRPr="0010524E" w:rsidRDefault="00E86BE2" w:rsidP="00E86BE2">
            <w:pPr>
              <w:jc w:val="both"/>
              <w:rPr>
                <w:rFonts w:cstheme="minorHAnsi"/>
                <w:sz w:val="24"/>
                <w:szCs w:val="24"/>
              </w:rPr>
            </w:pPr>
          </w:p>
        </w:tc>
        <w:tc>
          <w:tcPr>
            <w:tcW w:w="4648" w:type="dxa"/>
            <w:noWrap/>
          </w:tcPr>
          <w:p w14:paraId="0A8FF010" w14:textId="77777777" w:rsidR="00E86BE2" w:rsidRPr="0010524E" w:rsidRDefault="00E86BE2" w:rsidP="00E86BE2">
            <w:pPr>
              <w:jc w:val="both"/>
              <w:rPr>
                <w:rFonts w:cstheme="minorHAnsi"/>
                <w:sz w:val="24"/>
                <w:szCs w:val="24"/>
              </w:rPr>
            </w:pPr>
            <w:r w:rsidRPr="0010524E">
              <w:rPr>
                <w:rFonts w:cstheme="minorHAnsi"/>
                <w:sz w:val="24"/>
                <w:szCs w:val="24"/>
              </w:rPr>
              <w:t>Excluir</w:t>
            </w:r>
          </w:p>
        </w:tc>
      </w:tr>
      <w:tr w:rsidR="00E86BE2" w:rsidRPr="0010524E" w14:paraId="7959830D" w14:textId="145BAD0B" w:rsidTr="00E86BE2">
        <w:trPr>
          <w:trHeight w:val="290"/>
        </w:trPr>
        <w:tc>
          <w:tcPr>
            <w:tcW w:w="4815" w:type="dxa"/>
            <w:noWrap/>
          </w:tcPr>
          <w:p w14:paraId="4ED352A7" w14:textId="77777777" w:rsidR="00E86BE2" w:rsidRPr="0010524E" w:rsidRDefault="00E86BE2" w:rsidP="00E86BE2">
            <w:pPr>
              <w:jc w:val="both"/>
              <w:rPr>
                <w:rFonts w:cstheme="minorHAnsi"/>
                <w:sz w:val="24"/>
                <w:szCs w:val="24"/>
              </w:rPr>
            </w:pPr>
            <w:r w:rsidRPr="0010524E">
              <w:rPr>
                <w:rFonts w:cstheme="minorHAnsi"/>
                <w:sz w:val="24"/>
                <w:szCs w:val="24"/>
              </w:rPr>
              <w:lastRenderedPageBreak/>
              <w:t xml:space="preserve">Art. 20. Além da Ata da Reunião, se as condições materiais e ambientais assim o permitirem, poderá ser mantido registro gravado do áudio da reunião, que será conservado pelo período de um ano. </w:t>
            </w:r>
          </w:p>
          <w:p w14:paraId="1C16C33C" w14:textId="77777777" w:rsidR="00E86BE2" w:rsidRPr="0010524E" w:rsidRDefault="00E86BE2" w:rsidP="00E86BE2">
            <w:pPr>
              <w:jc w:val="both"/>
              <w:rPr>
                <w:rFonts w:cstheme="minorHAnsi"/>
                <w:sz w:val="24"/>
                <w:szCs w:val="24"/>
              </w:rPr>
            </w:pPr>
          </w:p>
        </w:tc>
        <w:tc>
          <w:tcPr>
            <w:tcW w:w="4849" w:type="dxa"/>
            <w:noWrap/>
          </w:tcPr>
          <w:p w14:paraId="304CA439" w14:textId="77777777" w:rsidR="00E86BE2" w:rsidRPr="0010524E" w:rsidRDefault="00E86BE2" w:rsidP="00E86BE2">
            <w:pPr>
              <w:jc w:val="both"/>
              <w:rPr>
                <w:rFonts w:cstheme="minorHAnsi"/>
                <w:sz w:val="24"/>
                <w:szCs w:val="24"/>
              </w:rPr>
            </w:pPr>
          </w:p>
        </w:tc>
        <w:tc>
          <w:tcPr>
            <w:tcW w:w="4648" w:type="dxa"/>
            <w:noWrap/>
          </w:tcPr>
          <w:p w14:paraId="0744E6DE" w14:textId="77777777" w:rsidR="00E86BE2" w:rsidRPr="0010524E" w:rsidRDefault="00E86BE2" w:rsidP="00E86BE2">
            <w:pPr>
              <w:jc w:val="both"/>
              <w:rPr>
                <w:rFonts w:cstheme="minorHAnsi"/>
                <w:sz w:val="24"/>
                <w:szCs w:val="24"/>
              </w:rPr>
            </w:pPr>
            <w:r w:rsidRPr="0010524E">
              <w:rPr>
                <w:rFonts w:cstheme="minorHAnsi"/>
                <w:sz w:val="24"/>
                <w:szCs w:val="24"/>
              </w:rPr>
              <w:t>Excluir</w:t>
            </w:r>
          </w:p>
        </w:tc>
      </w:tr>
      <w:tr w:rsidR="00E86BE2" w:rsidRPr="0010524E" w14:paraId="68307675" w14:textId="515B59CE" w:rsidTr="00E86BE2">
        <w:trPr>
          <w:trHeight w:val="290"/>
        </w:trPr>
        <w:tc>
          <w:tcPr>
            <w:tcW w:w="4815" w:type="dxa"/>
            <w:noWrap/>
          </w:tcPr>
          <w:p w14:paraId="7A057099" w14:textId="2E169EF6" w:rsidR="00E86BE2" w:rsidRPr="0010524E" w:rsidRDefault="00E86BE2" w:rsidP="00E86BE2">
            <w:pPr>
              <w:jc w:val="center"/>
              <w:rPr>
                <w:rFonts w:cstheme="minorHAnsi"/>
                <w:sz w:val="24"/>
                <w:szCs w:val="24"/>
              </w:rPr>
            </w:pPr>
            <w:bookmarkStart w:id="122" w:name="_Hlk138424750"/>
            <w:r w:rsidRPr="0010524E">
              <w:rPr>
                <w:rFonts w:cstheme="minorHAnsi"/>
                <w:sz w:val="24"/>
                <w:szCs w:val="24"/>
              </w:rPr>
              <w:t>CAPÍTULO V</w:t>
            </w:r>
          </w:p>
          <w:p w14:paraId="3DBD868F" w14:textId="34DD13FE" w:rsidR="00E86BE2" w:rsidRPr="0010524E" w:rsidRDefault="00E86BE2" w:rsidP="00E86BE2">
            <w:pPr>
              <w:jc w:val="center"/>
              <w:rPr>
                <w:rFonts w:cstheme="minorHAnsi"/>
                <w:sz w:val="24"/>
                <w:szCs w:val="24"/>
              </w:rPr>
            </w:pPr>
            <w:r w:rsidRPr="0010524E">
              <w:rPr>
                <w:rFonts w:cstheme="minorHAnsi"/>
                <w:sz w:val="24"/>
                <w:szCs w:val="24"/>
              </w:rPr>
              <w:t>DISPOSIÇÕES GERAIS E TRANSITÓRIAS</w:t>
            </w:r>
          </w:p>
          <w:p w14:paraId="2ADFE1DC" w14:textId="77777777" w:rsidR="00E86BE2" w:rsidRPr="0010524E" w:rsidRDefault="00E86BE2" w:rsidP="00E86BE2">
            <w:pPr>
              <w:jc w:val="both"/>
              <w:rPr>
                <w:rFonts w:cstheme="minorHAnsi"/>
                <w:sz w:val="24"/>
                <w:szCs w:val="24"/>
              </w:rPr>
            </w:pPr>
          </w:p>
        </w:tc>
        <w:tc>
          <w:tcPr>
            <w:tcW w:w="4849" w:type="dxa"/>
            <w:noWrap/>
          </w:tcPr>
          <w:p w14:paraId="69E87A74" w14:textId="77777777" w:rsidR="00E86BE2" w:rsidRPr="0010524E" w:rsidRDefault="00E86BE2" w:rsidP="00E86BE2">
            <w:pPr>
              <w:jc w:val="center"/>
              <w:rPr>
                <w:rFonts w:cstheme="minorHAnsi"/>
                <w:b/>
                <w:bCs/>
                <w:sz w:val="24"/>
                <w:szCs w:val="24"/>
              </w:rPr>
            </w:pPr>
            <w:r w:rsidRPr="0010524E">
              <w:rPr>
                <w:rFonts w:cstheme="minorHAnsi"/>
                <w:b/>
                <w:bCs/>
                <w:sz w:val="24"/>
                <w:szCs w:val="24"/>
              </w:rPr>
              <w:t>Subseção VI</w:t>
            </w:r>
          </w:p>
          <w:p w14:paraId="16AEA390" w14:textId="77777777" w:rsidR="00E86BE2" w:rsidRPr="0010524E" w:rsidRDefault="00E86BE2" w:rsidP="00E86BE2">
            <w:pPr>
              <w:jc w:val="center"/>
              <w:rPr>
                <w:rFonts w:cstheme="minorHAnsi"/>
                <w:sz w:val="24"/>
                <w:szCs w:val="24"/>
              </w:rPr>
            </w:pPr>
            <w:r w:rsidRPr="0010524E">
              <w:rPr>
                <w:rFonts w:cstheme="minorHAnsi"/>
                <w:b/>
                <w:bCs/>
                <w:sz w:val="24"/>
                <w:szCs w:val="24"/>
              </w:rPr>
              <w:t>Disposições gerais</w:t>
            </w:r>
          </w:p>
        </w:tc>
        <w:tc>
          <w:tcPr>
            <w:tcW w:w="4648" w:type="dxa"/>
            <w:noWrap/>
          </w:tcPr>
          <w:p w14:paraId="44C5829C" w14:textId="77777777" w:rsidR="00E86BE2" w:rsidRPr="0010524E" w:rsidRDefault="00E86BE2" w:rsidP="00E86BE2">
            <w:pPr>
              <w:jc w:val="both"/>
              <w:rPr>
                <w:rFonts w:cstheme="minorHAnsi"/>
                <w:sz w:val="24"/>
                <w:szCs w:val="24"/>
              </w:rPr>
            </w:pPr>
          </w:p>
        </w:tc>
      </w:tr>
      <w:bookmarkEnd w:id="38"/>
      <w:bookmarkEnd w:id="122"/>
      <w:tr w:rsidR="00E86BE2" w:rsidRPr="0010524E" w14:paraId="3634D1DA" w14:textId="311C8822" w:rsidTr="00E86BE2">
        <w:trPr>
          <w:trHeight w:val="290"/>
        </w:trPr>
        <w:tc>
          <w:tcPr>
            <w:tcW w:w="4815" w:type="dxa"/>
            <w:noWrap/>
          </w:tcPr>
          <w:p w14:paraId="263D53E7" w14:textId="77777777" w:rsidR="00E86BE2" w:rsidRPr="0010524E" w:rsidRDefault="00E86BE2" w:rsidP="00E86BE2">
            <w:pPr>
              <w:jc w:val="both"/>
              <w:rPr>
                <w:rFonts w:cstheme="minorHAnsi"/>
                <w:sz w:val="24"/>
                <w:szCs w:val="24"/>
              </w:rPr>
            </w:pPr>
            <w:r w:rsidRPr="0010524E">
              <w:rPr>
                <w:rFonts w:cstheme="minorHAnsi"/>
                <w:sz w:val="24"/>
                <w:szCs w:val="24"/>
              </w:rPr>
              <w:t xml:space="preserve">Art. 21. Os membros da CNA, além das reuniões ordinárias e extraordinárias, poderão se reunir informalmente por meio virtual, via chats, fóruns de discussão ou outros recursos tecnológicos, facultando-se a juntada dessas comunicações aos processos de trabalho, quando assim requerido por qualquer dos membros. </w:t>
            </w:r>
          </w:p>
          <w:p w14:paraId="19C87FE4" w14:textId="77777777" w:rsidR="00E86BE2" w:rsidRPr="0010524E" w:rsidRDefault="00E86BE2" w:rsidP="00E86BE2">
            <w:pPr>
              <w:jc w:val="both"/>
              <w:rPr>
                <w:rFonts w:cstheme="minorHAnsi"/>
                <w:sz w:val="24"/>
                <w:szCs w:val="24"/>
              </w:rPr>
            </w:pPr>
          </w:p>
        </w:tc>
        <w:tc>
          <w:tcPr>
            <w:tcW w:w="4849" w:type="dxa"/>
            <w:noWrap/>
          </w:tcPr>
          <w:p w14:paraId="3BDEFF6E" w14:textId="77777777" w:rsidR="00E86BE2" w:rsidRPr="0010524E" w:rsidRDefault="00E86BE2" w:rsidP="00E86BE2">
            <w:pPr>
              <w:jc w:val="both"/>
              <w:rPr>
                <w:rFonts w:cstheme="minorHAnsi"/>
                <w:sz w:val="24"/>
                <w:szCs w:val="24"/>
              </w:rPr>
            </w:pPr>
          </w:p>
        </w:tc>
        <w:tc>
          <w:tcPr>
            <w:tcW w:w="4648" w:type="dxa"/>
            <w:noWrap/>
          </w:tcPr>
          <w:p w14:paraId="74FA023D" w14:textId="3569A573" w:rsidR="00E86BE2" w:rsidRPr="0010524E" w:rsidRDefault="00E86BE2" w:rsidP="00E86BE2">
            <w:pPr>
              <w:jc w:val="both"/>
              <w:rPr>
                <w:rFonts w:cstheme="minorHAnsi"/>
                <w:sz w:val="24"/>
                <w:szCs w:val="24"/>
              </w:rPr>
            </w:pPr>
            <w:r w:rsidRPr="0010524E">
              <w:rPr>
                <w:rFonts w:cstheme="minorHAnsi"/>
                <w:sz w:val="24"/>
                <w:szCs w:val="24"/>
              </w:rPr>
              <w:t>Exclu</w:t>
            </w:r>
            <w:r>
              <w:rPr>
                <w:rFonts w:cstheme="minorHAnsi"/>
                <w:sz w:val="24"/>
                <w:szCs w:val="24"/>
              </w:rPr>
              <w:t>ído</w:t>
            </w:r>
          </w:p>
        </w:tc>
      </w:tr>
      <w:tr w:rsidR="00E86BE2" w:rsidRPr="0010524E" w14:paraId="436FF589" w14:textId="2DC1F01C" w:rsidTr="00E86BE2">
        <w:trPr>
          <w:trHeight w:val="290"/>
        </w:trPr>
        <w:tc>
          <w:tcPr>
            <w:tcW w:w="4815" w:type="dxa"/>
            <w:noWrap/>
          </w:tcPr>
          <w:p w14:paraId="23635D0E" w14:textId="77777777" w:rsidR="00E86BE2" w:rsidRPr="0010524E" w:rsidRDefault="00E86BE2" w:rsidP="00E86BE2">
            <w:pPr>
              <w:jc w:val="both"/>
              <w:rPr>
                <w:rFonts w:cstheme="minorHAnsi"/>
                <w:sz w:val="24"/>
                <w:szCs w:val="24"/>
              </w:rPr>
            </w:pPr>
            <w:bookmarkStart w:id="123" w:name="_Hlk138424756"/>
            <w:r w:rsidRPr="0010524E">
              <w:rPr>
                <w:rFonts w:cstheme="minorHAnsi"/>
                <w:sz w:val="24"/>
                <w:szCs w:val="24"/>
              </w:rPr>
              <w:t xml:space="preserve">Art. 22. Todos os trabalhos concluídos e aprovados pela CNA serão encaminhados por seu Presidente à apreciação do Secretário de Previdência Complementar e inseridos na página eletrônica da Secretaria de Previdência Complementar. </w:t>
            </w:r>
          </w:p>
          <w:p w14:paraId="35F5B927" w14:textId="77777777" w:rsidR="00E86BE2" w:rsidRPr="0010524E" w:rsidRDefault="00E86BE2" w:rsidP="00E86BE2">
            <w:pPr>
              <w:jc w:val="both"/>
              <w:rPr>
                <w:rFonts w:cstheme="minorHAnsi"/>
                <w:sz w:val="24"/>
                <w:szCs w:val="24"/>
              </w:rPr>
            </w:pPr>
          </w:p>
        </w:tc>
        <w:tc>
          <w:tcPr>
            <w:tcW w:w="4849" w:type="dxa"/>
            <w:noWrap/>
          </w:tcPr>
          <w:p w14:paraId="0628C501" w14:textId="02009CAF"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Art.  390. Todos os trabalhos concluídos e aprovados pela Comissão Nacional de Atuária são encaminhados por seu Presidente à apreciação da Diretoria Colegiada e inseridos na página eletrônica da Previc. </w:t>
            </w:r>
          </w:p>
        </w:tc>
        <w:tc>
          <w:tcPr>
            <w:tcW w:w="4648" w:type="dxa"/>
            <w:noWrap/>
          </w:tcPr>
          <w:p w14:paraId="651A77BA" w14:textId="77777777" w:rsidR="00E86BE2" w:rsidRPr="0010524E" w:rsidRDefault="00E86BE2" w:rsidP="00E86BE2">
            <w:pPr>
              <w:jc w:val="both"/>
              <w:rPr>
                <w:rFonts w:cstheme="minorHAnsi"/>
                <w:sz w:val="24"/>
                <w:szCs w:val="24"/>
              </w:rPr>
            </w:pPr>
            <w:r w:rsidRPr="0010524E">
              <w:rPr>
                <w:rFonts w:cstheme="minorHAnsi"/>
                <w:sz w:val="24"/>
                <w:szCs w:val="24"/>
              </w:rPr>
              <w:t>Ajuste redacional.</w:t>
            </w:r>
          </w:p>
        </w:tc>
      </w:tr>
      <w:tr w:rsidR="00E86BE2" w:rsidRPr="0010524E" w14:paraId="151B78D2" w14:textId="21CFC409" w:rsidTr="00E86BE2">
        <w:trPr>
          <w:trHeight w:val="290"/>
        </w:trPr>
        <w:tc>
          <w:tcPr>
            <w:tcW w:w="4815" w:type="dxa"/>
            <w:noWrap/>
          </w:tcPr>
          <w:p w14:paraId="392B4FE1" w14:textId="77777777" w:rsidR="00E86BE2" w:rsidRPr="0010524E" w:rsidRDefault="00E86BE2" w:rsidP="00E86BE2">
            <w:pPr>
              <w:jc w:val="both"/>
              <w:rPr>
                <w:rFonts w:cstheme="minorHAnsi"/>
                <w:sz w:val="24"/>
                <w:szCs w:val="24"/>
              </w:rPr>
            </w:pPr>
            <w:bookmarkStart w:id="124" w:name="_Hlk138424764"/>
            <w:bookmarkEnd w:id="123"/>
            <w:r w:rsidRPr="0010524E">
              <w:rPr>
                <w:rFonts w:cstheme="minorHAnsi"/>
                <w:sz w:val="24"/>
                <w:szCs w:val="24"/>
              </w:rPr>
              <w:t xml:space="preserve">Parágrafo único. Os trabalhos deverão conter obrigatoriamente a identificação e as assinaturas dos autores e do Presidente da CNA. </w:t>
            </w:r>
          </w:p>
          <w:p w14:paraId="4DA42CAD" w14:textId="77777777" w:rsidR="00E86BE2" w:rsidRPr="0010524E" w:rsidRDefault="00E86BE2" w:rsidP="00E86BE2">
            <w:pPr>
              <w:jc w:val="both"/>
              <w:rPr>
                <w:rFonts w:cstheme="minorHAnsi"/>
                <w:sz w:val="24"/>
                <w:szCs w:val="24"/>
              </w:rPr>
            </w:pPr>
          </w:p>
        </w:tc>
        <w:tc>
          <w:tcPr>
            <w:tcW w:w="4849" w:type="dxa"/>
            <w:noWrap/>
          </w:tcPr>
          <w:p w14:paraId="371DB5F5" w14:textId="6C8788A3" w:rsidR="00E86BE2" w:rsidRPr="0010524E" w:rsidRDefault="00E86BE2" w:rsidP="00E86BE2">
            <w:pPr>
              <w:jc w:val="both"/>
              <w:rPr>
                <w:rFonts w:cstheme="minorHAnsi"/>
                <w:sz w:val="24"/>
                <w:szCs w:val="24"/>
              </w:rPr>
            </w:pPr>
            <w:r w:rsidRPr="0010524E">
              <w:rPr>
                <w:rFonts w:ascii="Calibri" w:eastAsia="Calibri" w:hAnsi="Calibri" w:cs="Calibri"/>
                <w:sz w:val="24"/>
                <w:szCs w:val="24"/>
              </w:rPr>
              <w:lastRenderedPageBreak/>
              <w:t xml:space="preserve">Parágrafo único. Os trabalhos devem conter obrigatoriamente a identificação e as </w:t>
            </w:r>
            <w:r w:rsidRPr="0010524E">
              <w:rPr>
                <w:rFonts w:ascii="Calibri" w:eastAsia="Calibri" w:hAnsi="Calibri" w:cs="Calibri"/>
                <w:sz w:val="24"/>
                <w:szCs w:val="24"/>
              </w:rPr>
              <w:lastRenderedPageBreak/>
              <w:t xml:space="preserve">assinaturas dos autores e do Presidente da Comissão Nacional de Atuária. </w:t>
            </w:r>
          </w:p>
        </w:tc>
        <w:tc>
          <w:tcPr>
            <w:tcW w:w="4648" w:type="dxa"/>
            <w:noWrap/>
          </w:tcPr>
          <w:p w14:paraId="09DA41D0" w14:textId="77777777" w:rsidR="00E86BE2" w:rsidRPr="0010524E" w:rsidRDefault="00E86BE2" w:rsidP="00E86BE2">
            <w:pPr>
              <w:jc w:val="both"/>
              <w:rPr>
                <w:rFonts w:cstheme="minorHAnsi"/>
                <w:sz w:val="24"/>
                <w:szCs w:val="24"/>
              </w:rPr>
            </w:pPr>
          </w:p>
        </w:tc>
      </w:tr>
      <w:bookmarkEnd w:id="124"/>
      <w:tr w:rsidR="00E86BE2" w:rsidRPr="0010524E" w14:paraId="4683E549" w14:textId="30D81173" w:rsidTr="00E86BE2">
        <w:trPr>
          <w:trHeight w:val="290"/>
        </w:trPr>
        <w:tc>
          <w:tcPr>
            <w:tcW w:w="4815" w:type="dxa"/>
            <w:noWrap/>
          </w:tcPr>
          <w:p w14:paraId="6A9E896D" w14:textId="409DDB33" w:rsidR="00E86BE2" w:rsidRPr="0010524E" w:rsidRDefault="00E86BE2" w:rsidP="00E86BE2">
            <w:pPr>
              <w:jc w:val="both"/>
              <w:rPr>
                <w:rFonts w:cstheme="minorHAnsi"/>
                <w:sz w:val="24"/>
                <w:szCs w:val="24"/>
              </w:rPr>
            </w:pPr>
            <w:r w:rsidRPr="0010524E">
              <w:rPr>
                <w:rFonts w:cstheme="minorHAnsi"/>
                <w:sz w:val="24"/>
                <w:szCs w:val="24"/>
              </w:rPr>
              <w:t xml:space="preserve">Art. 23. Excepcionalmente, na primeira investidura da CNA: </w:t>
            </w:r>
          </w:p>
        </w:tc>
        <w:tc>
          <w:tcPr>
            <w:tcW w:w="4849" w:type="dxa"/>
            <w:noWrap/>
          </w:tcPr>
          <w:p w14:paraId="5F0AFF13" w14:textId="77777777" w:rsidR="00E86BE2" w:rsidRPr="0010524E" w:rsidRDefault="00E86BE2" w:rsidP="00E86BE2">
            <w:pPr>
              <w:jc w:val="both"/>
              <w:rPr>
                <w:rFonts w:cstheme="minorHAnsi"/>
                <w:sz w:val="24"/>
                <w:szCs w:val="24"/>
              </w:rPr>
            </w:pPr>
          </w:p>
        </w:tc>
        <w:tc>
          <w:tcPr>
            <w:tcW w:w="4648" w:type="dxa"/>
            <w:noWrap/>
          </w:tcPr>
          <w:p w14:paraId="43E86BFF" w14:textId="4DF170D8" w:rsidR="00E86BE2" w:rsidRPr="0010524E" w:rsidRDefault="00E86BE2" w:rsidP="00E86BE2">
            <w:pPr>
              <w:jc w:val="both"/>
              <w:rPr>
                <w:rFonts w:cstheme="minorHAnsi"/>
                <w:sz w:val="24"/>
                <w:szCs w:val="24"/>
              </w:rPr>
            </w:pPr>
            <w:r w:rsidRPr="0010524E">
              <w:rPr>
                <w:rFonts w:cstheme="minorHAnsi"/>
                <w:sz w:val="24"/>
                <w:szCs w:val="24"/>
              </w:rPr>
              <w:t>Exclu</w:t>
            </w:r>
            <w:r>
              <w:rPr>
                <w:rFonts w:cstheme="minorHAnsi"/>
                <w:sz w:val="24"/>
                <w:szCs w:val="24"/>
              </w:rPr>
              <w:t>ído</w:t>
            </w:r>
          </w:p>
        </w:tc>
      </w:tr>
      <w:tr w:rsidR="00E86BE2" w:rsidRPr="0010524E" w14:paraId="51F6B5AC" w14:textId="756BC6B8" w:rsidTr="00E86BE2">
        <w:trPr>
          <w:trHeight w:val="290"/>
        </w:trPr>
        <w:tc>
          <w:tcPr>
            <w:tcW w:w="4815" w:type="dxa"/>
            <w:noWrap/>
          </w:tcPr>
          <w:p w14:paraId="13D66489" w14:textId="251C8B16" w:rsidR="00E86BE2" w:rsidRPr="0010524E" w:rsidRDefault="00E86BE2" w:rsidP="00E86BE2">
            <w:pPr>
              <w:jc w:val="both"/>
              <w:rPr>
                <w:rFonts w:cstheme="minorHAnsi"/>
                <w:sz w:val="24"/>
                <w:szCs w:val="24"/>
              </w:rPr>
            </w:pPr>
            <w:r>
              <w:rPr>
                <w:rFonts w:cstheme="minorHAnsi"/>
                <w:sz w:val="24"/>
                <w:szCs w:val="24"/>
              </w:rPr>
              <w:t xml:space="preserve">I </w:t>
            </w:r>
            <w:r w:rsidRPr="0010524E">
              <w:rPr>
                <w:rFonts w:cstheme="minorHAnsi"/>
                <w:sz w:val="24"/>
                <w:szCs w:val="24"/>
              </w:rPr>
              <w:t xml:space="preserve">- o ano de 2009 será contado como um ano integral para fins de cômputo do período de mandato; e </w:t>
            </w:r>
          </w:p>
        </w:tc>
        <w:tc>
          <w:tcPr>
            <w:tcW w:w="4849" w:type="dxa"/>
            <w:noWrap/>
          </w:tcPr>
          <w:p w14:paraId="22DB9D69" w14:textId="77777777" w:rsidR="00E86BE2" w:rsidRPr="0010524E" w:rsidRDefault="00E86BE2" w:rsidP="00E86BE2">
            <w:pPr>
              <w:jc w:val="both"/>
              <w:rPr>
                <w:rFonts w:cstheme="minorHAnsi"/>
                <w:sz w:val="24"/>
                <w:szCs w:val="24"/>
              </w:rPr>
            </w:pPr>
          </w:p>
        </w:tc>
        <w:tc>
          <w:tcPr>
            <w:tcW w:w="4648" w:type="dxa"/>
            <w:noWrap/>
          </w:tcPr>
          <w:p w14:paraId="5E327D1D" w14:textId="48DFE118" w:rsidR="00E86BE2" w:rsidRPr="0010524E" w:rsidRDefault="00E86BE2" w:rsidP="00E86BE2">
            <w:pPr>
              <w:jc w:val="both"/>
              <w:rPr>
                <w:rFonts w:cstheme="minorHAnsi"/>
                <w:sz w:val="24"/>
                <w:szCs w:val="24"/>
              </w:rPr>
            </w:pPr>
            <w:r w:rsidRPr="0010524E">
              <w:rPr>
                <w:rFonts w:cstheme="minorHAnsi"/>
                <w:sz w:val="24"/>
                <w:szCs w:val="24"/>
              </w:rPr>
              <w:t>Exclu</w:t>
            </w:r>
            <w:r>
              <w:rPr>
                <w:rFonts w:cstheme="minorHAnsi"/>
                <w:sz w:val="24"/>
                <w:szCs w:val="24"/>
              </w:rPr>
              <w:t>ído</w:t>
            </w:r>
          </w:p>
        </w:tc>
      </w:tr>
      <w:tr w:rsidR="00E86BE2" w:rsidRPr="0010524E" w14:paraId="19F1D542" w14:textId="7AE6410D" w:rsidTr="00E86BE2">
        <w:trPr>
          <w:trHeight w:val="290"/>
        </w:trPr>
        <w:tc>
          <w:tcPr>
            <w:tcW w:w="4815" w:type="dxa"/>
            <w:noWrap/>
          </w:tcPr>
          <w:p w14:paraId="40559ADF" w14:textId="734E7CF4" w:rsidR="00E86BE2" w:rsidRPr="0010524E" w:rsidRDefault="00E86BE2" w:rsidP="00E86BE2">
            <w:pPr>
              <w:jc w:val="both"/>
              <w:rPr>
                <w:rFonts w:cstheme="minorHAnsi"/>
                <w:sz w:val="24"/>
                <w:szCs w:val="24"/>
              </w:rPr>
            </w:pPr>
            <w:r>
              <w:rPr>
                <w:rFonts w:cstheme="minorHAnsi"/>
                <w:sz w:val="24"/>
                <w:szCs w:val="24"/>
              </w:rPr>
              <w:t xml:space="preserve">II - </w:t>
            </w:r>
            <w:r w:rsidRPr="0010524E">
              <w:rPr>
                <w:rFonts w:cstheme="minorHAnsi"/>
                <w:sz w:val="24"/>
                <w:szCs w:val="24"/>
              </w:rPr>
              <w:t xml:space="preserve">o mandato dos representantes indicados nos incisos I, III, V, VII e IX do art. 3º deste regimento será de três anos. </w:t>
            </w:r>
          </w:p>
        </w:tc>
        <w:tc>
          <w:tcPr>
            <w:tcW w:w="4849" w:type="dxa"/>
            <w:noWrap/>
          </w:tcPr>
          <w:p w14:paraId="2F233BA6" w14:textId="77777777" w:rsidR="00E86BE2" w:rsidRPr="0010524E" w:rsidRDefault="00E86BE2" w:rsidP="00E86BE2">
            <w:pPr>
              <w:jc w:val="both"/>
              <w:rPr>
                <w:rFonts w:cstheme="minorHAnsi"/>
                <w:sz w:val="24"/>
                <w:szCs w:val="24"/>
              </w:rPr>
            </w:pPr>
          </w:p>
        </w:tc>
        <w:tc>
          <w:tcPr>
            <w:tcW w:w="4648" w:type="dxa"/>
            <w:noWrap/>
          </w:tcPr>
          <w:p w14:paraId="75B41E0D" w14:textId="31798ACB" w:rsidR="00E86BE2" w:rsidRPr="0010524E" w:rsidRDefault="00E86BE2" w:rsidP="00E86BE2">
            <w:pPr>
              <w:jc w:val="both"/>
              <w:rPr>
                <w:rFonts w:cstheme="minorHAnsi"/>
                <w:sz w:val="24"/>
                <w:szCs w:val="24"/>
              </w:rPr>
            </w:pPr>
            <w:r w:rsidRPr="0010524E">
              <w:rPr>
                <w:rFonts w:cstheme="minorHAnsi"/>
                <w:sz w:val="24"/>
                <w:szCs w:val="24"/>
              </w:rPr>
              <w:t>Exclu</w:t>
            </w:r>
            <w:r>
              <w:rPr>
                <w:rFonts w:cstheme="minorHAnsi"/>
                <w:sz w:val="24"/>
                <w:szCs w:val="24"/>
              </w:rPr>
              <w:t>ído</w:t>
            </w:r>
          </w:p>
        </w:tc>
      </w:tr>
      <w:tr w:rsidR="00E86BE2" w:rsidRPr="0010524E" w14:paraId="4C44E5C8" w14:textId="23F42166" w:rsidTr="00E86BE2">
        <w:trPr>
          <w:trHeight w:val="290"/>
        </w:trPr>
        <w:tc>
          <w:tcPr>
            <w:tcW w:w="4815" w:type="dxa"/>
            <w:noWrap/>
          </w:tcPr>
          <w:p w14:paraId="6D8EF441" w14:textId="77777777" w:rsidR="00E86BE2" w:rsidRPr="0010524E" w:rsidRDefault="00E86BE2" w:rsidP="00E86BE2">
            <w:pPr>
              <w:jc w:val="both"/>
              <w:rPr>
                <w:rFonts w:cstheme="minorHAnsi"/>
                <w:sz w:val="24"/>
                <w:szCs w:val="24"/>
              </w:rPr>
            </w:pPr>
            <w:bookmarkStart w:id="125" w:name="_Hlk138424772"/>
            <w:r w:rsidRPr="0010524E">
              <w:rPr>
                <w:rFonts w:cstheme="minorHAnsi"/>
                <w:sz w:val="24"/>
                <w:szCs w:val="24"/>
              </w:rPr>
              <w:t xml:space="preserve">Art. 24. Pelo exercício do mandato, não haverá qualquer espécie de remuneração aos membros da CNA, sendo as eventuais despesas de locomoção, hospedagem e alimentação, se for o caso, custeadas pelos respectivos órgãos representados. </w:t>
            </w:r>
          </w:p>
          <w:p w14:paraId="203D530F" w14:textId="77777777" w:rsidR="00E86BE2" w:rsidRPr="0010524E" w:rsidRDefault="00E86BE2" w:rsidP="00E86BE2">
            <w:pPr>
              <w:jc w:val="both"/>
              <w:rPr>
                <w:rFonts w:cstheme="minorHAnsi"/>
                <w:sz w:val="24"/>
                <w:szCs w:val="24"/>
              </w:rPr>
            </w:pPr>
          </w:p>
        </w:tc>
        <w:tc>
          <w:tcPr>
            <w:tcW w:w="4849" w:type="dxa"/>
            <w:noWrap/>
          </w:tcPr>
          <w:p w14:paraId="2B02EA41" w14:textId="3C953BEF" w:rsidR="00E86BE2" w:rsidRPr="0010524E" w:rsidRDefault="00E86BE2" w:rsidP="00E86BE2">
            <w:pPr>
              <w:jc w:val="both"/>
              <w:rPr>
                <w:rFonts w:cstheme="minorHAnsi"/>
                <w:sz w:val="24"/>
                <w:szCs w:val="24"/>
              </w:rPr>
            </w:pPr>
            <w:r w:rsidRPr="0010524E">
              <w:rPr>
                <w:rFonts w:ascii="Calibri" w:eastAsia="Calibri" w:hAnsi="Calibri" w:cs="Calibri"/>
                <w:sz w:val="24"/>
                <w:szCs w:val="24"/>
              </w:rPr>
              <w:t>Art.  391. Pelo exercício do mandato, não há qualquer espécie de remuneração aos membros da Comissão Nacional de Atuária, sendo as eventuais despesas de locomoção, hospedagem e alimentação, se for o caso, custeadas pelos respectivos órgãos representados</w:t>
            </w:r>
          </w:p>
        </w:tc>
        <w:tc>
          <w:tcPr>
            <w:tcW w:w="4648" w:type="dxa"/>
            <w:noWrap/>
          </w:tcPr>
          <w:p w14:paraId="29E188AC" w14:textId="77777777" w:rsidR="00E86BE2" w:rsidRPr="0010524E" w:rsidRDefault="00E86BE2" w:rsidP="00E86BE2">
            <w:pPr>
              <w:jc w:val="both"/>
              <w:rPr>
                <w:rFonts w:cstheme="minorHAnsi"/>
                <w:sz w:val="24"/>
                <w:szCs w:val="24"/>
              </w:rPr>
            </w:pPr>
          </w:p>
        </w:tc>
      </w:tr>
      <w:bookmarkEnd w:id="125"/>
      <w:tr w:rsidR="00E86BE2" w:rsidRPr="0010524E" w14:paraId="06A801DA" w14:textId="36BAEEA9" w:rsidTr="00E86BE2">
        <w:trPr>
          <w:trHeight w:val="290"/>
        </w:trPr>
        <w:tc>
          <w:tcPr>
            <w:tcW w:w="4815" w:type="dxa"/>
            <w:noWrap/>
          </w:tcPr>
          <w:p w14:paraId="0A300572" w14:textId="77777777" w:rsidR="00E86BE2" w:rsidRPr="0010524E" w:rsidRDefault="00E86BE2" w:rsidP="00E86BE2">
            <w:pPr>
              <w:jc w:val="both"/>
              <w:rPr>
                <w:rFonts w:cstheme="minorHAnsi"/>
                <w:sz w:val="24"/>
                <w:szCs w:val="24"/>
              </w:rPr>
            </w:pPr>
            <w:r w:rsidRPr="0010524E">
              <w:rPr>
                <w:rFonts w:cstheme="minorHAnsi"/>
                <w:sz w:val="24"/>
                <w:szCs w:val="24"/>
              </w:rPr>
              <w:t xml:space="preserve">Parágrafo único. Quanto ao representante referido no inciso X do art. 3º, a Secretaria de Previdência Complementar poderá, justificadamente, custear as despesas mencionadas no caput, observada a disponibilidade orçamentária. </w:t>
            </w:r>
          </w:p>
          <w:p w14:paraId="6F4DAD72" w14:textId="77777777" w:rsidR="00E86BE2" w:rsidRPr="0010524E" w:rsidRDefault="00E86BE2" w:rsidP="00E86BE2">
            <w:pPr>
              <w:jc w:val="both"/>
              <w:rPr>
                <w:rFonts w:cstheme="minorHAnsi"/>
                <w:sz w:val="24"/>
                <w:szCs w:val="24"/>
              </w:rPr>
            </w:pPr>
          </w:p>
        </w:tc>
        <w:tc>
          <w:tcPr>
            <w:tcW w:w="4849" w:type="dxa"/>
            <w:noWrap/>
          </w:tcPr>
          <w:p w14:paraId="1203CFC0" w14:textId="77777777" w:rsidR="00E86BE2" w:rsidRPr="0010524E" w:rsidRDefault="00E86BE2" w:rsidP="00E86BE2">
            <w:pPr>
              <w:jc w:val="both"/>
              <w:rPr>
                <w:rFonts w:cstheme="minorHAnsi"/>
                <w:sz w:val="24"/>
                <w:szCs w:val="24"/>
              </w:rPr>
            </w:pPr>
          </w:p>
        </w:tc>
        <w:tc>
          <w:tcPr>
            <w:tcW w:w="4648" w:type="dxa"/>
            <w:noWrap/>
          </w:tcPr>
          <w:p w14:paraId="3745AA6E" w14:textId="2734C7DB" w:rsidR="00E86BE2" w:rsidRPr="0010524E" w:rsidRDefault="00E86BE2" w:rsidP="00E86BE2">
            <w:pPr>
              <w:jc w:val="both"/>
              <w:rPr>
                <w:rFonts w:cstheme="minorHAnsi"/>
                <w:sz w:val="24"/>
                <w:szCs w:val="24"/>
              </w:rPr>
            </w:pPr>
            <w:r w:rsidRPr="0010524E">
              <w:rPr>
                <w:rFonts w:cstheme="minorHAnsi"/>
                <w:sz w:val="24"/>
                <w:szCs w:val="24"/>
              </w:rPr>
              <w:t>Exclu</w:t>
            </w:r>
            <w:r>
              <w:rPr>
                <w:rFonts w:cstheme="minorHAnsi"/>
                <w:sz w:val="24"/>
                <w:szCs w:val="24"/>
              </w:rPr>
              <w:t>ído</w:t>
            </w:r>
            <w:r w:rsidRPr="0010524E">
              <w:rPr>
                <w:rFonts w:cstheme="minorHAnsi"/>
                <w:sz w:val="24"/>
                <w:szCs w:val="24"/>
              </w:rPr>
              <w:t>.</w:t>
            </w:r>
          </w:p>
        </w:tc>
      </w:tr>
      <w:tr w:rsidR="00E86BE2" w:rsidRPr="0010524E" w14:paraId="55BFF634" w14:textId="2B0C7549" w:rsidTr="00E86BE2">
        <w:trPr>
          <w:trHeight w:val="290"/>
        </w:trPr>
        <w:tc>
          <w:tcPr>
            <w:tcW w:w="4815" w:type="dxa"/>
            <w:noWrap/>
          </w:tcPr>
          <w:p w14:paraId="35BD63DE" w14:textId="31D7B4C3" w:rsidR="00E86BE2" w:rsidRPr="0010524E" w:rsidRDefault="00E86BE2" w:rsidP="00E86BE2">
            <w:pPr>
              <w:jc w:val="both"/>
              <w:rPr>
                <w:rFonts w:cstheme="minorHAnsi"/>
                <w:sz w:val="24"/>
                <w:szCs w:val="24"/>
              </w:rPr>
            </w:pPr>
            <w:r w:rsidRPr="0010524E">
              <w:rPr>
                <w:rFonts w:cstheme="minorHAnsi"/>
                <w:sz w:val="24"/>
                <w:szCs w:val="24"/>
              </w:rPr>
              <w:t xml:space="preserve">Art. 25. Aos trabalhos que não puderem ser concluídos dentro do período do mandato de algum dos membros, poderá ser dado prosseguimento, funcionando estes na </w:t>
            </w:r>
            <w:r w:rsidRPr="0010524E">
              <w:rPr>
                <w:rFonts w:cstheme="minorHAnsi"/>
                <w:sz w:val="24"/>
                <w:szCs w:val="24"/>
              </w:rPr>
              <w:lastRenderedPageBreak/>
              <w:t xml:space="preserve">condição de convidados da CNA, garantindo-se-lhes referência à autoria. </w:t>
            </w:r>
          </w:p>
        </w:tc>
        <w:tc>
          <w:tcPr>
            <w:tcW w:w="4849" w:type="dxa"/>
            <w:noWrap/>
          </w:tcPr>
          <w:p w14:paraId="3DAD0F32" w14:textId="77777777" w:rsidR="00E86BE2" w:rsidRPr="0010524E" w:rsidRDefault="00E86BE2" w:rsidP="00E86BE2">
            <w:pPr>
              <w:jc w:val="both"/>
              <w:rPr>
                <w:rFonts w:cstheme="minorHAnsi"/>
                <w:sz w:val="24"/>
                <w:szCs w:val="24"/>
              </w:rPr>
            </w:pPr>
          </w:p>
        </w:tc>
        <w:tc>
          <w:tcPr>
            <w:tcW w:w="4648" w:type="dxa"/>
            <w:noWrap/>
          </w:tcPr>
          <w:p w14:paraId="332CB8F2" w14:textId="5BDF376F" w:rsidR="00E86BE2" w:rsidRPr="0010524E" w:rsidRDefault="00E86BE2" w:rsidP="00E86BE2">
            <w:pPr>
              <w:jc w:val="both"/>
              <w:rPr>
                <w:rFonts w:cstheme="minorHAnsi"/>
                <w:sz w:val="24"/>
                <w:szCs w:val="24"/>
              </w:rPr>
            </w:pPr>
            <w:r w:rsidRPr="0010524E">
              <w:rPr>
                <w:rFonts w:cstheme="minorHAnsi"/>
                <w:sz w:val="24"/>
                <w:szCs w:val="24"/>
              </w:rPr>
              <w:t>Exclu</w:t>
            </w:r>
            <w:r>
              <w:rPr>
                <w:rFonts w:cstheme="minorHAnsi"/>
                <w:sz w:val="24"/>
                <w:szCs w:val="24"/>
              </w:rPr>
              <w:t>ído.</w:t>
            </w:r>
          </w:p>
        </w:tc>
      </w:tr>
      <w:tr w:rsidR="00E86BE2" w:rsidRPr="0010524E" w14:paraId="5F005905" w14:textId="442BE25F" w:rsidTr="00E86BE2">
        <w:trPr>
          <w:trHeight w:val="290"/>
        </w:trPr>
        <w:tc>
          <w:tcPr>
            <w:tcW w:w="4815" w:type="dxa"/>
            <w:noWrap/>
          </w:tcPr>
          <w:p w14:paraId="4054FE02" w14:textId="77777777" w:rsidR="00E86BE2" w:rsidRPr="0010524E" w:rsidRDefault="00E86BE2" w:rsidP="00E86BE2">
            <w:pPr>
              <w:jc w:val="both"/>
              <w:rPr>
                <w:rFonts w:cstheme="minorHAnsi"/>
                <w:sz w:val="24"/>
                <w:szCs w:val="24"/>
              </w:rPr>
            </w:pPr>
            <w:bookmarkStart w:id="126" w:name="_Hlk138424776"/>
            <w:r w:rsidRPr="0010524E">
              <w:rPr>
                <w:rFonts w:cstheme="minorHAnsi"/>
                <w:sz w:val="24"/>
                <w:szCs w:val="24"/>
              </w:rPr>
              <w:t xml:space="preserve">Art. 26. Os casos omissos e as dúvidas surgidas na aplicação deste Regimento Interno serão resolvidos pelo Presidente da CNA, ad referendum do Secretário de Previdência Complementar. </w:t>
            </w:r>
          </w:p>
          <w:p w14:paraId="17A179C1" w14:textId="77777777" w:rsidR="00E86BE2" w:rsidRPr="0010524E" w:rsidRDefault="00E86BE2" w:rsidP="00E86BE2">
            <w:pPr>
              <w:jc w:val="both"/>
              <w:rPr>
                <w:rFonts w:cstheme="minorHAnsi"/>
                <w:sz w:val="24"/>
                <w:szCs w:val="24"/>
              </w:rPr>
            </w:pPr>
          </w:p>
        </w:tc>
        <w:tc>
          <w:tcPr>
            <w:tcW w:w="4849" w:type="dxa"/>
            <w:noWrap/>
          </w:tcPr>
          <w:p w14:paraId="3651A47B" w14:textId="1A7C80FF" w:rsidR="00E86BE2" w:rsidRPr="0010524E" w:rsidRDefault="00E86BE2" w:rsidP="00E86BE2">
            <w:pPr>
              <w:jc w:val="both"/>
              <w:rPr>
                <w:rFonts w:cstheme="minorHAnsi"/>
                <w:sz w:val="24"/>
                <w:szCs w:val="24"/>
              </w:rPr>
            </w:pPr>
            <w:r w:rsidRPr="0007292C">
              <w:rPr>
                <w:rFonts w:ascii="Calibri" w:eastAsia="Calibri" w:hAnsi="Calibri" w:cs="Calibri"/>
                <w:sz w:val="24"/>
                <w:szCs w:val="24"/>
              </w:rPr>
              <w:t xml:space="preserve">Art.  392. Os casos omissos e as dúvidas surgidas na aplicação desta seção </w:t>
            </w:r>
            <w:r w:rsidRPr="0007292C">
              <w:rPr>
                <w:rFonts w:ascii="Calibri" w:eastAsia="Calibri" w:hAnsi="Calibri" w:cs="Calibri"/>
                <w:strike/>
                <w:sz w:val="24"/>
                <w:szCs w:val="24"/>
              </w:rPr>
              <w:t>deste Regimento Interno</w:t>
            </w:r>
            <w:r w:rsidRPr="0007292C">
              <w:rPr>
                <w:rFonts w:ascii="Calibri" w:eastAsia="Calibri" w:hAnsi="Calibri" w:cs="Calibri"/>
                <w:sz w:val="24"/>
                <w:szCs w:val="24"/>
              </w:rPr>
              <w:t xml:space="preserve"> serão resolvidos pelo Presidente da Comissão Nacional de Atuária, </w:t>
            </w:r>
            <w:r w:rsidRPr="0007292C">
              <w:rPr>
                <w:rFonts w:ascii="Calibri" w:eastAsia="Calibri" w:hAnsi="Calibri" w:cs="Calibri"/>
                <w:b/>
                <w:bCs/>
                <w:sz w:val="24"/>
                <w:szCs w:val="24"/>
              </w:rPr>
              <w:t>ad referendum</w:t>
            </w:r>
            <w:r w:rsidRPr="0007292C">
              <w:rPr>
                <w:rFonts w:ascii="Calibri" w:eastAsia="Calibri" w:hAnsi="Calibri" w:cs="Calibri"/>
                <w:sz w:val="24"/>
                <w:szCs w:val="24"/>
              </w:rPr>
              <w:t xml:space="preserve"> do Diretor-Superintendente</w:t>
            </w:r>
          </w:p>
        </w:tc>
        <w:tc>
          <w:tcPr>
            <w:tcW w:w="4648" w:type="dxa"/>
            <w:noWrap/>
          </w:tcPr>
          <w:p w14:paraId="751FC61E" w14:textId="77777777" w:rsidR="00E86BE2" w:rsidRPr="0010524E" w:rsidRDefault="00E86BE2" w:rsidP="00E86BE2">
            <w:pPr>
              <w:jc w:val="both"/>
              <w:rPr>
                <w:rFonts w:cstheme="minorHAnsi"/>
                <w:sz w:val="24"/>
                <w:szCs w:val="24"/>
              </w:rPr>
            </w:pPr>
          </w:p>
        </w:tc>
      </w:tr>
      <w:tr w:rsidR="00E86BE2" w:rsidRPr="0010524E" w14:paraId="48E74A75" w14:textId="6C92D06B" w:rsidTr="00E86BE2">
        <w:tc>
          <w:tcPr>
            <w:tcW w:w="4815" w:type="dxa"/>
          </w:tcPr>
          <w:p w14:paraId="33221BFC" w14:textId="4596721B" w:rsidR="00E86BE2" w:rsidRPr="0010524E" w:rsidRDefault="00E86BE2" w:rsidP="00E86BE2">
            <w:pPr>
              <w:rPr>
                <w:rFonts w:cstheme="minorHAnsi"/>
                <w:b/>
                <w:sz w:val="24"/>
                <w:szCs w:val="24"/>
              </w:rPr>
            </w:pPr>
            <w:bookmarkStart w:id="127" w:name="_Hlk138925249"/>
            <w:bookmarkEnd w:id="126"/>
            <w:r w:rsidRPr="0010524E">
              <w:rPr>
                <w:rFonts w:cstheme="minorHAnsi"/>
                <w:b/>
                <w:sz w:val="24"/>
                <w:szCs w:val="24"/>
              </w:rPr>
              <w:t>Resolução Previc nº 7, de 23 de março de 2022</w:t>
            </w:r>
          </w:p>
        </w:tc>
        <w:tc>
          <w:tcPr>
            <w:tcW w:w="4849" w:type="dxa"/>
          </w:tcPr>
          <w:p w14:paraId="3E985CBA"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762A1EAA" w14:textId="77777777" w:rsidR="00E86BE2" w:rsidRPr="0010524E" w:rsidRDefault="00E86BE2" w:rsidP="00E86BE2">
            <w:pPr>
              <w:jc w:val="both"/>
              <w:rPr>
                <w:rFonts w:eastAsia="Times New Roman" w:cstheme="minorHAnsi"/>
                <w:sz w:val="24"/>
                <w:szCs w:val="24"/>
                <w:highlight w:val="yellow"/>
                <w:lang w:eastAsia="pt-BR"/>
              </w:rPr>
            </w:pPr>
          </w:p>
        </w:tc>
      </w:tr>
      <w:tr w:rsidR="00E86BE2" w:rsidRPr="0010524E" w14:paraId="74392317" w14:textId="77777777" w:rsidTr="00E86BE2">
        <w:tc>
          <w:tcPr>
            <w:tcW w:w="4815" w:type="dxa"/>
          </w:tcPr>
          <w:p w14:paraId="068ED426" w14:textId="7E591C58" w:rsidR="00E86BE2" w:rsidRPr="00D95318" w:rsidRDefault="00E86BE2" w:rsidP="00E86BE2">
            <w:pPr>
              <w:jc w:val="both"/>
              <w:rPr>
                <w:rFonts w:cstheme="minorHAnsi"/>
                <w:b/>
                <w:i/>
                <w:iCs/>
                <w:sz w:val="24"/>
                <w:szCs w:val="24"/>
              </w:rPr>
            </w:pPr>
            <w:r w:rsidRPr="00D95318">
              <w:rPr>
                <w:rStyle w:val="nfase"/>
                <w:i w:val="0"/>
                <w:iCs w:val="0"/>
                <w:color w:val="333333"/>
                <w:sz w:val="24"/>
                <w:szCs w:val="24"/>
                <w:shd w:val="clear" w:color="auto" w:fill="FFFFFF"/>
              </w:rPr>
              <w:t>Dispõe sobre as demonstrações atuariais e os elementos mínimos que devem constar na nota técnica atuarial dos planos de benefícios de caráter previdenciário administrados pelas entidades fechadas de previdência complementar.</w:t>
            </w:r>
          </w:p>
        </w:tc>
        <w:tc>
          <w:tcPr>
            <w:tcW w:w="4849" w:type="dxa"/>
          </w:tcPr>
          <w:p w14:paraId="306D60D1"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6F27EF70" w14:textId="77777777" w:rsidR="00E86BE2" w:rsidRPr="0010524E" w:rsidRDefault="00E86BE2" w:rsidP="00E86BE2">
            <w:pPr>
              <w:jc w:val="both"/>
              <w:rPr>
                <w:rFonts w:eastAsia="Times New Roman" w:cstheme="minorHAnsi"/>
                <w:sz w:val="24"/>
                <w:szCs w:val="24"/>
                <w:highlight w:val="yellow"/>
                <w:lang w:eastAsia="pt-BR"/>
              </w:rPr>
            </w:pPr>
          </w:p>
        </w:tc>
      </w:tr>
      <w:bookmarkEnd w:id="127"/>
      <w:tr w:rsidR="00E86BE2" w:rsidRPr="0010524E" w14:paraId="10DA9B4C" w14:textId="43556D23" w:rsidTr="00E86BE2">
        <w:tc>
          <w:tcPr>
            <w:tcW w:w="4815" w:type="dxa"/>
          </w:tcPr>
          <w:p w14:paraId="7FA7CE46" w14:textId="77777777" w:rsidR="00E86BE2" w:rsidRPr="0010524E" w:rsidRDefault="00E86BE2" w:rsidP="00E86BE2">
            <w:pPr>
              <w:jc w:val="center"/>
              <w:rPr>
                <w:rFonts w:eastAsia="Times New Roman" w:cstheme="minorHAnsi"/>
                <w:b/>
                <w:bCs/>
                <w:sz w:val="24"/>
                <w:szCs w:val="24"/>
                <w:lang w:eastAsia="pt-BR"/>
              </w:rPr>
            </w:pPr>
            <w:r w:rsidRPr="0010524E">
              <w:rPr>
                <w:rFonts w:cstheme="minorHAnsi"/>
                <w:sz w:val="24"/>
                <w:szCs w:val="24"/>
              </w:rPr>
              <w:t>Das disposições gerais</w:t>
            </w:r>
          </w:p>
        </w:tc>
        <w:tc>
          <w:tcPr>
            <w:tcW w:w="4849" w:type="dxa"/>
            <w:noWrap/>
            <w:hideMark/>
          </w:tcPr>
          <w:p w14:paraId="63A1508F" w14:textId="77777777" w:rsidR="00E86BE2" w:rsidRPr="0010524E" w:rsidRDefault="00E86BE2" w:rsidP="00E86BE2">
            <w:pPr>
              <w:jc w:val="center"/>
              <w:rPr>
                <w:rFonts w:eastAsia="Times New Roman" w:cstheme="minorHAnsi"/>
                <w:b/>
                <w:bCs/>
                <w:sz w:val="24"/>
                <w:szCs w:val="24"/>
                <w:lang w:eastAsia="pt-BR"/>
              </w:rPr>
            </w:pPr>
          </w:p>
        </w:tc>
        <w:tc>
          <w:tcPr>
            <w:tcW w:w="4648" w:type="dxa"/>
            <w:noWrap/>
            <w:hideMark/>
          </w:tcPr>
          <w:p w14:paraId="3E9C64FA" w14:textId="77777777" w:rsidR="00E86BE2" w:rsidRPr="0010524E" w:rsidRDefault="00E86BE2" w:rsidP="00E86BE2">
            <w:pPr>
              <w:rPr>
                <w:rFonts w:eastAsia="Times New Roman" w:cstheme="minorHAnsi"/>
                <w:b/>
                <w:bCs/>
                <w:sz w:val="24"/>
                <w:szCs w:val="24"/>
                <w:lang w:eastAsia="pt-BR"/>
              </w:rPr>
            </w:pPr>
            <w:r w:rsidRPr="0010524E">
              <w:rPr>
                <w:rFonts w:eastAsia="Times New Roman" w:cstheme="minorHAnsi"/>
                <w:sz w:val="24"/>
                <w:szCs w:val="24"/>
                <w:lang w:eastAsia="pt-BR"/>
              </w:rPr>
              <w:t>Excluído considerando a consolidação normativa.</w:t>
            </w:r>
          </w:p>
        </w:tc>
      </w:tr>
      <w:tr w:rsidR="00E86BE2" w:rsidRPr="0010524E" w14:paraId="602B928B" w14:textId="6091801F" w:rsidTr="00E86BE2">
        <w:tc>
          <w:tcPr>
            <w:tcW w:w="4815" w:type="dxa"/>
          </w:tcPr>
          <w:p w14:paraId="2D84693C"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1º Esta Resolução estabelece procedimentos para a elaboração das demonstrações atuariais e da nota técnica atuarial dos planos de benefícios administrados pelas entidades fechadas de previdência complementar (EFPC).</w:t>
            </w:r>
          </w:p>
        </w:tc>
        <w:tc>
          <w:tcPr>
            <w:tcW w:w="4849" w:type="dxa"/>
            <w:noWrap/>
            <w:hideMark/>
          </w:tcPr>
          <w:p w14:paraId="4BC5E63B" w14:textId="77777777" w:rsidR="00E86BE2" w:rsidRPr="0010524E" w:rsidRDefault="00E86BE2" w:rsidP="00E86BE2">
            <w:pPr>
              <w:jc w:val="both"/>
              <w:rPr>
                <w:rFonts w:eastAsia="Times New Roman" w:cstheme="minorHAnsi"/>
                <w:sz w:val="24"/>
                <w:szCs w:val="24"/>
                <w:lang w:eastAsia="pt-BR"/>
              </w:rPr>
            </w:pPr>
          </w:p>
        </w:tc>
        <w:tc>
          <w:tcPr>
            <w:tcW w:w="4648" w:type="dxa"/>
            <w:noWrap/>
            <w:hideMark/>
          </w:tcPr>
          <w:p w14:paraId="021E518F"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Excluído considerando a consolidação normativa.</w:t>
            </w:r>
          </w:p>
        </w:tc>
      </w:tr>
      <w:tr w:rsidR="00E86BE2" w:rsidRPr="0010524E" w14:paraId="1150C96C" w14:textId="49BAFAD2" w:rsidTr="00E86BE2">
        <w:tc>
          <w:tcPr>
            <w:tcW w:w="4815" w:type="dxa"/>
          </w:tcPr>
          <w:p w14:paraId="02A1D62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1º Cabe à Diretoria de Fiscalização e Monitoramento emitir orientações para a operacionalização e o detalhamento do envio de documentos e informações.</w:t>
            </w:r>
          </w:p>
        </w:tc>
        <w:tc>
          <w:tcPr>
            <w:tcW w:w="4849" w:type="dxa"/>
            <w:noWrap/>
          </w:tcPr>
          <w:p w14:paraId="15A1B073" w14:textId="77777777" w:rsidR="00E86BE2" w:rsidRPr="0010524E" w:rsidRDefault="00E86BE2" w:rsidP="00E86BE2">
            <w:pPr>
              <w:jc w:val="both"/>
              <w:rPr>
                <w:rFonts w:eastAsia="Times New Roman" w:cstheme="minorHAnsi"/>
                <w:sz w:val="24"/>
                <w:szCs w:val="24"/>
                <w:lang w:eastAsia="pt-BR"/>
              </w:rPr>
            </w:pPr>
          </w:p>
        </w:tc>
        <w:tc>
          <w:tcPr>
            <w:tcW w:w="4648" w:type="dxa"/>
            <w:noWrap/>
            <w:hideMark/>
          </w:tcPr>
          <w:p w14:paraId="76FADF2D" w14:textId="64384E5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xml:space="preserve">Realocado para o art. </w:t>
            </w:r>
            <w:r>
              <w:rPr>
                <w:rFonts w:eastAsia="Times New Roman" w:cstheme="minorHAnsi"/>
                <w:sz w:val="24"/>
                <w:szCs w:val="24"/>
                <w:lang w:eastAsia="pt-BR"/>
              </w:rPr>
              <w:t>423 da consolidação</w:t>
            </w:r>
          </w:p>
        </w:tc>
      </w:tr>
      <w:tr w:rsidR="00E86BE2" w:rsidRPr="0010524E" w14:paraId="293A63A2" w14:textId="02AC582E" w:rsidTr="00E86BE2">
        <w:tc>
          <w:tcPr>
            <w:tcW w:w="4815" w:type="dxa"/>
          </w:tcPr>
          <w:p w14:paraId="634BE250"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 2º O envio de documentos e informações atuariais à Previc deve ser realizado:</w:t>
            </w:r>
          </w:p>
        </w:tc>
        <w:tc>
          <w:tcPr>
            <w:tcW w:w="4849" w:type="dxa"/>
            <w:noWrap/>
          </w:tcPr>
          <w:p w14:paraId="71360C19" w14:textId="77777777" w:rsidR="00E86BE2" w:rsidRPr="0010524E" w:rsidRDefault="00E86BE2" w:rsidP="00E86BE2">
            <w:pPr>
              <w:jc w:val="both"/>
              <w:rPr>
                <w:rFonts w:eastAsia="Times New Roman" w:cstheme="minorHAnsi"/>
                <w:sz w:val="24"/>
                <w:szCs w:val="24"/>
                <w:lang w:eastAsia="pt-BR"/>
              </w:rPr>
            </w:pPr>
          </w:p>
        </w:tc>
        <w:tc>
          <w:tcPr>
            <w:tcW w:w="4648" w:type="dxa"/>
            <w:noWrap/>
            <w:hideMark/>
          </w:tcPr>
          <w:p w14:paraId="417B10A5" w14:textId="457A3DBD"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xml:space="preserve">Realocado para o art. </w:t>
            </w:r>
            <w:r>
              <w:rPr>
                <w:rFonts w:eastAsia="Times New Roman" w:cstheme="minorHAnsi"/>
                <w:sz w:val="24"/>
                <w:szCs w:val="24"/>
                <w:lang w:eastAsia="pt-BR"/>
              </w:rPr>
              <w:t>406</w:t>
            </w:r>
          </w:p>
        </w:tc>
      </w:tr>
      <w:tr w:rsidR="00E86BE2" w:rsidRPr="0010524E" w14:paraId="56E38E3D" w14:textId="5A72776F" w:rsidTr="00E86BE2">
        <w:tc>
          <w:tcPr>
            <w:tcW w:w="4815" w:type="dxa"/>
          </w:tcPr>
          <w:p w14:paraId="400D019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 - até 31 de março do exercício subsequente, para as demonstrações atuariais relativas ao encerramento do exercício de referência; e</w:t>
            </w:r>
          </w:p>
        </w:tc>
        <w:tc>
          <w:tcPr>
            <w:tcW w:w="4849" w:type="dxa"/>
            <w:noWrap/>
          </w:tcPr>
          <w:p w14:paraId="4E02B920" w14:textId="77777777" w:rsidR="00E86BE2" w:rsidRPr="0010524E" w:rsidRDefault="00E86BE2" w:rsidP="00E86BE2">
            <w:pPr>
              <w:jc w:val="both"/>
              <w:rPr>
                <w:rFonts w:eastAsia="Times New Roman" w:cstheme="minorHAnsi"/>
                <w:sz w:val="24"/>
                <w:szCs w:val="24"/>
                <w:lang w:eastAsia="pt-BR"/>
              </w:rPr>
            </w:pPr>
          </w:p>
        </w:tc>
        <w:tc>
          <w:tcPr>
            <w:tcW w:w="4648" w:type="dxa"/>
            <w:noWrap/>
            <w:hideMark/>
          </w:tcPr>
          <w:p w14:paraId="5984CE1A" w14:textId="4C31C68B"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xml:space="preserve">Realocado para o art. </w:t>
            </w:r>
            <w:r>
              <w:rPr>
                <w:rFonts w:eastAsia="Times New Roman" w:cstheme="minorHAnsi"/>
                <w:sz w:val="24"/>
                <w:szCs w:val="24"/>
                <w:lang w:eastAsia="pt-BR"/>
              </w:rPr>
              <w:t>406</w:t>
            </w:r>
          </w:p>
        </w:tc>
      </w:tr>
      <w:tr w:rsidR="00E86BE2" w:rsidRPr="0010524E" w14:paraId="57C5597B" w14:textId="275E103A" w:rsidTr="00E86BE2">
        <w:tc>
          <w:tcPr>
            <w:tcW w:w="4815" w:type="dxa"/>
          </w:tcPr>
          <w:p w14:paraId="72D4AF5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II - até noventa dias após a conclusão do fato que motivou a nova avaliação atuarial, para as demonstrações atuariais por fato relevante.</w:t>
            </w:r>
          </w:p>
        </w:tc>
        <w:tc>
          <w:tcPr>
            <w:tcW w:w="4849" w:type="dxa"/>
            <w:noWrap/>
          </w:tcPr>
          <w:p w14:paraId="6457C677" w14:textId="77777777" w:rsidR="00E86BE2" w:rsidRPr="0010524E" w:rsidRDefault="00E86BE2" w:rsidP="00E86BE2">
            <w:pPr>
              <w:jc w:val="both"/>
              <w:rPr>
                <w:rFonts w:eastAsia="Times New Roman" w:cstheme="minorHAnsi"/>
                <w:sz w:val="24"/>
                <w:szCs w:val="24"/>
                <w:lang w:eastAsia="pt-BR"/>
              </w:rPr>
            </w:pPr>
          </w:p>
        </w:tc>
        <w:tc>
          <w:tcPr>
            <w:tcW w:w="4648" w:type="dxa"/>
            <w:noWrap/>
            <w:hideMark/>
          </w:tcPr>
          <w:p w14:paraId="1665BB0B" w14:textId="59A4DA09"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xml:space="preserve">Realocado para o art. </w:t>
            </w:r>
            <w:r>
              <w:rPr>
                <w:rFonts w:eastAsia="Times New Roman" w:cstheme="minorHAnsi"/>
                <w:sz w:val="24"/>
                <w:szCs w:val="24"/>
                <w:lang w:eastAsia="pt-BR"/>
              </w:rPr>
              <w:t>406</w:t>
            </w:r>
          </w:p>
        </w:tc>
      </w:tr>
      <w:tr w:rsidR="00E86BE2" w:rsidRPr="0010524E" w14:paraId="2CCC213F" w14:textId="6F3AAD8A" w:rsidTr="00E86BE2">
        <w:tc>
          <w:tcPr>
            <w:tcW w:w="4815" w:type="dxa"/>
          </w:tcPr>
          <w:p w14:paraId="49069E4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2º As demonstrações atuariais referentes ao encerramento do exercício devem ser enviadas à Previc por meio do sistema de captação de dados disponível em sua página eletrônica.</w:t>
            </w:r>
          </w:p>
        </w:tc>
        <w:tc>
          <w:tcPr>
            <w:tcW w:w="4849" w:type="dxa"/>
            <w:noWrap/>
          </w:tcPr>
          <w:p w14:paraId="1DF2AE10" w14:textId="77777777" w:rsidR="00E86BE2" w:rsidRPr="0010524E" w:rsidRDefault="00E86BE2" w:rsidP="00E86BE2">
            <w:pPr>
              <w:jc w:val="both"/>
              <w:rPr>
                <w:rFonts w:eastAsia="Times New Roman" w:cstheme="minorHAnsi"/>
                <w:sz w:val="24"/>
                <w:szCs w:val="24"/>
                <w:lang w:eastAsia="pt-BR"/>
              </w:rPr>
            </w:pPr>
          </w:p>
        </w:tc>
        <w:tc>
          <w:tcPr>
            <w:tcW w:w="4648" w:type="dxa"/>
            <w:noWrap/>
            <w:hideMark/>
          </w:tcPr>
          <w:p w14:paraId="020C4BFF" w14:textId="693EBE4F"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xml:space="preserve">Realocado para o art. </w:t>
            </w:r>
            <w:r>
              <w:rPr>
                <w:rFonts w:eastAsia="Times New Roman" w:cstheme="minorHAnsi"/>
                <w:sz w:val="24"/>
                <w:szCs w:val="24"/>
                <w:lang w:eastAsia="pt-BR"/>
              </w:rPr>
              <w:t>406</w:t>
            </w:r>
          </w:p>
        </w:tc>
      </w:tr>
      <w:tr w:rsidR="00E86BE2" w:rsidRPr="0010524E" w14:paraId="08F8FD31" w14:textId="2C2EEB72" w:rsidTr="00E86BE2">
        <w:tc>
          <w:tcPr>
            <w:tcW w:w="4815" w:type="dxa"/>
          </w:tcPr>
          <w:p w14:paraId="40603A48" w14:textId="77777777" w:rsidR="00E86BE2" w:rsidRPr="0010524E" w:rsidRDefault="00E86BE2" w:rsidP="00E86BE2">
            <w:pPr>
              <w:jc w:val="both"/>
              <w:rPr>
                <w:rFonts w:cstheme="minorHAnsi"/>
                <w:sz w:val="24"/>
                <w:szCs w:val="24"/>
              </w:rPr>
            </w:pPr>
          </w:p>
        </w:tc>
        <w:tc>
          <w:tcPr>
            <w:tcW w:w="4849" w:type="dxa"/>
            <w:noWrap/>
          </w:tcPr>
          <w:p w14:paraId="1839470E" w14:textId="77777777" w:rsidR="00E86BE2" w:rsidRPr="0010524E" w:rsidRDefault="00E86BE2" w:rsidP="00E86BE2">
            <w:pPr>
              <w:spacing w:before="120" w:after="120"/>
              <w:jc w:val="center"/>
              <w:rPr>
                <w:rFonts w:ascii="Calibri" w:hAnsi="Calibri" w:cstheme="minorHAnsi"/>
                <w:sz w:val="24"/>
                <w:szCs w:val="24"/>
              </w:rPr>
            </w:pPr>
            <w:r w:rsidRPr="0010524E">
              <w:rPr>
                <w:rFonts w:ascii="Calibri" w:hAnsi="Calibri" w:cstheme="minorHAnsi"/>
                <w:sz w:val="24"/>
                <w:szCs w:val="24"/>
              </w:rPr>
              <w:t>CAPÍTULO IX</w:t>
            </w:r>
          </w:p>
          <w:p w14:paraId="46A8C3A2" w14:textId="4B89AED1" w:rsidR="00E86BE2" w:rsidRPr="0010524E" w:rsidRDefault="00E86BE2" w:rsidP="00E86BE2">
            <w:pPr>
              <w:spacing w:before="120" w:after="120"/>
              <w:jc w:val="center"/>
              <w:rPr>
                <w:rFonts w:eastAsia="Times New Roman" w:cstheme="minorHAnsi"/>
                <w:sz w:val="24"/>
                <w:szCs w:val="24"/>
                <w:lang w:eastAsia="pt-BR"/>
              </w:rPr>
            </w:pPr>
            <w:r w:rsidRPr="0010524E">
              <w:rPr>
                <w:rFonts w:ascii="Calibri" w:hAnsi="Calibri"/>
                <w:sz w:val="24"/>
                <w:szCs w:val="24"/>
              </w:rPr>
              <w:t>DADOS</w:t>
            </w:r>
          </w:p>
        </w:tc>
        <w:tc>
          <w:tcPr>
            <w:tcW w:w="4648" w:type="dxa"/>
            <w:noWrap/>
          </w:tcPr>
          <w:p w14:paraId="5365F1C5" w14:textId="77777777" w:rsidR="00E86BE2" w:rsidRPr="0010524E" w:rsidRDefault="00E86BE2" w:rsidP="00E86BE2">
            <w:pPr>
              <w:jc w:val="both"/>
              <w:rPr>
                <w:rFonts w:eastAsia="Times New Roman" w:cstheme="minorHAnsi"/>
                <w:sz w:val="24"/>
                <w:szCs w:val="24"/>
                <w:lang w:eastAsia="pt-BR"/>
              </w:rPr>
            </w:pPr>
          </w:p>
        </w:tc>
      </w:tr>
      <w:tr w:rsidR="00E86BE2" w:rsidRPr="0010524E" w14:paraId="55D80DED" w14:textId="0B8A360B" w:rsidTr="00E86BE2">
        <w:tc>
          <w:tcPr>
            <w:tcW w:w="4815" w:type="dxa"/>
          </w:tcPr>
          <w:p w14:paraId="2E243CCA" w14:textId="77777777" w:rsidR="00E86BE2" w:rsidRPr="0010524E" w:rsidRDefault="00E86BE2" w:rsidP="00E86BE2">
            <w:pPr>
              <w:jc w:val="both"/>
              <w:rPr>
                <w:rFonts w:cstheme="minorHAnsi"/>
                <w:sz w:val="24"/>
                <w:szCs w:val="24"/>
              </w:rPr>
            </w:pPr>
            <w:bookmarkStart w:id="128" w:name="_Hlk138926797"/>
            <w:bookmarkStart w:id="129" w:name="_Hlk138926029"/>
          </w:p>
        </w:tc>
        <w:tc>
          <w:tcPr>
            <w:tcW w:w="4849" w:type="dxa"/>
            <w:noWrap/>
          </w:tcPr>
          <w:p w14:paraId="3F3CE621" w14:textId="77777777" w:rsidR="00E86BE2" w:rsidRPr="0010524E" w:rsidRDefault="00E86BE2" w:rsidP="00E86BE2">
            <w:pPr>
              <w:jc w:val="center"/>
              <w:rPr>
                <w:rFonts w:eastAsia="Times New Roman" w:cstheme="minorHAnsi"/>
                <w:b/>
                <w:bCs/>
                <w:sz w:val="24"/>
                <w:szCs w:val="24"/>
                <w:lang w:eastAsia="pt-BR"/>
              </w:rPr>
            </w:pPr>
            <w:bookmarkStart w:id="130" w:name="_Hlk138924104"/>
            <w:r w:rsidRPr="0010524E">
              <w:rPr>
                <w:rFonts w:eastAsia="Times New Roman" w:cstheme="minorHAnsi"/>
                <w:b/>
                <w:bCs/>
                <w:sz w:val="24"/>
                <w:szCs w:val="24"/>
                <w:lang w:eastAsia="pt-BR"/>
              </w:rPr>
              <w:t>Seção I</w:t>
            </w:r>
          </w:p>
          <w:p w14:paraId="1E55442D" w14:textId="77777777" w:rsidR="00E86BE2" w:rsidRPr="0010524E" w:rsidRDefault="00E86BE2" w:rsidP="00E86BE2">
            <w:pPr>
              <w:jc w:val="center"/>
              <w:rPr>
                <w:rFonts w:eastAsia="Times New Roman" w:cstheme="minorHAnsi"/>
                <w:sz w:val="24"/>
                <w:szCs w:val="24"/>
                <w:lang w:eastAsia="pt-BR"/>
              </w:rPr>
            </w:pPr>
            <w:r w:rsidRPr="0010524E">
              <w:rPr>
                <w:rFonts w:eastAsia="Times New Roman" w:cstheme="minorHAnsi"/>
                <w:b/>
                <w:bCs/>
                <w:sz w:val="24"/>
                <w:szCs w:val="24"/>
                <w:lang w:eastAsia="pt-BR"/>
              </w:rPr>
              <w:t xml:space="preserve">Informações Atuariais </w:t>
            </w:r>
            <w:bookmarkEnd w:id="130"/>
          </w:p>
        </w:tc>
        <w:tc>
          <w:tcPr>
            <w:tcW w:w="4648" w:type="dxa"/>
            <w:noWrap/>
          </w:tcPr>
          <w:p w14:paraId="48253110" w14:textId="77777777" w:rsidR="00E86BE2" w:rsidRPr="0010524E" w:rsidRDefault="00E86BE2" w:rsidP="00E86BE2">
            <w:pPr>
              <w:jc w:val="both"/>
              <w:rPr>
                <w:rFonts w:eastAsia="Times New Roman" w:cstheme="minorHAnsi"/>
                <w:sz w:val="24"/>
                <w:szCs w:val="24"/>
                <w:lang w:eastAsia="pt-BR"/>
              </w:rPr>
            </w:pPr>
          </w:p>
        </w:tc>
      </w:tr>
      <w:tr w:rsidR="00E86BE2" w:rsidRPr="0010524E" w14:paraId="4EF6C105" w14:textId="76B96E6C" w:rsidTr="00E86BE2">
        <w:tc>
          <w:tcPr>
            <w:tcW w:w="4815" w:type="dxa"/>
          </w:tcPr>
          <w:p w14:paraId="5C9B1224" w14:textId="77777777" w:rsidR="00E86BE2" w:rsidRPr="0010524E" w:rsidRDefault="00E86BE2" w:rsidP="00E86BE2">
            <w:pPr>
              <w:jc w:val="center"/>
              <w:rPr>
                <w:rFonts w:eastAsia="Times New Roman" w:cstheme="minorHAnsi"/>
                <w:b/>
                <w:bCs/>
                <w:sz w:val="24"/>
                <w:szCs w:val="24"/>
                <w:lang w:eastAsia="pt-BR"/>
              </w:rPr>
            </w:pPr>
            <w:bookmarkStart w:id="131" w:name="_Hlk138923681"/>
            <w:r w:rsidRPr="0010524E">
              <w:rPr>
                <w:rFonts w:cstheme="minorHAnsi"/>
                <w:sz w:val="24"/>
                <w:szCs w:val="24"/>
              </w:rPr>
              <w:t>Das demonstrações atuariais</w:t>
            </w:r>
          </w:p>
        </w:tc>
        <w:tc>
          <w:tcPr>
            <w:tcW w:w="4849" w:type="dxa"/>
            <w:noWrap/>
            <w:hideMark/>
          </w:tcPr>
          <w:p w14:paraId="4413CF23" w14:textId="77777777" w:rsidR="00E86BE2" w:rsidRPr="0010524E" w:rsidRDefault="00E86BE2" w:rsidP="00E86BE2">
            <w:pPr>
              <w:jc w:val="center"/>
              <w:rPr>
                <w:rFonts w:eastAsia="Times New Roman" w:cstheme="minorHAnsi"/>
                <w:b/>
                <w:bCs/>
                <w:sz w:val="24"/>
                <w:szCs w:val="24"/>
                <w:lang w:eastAsia="pt-BR"/>
              </w:rPr>
            </w:pPr>
            <w:r w:rsidRPr="0010524E">
              <w:rPr>
                <w:rFonts w:eastAsia="Times New Roman" w:cstheme="minorHAnsi"/>
                <w:b/>
                <w:bCs/>
                <w:sz w:val="24"/>
                <w:szCs w:val="24"/>
                <w:lang w:eastAsia="pt-BR"/>
              </w:rPr>
              <w:t>Subseção I</w:t>
            </w:r>
          </w:p>
          <w:p w14:paraId="46FE464F" w14:textId="77777777" w:rsidR="00E86BE2" w:rsidRPr="0010524E" w:rsidRDefault="00E86BE2" w:rsidP="00E86BE2">
            <w:pPr>
              <w:jc w:val="center"/>
              <w:rPr>
                <w:rFonts w:eastAsia="Times New Roman" w:cstheme="minorHAnsi"/>
                <w:b/>
                <w:bCs/>
                <w:sz w:val="24"/>
                <w:szCs w:val="24"/>
                <w:lang w:eastAsia="pt-BR"/>
              </w:rPr>
            </w:pPr>
            <w:r w:rsidRPr="0010524E">
              <w:rPr>
                <w:rFonts w:eastAsia="Times New Roman" w:cstheme="minorHAnsi"/>
                <w:b/>
                <w:bCs/>
                <w:sz w:val="24"/>
                <w:szCs w:val="24"/>
                <w:lang w:eastAsia="pt-BR"/>
              </w:rPr>
              <w:t>Demonstrações Atuariais</w:t>
            </w:r>
          </w:p>
        </w:tc>
        <w:tc>
          <w:tcPr>
            <w:tcW w:w="4648" w:type="dxa"/>
            <w:noWrap/>
            <w:hideMark/>
          </w:tcPr>
          <w:p w14:paraId="23DC2150" w14:textId="77777777" w:rsidR="00E86BE2" w:rsidRPr="0010524E" w:rsidRDefault="00E86BE2" w:rsidP="00E86BE2">
            <w:pPr>
              <w:jc w:val="center"/>
              <w:rPr>
                <w:rFonts w:eastAsia="Times New Roman" w:cstheme="minorHAnsi"/>
                <w:b/>
                <w:bCs/>
                <w:sz w:val="24"/>
                <w:szCs w:val="24"/>
                <w:lang w:eastAsia="pt-BR"/>
              </w:rPr>
            </w:pPr>
          </w:p>
        </w:tc>
      </w:tr>
      <w:tr w:rsidR="00E86BE2" w:rsidRPr="0010524E" w14:paraId="79281E2B" w14:textId="7AE09B99" w:rsidTr="00E86BE2">
        <w:tc>
          <w:tcPr>
            <w:tcW w:w="4815" w:type="dxa"/>
          </w:tcPr>
          <w:p w14:paraId="3868EF2D" w14:textId="2CAC56A8" w:rsidR="00E86BE2" w:rsidRDefault="00E86BE2" w:rsidP="00E86BE2">
            <w:pPr>
              <w:jc w:val="both"/>
              <w:rPr>
                <w:rFonts w:cstheme="minorHAnsi"/>
                <w:sz w:val="24"/>
                <w:szCs w:val="24"/>
              </w:rPr>
            </w:pPr>
            <w:r w:rsidRPr="0010524E">
              <w:rPr>
                <w:rFonts w:cstheme="minorHAnsi"/>
                <w:b/>
                <w:sz w:val="24"/>
                <w:szCs w:val="24"/>
              </w:rPr>
              <w:t>Resolução Previc nº 7, de 23 de março de 2022</w:t>
            </w:r>
          </w:p>
          <w:p w14:paraId="6B57B72D" w14:textId="10195F4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3º Para fins desta Resolução:</w:t>
            </w:r>
          </w:p>
        </w:tc>
        <w:tc>
          <w:tcPr>
            <w:tcW w:w="4849" w:type="dxa"/>
            <w:hideMark/>
          </w:tcPr>
          <w:p w14:paraId="1F1B3BCD" w14:textId="7A7C9B40"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393.  As demonstrações atuariais podem ser:</w:t>
            </w:r>
          </w:p>
        </w:tc>
        <w:tc>
          <w:tcPr>
            <w:tcW w:w="4648" w:type="dxa"/>
            <w:noWrap/>
            <w:hideMark/>
          </w:tcPr>
          <w:p w14:paraId="72D1E416" w14:textId="77777777" w:rsidR="00E86BE2" w:rsidRPr="0010524E" w:rsidRDefault="00E86BE2" w:rsidP="00E86BE2">
            <w:pPr>
              <w:jc w:val="both"/>
              <w:rPr>
                <w:rFonts w:eastAsia="Times New Roman" w:cstheme="minorHAnsi"/>
                <w:sz w:val="24"/>
                <w:szCs w:val="24"/>
                <w:lang w:eastAsia="pt-BR"/>
              </w:rPr>
            </w:pPr>
          </w:p>
        </w:tc>
      </w:tr>
      <w:tr w:rsidR="00E86BE2" w:rsidRPr="0010524E" w14:paraId="399A6899" w14:textId="3EFAD3A9" w:rsidTr="00E86BE2">
        <w:tc>
          <w:tcPr>
            <w:tcW w:w="4815" w:type="dxa"/>
          </w:tcPr>
          <w:p w14:paraId="131A5355"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 - demonstrações atuariais completas são aquelas preenchidas com todas as informações sobre a avaliação atuarial;</w:t>
            </w:r>
          </w:p>
        </w:tc>
        <w:tc>
          <w:tcPr>
            <w:tcW w:w="4849" w:type="dxa"/>
            <w:noWrap/>
            <w:hideMark/>
          </w:tcPr>
          <w:p w14:paraId="73FB9328" w14:textId="1D355420"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 - demonstrações atuariais completas:  aquelas preenchidas com todas as informações sobre a avaliação atuarial; ou</w:t>
            </w:r>
          </w:p>
        </w:tc>
        <w:tc>
          <w:tcPr>
            <w:tcW w:w="4648" w:type="dxa"/>
            <w:noWrap/>
            <w:hideMark/>
          </w:tcPr>
          <w:p w14:paraId="154956FA" w14:textId="77777777" w:rsidR="00E86BE2" w:rsidRPr="0010524E" w:rsidRDefault="00E86BE2" w:rsidP="00E86BE2">
            <w:pPr>
              <w:jc w:val="both"/>
              <w:rPr>
                <w:rFonts w:eastAsia="Times New Roman" w:cstheme="minorHAnsi"/>
                <w:sz w:val="24"/>
                <w:szCs w:val="24"/>
                <w:lang w:eastAsia="pt-BR"/>
              </w:rPr>
            </w:pPr>
          </w:p>
        </w:tc>
      </w:tr>
      <w:tr w:rsidR="00E86BE2" w:rsidRPr="0010524E" w14:paraId="31604618" w14:textId="2EC385B4" w:rsidTr="00E86BE2">
        <w:tc>
          <w:tcPr>
            <w:tcW w:w="4815" w:type="dxa"/>
          </w:tcPr>
          <w:p w14:paraId="73AB7CC3"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xml:space="preserve">II - demonstrações atuariais simplificadas são aquelas preenchidas com informações sobre a </w:t>
            </w:r>
            <w:r w:rsidRPr="0010524E">
              <w:rPr>
                <w:rFonts w:cstheme="minorHAnsi"/>
                <w:sz w:val="24"/>
                <w:szCs w:val="24"/>
              </w:rPr>
              <w:lastRenderedPageBreak/>
              <w:t>avaliação atuarial estabelecidas na forma do § 1º do art. 1º; e</w:t>
            </w:r>
          </w:p>
        </w:tc>
        <w:tc>
          <w:tcPr>
            <w:tcW w:w="4849" w:type="dxa"/>
            <w:noWrap/>
            <w:hideMark/>
          </w:tcPr>
          <w:p w14:paraId="14DE341C" w14:textId="0816B55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lastRenderedPageBreak/>
              <w:t xml:space="preserve">II - demonstrações atuariais simplificadas: aquelas preenchidas com informações sobre a </w:t>
            </w:r>
            <w:r w:rsidRPr="0010524E">
              <w:rPr>
                <w:rFonts w:ascii="Calibri" w:eastAsia="Calibri" w:hAnsi="Calibri" w:cs="Calibri"/>
                <w:sz w:val="24"/>
                <w:szCs w:val="24"/>
              </w:rPr>
              <w:lastRenderedPageBreak/>
              <w:t>avaliação atuarial estabelecidas na forma do art. 423.</w:t>
            </w:r>
          </w:p>
        </w:tc>
        <w:tc>
          <w:tcPr>
            <w:tcW w:w="4648" w:type="dxa"/>
            <w:noWrap/>
            <w:hideMark/>
          </w:tcPr>
          <w:p w14:paraId="2B81E5F9" w14:textId="6A85458B" w:rsidR="00E86BE2" w:rsidRPr="0010524E" w:rsidRDefault="00E86BE2" w:rsidP="00E86BE2">
            <w:pPr>
              <w:jc w:val="both"/>
              <w:rPr>
                <w:rFonts w:eastAsia="Times New Roman" w:cstheme="minorHAnsi"/>
                <w:sz w:val="24"/>
                <w:szCs w:val="24"/>
                <w:lang w:eastAsia="pt-BR"/>
              </w:rPr>
            </w:pPr>
          </w:p>
        </w:tc>
      </w:tr>
      <w:tr w:rsidR="00E86BE2" w:rsidRPr="0010524E" w14:paraId="106C5666" w14:textId="2E5A142F" w:rsidTr="00E86BE2">
        <w:tc>
          <w:tcPr>
            <w:tcW w:w="4815" w:type="dxa"/>
          </w:tcPr>
          <w:p w14:paraId="556DC8E1"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III - grupo de custeio corresponde a qualquer grupo de participantes tratado, em decorrência das regras do plano de benefícios, mediante a utilização de plano de custeio específico.</w:t>
            </w:r>
          </w:p>
        </w:tc>
        <w:tc>
          <w:tcPr>
            <w:tcW w:w="4849" w:type="dxa"/>
            <w:noWrap/>
            <w:hideMark/>
          </w:tcPr>
          <w:p w14:paraId="6FC0487C" w14:textId="77777777" w:rsidR="00E86BE2" w:rsidRPr="0010524E" w:rsidRDefault="00E86BE2" w:rsidP="00E86BE2">
            <w:pPr>
              <w:jc w:val="both"/>
              <w:rPr>
                <w:rFonts w:eastAsia="Times New Roman" w:cstheme="minorHAnsi"/>
                <w:strike/>
                <w:sz w:val="24"/>
                <w:szCs w:val="24"/>
                <w:lang w:eastAsia="pt-BR"/>
              </w:rPr>
            </w:pPr>
          </w:p>
        </w:tc>
        <w:tc>
          <w:tcPr>
            <w:tcW w:w="4648" w:type="dxa"/>
            <w:noWrap/>
            <w:hideMark/>
          </w:tcPr>
          <w:p w14:paraId="3EA9BAB4"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Deslocado para Conceitos e definições.</w:t>
            </w:r>
          </w:p>
        </w:tc>
      </w:tr>
      <w:tr w:rsidR="00E86BE2" w:rsidRPr="0010524E" w14:paraId="52071DCE" w14:textId="344FA6BF" w:rsidTr="00E86BE2">
        <w:tc>
          <w:tcPr>
            <w:tcW w:w="4815" w:type="dxa"/>
          </w:tcPr>
          <w:p w14:paraId="273B33B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4º As demonstrações atuariais devem ser elaboradas nos casos de planos que possuam benefícios concedidos ou a conceder.</w:t>
            </w:r>
          </w:p>
        </w:tc>
        <w:tc>
          <w:tcPr>
            <w:tcW w:w="4849" w:type="dxa"/>
            <w:noWrap/>
            <w:hideMark/>
          </w:tcPr>
          <w:p w14:paraId="253BB0D9" w14:textId="4E6AB06D"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394.  As demonstrações atuariais devem ser elaboradas e enviadas nos casos de planos que possuam benefícios concedidos ou a conceder</w:t>
            </w:r>
          </w:p>
        </w:tc>
        <w:tc>
          <w:tcPr>
            <w:tcW w:w="4648" w:type="dxa"/>
            <w:hideMark/>
          </w:tcPr>
          <w:p w14:paraId="7DFC459A"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Inclusão da palavra “enviadas” para maior clareza de que as DA, além de serem elaboradas, também precisam ser enviadas à Previc</w:t>
            </w:r>
          </w:p>
        </w:tc>
      </w:tr>
      <w:tr w:rsidR="00E86BE2" w:rsidRPr="0010524E" w14:paraId="3995CAC3" w14:textId="572BDC2B" w:rsidTr="00E86BE2">
        <w:tc>
          <w:tcPr>
            <w:tcW w:w="4815" w:type="dxa"/>
          </w:tcPr>
          <w:p w14:paraId="760F413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Parágrafo único.  A elaboração das demonstrações atuariais é facultativa para os planos de benefícios constituídos na modalidade de contribuição definida cujos saldos contábeis sejam nulos nas contas "Benefício Definido" do grupo de contas das provisões matemáticas.</w:t>
            </w:r>
          </w:p>
        </w:tc>
        <w:tc>
          <w:tcPr>
            <w:tcW w:w="4849" w:type="dxa"/>
            <w:noWrap/>
            <w:hideMark/>
          </w:tcPr>
          <w:p w14:paraId="42461C4C" w14:textId="6D635482"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Parágrafo único.  A elaboração e envio das demonstrações atuariais é facultativa para os planos de benefícios constituídos na modalidade de contribuição definida cujos saldos contábeis sejam nulos nas contas Benefício Definido do grupo de contas das provisões matemáticas.</w:t>
            </w:r>
          </w:p>
        </w:tc>
        <w:tc>
          <w:tcPr>
            <w:tcW w:w="4648" w:type="dxa"/>
            <w:hideMark/>
          </w:tcPr>
          <w:p w14:paraId="16B85B5D"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Inclusão da palavra “envio” para indicar que as DA, além de serem elaboradas, também precisam ser enviadas à Previc</w:t>
            </w:r>
          </w:p>
        </w:tc>
      </w:tr>
      <w:tr w:rsidR="00E86BE2" w:rsidRPr="0010524E" w14:paraId="0796E610" w14:textId="484ED6CF" w:rsidTr="00E86BE2">
        <w:tc>
          <w:tcPr>
            <w:tcW w:w="4815" w:type="dxa"/>
          </w:tcPr>
          <w:p w14:paraId="42907BB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5º Na ocorrência de fato relevante deve ser realizada nova avaliação atuarial, posicionada na data da efetivação do fato que a motivou.</w:t>
            </w:r>
          </w:p>
        </w:tc>
        <w:tc>
          <w:tcPr>
            <w:tcW w:w="4849" w:type="dxa"/>
            <w:noWrap/>
            <w:hideMark/>
          </w:tcPr>
          <w:p w14:paraId="3BE73CBA" w14:textId="27AF2471"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395.  Na ocorrência de fato relevante deve ser realizada nova avaliação atuarial, posicionada na data da efetivação do fato que a motivou</w:t>
            </w:r>
          </w:p>
        </w:tc>
        <w:tc>
          <w:tcPr>
            <w:tcW w:w="4648" w:type="dxa"/>
            <w:noWrap/>
            <w:hideMark/>
          </w:tcPr>
          <w:p w14:paraId="31118137" w14:textId="77777777" w:rsidR="00E86BE2" w:rsidRPr="0010524E" w:rsidRDefault="00E86BE2" w:rsidP="00E86BE2">
            <w:pPr>
              <w:jc w:val="both"/>
              <w:rPr>
                <w:rFonts w:eastAsia="Times New Roman" w:cstheme="minorHAnsi"/>
                <w:sz w:val="24"/>
                <w:szCs w:val="24"/>
                <w:lang w:eastAsia="pt-BR"/>
              </w:rPr>
            </w:pPr>
          </w:p>
        </w:tc>
      </w:tr>
      <w:tr w:rsidR="00E86BE2" w:rsidRPr="0010524E" w14:paraId="288CF074" w14:textId="23BF7A7E" w:rsidTr="00E86BE2">
        <w:tc>
          <w:tcPr>
            <w:tcW w:w="4815" w:type="dxa"/>
          </w:tcPr>
          <w:p w14:paraId="4304A770"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7º As informações contidas nas demonstrações atuariais devem refletir de forma individualizada todos os planos de benefícios mantidos pela EFPC e aprovados pelo órgão competente, na data de referência da avaliação atuarial.</w:t>
            </w:r>
          </w:p>
        </w:tc>
        <w:tc>
          <w:tcPr>
            <w:tcW w:w="4849" w:type="dxa"/>
            <w:noWrap/>
            <w:hideMark/>
          </w:tcPr>
          <w:p w14:paraId="2498534C" w14:textId="2DD4418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396.  As informações contidas nas demonstrações atuariais devem refletir de forma individualizada todos os planos de benefícios mantidos pela EFPC e aprovados pelo órgão competente, na data de referência da avaliação atuarial</w:t>
            </w:r>
          </w:p>
        </w:tc>
        <w:tc>
          <w:tcPr>
            <w:tcW w:w="4648" w:type="dxa"/>
            <w:noWrap/>
            <w:hideMark/>
          </w:tcPr>
          <w:p w14:paraId="02C05BC3" w14:textId="77777777" w:rsidR="00E86BE2" w:rsidRPr="0010524E" w:rsidRDefault="00E86BE2" w:rsidP="00E86BE2">
            <w:pPr>
              <w:jc w:val="both"/>
              <w:rPr>
                <w:rFonts w:eastAsia="Times New Roman" w:cstheme="minorHAnsi"/>
                <w:sz w:val="24"/>
                <w:szCs w:val="24"/>
                <w:lang w:eastAsia="pt-BR"/>
              </w:rPr>
            </w:pPr>
          </w:p>
        </w:tc>
      </w:tr>
      <w:tr w:rsidR="00E86BE2" w:rsidRPr="0010524E" w14:paraId="1C8212C2" w14:textId="1D522EAE" w:rsidTr="00E86BE2">
        <w:tc>
          <w:tcPr>
            <w:tcW w:w="4815" w:type="dxa"/>
          </w:tcPr>
          <w:p w14:paraId="41F156D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Parágrafo único.  O preenchimento das demonstrações atuariais deve ser feito, quando indicado, por grupo de custeio, com identificação por numeração sequencial que não pode ser alterada com o tempo.</w:t>
            </w:r>
          </w:p>
        </w:tc>
        <w:tc>
          <w:tcPr>
            <w:tcW w:w="4849" w:type="dxa"/>
            <w:noWrap/>
            <w:hideMark/>
          </w:tcPr>
          <w:p w14:paraId="629DC954" w14:textId="15A282A3"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Parágrafo único.  O preenchimento das demonstrações atuariais deve ser feito, quando indicado, por grupo de custeio, com identificação por numeração sequencial que não pode ser alterada com o tempo.</w:t>
            </w:r>
          </w:p>
        </w:tc>
        <w:tc>
          <w:tcPr>
            <w:tcW w:w="4648" w:type="dxa"/>
            <w:noWrap/>
            <w:hideMark/>
          </w:tcPr>
          <w:p w14:paraId="5A417714" w14:textId="77777777" w:rsidR="00E86BE2" w:rsidRPr="0010524E" w:rsidRDefault="00E86BE2" w:rsidP="00E86BE2">
            <w:pPr>
              <w:jc w:val="both"/>
              <w:rPr>
                <w:rFonts w:eastAsia="Times New Roman" w:cstheme="minorHAnsi"/>
                <w:sz w:val="24"/>
                <w:szCs w:val="24"/>
                <w:lang w:eastAsia="pt-BR"/>
              </w:rPr>
            </w:pPr>
          </w:p>
        </w:tc>
      </w:tr>
      <w:tr w:rsidR="00E86BE2" w:rsidRPr="0010524E" w14:paraId="5E2E7119" w14:textId="3D67FA3F" w:rsidTr="00E86BE2">
        <w:tc>
          <w:tcPr>
            <w:tcW w:w="4815" w:type="dxa"/>
          </w:tcPr>
          <w:p w14:paraId="451663C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6º As demonstrações atuariais devem ser enviadas ao patrocinador do plano de benefícios antes do início de vigência do plano de custeio.</w:t>
            </w:r>
          </w:p>
        </w:tc>
        <w:tc>
          <w:tcPr>
            <w:tcW w:w="4849" w:type="dxa"/>
            <w:noWrap/>
            <w:hideMark/>
          </w:tcPr>
          <w:p w14:paraId="06FFD30B" w14:textId="6F9FA257"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397.  As demonstrações atuariais devem ser enviadas ao patrocinador do plano de benefícios antes do início de vigência do plano de custeio</w:t>
            </w:r>
          </w:p>
        </w:tc>
        <w:tc>
          <w:tcPr>
            <w:tcW w:w="4648" w:type="dxa"/>
            <w:noWrap/>
            <w:hideMark/>
          </w:tcPr>
          <w:p w14:paraId="1F50147B" w14:textId="77777777" w:rsidR="00E86BE2" w:rsidRPr="0010524E" w:rsidRDefault="00E86BE2" w:rsidP="00E86BE2">
            <w:pPr>
              <w:jc w:val="both"/>
              <w:rPr>
                <w:rFonts w:eastAsia="Times New Roman" w:cstheme="minorHAnsi"/>
                <w:sz w:val="24"/>
                <w:szCs w:val="24"/>
                <w:lang w:eastAsia="pt-BR"/>
              </w:rPr>
            </w:pPr>
          </w:p>
        </w:tc>
      </w:tr>
      <w:tr w:rsidR="00E86BE2" w:rsidRPr="0010524E" w14:paraId="28AB0932" w14:textId="4292504F" w:rsidTr="00E86BE2">
        <w:tc>
          <w:tcPr>
            <w:tcW w:w="4815" w:type="dxa"/>
          </w:tcPr>
          <w:p w14:paraId="36B5B1B0"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1º O plano de custeio estabelecido pela avaliação atuarial de encerramento de exercício deve entrar em vigor até o dia 1º de abril do exercício seguinte ao de referência da respectiva avaliação atuarial.</w:t>
            </w:r>
          </w:p>
        </w:tc>
        <w:tc>
          <w:tcPr>
            <w:tcW w:w="4849" w:type="dxa"/>
            <w:noWrap/>
            <w:hideMark/>
          </w:tcPr>
          <w:p w14:paraId="736E6C19" w14:textId="2BE4C506"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1º  O plano de custeio estabelecido pela avaliação atuarial de encerramento de exercício deve entrar em vigor até o dia 1º de abril do exercício subsequente ao de referência da respectiva avaliação atuarial.</w:t>
            </w:r>
          </w:p>
        </w:tc>
        <w:tc>
          <w:tcPr>
            <w:tcW w:w="4648" w:type="dxa"/>
            <w:hideMark/>
          </w:tcPr>
          <w:p w14:paraId="6E360001"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Substituição da palavra "seguinte" por "subsequente" para conferir paralelismo à norma, uma vez que o segundo termo é o utilizado em outros dispositivos.</w:t>
            </w:r>
          </w:p>
        </w:tc>
      </w:tr>
      <w:tr w:rsidR="00E86BE2" w:rsidRPr="0010524E" w14:paraId="4035A9A2" w14:textId="18946F83" w:rsidTr="00E86BE2">
        <w:tc>
          <w:tcPr>
            <w:tcW w:w="4815" w:type="dxa"/>
          </w:tcPr>
          <w:p w14:paraId="448C8D1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2º O estabelecimento de plano de custeio com efeitos retroativos ao início do exercício é admitido, desde que haja expressa concordância do patrocinador.</w:t>
            </w:r>
          </w:p>
        </w:tc>
        <w:tc>
          <w:tcPr>
            <w:tcW w:w="4849" w:type="dxa"/>
            <w:noWrap/>
            <w:hideMark/>
          </w:tcPr>
          <w:p w14:paraId="5F0E9C73" w14:textId="4C1B525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2º  É admitido o estabelecimento de plano de custeio com efeitos retroativos ao início do exercício, desde que haja expressa concordância do patrocinador.</w:t>
            </w:r>
          </w:p>
        </w:tc>
        <w:tc>
          <w:tcPr>
            <w:tcW w:w="4648" w:type="dxa"/>
            <w:hideMark/>
          </w:tcPr>
          <w:p w14:paraId="4E94DED6"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O termo “É admitido” transferido para o início do parágrafo para conferir ordem direta do texto.</w:t>
            </w:r>
          </w:p>
        </w:tc>
      </w:tr>
      <w:tr w:rsidR="00E86BE2" w:rsidRPr="0010524E" w14:paraId="5E7129CA" w14:textId="78855ED8" w:rsidTr="00E86BE2">
        <w:tc>
          <w:tcPr>
            <w:tcW w:w="4815" w:type="dxa"/>
          </w:tcPr>
          <w:p w14:paraId="65B9894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3º No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tc>
        <w:tc>
          <w:tcPr>
            <w:tcW w:w="4849" w:type="dxa"/>
            <w:noWrap/>
            <w:hideMark/>
          </w:tcPr>
          <w:p w14:paraId="19D4A2C5" w14:textId="72132E64"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3º  No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tc>
        <w:tc>
          <w:tcPr>
            <w:tcW w:w="4648" w:type="dxa"/>
            <w:hideMark/>
          </w:tcPr>
          <w:p w14:paraId="0D750C9A" w14:textId="77777777" w:rsidR="00E86BE2" w:rsidRPr="0010524E" w:rsidRDefault="00E86BE2" w:rsidP="00E86BE2">
            <w:pPr>
              <w:jc w:val="both"/>
              <w:rPr>
                <w:rFonts w:eastAsia="Times New Roman" w:cstheme="minorHAnsi"/>
                <w:sz w:val="24"/>
                <w:szCs w:val="24"/>
                <w:lang w:eastAsia="pt-BR"/>
              </w:rPr>
            </w:pPr>
          </w:p>
        </w:tc>
      </w:tr>
      <w:tr w:rsidR="00E86BE2" w:rsidRPr="0010524E" w14:paraId="6B794709" w14:textId="6EB87768" w:rsidTr="00E86BE2">
        <w:tc>
          <w:tcPr>
            <w:tcW w:w="4815" w:type="dxa"/>
          </w:tcPr>
          <w:p w14:paraId="365D0CEA" w14:textId="77777777" w:rsidR="00E86BE2" w:rsidRPr="0010524E" w:rsidRDefault="00E86BE2" w:rsidP="00E86BE2">
            <w:pPr>
              <w:jc w:val="both"/>
              <w:rPr>
                <w:rFonts w:cstheme="minorHAnsi"/>
                <w:sz w:val="24"/>
                <w:szCs w:val="24"/>
              </w:rPr>
            </w:pPr>
          </w:p>
        </w:tc>
        <w:tc>
          <w:tcPr>
            <w:tcW w:w="4849" w:type="dxa"/>
            <w:noWrap/>
          </w:tcPr>
          <w:p w14:paraId="2AC54161" w14:textId="77777777" w:rsidR="00E86BE2" w:rsidRPr="0010524E" w:rsidRDefault="00E86BE2" w:rsidP="00E86BE2">
            <w:pPr>
              <w:jc w:val="center"/>
              <w:rPr>
                <w:rFonts w:eastAsia="Times New Roman" w:cstheme="minorHAnsi"/>
                <w:b/>
                <w:bCs/>
                <w:sz w:val="24"/>
                <w:szCs w:val="24"/>
                <w:lang w:eastAsia="pt-BR"/>
              </w:rPr>
            </w:pPr>
            <w:r w:rsidRPr="0010524E">
              <w:rPr>
                <w:rFonts w:eastAsia="Times New Roman" w:cstheme="minorHAnsi"/>
                <w:b/>
                <w:bCs/>
                <w:sz w:val="24"/>
                <w:szCs w:val="24"/>
                <w:lang w:eastAsia="pt-BR"/>
              </w:rPr>
              <w:t>Subseção II</w:t>
            </w:r>
          </w:p>
          <w:p w14:paraId="6C69EDF1" w14:textId="77777777" w:rsidR="00E86BE2" w:rsidRPr="0010524E" w:rsidRDefault="00E86BE2" w:rsidP="00E86BE2">
            <w:pPr>
              <w:jc w:val="center"/>
              <w:rPr>
                <w:rFonts w:eastAsia="Times New Roman" w:cstheme="minorHAnsi"/>
                <w:sz w:val="24"/>
                <w:szCs w:val="24"/>
                <w:lang w:eastAsia="pt-BR"/>
              </w:rPr>
            </w:pPr>
            <w:r w:rsidRPr="0010524E">
              <w:rPr>
                <w:rFonts w:eastAsia="Times New Roman" w:cstheme="minorHAnsi"/>
                <w:b/>
                <w:bCs/>
                <w:sz w:val="24"/>
                <w:szCs w:val="24"/>
                <w:lang w:eastAsia="pt-BR"/>
              </w:rPr>
              <w:t>Avaliação Atuarial</w:t>
            </w:r>
          </w:p>
        </w:tc>
        <w:tc>
          <w:tcPr>
            <w:tcW w:w="4648" w:type="dxa"/>
          </w:tcPr>
          <w:p w14:paraId="36DA303C" w14:textId="77777777" w:rsidR="00E86BE2" w:rsidRPr="0010524E" w:rsidRDefault="00E86BE2" w:rsidP="00E86BE2">
            <w:pPr>
              <w:jc w:val="both"/>
              <w:rPr>
                <w:rFonts w:eastAsia="Times New Roman" w:cstheme="minorHAnsi"/>
                <w:sz w:val="24"/>
                <w:szCs w:val="24"/>
                <w:lang w:eastAsia="pt-BR"/>
              </w:rPr>
            </w:pPr>
          </w:p>
        </w:tc>
      </w:tr>
      <w:tr w:rsidR="00E86BE2" w:rsidRPr="0010524E" w14:paraId="5F9078C0" w14:textId="168EF179" w:rsidTr="00E86BE2">
        <w:tc>
          <w:tcPr>
            <w:tcW w:w="4815" w:type="dxa"/>
          </w:tcPr>
          <w:p w14:paraId="26A70AEC"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Art. 8º A data de referência dos dados cadastrais utilizados na avaliação atuarial não pode estar defasada em mais de seis meses em relação à data da avaliação.</w:t>
            </w:r>
          </w:p>
        </w:tc>
        <w:tc>
          <w:tcPr>
            <w:tcW w:w="4849" w:type="dxa"/>
            <w:noWrap/>
            <w:hideMark/>
          </w:tcPr>
          <w:p w14:paraId="715AD3E0" w14:textId="0EF0DD40"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398.  A data de referência dos dados cadastrais utilizados na avaliação atuarial não pode estar defasada em mais de seis meses em relação à data da avaliação</w:t>
            </w:r>
          </w:p>
        </w:tc>
        <w:tc>
          <w:tcPr>
            <w:tcW w:w="4648" w:type="dxa"/>
            <w:noWrap/>
            <w:hideMark/>
          </w:tcPr>
          <w:p w14:paraId="447F37E7" w14:textId="77777777" w:rsidR="00E86BE2" w:rsidRPr="0010524E" w:rsidRDefault="00E86BE2" w:rsidP="00E86BE2">
            <w:pPr>
              <w:jc w:val="both"/>
              <w:rPr>
                <w:rFonts w:eastAsia="Times New Roman" w:cstheme="minorHAnsi"/>
                <w:sz w:val="24"/>
                <w:szCs w:val="24"/>
                <w:lang w:eastAsia="pt-BR"/>
              </w:rPr>
            </w:pPr>
          </w:p>
        </w:tc>
      </w:tr>
      <w:tr w:rsidR="00E86BE2" w:rsidRPr="0010524E" w14:paraId="3EF15A9A" w14:textId="15FD2F2A" w:rsidTr="00E86BE2">
        <w:tc>
          <w:tcPr>
            <w:tcW w:w="4815" w:type="dxa"/>
          </w:tcPr>
          <w:p w14:paraId="447543C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1º Os dados cadastrais que serviram de base para a elaboração da avaliação atuarial devem ser informados pela EFPC e nela permanecer arquivados, inclusive os nomes dos campos, devendo ser apresentados à Previc, quando solicitado, em formato de planilha eletrônica de utilização comum.</w:t>
            </w:r>
          </w:p>
        </w:tc>
        <w:tc>
          <w:tcPr>
            <w:tcW w:w="4849" w:type="dxa"/>
            <w:noWrap/>
            <w:hideMark/>
          </w:tcPr>
          <w:p w14:paraId="61B6F872" w14:textId="30FD29D5"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1º  Os dados cadastrais que serviram de base para a elaboração da avaliação atuarial devem ser informados pela EFPC e nela permanecer arquivados, inclusive os nomes dos campos, devendo ser apresentados à Previc, quando solicitado, em formato de planilha eletrônica de utilização comum.</w:t>
            </w:r>
          </w:p>
        </w:tc>
        <w:tc>
          <w:tcPr>
            <w:tcW w:w="4648" w:type="dxa"/>
            <w:noWrap/>
            <w:hideMark/>
          </w:tcPr>
          <w:p w14:paraId="4366199C" w14:textId="77777777" w:rsidR="00E86BE2" w:rsidRPr="0010524E" w:rsidRDefault="00E86BE2" w:rsidP="00E86BE2">
            <w:pPr>
              <w:jc w:val="both"/>
              <w:rPr>
                <w:rFonts w:eastAsia="Times New Roman" w:cstheme="minorHAnsi"/>
                <w:sz w:val="24"/>
                <w:szCs w:val="24"/>
                <w:lang w:eastAsia="pt-BR"/>
              </w:rPr>
            </w:pPr>
          </w:p>
        </w:tc>
      </w:tr>
      <w:tr w:rsidR="00E86BE2" w:rsidRPr="0010524E" w14:paraId="69307042" w14:textId="02FE0DF2" w:rsidTr="00E86BE2">
        <w:tc>
          <w:tcPr>
            <w:tcW w:w="4815" w:type="dxa"/>
          </w:tcPr>
          <w:p w14:paraId="4C2D931F"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 2º Sem prejuízo do disposto no caput, no caso de plano de benefícios que tenha passado por alteração nos últimos doze meses em decorrência de retirada de patrocínio, saldamento, fusão, cisão, incorporação, ou qualquer outra forma de reorganização societária, a data de referência dos dados cadastrais não pode ser anterior à data da efetivação da operação.</w:t>
            </w:r>
          </w:p>
        </w:tc>
        <w:tc>
          <w:tcPr>
            <w:tcW w:w="4849" w:type="dxa"/>
            <w:noWrap/>
            <w:hideMark/>
          </w:tcPr>
          <w:p w14:paraId="0B71E98D" w14:textId="1250D2A9"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 xml:space="preserve">§ 2º  Sem prejuízo do disposto no </w:t>
            </w:r>
            <w:r w:rsidRPr="0010524E">
              <w:rPr>
                <w:rFonts w:ascii="Calibri" w:eastAsia="Calibri" w:hAnsi="Calibri" w:cs="Calibri"/>
                <w:b/>
                <w:bCs/>
                <w:sz w:val="24"/>
                <w:szCs w:val="24"/>
              </w:rPr>
              <w:t>caput</w:t>
            </w:r>
            <w:r w:rsidRPr="0010524E">
              <w:rPr>
                <w:rFonts w:ascii="Calibri" w:eastAsia="Calibri" w:hAnsi="Calibri" w:cs="Calibri"/>
                <w:sz w:val="24"/>
                <w:szCs w:val="24"/>
              </w:rPr>
              <w:t>, no caso de plano de benefícios que tenha passado por alteração nos últimos doze meses em decorrência de retirada de patrocínio, saldamento, fusão, cisão, incorporação, ou qualquer outra forma de reorganização societária, a data de referência dos dados cadastrais não pode ser anterior à data da efetivação da operação.</w:t>
            </w:r>
          </w:p>
        </w:tc>
        <w:tc>
          <w:tcPr>
            <w:tcW w:w="4648" w:type="dxa"/>
            <w:noWrap/>
            <w:hideMark/>
          </w:tcPr>
          <w:p w14:paraId="2C197F2B" w14:textId="77777777" w:rsidR="00E86BE2" w:rsidRPr="0010524E" w:rsidRDefault="00E86BE2" w:rsidP="00E86BE2">
            <w:pPr>
              <w:jc w:val="both"/>
              <w:rPr>
                <w:rFonts w:eastAsia="Times New Roman" w:cstheme="minorHAnsi"/>
                <w:sz w:val="24"/>
                <w:szCs w:val="24"/>
                <w:lang w:eastAsia="pt-BR"/>
              </w:rPr>
            </w:pPr>
          </w:p>
        </w:tc>
      </w:tr>
      <w:tr w:rsidR="00E86BE2" w:rsidRPr="0010524E" w14:paraId="36243EE5" w14:textId="5F443F9C" w:rsidTr="00E86BE2">
        <w:tc>
          <w:tcPr>
            <w:tcW w:w="4815" w:type="dxa"/>
          </w:tcPr>
          <w:p w14:paraId="024F7370"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9º Os valores de provisões matemáticas, déficits, superávits e fundos previdenciais apresentados nas demonstrações atuariais, por ocasião da avaliação atuarial de encerramento do exercício, consolidados pela EFPC, devem coincidir com os valores do balanço patrimonial.</w:t>
            </w:r>
          </w:p>
        </w:tc>
        <w:tc>
          <w:tcPr>
            <w:tcW w:w="4849" w:type="dxa"/>
            <w:noWrap/>
            <w:hideMark/>
          </w:tcPr>
          <w:p w14:paraId="3D0C52E6" w14:textId="580DC4EC"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399.  Os valores, consolidados pela EFPC, de provisões matemáticas, déficits, superávits e fundos previdenciais apresentados nas demonstrações atuariais, por ocasião da avaliação atuarial de encerramento do exercício, devem coincidir com os valores do balanço patrimonial</w:t>
            </w:r>
          </w:p>
        </w:tc>
        <w:tc>
          <w:tcPr>
            <w:tcW w:w="4648" w:type="dxa"/>
            <w:noWrap/>
            <w:hideMark/>
          </w:tcPr>
          <w:p w14:paraId="1CD518C7"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Ajuste redacional.</w:t>
            </w:r>
          </w:p>
        </w:tc>
      </w:tr>
      <w:tr w:rsidR="00E86BE2" w:rsidRPr="0010524E" w14:paraId="5F519E23" w14:textId="09F7E581" w:rsidTr="00E86BE2">
        <w:tc>
          <w:tcPr>
            <w:tcW w:w="4815" w:type="dxa"/>
          </w:tcPr>
          <w:p w14:paraId="278D9E4D"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 xml:space="preserve">Art. 10. A expectativa de evolução das taxas de contribuição do plano de benefícios deve constar da avaliação atuarial </w:t>
            </w:r>
            <w:r w:rsidRPr="0010524E">
              <w:rPr>
                <w:rFonts w:cstheme="minorHAnsi"/>
                <w:color w:val="FF0000"/>
                <w:sz w:val="24"/>
                <w:szCs w:val="24"/>
              </w:rPr>
              <w:t>anual.</w:t>
            </w:r>
          </w:p>
        </w:tc>
        <w:tc>
          <w:tcPr>
            <w:tcW w:w="4849" w:type="dxa"/>
            <w:noWrap/>
            <w:hideMark/>
          </w:tcPr>
          <w:p w14:paraId="7EFEB1E8" w14:textId="2F72D41F"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400.  A expectativa de evolução das taxas de contribuição do plano de benefícios deve constar da avaliação atuarial</w:t>
            </w:r>
          </w:p>
        </w:tc>
        <w:tc>
          <w:tcPr>
            <w:tcW w:w="4648" w:type="dxa"/>
            <w:noWrap/>
            <w:hideMark/>
          </w:tcPr>
          <w:p w14:paraId="0BFC0B7E"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Ajuste redacional com retirada do termo “anual” para acompanhar demais dispositivos que estabelecem apenas “avaliação atuarial”.</w:t>
            </w:r>
          </w:p>
        </w:tc>
      </w:tr>
      <w:tr w:rsidR="00E86BE2" w:rsidRPr="0010524E" w14:paraId="578323A7" w14:textId="6A194AD8" w:rsidTr="00E86BE2">
        <w:tc>
          <w:tcPr>
            <w:tcW w:w="4815" w:type="dxa"/>
          </w:tcPr>
          <w:p w14:paraId="592C9BD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11. A destinação das contribuições para o plano de benefícios deve ser discriminada na avaliação atuarial.</w:t>
            </w:r>
          </w:p>
        </w:tc>
        <w:tc>
          <w:tcPr>
            <w:tcW w:w="4849" w:type="dxa"/>
            <w:noWrap/>
            <w:hideMark/>
          </w:tcPr>
          <w:p w14:paraId="1F63CCB2" w14:textId="3DAA45D7"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401.  A destinação das contribuições para o plano de benefícios deve ser discriminada na avaliação atuarial</w:t>
            </w:r>
          </w:p>
        </w:tc>
        <w:tc>
          <w:tcPr>
            <w:tcW w:w="4648" w:type="dxa"/>
            <w:noWrap/>
            <w:hideMark/>
          </w:tcPr>
          <w:p w14:paraId="52B07B9D" w14:textId="77777777" w:rsidR="00E86BE2" w:rsidRPr="0010524E" w:rsidRDefault="00E86BE2" w:rsidP="00E86BE2">
            <w:pPr>
              <w:jc w:val="both"/>
              <w:rPr>
                <w:rFonts w:eastAsia="Times New Roman" w:cstheme="minorHAnsi"/>
                <w:sz w:val="24"/>
                <w:szCs w:val="24"/>
                <w:lang w:eastAsia="pt-BR"/>
              </w:rPr>
            </w:pPr>
          </w:p>
        </w:tc>
      </w:tr>
      <w:tr w:rsidR="00E86BE2" w:rsidRPr="0010524E" w14:paraId="0F957DFE" w14:textId="63107AD0" w:rsidTr="00E86BE2">
        <w:tc>
          <w:tcPr>
            <w:tcW w:w="4815" w:type="dxa"/>
          </w:tcPr>
          <w:p w14:paraId="5CFBB3E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12. Os relatórios complementares apresentados pelo atuário à diretoria executiva ou aos conselhos devem ser arquivados em conjunto com as demonstrações atuariais e apresentados à Previc, quando solicitado.</w:t>
            </w:r>
          </w:p>
        </w:tc>
        <w:tc>
          <w:tcPr>
            <w:tcW w:w="4849" w:type="dxa"/>
            <w:noWrap/>
            <w:hideMark/>
          </w:tcPr>
          <w:p w14:paraId="3F3196E2" w14:textId="465E2816"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402.  Os relatórios complementares apresentados pelo atuário à diretoria executiva ou aos conselhos devem ser arquivados em conjunto com as demonstrações atuariais e apresentados à Previc, quando solicitado</w:t>
            </w:r>
          </w:p>
        </w:tc>
        <w:tc>
          <w:tcPr>
            <w:tcW w:w="4648" w:type="dxa"/>
            <w:noWrap/>
            <w:hideMark/>
          </w:tcPr>
          <w:p w14:paraId="6C764081" w14:textId="77777777" w:rsidR="00E86BE2" w:rsidRPr="0010524E" w:rsidRDefault="00E86BE2" w:rsidP="00E86BE2">
            <w:pPr>
              <w:jc w:val="both"/>
              <w:rPr>
                <w:rFonts w:eastAsia="Times New Roman" w:cstheme="minorHAnsi"/>
                <w:sz w:val="24"/>
                <w:szCs w:val="24"/>
                <w:lang w:eastAsia="pt-BR"/>
              </w:rPr>
            </w:pPr>
          </w:p>
        </w:tc>
      </w:tr>
      <w:tr w:rsidR="00E86BE2" w:rsidRPr="0010524E" w14:paraId="0F029DB6" w14:textId="7F51E89D" w:rsidTr="00E86BE2">
        <w:tc>
          <w:tcPr>
            <w:tcW w:w="4815" w:type="dxa"/>
          </w:tcPr>
          <w:p w14:paraId="750F26C1" w14:textId="77777777" w:rsidR="00E86BE2" w:rsidRPr="0010524E" w:rsidRDefault="00E86BE2" w:rsidP="00E86BE2">
            <w:pPr>
              <w:jc w:val="center"/>
              <w:rPr>
                <w:rFonts w:eastAsia="Times New Roman" w:cstheme="minorHAnsi"/>
                <w:b/>
                <w:bCs/>
                <w:sz w:val="24"/>
                <w:szCs w:val="24"/>
                <w:lang w:eastAsia="pt-BR"/>
              </w:rPr>
            </w:pPr>
            <w:r w:rsidRPr="0010524E">
              <w:rPr>
                <w:rFonts w:cstheme="minorHAnsi"/>
                <w:sz w:val="24"/>
                <w:szCs w:val="24"/>
              </w:rPr>
              <w:t>Da nota técnica atuarial</w:t>
            </w:r>
          </w:p>
        </w:tc>
        <w:tc>
          <w:tcPr>
            <w:tcW w:w="4849" w:type="dxa"/>
            <w:noWrap/>
            <w:hideMark/>
          </w:tcPr>
          <w:p w14:paraId="614E9DC4" w14:textId="77777777" w:rsidR="00E86BE2" w:rsidRPr="0010524E" w:rsidRDefault="00E86BE2" w:rsidP="00E86BE2">
            <w:pPr>
              <w:jc w:val="center"/>
              <w:rPr>
                <w:rFonts w:eastAsia="Times New Roman" w:cstheme="minorHAnsi"/>
                <w:b/>
                <w:bCs/>
                <w:sz w:val="24"/>
                <w:szCs w:val="24"/>
                <w:lang w:eastAsia="pt-BR"/>
              </w:rPr>
            </w:pPr>
            <w:r w:rsidRPr="0010524E">
              <w:rPr>
                <w:rFonts w:eastAsia="Times New Roman" w:cstheme="minorHAnsi"/>
                <w:b/>
                <w:bCs/>
                <w:sz w:val="24"/>
                <w:szCs w:val="24"/>
                <w:lang w:eastAsia="pt-BR"/>
              </w:rPr>
              <w:t>Subseção III</w:t>
            </w:r>
          </w:p>
          <w:p w14:paraId="20075886" w14:textId="77777777" w:rsidR="00E86BE2" w:rsidRPr="0010524E" w:rsidRDefault="00E86BE2" w:rsidP="00E86BE2">
            <w:pPr>
              <w:jc w:val="center"/>
              <w:rPr>
                <w:rFonts w:eastAsia="Times New Roman" w:cstheme="minorHAnsi"/>
                <w:b/>
                <w:bCs/>
                <w:sz w:val="24"/>
                <w:szCs w:val="24"/>
                <w:lang w:eastAsia="pt-BR"/>
              </w:rPr>
            </w:pPr>
            <w:r w:rsidRPr="0010524E">
              <w:rPr>
                <w:rFonts w:eastAsia="Times New Roman" w:cstheme="minorHAnsi"/>
                <w:b/>
                <w:bCs/>
                <w:sz w:val="24"/>
                <w:szCs w:val="24"/>
                <w:lang w:eastAsia="pt-BR"/>
              </w:rPr>
              <w:t>Nota Técnica Atuarial</w:t>
            </w:r>
          </w:p>
        </w:tc>
        <w:tc>
          <w:tcPr>
            <w:tcW w:w="4648" w:type="dxa"/>
            <w:noWrap/>
            <w:hideMark/>
          </w:tcPr>
          <w:p w14:paraId="54DBCADF" w14:textId="77777777" w:rsidR="00E86BE2" w:rsidRPr="0010524E" w:rsidRDefault="00E86BE2" w:rsidP="00E86BE2">
            <w:pPr>
              <w:jc w:val="center"/>
              <w:rPr>
                <w:rFonts w:eastAsia="Times New Roman" w:cstheme="minorHAnsi"/>
                <w:b/>
                <w:bCs/>
                <w:sz w:val="24"/>
                <w:szCs w:val="24"/>
                <w:lang w:eastAsia="pt-BR"/>
              </w:rPr>
            </w:pPr>
          </w:p>
        </w:tc>
      </w:tr>
      <w:tr w:rsidR="00E86BE2" w:rsidRPr="0010524E" w14:paraId="023C7988" w14:textId="6C551963" w:rsidTr="00E86BE2">
        <w:tc>
          <w:tcPr>
            <w:tcW w:w="4815" w:type="dxa"/>
          </w:tcPr>
          <w:p w14:paraId="72691AA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13. A nota técnica atuarial consiste em documento técnico elaborado por atuário devidamente habilitado, em observância à modelagem do plano de benefícios.</w:t>
            </w:r>
          </w:p>
        </w:tc>
        <w:tc>
          <w:tcPr>
            <w:tcW w:w="4849" w:type="dxa"/>
            <w:noWrap/>
            <w:hideMark/>
          </w:tcPr>
          <w:p w14:paraId="45300961" w14:textId="77777777" w:rsidR="00E86BE2" w:rsidRPr="0010524E" w:rsidRDefault="00E86BE2" w:rsidP="00E86BE2">
            <w:pPr>
              <w:jc w:val="both"/>
              <w:rPr>
                <w:rFonts w:eastAsia="Times New Roman" w:cstheme="minorHAnsi"/>
                <w:sz w:val="24"/>
                <w:szCs w:val="24"/>
                <w:lang w:eastAsia="pt-BR"/>
              </w:rPr>
            </w:pPr>
          </w:p>
        </w:tc>
        <w:tc>
          <w:tcPr>
            <w:tcW w:w="4648" w:type="dxa"/>
            <w:noWrap/>
            <w:hideMark/>
          </w:tcPr>
          <w:p w14:paraId="5EE49532"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Deslocado para a Seção I - Conceitos e definições</w:t>
            </w:r>
          </w:p>
        </w:tc>
      </w:tr>
      <w:tr w:rsidR="00E86BE2" w:rsidRPr="0010524E" w14:paraId="32DADB65" w14:textId="1B14F22B" w:rsidTr="00E86BE2">
        <w:tc>
          <w:tcPr>
            <w:tcW w:w="4815" w:type="dxa"/>
          </w:tcPr>
          <w:p w14:paraId="650F0C21"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14. A nota técnica atuarial deve:</w:t>
            </w:r>
          </w:p>
        </w:tc>
        <w:tc>
          <w:tcPr>
            <w:tcW w:w="4849" w:type="dxa"/>
            <w:noWrap/>
            <w:hideMark/>
          </w:tcPr>
          <w:p w14:paraId="0D5130E6" w14:textId="3DF714D7"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403.  A nota técnica atuarial deve:</w:t>
            </w:r>
          </w:p>
        </w:tc>
        <w:tc>
          <w:tcPr>
            <w:tcW w:w="4648" w:type="dxa"/>
            <w:noWrap/>
            <w:hideMark/>
          </w:tcPr>
          <w:p w14:paraId="7ECDA90A" w14:textId="77777777" w:rsidR="00E86BE2" w:rsidRPr="0010524E" w:rsidRDefault="00E86BE2" w:rsidP="00E86BE2">
            <w:pPr>
              <w:jc w:val="both"/>
              <w:rPr>
                <w:rFonts w:eastAsia="Times New Roman" w:cstheme="minorHAnsi"/>
                <w:sz w:val="24"/>
                <w:szCs w:val="24"/>
                <w:lang w:eastAsia="pt-BR"/>
              </w:rPr>
            </w:pPr>
          </w:p>
        </w:tc>
      </w:tr>
      <w:tr w:rsidR="00E86BE2" w:rsidRPr="0010524E" w14:paraId="0CFD8B1F" w14:textId="1090A467" w:rsidTr="00E86BE2">
        <w:tc>
          <w:tcPr>
            <w:tcW w:w="4815" w:type="dxa"/>
          </w:tcPr>
          <w:p w14:paraId="111F87CA"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 - estar atualizada e consistente com o regulamento do plano de benefícios;</w:t>
            </w:r>
          </w:p>
        </w:tc>
        <w:tc>
          <w:tcPr>
            <w:tcW w:w="4849" w:type="dxa"/>
            <w:noWrap/>
            <w:hideMark/>
          </w:tcPr>
          <w:p w14:paraId="01A8F88C" w14:textId="25E4CD17"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 - estar atualizada e consistente com o regulamento do plano de benefícios;</w:t>
            </w:r>
          </w:p>
        </w:tc>
        <w:tc>
          <w:tcPr>
            <w:tcW w:w="4648" w:type="dxa"/>
            <w:noWrap/>
            <w:hideMark/>
          </w:tcPr>
          <w:p w14:paraId="4A53D41F" w14:textId="77777777" w:rsidR="00E86BE2" w:rsidRPr="0010524E" w:rsidRDefault="00E86BE2" w:rsidP="00E86BE2">
            <w:pPr>
              <w:jc w:val="both"/>
              <w:rPr>
                <w:rFonts w:eastAsia="Times New Roman" w:cstheme="minorHAnsi"/>
                <w:sz w:val="24"/>
                <w:szCs w:val="24"/>
                <w:lang w:eastAsia="pt-BR"/>
              </w:rPr>
            </w:pPr>
          </w:p>
        </w:tc>
      </w:tr>
      <w:tr w:rsidR="00E86BE2" w:rsidRPr="0010524E" w14:paraId="5924A04D" w14:textId="4B1D7E13" w:rsidTr="00E86BE2">
        <w:tc>
          <w:tcPr>
            <w:tcW w:w="4815" w:type="dxa"/>
          </w:tcPr>
          <w:p w14:paraId="75CEEBB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II - ser elaborada observando as características específicas de cada plano de benefícios;</w:t>
            </w:r>
          </w:p>
        </w:tc>
        <w:tc>
          <w:tcPr>
            <w:tcW w:w="4849" w:type="dxa"/>
            <w:noWrap/>
            <w:hideMark/>
          </w:tcPr>
          <w:p w14:paraId="1E36BCCE" w14:textId="786E760B"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II - ser elaborada observando as características específicas de cada plano de benefícios; e</w:t>
            </w:r>
          </w:p>
        </w:tc>
        <w:tc>
          <w:tcPr>
            <w:tcW w:w="4648" w:type="dxa"/>
            <w:noWrap/>
            <w:hideMark/>
          </w:tcPr>
          <w:p w14:paraId="34F5EA27" w14:textId="77777777" w:rsidR="00E86BE2" w:rsidRPr="0010524E" w:rsidRDefault="00E86BE2" w:rsidP="00E86BE2">
            <w:pPr>
              <w:jc w:val="both"/>
              <w:rPr>
                <w:rFonts w:eastAsia="Times New Roman" w:cstheme="minorHAnsi"/>
                <w:sz w:val="24"/>
                <w:szCs w:val="24"/>
                <w:lang w:eastAsia="pt-BR"/>
              </w:rPr>
            </w:pPr>
          </w:p>
        </w:tc>
      </w:tr>
      <w:tr w:rsidR="00E86BE2" w:rsidRPr="0010524E" w14:paraId="0DC0901B" w14:textId="06FDFC9F" w:rsidTr="00E86BE2">
        <w:tc>
          <w:tcPr>
            <w:tcW w:w="4815" w:type="dxa"/>
          </w:tcPr>
          <w:p w14:paraId="6D26846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III - ser enviada à Previc:</w:t>
            </w:r>
          </w:p>
        </w:tc>
        <w:tc>
          <w:tcPr>
            <w:tcW w:w="4849" w:type="dxa"/>
            <w:noWrap/>
            <w:hideMark/>
          </w:tcPr>
          <w:p w14:paraId="79B29332" w14:textId="3F9EC466"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III - ser enviada à Previc:</w:t>
            </w:r>
          </w:p>
        </w:tc>
        <w:tc>
          <w:tcPr>
            <w:tcW w:w="4648" w:type="dxa"/>
            <w:noWrap/>
            <w:hideMark/>
          </w:tcPr>
          <w:p w14:paraId="52C5EA76" w14:textId="77777777" w:rsidR="00E86BE2" w:rsidRPr="0010524E" w:rsidRDefault="00E86BE2" w:rsidP="00E86BE2">
            <w:pPr>
              <w:jc w:val="both"/>
              <w:rPr>
                <w:rFonts w:eastAsia="Times New Roman" w:cstheme="minorHAnsi"/>
                <w:sz w:val="24"/>
                <w:szCs w:val="24"/>
                <w:lang w:eastAsia="pt-BR"/>
              </w:rPr>
            </w:pPr>
          </w:p>
        </w:tc>
      </w:tr>
      <w:tr w:rsidR="00E86BE2" w:rsidRPr="0010524E" w14:paraId="58B0F209" w14:textId="6782C0D7" w:rsidTr="00E86BE2">
        <w:tc>
          <w:tcPr>
            <w:tcW w:w="4815" w:type="dxa"/>
          </w:tcPr>
          <w:p w14:paraId="2F650A1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 por ocasião da implantação ou alteração do plano de benefícios e sempre que houver modificações na modelagem atuarial, de modo que seu conteúdo reflita todas as práticas atuariais adotadas para o plano; e</w:t>
            </w:r>
          </w:p>
        </w:tc>
        <w:tc>
          <w:tcPr>
            <w:tcW w:w="4849" w:type="dxa"/>
            <w:noWrap/>
            <w:hideMark/>
          </w:tcPr>
          <w:p w14:paraId="5241DE1D" w14:textId="070EC988"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 por ocasião da implantação ou alteração do plano de benefícios e sempre que houver modificações na modelagem atuarial, de modo que seu conteúdo reflita todas as práticas atuariais adotadas para o plano; e</w:t>
            </w:r>
          </w:p>
        </w:tc>
        <w:tc>
          <w:tcPr>
            <w:tcW w:w="4648" w:type="dxa"/>
            <w:noWrap/>
            <w:hideMark/>
          </w:tcPr>
          <w:p w14:paraId="43F2E7BC" w14:textId="77777777" w:rsidR="00E86BE2" w:rsidRPr="0010524E" w:rsidRDefault="00E86BE2" w:rsidP="00E86BE2">
            <w:pPr>
              <w:jc w:val="both"/>
              <w:rPr>
                <w:rFonts w:eastAsia="Times New Roman" w:cstheme="minorHAnsi"/>
                <w:sz w:val="24"/>
                <w:szCs w:val="24"/>
                <w:lang w:eastAsia="pt-BR"/>
              </w:rPr>
            </w:pPr>
          </w:p>
        </w:tc>
      </w:tr>
      <w:tr w:rsidR="00E86BE2" w:rsidRPr="0010524E" w14:paraId="073859B4" w14:textId="3A538D82" w:rsidTr="00E86BE2">
        <w:tc>
          <w:tcPr>
            <w:tcW w:w="4815" w:type="dxa"/>
          </w:tcPr>
          <w:p w14:paraId="17421BD6"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b) contendo a identificação do atuário habilitado e legalmente responsável pelo plano de benefícios, acompanhada de manifestação de ciência e concordância do administrador responsável pelo plano de benefícios com seu inteiro teor, para cada um dos planos de benefícios administrados pela EFPC.</w:t>
            </w:r>
          </w:p>
        </w:tc>
        <w:tc>
          <w:tcPr>
            <w:tcW w:w="4849" w:type="dxa"/>
            <w:noWrap/>
            <w:hideMark/>
          </w:tcPr>
          <w:p w14:paraId="5E32AF0A" w14:textId="4C3CD87D"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b) contendo a identificação do atuário habilitado e legalmente responsável pelo plano de benefícios, acompanhada de manifestação de ciência e concordância do administrador responsável pelos planos de benefícios com seu inteiro teor, para cada um dos planos de benefícios administrados pela EFPC.</w:t>
            </w:r>
          </w:p>
        </w:tc>
        <w:tc>
          <w:tcPr>
            <w:tcW w:w="4648" w:type="dxa"/>
            <w:noWrap/>
            <w:hideMark/>
          </w:tcPr>
          <w:p w14:paraId="59720BB7" w14:textId="77777777" w:rsidR="00E86BE2" w:rsidRPr="0010524E" w:rsidRDefault="00E86BE2" w:rsidP="00E86BE2">
            <w:pPr>
              <w:jc w:val="both"/>
              <w:rPr>
                <w:rFonts w:eastAsia="Times New Roman" w:cstheme="minorHAnsi"/>
                <w:sz w:val="24"/>
                <w:szCs w:val="24"/>
                <w:lang w:eastAsia="pt-BR"/>
              </w:rPr>
            </w:pPr>
          </w:p>
        </w:tc>
      </w:tr>
      <w:tr w:rsidR="00E86BE2" w:rsidRPr="0010524E" w14:paraId="374DB903" w14:textId="6D1F7660" w:rsidTr="00E86BE2">
        <w:tc>
          <w:tcPr>
            <w:tcW w:w="4815" w:type="dxa"/>
          </w:tcPr>
          <w:p w14:paraId="17D6094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Parágrafo único.  Os planos de benefícios dispensados de envio das demonstrações atuariais, nos termos do parágrafo único do art. 4º, também estão dispensados do envio da nota técnica atuarial.</w:t>
            </w:r>
          </w:p>
        </w:tc>
        <w:tc>
          <w:tcPr>
            <w:tcW w:w="4849" w:type="dxa"/>
            <w:noWrap/>
            <w:hideMark/>
          </w:tcPr>
          <w:p w14:paraId="092F0685" w14:textId="13AC1048"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Parágrafo único.  Os planos de benefícios dispensados de envio das demonstrações atuariais, nos termos do parágrafo único do art. 394, também estão dispensados do envio da nota técnica atuarial.</w:t>
            </w:r>
          </w:p>
        </w:tc>
        <w:tc>
          <w:tcPr>
            <w:tcW w:w="4648" w:type="dxa"/>
            <w:noWrap/>
            <w:hideMark/>
          </w:tcPr>
          <w:p w14:paraId="6C19DD5A" w14:textId="15C9CF86" w:rsidR="00E86BE2" w:rsidRPr="0010524E" w:rsidRDefault="00E86BE2" w:rsidP="00E86BE2">
            <w:pPr>
              <w:jc w:val="both"/>
              <w:rPr>
                <w:rFonts w:eastAsia="Times New Roman" w:cstheme="minorHAnsi"/>
                <w:sz w:val="24"/>
                <w:szCs w:val="24"/>
                <w:lang w:eastAsia="pt-BR"/>
              </w:rPr>
            </w:pPr>
          </w:p>
        </w:tc>
      </w:tr>
      <w:tr w:rsidR="00E86BE2" w:rsidRPr="0010524E" w14:paraId="606E0635" w14:textId="74A0A3F1" w:rsidTr="00E86BE2">
        <w:tc>
          <w:tcPr>
            <w:tcW w:w="4815" w:type="dxa"/>
          </w:tcPr>
          <w:p w14:paraId="3BBF708C"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Art. 15. A EFPC deve assegurar que o atuário, ao assumir a responsabilidade pelo plano de benefícios:</w:t>
            </w:r>
          </w:p>
        </w:tc>
        <w:tc>
          <w:tcPr>
            <w:tcW w:w="4849" w:type="dxa"/>
            <w:noWrap/>
            <w:hideMark/>
          </w:tcPr>
          <w:p w14:paraId="3A4D7723" w14:textId="58A2B758"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404.  A EFPC deve assegurar que o atuário, ao assumir a responsabilidade pelo plano de benefícios:</w:t>
            </w:r>
          </w:p>
        </w:tc>
        <w:tc>
          <w:tcPr>
            <w:tcW w:w="4648" w:type="dxa"/>
            <w:noWrap/>
            <w:hideMark/>
          </w:tcPr>
          <w:p w14:paraId="48E0501B" w14:textId="77777777" w:rsidR="00E86BE2" w:rsidRPr="0010524E" w:rsidRDefault="00E86BE2" w:rsidP="00E86BE2">
            <w:pPr>
              <w:jc w:val="both"/>
              <w:rPr>
                <w:rFonts w:eastAsia="Times New Roman" w:cstheme="minorHAnsi"/>
                <w:sz w:val="24"/>
                <w:szCs w:val="24"/>
                <w:lang w:eastAsia="pt-BR"/>
              </w:rPr>
            </w:pPr>
          </w:p>
        </w:tc>
      </w:tr>
      <w:tr w:rsidR="00E86BE2" w:rsidRPr="0010524E" w14:paraId="688F5195" w14:textId="0AF1E274" w:rsidTr="00E86BE2">
        <w:tc>
          <w:tcPr>
            <w:tcW w:w="4815" w:type="dxa"/>
          </w:tcPr>
          <w:p w14:paraId="77F0F664"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 - ratifique formalmente a nota técnica atuarial em vigor, caso considere o documento apropriado às regras regulamentares do plano e aderente aos requisitos técnico-atuariais pertinentes; ou</w:t>
            </w:r>
          </w:p>
        </w:tc>
        <w:tc>
          <w:tcPr>
            <w:tcW w:w="4849" w:type="dxa"/>
            <w:noWrap/>
            <w:hideMark/>
          </w:tcPr>
          <w:p w14:paraId="7229640B" w14:textId="11CE36A5"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 - ratifique formalmente a nota técnica atuarial em vigor, caso considere o documento apropriado às regras regulamentares do plano e aderente aos requisitos técnico-atuariais pertinentes; ou</w:t>
            </w:r>
          </w:p>
        </w:tc>
        <w:tc>
          <w:tcPr>
            <w:tcW w:w="4648" w:type="dxa"/>
            <w:noWrap/>
            <w:hideMark/>
          </w:tcPr>
          <w:p w14:paraId="38EFF4CE" w14:textId="77777777" w:rsidR="00E86BE2" w:rsidRPr="0010524E" w:rsidRDefault="00E86BE2" w:rsidP="00E86BE2">
            <w:pPr>
              <w:jc w:val="both"/>
              <w:rPr>
                <w:rFonts w:eastAsia="Times New Roman" w:cstheme="minorHAnsi"/>
                <w:sz w:val="24"/>
                <w:szCs w:val="24"/>
                <w:lang w:eastAsia="pt-BR"/>
              </w:rPr>
            </w:pPr>
          </w:p>
        </w:tc>
      </w:tr>
      <w:tr w:rsidR="00E86BE2" w:rsidRPr="0010524E" w14:paraId="7ACC1052" w14:textId="3756222A" w:rsidTr="00E86BE2">
        <w:tc>
          <w:tcPr>
            <w:tcW w:w="4815" w:type="dxa"/>
          </w:tcPr>
          <w:p w14:paraId="5D39BDA9"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II - elabore nota técnica atuarial, com as justificativas da alteração.</w:t>
            </w:r>
          </w:p>
        </w:tc>
        <w:tc>
          <w:tcPr>
            <w:tcW w:w="4849" w:type="dxa"/>
            <w:noWrap/>
            <w:hideMark/>
          </w:tcPr>
          <w:p w14:paraId="0B2DD1E4" w14:textId="0750E911"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II - elabore nota técnica atuarial, com as justificativas da alteração.</w:t>
            </w:r>
          </w:p>
        </w:tc>
        <w:tc>
          <w:tcPr>
            <w:tcW w:w="4648" w:type="dxa"/>
            <w:noWrap/>
            <w:hideMark/>
          </w:tcPr>
          <w:p w14:paraId="77D9D4F7" w14:textId="77777777" w:rsidR="00E86BE2" w:rsidRPr="0010524E" w:rsidRDefault="00E86BE2" w:rsidP="00E86BE2">
            <w:pPr>
              <w:jc w:val="both"/>
              <w:rPr>
                <w:rFonts w:eastAsia="Times New Roman" w:cstheme="minorHAnsi"/>
                <w:sz w:val="24"/>
                <w:szCs w:val="24"/>
                <w:lang w:eastAsia="pt-BR"/>
              </w:rPr>
            </w:pPr>
          </w:p>
        </w:tc>
      </w:tr>
      <w:tr w:rsidR="00E86BE2" w:rsidRPr="0010524E" w14:paraId="2D68F0B5" w14:textId="2EF60280" w:rsidTr="00E86BE2">
        <w:tc>
          <w:tcPr>
            <w:tcW w:w="4815" w:type="dxa"/>
          </w:tcPr>
          <w:p w14:paraId="019B1F17" w14:textId="77777777" w:rsidR="00E86BE2" w:rsidRPr="0010524E" w:rsidRDefault="00E86BE2" w:rsidP="00E86BE2">
            <w:pPr>
              <w:jc w:val="both"/>
              <w:rPr>
                <w:rFonts w:cstheme="minorHAnsi"/>
                <w:b/>
                <w:sz w:val="24"/>
                <w:szCs w:val="24"/>
              </w:rPr>
            </w:pPr>
            <w:r w:rsidRPr="0010524E">
              <w:rPr>
                <w:rFonts w:cstheme="minorHAnsi"/>
                <w:b/>
                <w:sz w:val="24"/>
                <w:szCs w:val="24"/>
              </w:rPr>
              <w:t>Resolução Previc nº 8, de março de 2022.</w:t>
            </w:r>
          </w:p>
        </w:tc>
        <w:tc>
          <w:tcPr>
            <w:tcW w:w="4849" w:type="dxa"/>
            <w:noWrap/>
          </w:tcPr>
          <w:p w14:paraId="37046E3A"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40057BBE" w14:textId="77777777" w:rsidR="00E86BE2" w:rsidRPr="0010524E" w:rsidRDefault="00E86BE2" w:rsidP="00E86BE2">
            <w:pPr>
              <w:jc w:val="both"/>
              <w:rPr>
                <w:rFonts w:eastAsia="Times New Roman" w:cstheme="minorHAnsi"/>
                <w:sz w:val="24"/>
                <w:szCs w:val="24"/>
                <w:lang w:eastAsia="pt-BR"/>
              </w:rPr>
            </w:pPr>
          </w:p>
        </w:tc>
      </w:tr>
      <w:tr w:rsidR="00E86BE2" w:rsidRPr="0010524E" w14:paraId="670E179F" w14:textId="2F2787F9" w:rsidTr="00E86BE2">
        <w:tc>
          <w:tcPr>
            <w:tcW w:w="4815" w:type="dxa"/>
          </w:tcPr>
          <w:p w14:paraId="2DE70A93" w14:textId="77777777" w:rsidR="00E86BE2" w:rsidRPr="0010524E" w:rsidRDefault="00E86BE2" w:rsidP="00E86BE2">
            <w:pPr>
              <w:jc w:val="both"/>
              <w:rPr>
                <w:rFonts w:cstheme="minorHAnsi"/>
                <w:sz w:val="24"/>
                <w:szCs w:val="24"/>
              </w:rPr>
            </w:pPr>
            <w:r w:rsidRPr="0010524E">
              <w:rPr>
                <w:rFonts w:cstheme="minorHAnsi"/>
                <w:sz w:val="24"/>
                <w:szCs w:val="24"/>
              </w:rPr>
              <w:t>Dispõe sobre as regras para contratação de seguros para cobertura de riscos pelas entidades fechadas de previdência complementar</w:t>
            </w:r>
          </w:p>
        </w:tc>
        <w:tc>
          <w:tcPr>
            <w:tcW w:w="4849" w:type="dxa"/>
            <w:noWrap/>
          </w:tcPr>
          <w:p w14:paraId="138D736F"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34922E7C" w14:textId="77777777" w:rsidR="00E86BE2" w:rsidRPr="0010524E" w:rsidRDefault="00E86BE2" w:rsidP="00E86BE2">
            <w:pPr>
              <w:jc w:val="both"/>
              <w:rPr>
                <w:rFonts w:eastAsia="Times New Roman" w:cstheme="minorHAnsi"/>
                <w:sz w:val="24"/>
                <w:szCs w:val="24"/>
                <w:lang w:eastAsia="pt-BR"/>
              </w:rPr>
            </w:pPr>
          </w:p>
        </w:tc>
      </w:tr>
      <w:tr w:rsidR="00E86BE2" w:rsidRPr="0010524E" w14:paraId="3462D8B6" w14:textId="5CD12FD0" w:rsidTr="00E86BE2">
        <w:tc>
          <w:tcPr>
            <w:tcW w:w="4815" w:type="dxa"/>
          </w:tcPr>
          <w:p w14:paraId="22AD2108"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lastRenderedPageBreak/>
              <w:t>Art. 10. A nota técnica atuarial e o plano de custeio de cada plano de benefícios objeto de contrato de seguro devem prever o tratamento a ser dado às seguintes situações:</w:t>
            </w:r>
          </w:p>
        </w:tc>
        <w:tc>
          <w:tcPr>
            <w:tcW w:w="4849" w:type="dxa"/>
            <w:noWrap/>
            <w:hideMark/>
          </w:tcPr>
          <w:p w14:paraId="66D8E374" w14:textId="557ED374"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405.  A nota técnica atuarial e o plano de custeio de cada plano de benefícios, objeto de contrato de seguro, devem prever o tratamento a ser dado às seguintes situações:</w:t>
            </w:r>
          </w:p>
        </w:tc>
        <w:tc>
          <w:tcPr>
            <w:tcW w:w="4648" w:type="dxa"/>
            <w:noWrap/>
            <w:hideMark/>
          </w:tcPr>
          <w:p w14:paraId="299AD825" w14:textId="77777777" w:rsidR="00E86BE2" w:rsidRPr="0010524E" w:rsidRDefault="00E86BE2" w:rsidP="00E86BE2">
            <w:pPr>
              <w:jc w:val="both"/>
              <w:rPr>
                <w:rFonts w:eastAsia="Times New Roman" w:cstheme="minorHAnsi"/>
                <w:sz w:val="24"/>
                <w:szCs w:val="24"/>
                <w:lang w:eastAsia="pt-BR"/>
              </w:rPr>
            </w:pPr>
          </w:p>
        </w:tc>
      </w:tr>
      <w:tr w:rsidR="00E86BE2" w:rsidRPr="0010524E" w14:paraId="24BF9CF9" w14:textId="67555039" w:rsidTr="00E86BE2">
        <w:tc>
          <w:tcPr>
            <w:tcW w:w="4815" w:type="dxa"/>
          </w:tcPr>
          <w:p w14:paraId="4F208CB7"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 - exclusão de determinados riscos pela sociedade seguradora; e</w:t>
            </w:r>
          </w:p>
        </w:tc>
        <w:tc>
          <w:tcPr>
            <w:tcW w:w="4849" w:type="dxa"/>
            <w:noWrap/>
            <w:hideMark/>
          </w:tcPr>
          <w:p w14:paraId="2EC33713" w14:textId="2189C603"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 - exclusão de determinados riscos pela sociedade seguradora; e</w:t>
            </w:r>
          </w:p>
        </w:tc>
        <w:tc>
          <w:tcPr>
            <w:tcW w:w="4648" w:type="dxa"/>
            <w:noWrap/>
            <w:hideMark/>
          </w:tcPr>
          <w:p w14:paraId="1224B1A4" w14:textId="77777777" w:rsidR="00E86BE2" w:rsidRPr="0010524E" w:rsidRDefault="00E86BE2" w:rsidP="00E86BE2">
            <w:pPr>
              <w:jc w:val="both"/>
              <w:rPr>
                <w:rFonts w:eastAsia="Times New Roman" w:cstheme="minorHAnsi"/>
                <w:sz w:val="24"/>
                <w:szCs w:val="24"/>
                <w:lang w:eastAsia="pt-BR"/>
              </w:rPr>
            </w:pPr>
          </w:p>
        </w:tc>
      </w:tr>
      <w:tr w:rsidR="00E86BE2" w:rsidRPr="0010524E" w14:paraId="22D1ED0A" w14:textId="6D0A2DAF" w:rsidTr="00E86BE2">
        <w:tc>
          <w:tcPr>
            <w:tcW w:w="4815" w:type="dxa"/>
          </w:tcPr>
          <w:p w14:paraId="65F5BF5E" w14:textId="77777777" w:rsidR="00E86BE2" w:rsidRPr="0010524E" w:rsidRDefault="00E86BE2" w:rsidP="00E86BE2">
            <w:pPr>
              <w:jc w:val="both"/>
              <w:rPr>
                <w:rFonts w:eastAsia="Times New Roman" w:cstheme="minorHAnsi"/>
                <w:sz w:val="24"/>
                <w:szCs w:val="24"/>
                <w:lang w:eastAsia="pt-BR"/>
              </w:rPr>
            </w:pPr>
            <w:r w:rsidRPr="0010524E">
              <w:rPr>
                <w:rFonts w:cstheme="minorHAnsi"/>
                <w:sz w:val="24"/>
                <w:szCs w:val="24"/>
              </w:rPr>
              <w:t>II - recusa de participantes ou assistidos pela sociedade seguradora.</w:t>
            </w:r>
          </w:p>
        </w:tc>
        <w:tc>
          <w:tcPr>
            <w:tcW w:w="4849" w:type="dxa"/>
            <w:noWrap/>
            <w:hideMark/>
          </w:tcPr>
          <w:p w14:paraId="1FBB5ADB" w14:textId="2C7FA6F7"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II - recusa de participantes ou assistidos pela sociedade seguradora.</w:t>
            </w:r>
          </w:p>
        </w:tc>
        <w:tc>
          <w:tcPr>
            <w:tcW w:w="4648" w:type="dxa"/>
            <w:noWrap/>
            <w:hideMark/>
          </w:tcPr>
          <w:p w14:paraId="71995800" w14:textId="77777777" w:rsidR="00E86BE2" w:rsidRPr="0010524E" w:rsidRDefault="00E86BE2" w:rsidP="00E86BE2">
            <w:pPr>
              <w:jc w:val="both"/>
              <w:rPr>
                <w:rFonts w:eastAsia="Times New Roman" w:cstheme="minorHAnsi"/>
                <w:sz w:val="24"/>
                <w:szCs w:val="24"/>
                <w:lang w:eastAsia="pt-BR"/>
              </w:rPr>
            </w:pPr>
          </w:p>
        </w:tc>
      </w:tr>
      <w:tr w:rsidR="00E86BE2" w:rsidRPr="0010524E" w14:paraId="7CBB4B1F" w14:textId="7BEEC6DE" w:rsidTr="00E86BE2">
        <w:trPr>
          <w:trHeight w:val="60"/>
        </w:trPr>
        <w:tc>
          <w:tcPr>
            <w:tcW w:w="4815" w:type="dxa"/>
          </w:tcPr>
          <w:p w14:paraId="6A7F67FB" w14:textId="77777777" w:rsidR="00E86BE2" w:rsidRPr="0010524E" w:rsidRDefault="00E86BE2" w:rsidP="00E86BE2">
            <w:pPr>
              <w:jc w:val="both"/>
              <w:rPr>
                <w:rFonts w:cstheme="minorHAnsi"/>
                <w:sz w:val="24"/>
                <w:szCs w:val="24"/>
              </w:rPr>
            </w:pPr>
          </w:p>
        </w:tc>
        <w:tc>
          <w:tcPr>
            <w:tcW w:w="4849" w:type="dxa"/>
            <w:noWrap/>
          </w:tcPr>
          <w:p w14:paraId="34C4EFBC" w14:textId="77777777" w:rsidR="00E86BE2" w:rsidRPr="0010524E" w:rsidRDefault="00E86BE2" w:rsidP="00E86BE2">
            <w:pPr>
              <w:jc w:val="center"/>
              <w:rPr>
                <w:rFonts w:eastAsia="Times New Roman" w:cstheme="minorHAnsi"/>
                <w:b/>
                <w:bCs/>
                <w:sz w:val="24"/>
                <w:szCs w:val="24"/>
                <w:lang w:eastAsia="pt-BR"/>
              </w:rPr>
            </w:pPr>
            <w:r w:rsidRPr="0010524E">
              <w:rPr>
                <w:rFonts w:eastAsia="Times New Roman" w:cstheme="minorHAnsi"/>
                <w:b/>
                <w:bCs/>
                <w:sz w:val="24"/>
                <w:szCs w:val="24"/>
                <w:lang w:eastAsia="pt-BR"/>
              </w:rPr>
              <w:t>Subseção IV</w:t>
            </w:r>
          </w:p>
          <w:p w14:paraId="022DDA30" w14:textId="77777777" w:rsidR="00E86BE2" w:rsidRPr="0010524E" w:rsidRDefault="00E86BE2" w:rsidP="00E86BE2">
            <w:pPr>
              <w:jc w:val="center"/>
              <w:rPr>
                <w:rFonts w:eastAsia="Times New Roman" w:cstheme="minorHAnsi"/>
                <w:sz w:val="24"/>
                <w:szCs w:val="24"/>
                <w:lang w:eastAsia="pt-BR"/>
              </w:rPr>
            </w:pPr>
            <w:r w:rsidRPr="0010524E">
              <w:rPr>
                <w:rFonts w:eastAsia="Times New Roman" w:cstheme="minorHAnsi"/>
                <w:b/>
                <w:bCs/>
                <w:sz w:val="24"/>
                <w:szCs w:val="24"/>
                <w:lang w:eastAsia="pt-BR"/>
              </w:rPr>
              <w:t>Envio das Informações Atuariais</w:t>
            </w:r>
          </w:p>
        </w:tc>
        <w:tc>
          <w:tcPr>
            <w:tcW w:w="4648" w:type="dxa"/>
            <w:noWrap/>
          </w:tcPr>
          <w:p w14:paraId="34182394" w14:textId="77777777" w:rsidR="00E86BE2" w:rsidRPr="0010524E" w:rsidRDefault="00E86BE2" w:rsidP="00E86BE2">
            <w:pPr>
              <w:jc w:val="both"/>
              <w:rPr>
                <w:rFonts w:cstheme="minorHAnsi"/>
                <w:sz w:val="24"/>
                <w:szCs w:val="24"/>
              </w:rPr>
            </w:pPr>
            <w:r w:rsidRPr="0010524E">
              <w:rPr>
                <w:rFonts w:eastAsia="Times New Roman" w:cstheme="minorHAnsi"/>
                <w:sz w:val="24"/>
                <w:szCs w:val="24"/>
                <w:lang w:eastAsia="pt-BR"/>
              </w:rPr>
              <w:t xml:space="preserve">Realocação das disposições gerais da </w:t>
            </w:r>
            <w:r w:rsidRPr="0010524E">
              <w:rPr>
                <w:rFonts w:cstheme="minorHAnsi"/>
                <w:sz w:val="24"/>
                <w:szCs w:val="24"/>
              </w:rPr>
              <w:t>Resolução Previc nº 07/ 2022.</w:t>
            </w:r>
          </w:p>
          <w:p w14:paraId="1D19AAD4" w14:textId="77777777" w:rsidR="00E86BE2" w:rsidRPr="0010524E" w:rsidRDefault="00E86BE2" w:rsidP="00E86BE2">
            <w:pPr>
              <w:jc w:val="both"/>
              <w:rPr>
                <w:rFonts w:eastAsia="Times New Roman" w:cstheme="minorHAnsi"/>
                <w:sz w:val="24"/>
                <w:szCs w:val="24"/>
                <w:lang w:eastAsia="pt-BR"/>
              </w:rPr>
            </w:pPr>
          </w:p>
        </w:tc>
      </w:tr>
      <w:tr w:rsidR="00E86BE2" w:rsidRPr="0010524E" w14:paraId="67F2857B" w14:textId="288DD499" w:rsidTr="00E86BE2">
        <w:trPr>
          <w:trHeight w:val="60"/>
        </w:trPr>
        <w:tc>
          <w:tcPr>
            <w:tcW w:w="4815" w:type="dxa"/>
          </w:tcPr>
          <w:p w14:paraId="383DE8BC" w14:textId="77777777" w:rsidR="00E86BE2" w:rsidRPr="0010524E" w:rsidRDefault="00E86BE2" w:rsidP="00E86BE2">
            <w:pPr>
              <w:jc w:val="both"/>
              <w:rPr>
                <w:rFonts w:cstheme="minorHAnsi"/>
                <w:sz w:val="24"/>
                <w:szCs w:val="24"/>
              </w:rPr>
            </w:pPr>
          </w:p>
        </w:tc>
        <w:tc>
          <w:tcPr>
            <w:tcW w:w="4849" w:type="dxa"/>
            <w:noWrap/>
          </w:tcPr>
          <w:p w14:paraId="3A165388" w14:textId="2CA2B001"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Art. 406.  O envio de documentos e informações atuariais à Previc deve ser realizado:</w:t>
            </w:r>
          </w:p>
        </w:tc>
        <w:tc>
          <w:tcPr>
            <w:tcW w:w="4648" w:type="dxa"/>
            <w:noWrap/>
          </w:tcPr>
          <w:p w14:paraId="058F5D14"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Realocado do § 2º do art 1º da Resolução Previc nº 07/2022.</w:t>
            </w:r>
          </w:p>
        </w:tc>
      </w:tr>
      <w:tr w:rsidR="00E86BE2" w:rsidRPr="0010524E" w14:paraId="118224CA" w14:textId="7D667858" w:rsidTr="00E86BE2">
        <w:trPr>
          <w:trHeight w:val="60"/>
        </w:trPr>
        <w:tc>
          <w:tcPr>
            <w:tcW w:w="4815" w:type="dxa"/>
          </w:tcPr>
          <w:p w14:paraId="5DF7A8E2" w14:textId="77777777" w:rsidR="00E86BE2" w:rsidRPr="0010524E" w:rsidRDefault="00E86BE2" w:rsidP="00E86BE2">
            <w:pPr>
              <w:jc w:val="both"/>
              <w:rPr>
                <w:rFonts w:cstheme="minorHAnsi"/>
                <w:sz w:val="24"/>
                <w:szCs w:val="24"/>
              </w:rPr>
            </w:pPr>
          </w:p>
        </w:tc>
        <w:tc>
          <w:tcPr>
            <w:tcW w:w="4849" w:type="dxa"/>
            <w:noWrap/>
          </w:tcPr>
          <w:p w14:paraId="0116C0D8" w14:textId="549C4B02"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 - até 31 de março do exercício subsequente, para as demonstrações atuariais relativas ao encerramento do exercício de referência; e</w:t>
            </w:r>
          </w:p>
        </w:tc>
        <w:tc>
          <w:tcPr>
            <w:tcW w:w="4648" w:type="dxa"/>
            <w:noWrap/>
          </w:tcPr>
          <w:p w14:paraId="60F0D0AB" w14:textId="77777777" w:rsidR="00E86BE2" w:rsidRPr="0010524E" w:rsidRDefault="00E86BE2" w:rsidP="00E86BE2">
            <w:pPr>
              <w:jc w:val="both"/>
              <w:rPr>
                <w:rFonts w:eastAsia="Times New Roman" w:cstheme="minorHAnsi"/>
                <w:sz w:val="24"/>
                <w:szCs w:val="24"/>
                <w:lang w:eastAsia="pt-BR"/>
              </w:rPr>
            </w:pPr>
          </w:p>
        </w:tc>
      </w:tr>
      <w:tr w:rsidR="00E86BE2" w:rsidRPr="0010524E" w14:paraId="44C987A8" w14:textId="7C6F5E62" w:rsidTr="00E86BE2">
        <w:trPr>
          <w:trHeight w:val="60"/>
        </w:trPr>
        <w:tc>
          <w:tcPr>
            <w:tcW w:w="4815" w:type="dxa"/>
          </w:tcPr>
          <w:p w14:paraId="48CA1134" w14:textId="77777777" w:rsidR="00E86BE2" w:rsidRPr="0010524E" w:rsidRDefault="00E86BE2" w:rsidP="00E86BE2">
            <w:pPr>
              <w:jc w:val="both"/>
              <w:rPr>
                <w:rFonts w:cstheme="minorHAnsi"/>
                <w:sz w:val="24"/>
                <w:szCs w:val="24"/>
              </w:rPr>
            </w:pPr>
          </w:p>
        </w:tc>
        <w:tc>
          <w:tcPr>
            <w:tcW w:w="4849" w:type="dxa"/>
            <w:noWrap/>
          </w:tcPr>
          <w:p w14:paraId="0B02DE19" w14:textId="2DAE0ECB" w:rsidR="00E86BE2" w:rsidRPr="0010524E" w:rsidRDefault="00E86BE2" w:rsidP="00E86BE2">
            <w:pPr>
              <w:jc w:val="both"/>
              <w:rPr>
                <w:rFonts w:eastAsia="Times New Roman" w:cstheme="minorHAnsi"/>
                <w:sz w:val="24"/>
                <w:szCs w:val="24"/>
                <w:lang w:eastAsia="pt-BR"/>
              </w:rPr>
            </w:pPr>
            <w:r w:rsidRPr="0010524E">
              <w:rPr>
                <w:rFonts w:ascii="Calibri" w:eastAsia="Calibri" w:hAnsi="Calibri" w:cs="Calibri"/>
                <w:sz w:val="24"/>
                <w:szCs w:val="24"/>
              </w:rPr>
              <w:t>II - até noventa dias após a conclusão do fato que motivou a nova avaliação atuarial, para as demonstrações atuariais por fato relevante.</w:t>
            </w:r>
          </w:p>
        </w:tc>
        <w:tc>
          <w:tcPr>
            <w:tcW w:w="4648" w:type="dxa"/>
            <w:noWrap/>
          </w:tcPr>
          <w:p w14:paraId="080F0F45" w14:textId="77777777" w:rsidR="00E86BE2" w:rsidRPr="0010524E" w:rsidRDefault="00E86BE2" w:rsidP="00E86BE2">
            <w:pPr>
              <w:jc w:val="both"/>
              <w:rPr>
                <w:rFonts w:eastAsia="Times New Roman" w:cstheme="minorHAnsi"/>
                <w:sz w:val="24"/>
                <w:szCs w:val="24"/>
                <w:lang w:eastAsia="pt-BR"/>
              </w:rPr>
            </w:pPr>
          </w:p>
        </w:tc>
      </w:tr>
      <w:tr w:rsidR="00E86BE2" w:rsidRPr="0010524E" w14:paraId="580863FF" w14:textId="1DF132D3" w:rsidTr="00E86BE2">
        <w:trPr>
          <w:trHeight w:val="60"/>
        </w:trPr>
        <w:tc>
          <w:tcPr>
            <w:tcW w:w="4815" w:type="dxa"/>
          </w:tcPr>
          <w:p w14:paraId="02661DB7" w14:textId="77777777" w:rsidR="00E86BE2" w:rsidRPr="0010524E" w:rsidRDefault="00E86BE2" w:rsidP="00E86BE2">
            <w:pPr>
              <w:jc w:val="both"/>
              <w:rPr>
                <w:rFonts w:cstheme="minorHAnsi"/>
                <w:sz w:val="24"/>
                <w:szCs w:val="24"/>
              </w:rPr>
            </w:pPr>
            <w:r w:rsidRPr="0010524E">
              <w:rPr>
                <w:rFonts w:cstheme="minorHAnsi"/>
                <w:b/>
                <w:sz w:val="24"/>
                <w:szCs w:val="24"/>
              </w:rPr>
              <w:t>Instrução Previc nº 33, 23 de outubro de 2018.</w:t>
            </w:r>
          </w:p>
        </w:tc>
        <w:tc>
          <w:tcPr>
            <w:tcW w:w="4849" w:type="dxa"/>
            <w:noWrap/>
          </w:tcPr>
          <w:p w14:paraId="228E9541" w14:textId="77777777" w:rsidR="00E86BE2" w:rsidRPr="0010524E" w:rsidRDefault="00E86BE2" w:rsidP="00E86BE2">
            <w:pPr>
              <w:jc w:val="both"/>
              <w:rPr>
                <w:rFonts w:eastAsia="Times New Roman" w:cstheme="minorHAnsi"/>
                <w:sz w:val="24"/>
                <w:szCs w:val="24"/>
                <w:lang w:eastAsia="pt-BR"/>
              </w:rPr>
            </w:pPr>
          </w:p>
        </w:tc>
        <w:tc>
          <w:tcPr>
            <w:tcW w:w="4648" w:type="dxa"/>
            <w:noWrap/>
          </w:tcPr>
          <w:p w14:paraId="530092B1"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Sugestão não acatada.</w:t>
            </w:r>
          </w:p>
        </w:tc>
      </w:tr>
      <w:tr w:rsidR="00E86BE2" w:rsidRPr="0010524E" w14:paraId="22CF3A02" w14:textId="72765A94" w:rsidTr="00E86BE2">
        <w:trPr>
          <w:trHeight w:val="60"/>
        </w:trPr>
        <w:tc>
          <w:tcPr>
            <w:tcW w:w="4815" w:type="dxa"/>
          </w:tcPr>
          <w:p w14:paraId="54F1035B" w14:textId="77777777" w:rsidR="00E86BE2" w:rsidRPr="0010524E" w:rsidRDefault="00E86BE2" w:rsidP="00E86BE2">
            <w:pPr>
              <w:jc w:val="both"/>
              <w:rPr>
                <w:rFonts w:cstheme="minorHAnsi"/>
                <w:sz w:val="24"/>
                <w:szCs w:val="24"/>
              </w:rPr>
            </w:pPr>
            <w:r w:rsidRPr="0010524E">
              <w:rPr>
                <w:rFonts w:cstheme="minorHAnsi"/>
                <w:sz w:val="24"/>
                <w:szCs w:val="24"/>
              </w:rPr>
              <w:t>Art. 43. Os documentos elaborados para atendimento ao estabelecido nesta Instrução devem ser mantidos na EFPC à disposição da Previc.</w:t>
            </w:r>
          </w:p>
        </w:tc>
        <w:tc>
          <w:tcPr>
            <w:tcW w:w="4849" w:type="dxa"/>
            <w:noWrap/>
          </w:tcPr>
          <w:p w14:paraId="3D1A8C1B" w14:textId="18A81D4E" w:rsidR="00E86BE2" w:rsidRPr="0010524E" w:rsidRDefault="00E86BE2" w:rsidP="00E86BE2">
            <w:pPr>
              <w:jc w:val="both"/>
              <w:rPr>
                <w:rFonts w:eastAsia="Times New Roman" w:cstheme="minorHAnsi"/>
                <w:strike/>
                <w:sz w:val="24"/>
                <w:szCs w:val="24"/>
                <w:lang w:eastAsia="pt-BR"/>
              </w:rPr>
            </w:pPr>
          </w:p>
        </w:tc>
        <w:tc>
          <w:tcPr>
            <w:tcW w:w="4648" w:type="dxa"/>
            <w:noWrap/>
          </w:tcPr>
          <w:p w14:paraId="3E7DBDAD"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xml:space="preserve">Levado para o final da Resolução, uma vez que trata de todos os documentos de forma genérica.  </w:t>
            </w:r>
          </w:p>
          <w:p w14:paraId="78E275D4"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 xml:space="preserve">Em resposta a sugestão apresentada, será necessário, caso seja mantido o artigo, fazer referência aos documentos que são produzidos em decorrência do disposto na Instrução Previc 33/2018. Sugestão de </w:t>
            </w:r>
            <w:r w:rsidRPr="0010524E">
              <w:rPr>
                <w:rFonts w:eastAsia="Times New Roman" w:cstheme="minorHAnsi"/>
                <w:sz w:val="24"/>
                <w:szCs w:val="24"/>
                <w:lang w:eastAsia="pt-BR"/>
              </w:rPr>
              <w:lastRenderedPageBreak/>
              <w:t>exclusão do texto com a manutenção do artigo no art.43 da consolidação.</w:t>
            </w:r>
          </w:p>
        </w:tc>
      </w:tr>
      <w:tr w:rsidR="00E86BE2" w:rsidRPr="0010524E" w14:paraId="5B642046" w14:textId="1206814C" w:rsidTr="00E86BE2">
        <w:trPr>
          <w:trHeight w:val="60"/>
        </w:trPr>
        <w:tc>
          <w:tcPr>
            <w:tcW w:w="4815" w:type="dxa"/>
          </w:tcPr>
          <w:p w14:paraId="02F1191A" w14:textId="77777777" w:rsidR="00E86BE2" w:rsidRPr="00793262" w:rsidRDefault="00E86BE2" w:rsidP="00E86BE2">
            <w:pPr>
              <w:jc w:val="both"/>
              <w:rPr>
                <w:rFonts w:cstheme="minorHAnsi"/>
                <w:b/>
                <w:bCs/>
                <w:sz w:val="24"/>
                <w:szCs w:val="24"/>
              </w:rPr>
            </w:pPr>
            <w:r w:rsidRPr="00793262">
              <w:rPr>
                <w:rFonts w:cstheme="minorHAnsi"/>
                <w:b/>
                <w:bCs/>
                <w:sz w:val="24"/>
                <w:szCs w:val="24"/>
              </w:rPr>
              <w:lastRenderedPageBreak/>
              <w:t>Resolução Previc nº 21, de 21 de março de 2023</w:t>
            </w:r>
          </w:p>
        </w:tc>
        <w:tc>
          <w:tcPr>
            <w:tcW w:w="4849" w:type="dxa"/>
            <w:noWrap/>
          </w:tcPr>
          <w:p w14:paraId="765C9AA9" w14:textId="77777777" w:rsidR="00E86BE2" w:rsidRPr="0010524E" w:rsidRDefault="00E86BE2" w:rsidP="00E86BE2">
            <w:pPr>
              <w:jc w:val="center"/>
              <w:rPr>
                <w:rFonts w:eastAsia="Times New Roman" w:cstheme="minorHAnsi"/>
                <w:b/>
                <w:bCs/>
                <w:sz w:val="24"/>
                <w:szCs w:val="24"/>
                <w:lang w:eastAsia="pt-BR"/>
              </w:rPr>
            </w:pPr>
          </w:p>
        </w:tc>
        <w:tc>
          <w:tcPr>
            <w:tcW w:w="4648" w:type="dxa"/>
            <w:noWrap/>
          </w:tcPr>
          <w:p w14:paraId="59A649A5" w14:textId="77777777" w:rsidR="00E86BE2" w:rsidRPr="0010524E" w:rsidRDefault="00E86BE2" w:rsidP="00E86BE2">
            <w:pPr>
              <w:jc w:val="both"/>
              <w:rPr>
                <w:rFonts w:eastAsia="Times New Roman" w:cstheme="minorHAnsi"/>
                <w:sz w:val="24"/>
                <w:szCs w:val="24"/>
                <w:lang w:eastAsia="pt-BR"/>
              </w:rPr>
            </w:pPr>
          </w:p>
        </w:tc>
      </w:tr>
      <w:tr w:rsidR="00E86BE2" w:rsidRPr="0010524E" w14:paraId="56D922E1" w14:textId="3D6CB54E" w:rsidTr="00E86BE2">
        <w:trPr>
          <w:trHeight w:val="60"/>
        </w:trPr>
        <w:tc>
          <w:tcPr>
            <w:tcW w:w="4815" w:type="dxa"/>
          </w:tcPr>
          <w:p w14:paraId="2B36F566" w14:textId="77777777" w:rsidR="00E86BE2" w:rsidRPr="0010524E" w:rsidRDefault="00E86BE2" w:rsidP="00E86BE2">
            <w:pPr>
              <w:jc w:val="both"/>
              <w:rPr>
                <w:rFonts w:cstheme="minorHAnsi"/>
                <w:sz w:val="24"/>
                <w:szCs w:val="24"/>
              </w:rPr>
            </w:pPr>
            <w:r w:rsidRPr="0010524E">
              <w:rPr>
                <w:sz w:val="24"/>
                <w:szCs w:val="24"/>
              </w:rPr>
              <w:t>Dispõe sobre os procedimentos contábeis, o plano contábil padrão, a função e o funcionamento das contas e a forma, o meio e a periodicidade de envio das demonstrações contábeis das entidades fechadas de previdência complementar.</w:t>
            </w:r>
          </w:p>
        </w:tc>
        <w:tc>
          <w:tcPr>
            <w:tcW w:w="4849" w:type="dxa"/>
            <w:noWrap/>
          </w:tcPr>
          <w:p w14:paraId="767106F8" w14:textId="77777777" w:rsidR="00E86BE2" w:rsidRPr="0010524E" w:rsidRDefault="00E86BE2" w:rsidP="00E86BE2">
            <w:pPr>
              <w:jc w:val="center"/>
              <w:rPr>
                <w:rFonts w:eastAsia="Times New Roman" w:cstheme="minorHAnsi"/>
                <w:b/>
                <w:bCs/>
                <w:sz w:val="24"/>
                <w:szCs w:val="24"/>
                <w:lang w:eastAsia="pt-BR"/>
              </w:rPr>
            </w:pPr>
          </w:p>
        </w:tc>
        <w:tc>
          <w:tcPr>
            <w:tcW w:w="4648" w:type="dxa"/>
            <w:noWrap/>
          </w:tcPr>
          <w:p w14:paraId="69254BC8" w14:textId="77777777" w:rsidR="00E86BE2" w:rsidRPr="0010524E" w:rsidRDefault="00E86BE2" w:rsidP="00E86BE2">
            <w:pPr>
              <w:jc w:val="both"/>
              <w:rPr>
                <w:rFonts w:eastAsia="Times New Roman" w:cstheme="minorHAnsi"/>
                <w:sz w:val="24"/>
                <w:szCs w:val="24"/>
                <w:lang w:eastAsia="pt-BR"/>
              </w:rPr>
            </w:pPr>
          </w:p>
        </w:tc>
      </w:tr>
      <w:tr w:rsidR="00E86BE2" w:rsidRPr="0010524E" w14:paraId="0F36C46C" w14:textId="7C07BA47" w:rsidTr="00E86BE2">
        <w:tc>
          <w:tcPr>
            <w:tcW w:w="4815" w:type="dxa"/>
          </w:tcPr>
          <w:p w14:paraId="5B08F15A" w14:textId="77777777" w:rsidR="00E86BE2" w:rsidRPr="0010524E" w:rsidRDefault="00E86BE2" w:rsidP="00E86BE2">
            <w:pPr>
              <w:jc w:val="center"/>
              <w:rPr>
                <w:rFonts w:cstheme="minorHAnsi"/>
                <w:sz w:val="24"/>
                <w:szCs w:val="24"/>
              </w:rPr>
            </w:pPr>
            <w:r w:rsidRPr="0010524E">
              <w:rPr>
                <w:rFonts w:cstheme="minorHAnsi"/>
                <w:sz w:val="24"/>
                <w:szCs w:val="24"/>
              </w:rPr>
              <w:t>CAPÍTULO VII</w:t>
            </w:r>
          </w:p>
          <w:p w14:paraId="011FEE07" w14:textId="77777777" w:rsidR="00E86BE2" w:rsidRPr="0010524E" w:rsidRDefault="00E86BE2" w:rsidP="00E86BE2">
            <w:pPr>
              <w:jc w:val="center"/>
              <w:rPr>
                <w:rFonts w:cstheme="minorHAnsi"/>
                <w:sz w:val="24"/>
                <w:szCs w:val="24"/>
              </w:rPr>
            </w:pPr>
            <w:r w:rsidRPr="0010524E">
              <w:rPr>
                <w:rFonts w:cstheme="minorHAnsi"/>
                <w:sz w:val="24"/>
                <w:szCs w:val="24"/>
              </w:rPr>
              <w:t>DA FORMA, DO PRAZO E DO MEIO DE ENVIO DAS DEMONSTRAÇÕES CONTÁBEIS</w:t>
            </w:r>
          </w:p>
        </w:tc>
        <w:tc>
          <w:tcPr>
            <w:tcW w:w="4849" w:type="dxa"/>
          </w:tcPr>
          <w:p w14:paraId="7839305A" w14:textId="77777777" w:rsidR="00E86BE2" w:rsidRPr="0010524E" w:rsidRDefault="00E86BE2" w:rsidP="00E86BE2">
            <w:pPr>
              <w:jc w:val="center"/>
              <w:rPr>
                <w:rFonts w:eastAsia="Times New Roman" w:cstheme="minorHAnsi"/>
                <w:b/>
                <w:bCs/>
                <w:sz w:val="24"/>
                <w:szCs w:val="24"/>
                <w:lang w:eastAsia="pt-BR"/>
              </w:rPr>
            </w:pPr>
            <w:r w:rsidRPr="0010524E">
              <w:rPr>
                <w:rFonts w:eastAsia="Times New Roman" w:cstheme="minorHAnsi"/>
                <w:b/>
                <w:bCs/>
                <w:sz w:val="24"/>
                <w:szCs w:val="24"/>
                <w:lang w:eastAsia="pt-BR"/>
              </w:rPr>
              <w:t>Seção II</w:t>
            </w:r>
          </w:p>
          <w:p w14:paraId="01934123" w14:textId="4500F01F" w:rsidR="00E86BE2" w:rsidRPr="0010524E" w:rsidRDefault="00E86BE2" w:rsidP="00E86BE2">
            <w:pPr>
              <w:jc w:val="center"/>
              <w:rPr>
                <w:rFonts w:cstheme="minorHAnsi"/>
                <w:sz w:val="24"/>
                <w:szCs w:val="24"/>
              </w:rPr>
            </w:pPr>
            <w:r w:rsidRPr="0010524E">
              <w:rPr>
                <w:rFonts w:eastAsia="Times New Roman" w:cstheme="minorHAnsi"/>
                <w:b/>
                <w:bCs/>
                <w:sz w:val="24"/>
                <w:szCs w:val="24"/>
                <w:lang w:eastAsia="pt-BR"/>
              </w:rPr>
              <w:t>Informações Contábeis</w:t>
            </w:r>
          </w:p>
        </w:tc>
        <w:tc>
          <w:tcPr>
            <w:tcW w:w="4648" w:type="dxa"/>
          </w:tcPr>
          <w:p w14:paraId="09369D22" w14:textId="40742D5C" w:rsidR="00E86BE2" w:rsidRPr="0010524E" w:rsidRDefault="00E86BE2" w:rsidP="00E86BE2">
            <w:pPr>
              <w:rPr>
                <w:rFonts w:cstheme="minorHAnsi"/>
                <w:sz w:val="24"/>
                <w:szCs w:val="24"/>
              </w:rPr>
            </w:pPr>
          </w:p>
        </w:tc>
      </w:tr>
      <w:tr w:rsidR="00E86BE2" w:rsidRPr="0010524E" w14:paraId="0EE1C529" w14:textId="50FC8DC8" w:rsidTr="00E86BE2">
        <w:tc>
          <w:tcPr>
            <w:tcW w:w="4815" w:type="dxa"/>
          </w:tcPr>
          <w:p w14:paraId="431A2283" w14:textId="77777777" w:rsidR="00E86BE2" w:rsidRPr="0010524E" w:rsidRDefault="00E86BE2" w:rsidP="00E86BE2">
            <w:pPr>
              <w:jc w:val="both"/>
              <w:rPr>
                <w:rFonts w:cstheme="minorHAnsi"/>
                <w:sz w:val="24"/>
                <w:szCs w:val="24"/>
              </w:rPr>
            </w:pPr>
            <w:r w:rsidRPr="0010524E">
              <w:rPr>
                <w:rFonts w:cstheme="minorHAnsi"/>
                <w:sz w:val="24"/>
                <w:szCs w:val="24"/>
              </w:rPr>
              <w:t xml:space="preserve">Art. 33. As EFPC devem elaborar os seguintes documentos: </w:t>
            </w:r>
          </w:p>
        </w:tc>
        <w:tc>
          <w:tcPr>
            <w:tcW w:w="4849" w:type="dxa"/>
          </w:tcPr>
          <w:p w14:paraId="5CAAD16B" w14:textId="2AD0E102"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Art. 407.  As EFPC devem elaborar os seguintes documentos: </w:t>
            </w:r>
          </w:p>
        </w:tc>
        <w:tc>
          <w:tcPr>
            <w:tcW w:w="4648" w:type="dxa"/>
          </w:tcPr>
          <w:p w14:paraId="2030E584" w14:textId="028F28C4"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3307F646" w14:textId="11384495" w:rsidTr="00E86BE2">
        <w:tc>
          <w:tcPr>
            <w:tcW w:w="4815" w:type="dxa"/>
          </w:tcPr>
          <w:p w14:paraId="06555EF6" w14:textId="77777777" w:rsidR="00E86BE2" w:rsidRPr="0010524E" w:rsidRDefault="00E86BE2" w:rsidP="00E86BE2">
            <w:pPr>
              <w:jc w:val="both"/>
              <w:rPr>
                <w:rFonts w:cstheme="minorHAnsi"/>
                <w:sz w:val="24"/>
                <w:szCs w:val="24"/>
              </w:rPr>
            </w:pPr>
            <w:r w:rsidRPr="0010524E">
              <w:rPr>
                <w:rFonts w:cstheme="minorHAnsi"/>
                <w:sz w:val="24"/>
                <w:szCs w:val="24"/>
              </w:rPr>
              <w:t xml:space="preserve">I - Balancetes mensais do Plano de Benefícios, do Plano de Gestão Administrativa, do Consolidado e as informações extracontábeis do anexo IV; </w:t>
            </w:r>
          </w:p>
        </w:tc>
        <w:tc>
          <w:tcPr>
            <w:tcW w:w="4849" w:type="dxa"/>
          </w:tcPr>
          <w:p w14:paraId="1428A52A" w14:textId="13665D79" w:rsidR="00E86BE2" w:rsidRPr="0010524E" w:rsidRDefault="00E86BE2" w:rsidP="00E86BE2">
            <w:pPr>
              <w:jc w:val="both"/>
              <w:rPr>
                <w:rFonts w:cstheme="minorHAnsi"/>
                <w:sz w:val="24"/>
                <w:szCs w:val="24"/>
              </w:rPr>
            </w:pPr>
            <w:r w:rsidRPr="0010524E">
              <w:rPr>
                <w:rFonts w:ascii="Calibri" w:eastAsia="Calibri" w:hAnsi="Calibri" w:cs="Calibri"/>
                <w:sz w:val="24"/>
                <w:szCs w:val="24"/>
              </w:rPr>
              <w:t>I - balancetes mensais do plano de benefícios, do plano de gestão administrativa e do consolidado;</w:t>
            </w:r>
          </w:p>
        </w:tc>
        <w:tc>
          <w:tcPr>
            <w:tcW w:w="4648" w:type="dxa"/>
          </w:tcPr>
          <w:p w14:paraId="7654ECA9" w14:textId="77777777" w:rsidR="00E86BE2" w:rsidRPr="0010524E" w:rsidRDefault="00E86BE2" w:rsidP="00E86BE2">
            <w:pPr>
              <w:jc w:val="both"/>
              <w:rPr>
                <w:rFonts w:cstheme="minorHAnsi"/>
                <w:sz w:val="24"/>
                <w:szCs w:val="24"/>
              </w:rPr>
            </w:pPr>
            <w:r w:rsidRPr="0010524E">
              <w:rPr>
                <w:rFonts w:cstheme="minorHAnsi"/>
                <w:sz w:val="24"/>
                <w:szCs w:val="24"/>
              </w:rPr>
              <w:t>Exclusão da referência ao anexo IV considerando a inclusão no inciso XII para tratar especificamente do referido anexo e ajuste redacional.</w:t>
            </w:r>
          </w:p>
        </w:tc>
      </w:tr>
      <w:tr w:rsidR="00E86BE2" w:rsidRPr="0010524E" w14:paraId="62BF8F17" w14:textId="73ED2AA0" w:rsidTr="00E86BE2">
        <w:tc>
          <w:tcPr>
            <w:tcW w:w="4815" w:type="dxa"/>
          </w:tcPr>
          <w:p w14:paraId="537F9E0A" w14:textId="77777777" w:rsidR="00E86BE2" w:rsidRPr="0010524E" w:rsidRDefault="00E86BE2" w:rsidP="00E86BE2">
            <w:pPr>
              <w:jc w:val="both"/>
              <w:rPr>
                <w:rFonts w:cstheme="minorHAnsi"/>
                <w:sz w:val="24"/>
                <w:szCs w:val="24"/>
              </w:rPr>
            </w:pPr>
            <w:r w:rsidRPr="0010524E">
              <w:rPr>
                <w:rFonts w:cstheme="minorHAnsi"/>
                <w:sz w:val="24"/>
                <w:szCs w:val="24"/>
              </w:rPr>
              <w:t xml:space="preserve">II - Balanço Patrimonial Consolidado, comparativo com o exercício anterior; </w:t>
            </w:r>
          </w:p>
        </w:tc>
        <w:tc>
          <w:tcPr>
            <w:tcW w:w="4849" w:type="dxa"/>
          </w:tcPr>
          <w:p w14:paraId="61DED1D4" w14:textId="3DEAAC79"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II - balanço patrimonial consolidado, comparativo com o exercício anterior; </w:t>
            </w:r>
          </w:p>
        </w:tc>
        <w:tc>
          <w:tcPr>
            <w:tcW w:w="4648" w:type="dxa"/>
          </w:tcPr>
          <w:p w14:paraId="3C2496F2" w14:textId="491B8912"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66DEF0E7" w14:textId="67C81517" w:rsidTr="00E86BE2">
        <w:tc>
          <w:tcPr>
            <w:tcW w:w="4815" w:type="dxa"/>
          </w:tcPr>
          <w:p w14:paraId="69E142A4" w14:textId="77777777" w:rsidR="00E86BE2" w:rsidRPr="0010524E" w:rsidRDefault="00E86BE2" w:rsidP="00E86BE2">
            <w:pPr>
              <w:jc w:val="both"/>
              <w:rPr>
                <w:rFonts w:cstheme="minorHAnsi"/>
                <w:sz w:val="24"/>
                <w:szCs w:val="24"/>
              </w:rPr>
            </w:pPr>
            <w:r w:rsidRPr="0010524E">
              <w:rPr>
                <w:rFonts w:cstheme="minorHAnsi"/>
                <w:sz w:val="24"/>
                <w:szCs w:val="24"/>
              </w:rPr>
              <w:t xml:space="preserve">III - Demonstração da Mutação do Patrimônio Social (DMPS), de forma consolidada, comparativa com exercício anterior; </w:t>
            </w:r>
          </w:p>
        </w:tc>
        <w:tc>
          <w:tcPr>
            <w:tcW w:w="4849" w:type="dxa"/>
          </w:tcPr>
          <w:p w14:paraId="01C66CE4" w14:textId="41EE5324"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III - demonstração da mutação do patrimônio social, de forma consolidada, comparativa com exercício anterior; </w:t>
            </w:r>
          </w:p>
        </w:tc>
        <w:tc>
          <w:tcPr>
            <w:tcW w:w="4648" w:type="dxa"/>
          </w:tcPr>
          <w:p w14:paraId="344C1C1A" w14:textId="40665547"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18400B5F" w14:textId="3E25B7B1" w:rsidTr="00E86BE2">
        <w:tc>
          <w:tcPr>
            <w:tcW w:w="4815" w:type="dxa"/>
          </w:tcPr>
          <w:p w14:paraId="11CCCE80" w14:textId="77777777" w:rsidR="00E86BE2" w:rsidRPr="0010524E" w:rsidRDefault="00E86BE2" w:rsidP="00E86BE2">
            <w:pPr>
              <w:jc w:val="both"/>
              <w:rPr>
                <w:rFonts w:cstheme="minorHAnsi"/>
                <w:sz w:val="24"/>
                <w:szCs w:val="24"/>
              </w:rPr>
            </w:pPr>
            <w:r w:rsidRPr="0010524E">
              <w:rPr>
                <w:rFonts w:cstheme="minorHAnsi"/>
                <w:sz w:val="24"/>
                <w:szCs w:val="24"/>
              </w:rPr>
              <w:t xml:space="preserve">IV - Demonstração do PGA (DPGA), de forma consolidada, comparativa com o exercício anterior; </w:t>
            </w:r>
          </w:p>
        </w:tc>
        <w:tc>
          <w:tcPr>
            <w:tcW w:w="4849" w:type="dxa"/>
          </w:tcPr>
          <w:p w14:paraId="791AAC49" w14:textId="4C4224D5"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IV - demonstração do plano de gestão administrativa, de forma consolidada, comparativa com o exercício anterior; </w:t>
            </w:r>
          </w:p>
        </w:tc>
        <w:tc>
          <w:tcPr>
            <w:tcW w:w="4648" w:type="dxa"/>
          </w:tcPr>
          <w:p w14:paraId="0F5057AC" w14:textId="30E25830"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0E6B9640" w14:textId="7E4F11A1" w:rsidTr="00E86BE2">
        <w:tc>
          <w:tcPr>
            <w:tcW w:w="4815" w:type="dxa"/>
          </w:tcPr>
          <w:p w14:paraId="6C010397" w14:textId="77777777" w:rsidR="00E86BE2" w:rsidRPr="0010524E" w:rsidRDefault="00E86BE2" w:rsidP="00E86BE2">
            <w:pPr>
              <w:jc w:val="both"/>
              <w:rPr>
                <w:rFonts w:cstheme="minorHAnsi"/>
                <w:sz w:val="24"/>
                <w:szCs w:val="24"/>
              </w:rPr>
            </w:pPr>
            <w:r w:rsidRPr="0010524E">
              <w:rPr>
                <w:rFonts w:cstheme="minorHAnsi"/>
                <w:sz w:val="24"/>
                <w:szCs w:val="24"/>
              </w:rPr>
              <w:lastRenderedPageBreak/>
              <w:t xml:space="preserve">V - Demonstração do Ativo Líquido (DAL), por plano de benefícios de caráter previdencial, comparativa com o exercício anterior; </w:t>
            </w:r>
          </w:p>
        </w:tc>
        <w:tc>
          <w:tcPr>
            <w:tcW w:w="4849" w:type="dxa"/>
          </w:tcPr>
          <w:p w14:paraId="7DF3AE04" w14:textId="3240F230"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 - demonstração do ativo líquido, por plano de benefícios de caráter previdencial, comparativa com o exercício anterior; </w:t>
            </w:r>
          </w:p>
        </w:tc>
        <w:tc>
          <w:tcPr>
            <w:tcW w:w="4648" w:type="dxa"/>
          </w:tcPr>
          <w:p w14:paraId="0867BA88" w14:textId="765E09A4"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7421B770" w14:textId="32399153" w:rsidTr="00E86BE2">
        <w:tc>
          <w:tcPr>
            <w:tcW w:w="4815" w:type="dxa"/>
          </w:tcPr>
          <w:p w14:paraId="506FDA7C" w14:textId="77777777" w:rsidR="00E86BE2" w:rsidRPr="0010524E" w:rsidRDefault="00E86BE2" w:rsidP="00E86BE2">
            <w:pPr>
              <w:jc w:val="both"/>
              <w:rPr>
                <w:rFonts w:cstheme="minorHAnsi"/>
                <w:sz w:val="24"/>
                <w:szCs w:val="24"/>
              </w:rPr>
            </w:pPr>
            <w:r w:rsidRPr="0010524E">
              <w:rPr>
                <w:rFonts w:cstheme="minorHAnsi"/>
                <w:sz w:val="24"/>
                <w:szCs w:val="24"/>
              </w:rPr>
              <w:t xml:space="preserve">VI - Demonstração da Mutação do Ativo Líquido (DMAL), por plano de benefícios de caráter previdencial, comparativa com o exercício anterior; </w:t>
            </w:r>
          </w:p>
        </w:tc>
        <w:tc>
          <w:tcPr>
            <w:tcW w:w="4849" w:type="dxa"/>
          </w:tcPr>
          <w:p w14:paraId="6E1D9A97" w14:textId="5D0060A0"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VI - demonstração da mutação do ativo líquido, por plano de benefícios de caráter previdencial, comparativa com o exercício anterior; </w:t>
            </w:r>
          </w:p>
        </w:tc>
        <w:tc>
          <w:tcPr>
            <w:tcW w:w="4648" w:type="dxa"/>
          </w:tcPr>
          <w:p w14:paraId="00C08101" w14:textId="10A4E17A"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7A2D837C" w14:textId="530AD959" w:rsidTr="00E86BE2">
        <w:tc>
          <w:tcPr>
            <w:tcW w:w="4815" w:type="dxa"/>
          </w:tcPr>
          <w:p w14:paraId="4C8726BE" w14:textId="77777777" w:rsidR="00E86BE2" w:rsidRPr="0010524E" w:rsidRDefault="00E86BE2" w:rsidP="00E86BE2">
            <w:pPr>
              <w:jc w:val="both"/>
              <w:rPr>
                <w:rFonts w:cstheme="minorHAnsi"/>
                <w:sz w:val="24"/>
                <w:szCs w:val="24"/>
              </w:rPr>
            </w:pPr>
            <w:r w:rsidRPr="0010524E">
              <w:rPr>
                <w:rFonts w:cstheme="minorHAnsi"/>
                <w:sz w:val="24"/>
                <w:szCs w:val="24"/>
              </w:rPr>
              <w:t xml:space="preserve">VII - Demonstração das Provisões Técnicas do Plano de Benefícios (DPT), por plano de benefícios de caráter previdencial, comparativa com o exercício anterior; </w:t>
            </w:r>
          </w:p>
        </w:tc>
        <w:tc>
          <w:tcPr>
            <w:tcW w:w="4849" w:type="dxa"/>
          </w:tcPr>
          <w:p w14:paraId="77E63158" w14:textId="5B1B6759"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VII - demonstração das provisões técnicas do plano de benefícios, por plano de benefícios de caráter previdencial, comparativa com o exercício anterior; </w:t>
            </w:r>
          </w:p>
        </w:tc>
        <w:tc>
          <w:tcPr>
            <w:tcW w:w="4648" w:type="dxa"/>
          </w:tcPr>
          <w:p w14:paraId="54FFF381" w14:textId="206AB367"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3A74727A" w14:textId="765E78E6" w:rsidTr="00E86BE2">
        <w:tc>
          <w:tcPr>
            <w:tcW w:w="4815" w:type="dxa"/>
          </w:tcPr>
          <w:p w14:paraId="3F1A3444" w14:textId="77777777" w:rsidR="00E86BE2" w:rsidRPr="0010524E" w:rsidRDefault="00E86BE2" w:rsidP="00E86BE2">
            <w:pPr>
              <w:jc w:val="both"/>
              <w:rPr>
                <w:rFonts w:cstheme="minorHAnsi"/>
                <w:sz w:val="24"/>
                <w:szCs w:val="24"/>
              </w:rPr>
            </w:pPr>
            <w:r w:rsidRPr="0010524E">
              <w:rPr>
                <w:rFonts w:cstheme="minorHAnsi"/>
                <w:sz w:val="24"/>
                <w:szCs w:val="24"/>
              </w:rPr>
              <w:t xml:space="preserve">VIII - Notas Explicativas às Demonstrações Contábeis consolidadas; </w:t>
            </w:r>
          </w:p>
        </w:tc>
        <w:tc>
          <w:tcPr>
            <w:tcW w:w="4849" w:type="dxa"/>
          </w:tcPr>
          <w:p w14:paraId="6B53F73B" w14:textId="754B2160"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VIII - notas explicativas às demonstrações contábeis consolidadas; </w:t>
            </w:r>
          </w:p>
        </w:tc>
        <w:tc>
          <w:tcPr>
            <w:tcW w:w="4648" w:type="dxa"/>
          </w:tcPr>
          <w:p w14:paraId="0F408D2B" w14:textId="38714518"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5DB60479" w14:textId="3D8E7A88" w:rsidTr="00E86BE2">
        <w:tc>
          <w:tcPr>
            <w:tcW w:w="4815" w:type="dxa"/>
          </w:tcPr>
          <w:p w14:paraId="20589394" w14:textId="77777777" w:rsidR="00E86BE2" w:rsidRPr="0010524E" w:rsidRDefault="00E86BE2" w:rsidP="00E86BE2">
            <w:pPr>
              <w:jc w:val="both"/>
              <w:rPr>
                <w:rFonts w:cstheme="minorHAnsi"/>
                <w:sz w:val="24"/>
                <w:szCs w:val="24"/>
              </w:rPr>
            </w:pPr>
            <w:r w:rsidRPr="0010524E">
              <w:rPr>
                <w:rFonts w:cstheme="minorHAnsi"/>
                <w:sz w:val="24"/>
                <w:szCs w:val="24"/>
              </w:rPr>
              <w:t xml:space="preserve">IX - Parecer do Conselho Fiscal, com opinião sobre as Demonstrações Contábeis; </w:t>
            </w:r>
          </w:p>
        </w:tc>
        <w:tc>
          <w:tcPr>
            <w:tcW w:w="4849" w:type="dxa"/>
          </w:tcPr>
          <w:p w14:paraId="012265C4" w14:textId="310F0809"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IX - parecer do conselho fiscal, com opinião sobre as demonstrações contábeis; </w:t>
            </w:r>
          </w:p>
        </w:tc>
        <w:tc>
          <w:tcPr>
            <w:tcW w:w="4648" w:type="dxa"/>
          </w:tcPr>
          <w:p w14:paraId="1FA6D13E" w14:textId="6C7478EA"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04231557" w14:textId="70111919" w:rsidTr="00E86BE2">
        <w:tc>
          <w:tcPr>
            <w:tcW w:w="4815" w:type="dxa"/>
          </w:tcPr>
          <w:p w14:paraId="2AD69034" w14:textId="77777777" w:rsidR="00E86BE2" w:rsidRPr="0010524E" w:rsidRDefault="00E86BE2" w:rsidP="00E86BE2">
            <w:pPr>
              <w:jc w:val="both"/>
              <w:rPr>
                <w:rFonts w:cstheme="minorHAnsi"/>
                <w:sz w:val="24"/>
                <w:szCs w:val="24"/>
              </w:rPr>
            </w:pPr>
            <w:r w:rsidRPr="0010524E">
              <w:rPr>
                <w:rFonts w:cstheme="minorHAnsi"/>
                <w:sz w:val="24"/>
                <w:szCs w:val="24"/>
              </w:rPr>
              <w:t xml:space="preserve">X - Manifestação do Conselho Deliberativo relativa à aprovação das Demonstrações Contábeis; e </w:t>
            </w:r>
          </w:p>
        </w:tc>
        <w:tc>
          <w:tcPr>
            <w:tcW w:w="4849" w:type="dxa"/>
          </w:tcPr>
          <w:p w14:paraId="0466EED0" w14:textId="1C6D61CB"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X - manifestação do conselho deliberativo relativa à aprovação das demonstrações contábeis; e </w:t>
            </w:r>
          </w:p>
        </w:tc>
        <w:tc>
          <w:tcPr>
            <w:tcW w:w="4648" w:type="dxa"/>
          </w:tcPr>
          <w:p w14:paraId="7BE465D2" w14:textId="4B4FA8FC"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0EE6A71E" w14:textId="301B29AF" w:rsidTr="00E86BE2">
        <w:tc>
          <w:tcPr>
            <w:tcW w:w="4815" w:type="dxa"/>
          </w:tcPr>
          <w:p w14:paraId="50F65B62" w14:textId="77777777" w:rsidR="00E86BE2" w:rsidRPr="0010524E" w:rsidRDefault="00E86BE2" w:rsidP="00E86BE2">
            <w:pPr>
              <w:jc w:val="both"/>
              <w:rPr>
                <w:rFonts w:cstheme="minorHAnsi"/>
                <w:sz w:val="24"/>
                <w:szCs w:val="24"/>
              </w:rPr>
            </w:pPr>
            <w:r w:rsidRPr="0010524E">
              <w:rPr>
                <w:rFonts w:cstheme="minorHAnsi"/>
                <w:sz w:val="24"/>
                <w:szCs w:val="24"/>
              </w:rPr>
              <w:t xml:space="preserve">XI - Relatórios de Auditor Independente, descritos a seguir: a) relatório do auditor independente sobre as demonstrações contábeis; </w:t>
            </w:r>
          </w:p>
          <w:p w14:paraId="161CA1F6" w14:textId="77777777" w:rsidR="00E86BE2" w:rsidRPr="0010524E" w:rsidRDefault="00E86BE2" w:rsidP="00E86BE2">
            <w:pPr>
              <w:jc w:val="both"/>
              <w:rPr>
                <w:rFonts w:cstheme="minorHAnsi"/>
                <w:sz w:val="24"/>
                <w:szCs w:val="24"/>
              </w:rPr>
            </w:pPr>
            <w:r w:rsidRPr="0010524E">
              <w:rPr>
                <w:rFonts w:cstheme="minorHAnsi"/>
                <w:sz w:val="24"/>
                <w:szCs w:val="24"/>
              </w:rPr>
              <w:t xml:space="preserve">b) relatório circunstanciado sobre controles internos; e </w:t>
            </w:r>
          </w:p>
          <w:p w14:paraId="637E084C" w14:textId="77777777" w:rsidR="00E86BE2" w:rsidRPr="0010524E" w:rsidRDefault="00E86BE2" w:rsidP="00E86BE2">
            <w:pPr>
              <w:jc w:val="both"/>
              <w:rPr>
                <w:rFonts w:cstheme="minorHAnsi"/>
                <w:sz w:val="24"/>
                <w:szCs w:val="24"/>
              </w:rPr>
            </w:pPr>
            <w:r w:rsidRPr="0010524E">
              <w:rPr>
                <w:rFonts w:cstheme="minorHAnsi"/>
                <w:sz w:val="24"/>
                <w:szCs w:val="24"/>
              </w:rPr>
              <w:t xml:space="preserve">c) relatório para propósito específico, exigido das EFPC classificadas pela Previc como Entidade Sistemicamente Importante (ESI). </w:t>
            </w:r>
          </w:p>
        </w:tc>
        <w:tc>
          <w:tcPr>
            <w:tcW w:w="4849" w:type="dxa"/>
          </w:tcPr>
          <w:p w14:paraId="0E54229C" w14:textId="51BDE98B"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XI - relatórios de auditor independente, descritos a seguir: </w:t>
            </w:r>
          </w:p>
        </w:tc>
        <w:tc>
          <w:tcPr>
            <w:tcW w:w="4648" w:type="dxa"/>
          </w:tcPr>
          <w:p w14:paraId="4CC078C9" w14:textId="77777777" w:rsidR="00E86BE2" w:rsidRPr="0010524E" w:rsidRDefault="00E86BE2" w:rsidP="00E86BE2">
            <w:pPr>
              <w:rPr>
                <w:rFonts w:cstheme="minorHAnsi"/>
                <w:sz w:val="24"/>
                <w:szCs w:val="24"/>
              </w:rPr>
            </w:pPr>
            <w:r w:rsidRPr="0010524E">
              <w:rPr>
                <w:rFonts w:cstheme="minorHAnsi"/>
                <w:sz w:val="24"/>
                <w:szCs w:val="24"/>
              </w:rPr>
              <w:t>Texto alterado para retirar a expressão ESI</w:t>
            </w:r>
          </w:p>
        </w:tc>
      </w:tr>
      <w:tr w:rsidR="00E86BE2" w:rsidRPr="0010524E" w14:paraId="68F2F2E6" w14:textId="2E14F38D" w:rsidTr="00E86BE2">
        <w:tc>
          <w:tcPr>
            <w:tcW w:w="4815" w:type="dxa"/>
          </w:tcPr>
          <w:p w14:paraId="41A5D32F" w14:textId="77777777" w:rsidR="00E86BE2" w:rsidRPr="0010524E" w:rsidRDefault="00E86BE2" w:rsidP="00E86BE2">
            <w:pPr>
              <w:jc w:val="both"/>
              <w:rPr>
                <w:rFonts w:cstheme="minorHAnsi"/>
                <w:sz w:val="24"/>
                <w:szCs w:val="24"/>
              </w:rPr>
            </w:pPr>
            <w:bookmarkStart w:id="132" w:name="_Hlk137824181"/>
          </w:p>
        </w:tc>
        <w:tc>
          <w:tcPr>
            <w:tcW w:w="4849" w:type="dxa"/>
          </w:tcPr>
          <w:p w14:paraId="11A38F23" w14:textId="3008BEE4" w:rsidR="00E86BE2" w:rsidRPr="0010524E" w:rsidRDefault="00E86BE2" w:rsidP="00E86BE2">
            <w:pPr>
              <w:jc w:val="both"/>
              <w:rPr>
                <w:rFonts w:cstheme="minorHAnsi"/>
                <w:color w:val="0070C0"/>
                <w:sz w:val="24"/>
                <w:szCs w:val="24"/>
                <w:highlight w:val="yellow"/>
              </w:rPr>
            </w:pPr>
            <w:r w:rsidRPr="0010524E">
              <w:rPr>
                <w:rFonts w:ascii="Calibri" w:eastAsia="Calibri" w:hAnsi="Calibri" w:cs="Calibri"/>
                <w:sz w:val="24"/>
                <w:szCs w:val="24"/>
              </w:rPr>
              <w:t xml:space="preserve">a) relatório do auditor independente sobre as demonstrações contábeis; </w:t>
            </w:r>
          </w:p>
        </w:tc>
        <w:tc>
          <w:tcPr>
            <w:tcW w:w="4648" w:type="dxa"/>
          </w:tcPr>
          <w:p w14:paraId="4AB6FC1E" w14:textId="77777777" w:rsidR="00E86BE2" w:rsidRPr="0010524E" w:rsidRDefault="00E86BE2" w:rsidP="00E86BE2">
            <w:pPr>
              <w:jc w:val="both"/>
              <w:rPr>
                <w:rFonts w:cstheme="minorHAnsi"/>
                <w:sz w:val="24"/>
                <w:szCs w:val="24"/>
              </w:rPr>
            </w:pPr>
            <w:r w:rsidRPr="0010524E">
              <w:rPr>
                <w:rFonts w:cstheme="minorHAnsi"/>
                <w:sz w:val="24"/>
                <w:szCs w:val="24"/>
              </w:rPr>
              <w:t>Inclusão de inciso para tratar especificamente do anexo IV.</w:t>
            </w:r>
          </w:p>
        </w:tc>
      </w:tr>
      <w:bookmarkEnd w:id="132"/>
      <w:tr w:rsidR="00E86BE2" w:rsidRPr="0010524E" w14:paraId="1B8818BE" w14:textId="75270A1C" w:rsidTr="00E86BE2">
        <w:tc>
          <w:tcPr>
            <w:tcW w:w="4815" w:type="dxa"/>
          </w:tcPr>
          <w:p w14:paraId="4B5D3FE4" w14:textId="77777777" w:rsidR="00E86BE2" w:rsidRPr="0010524E" w:rsidRDefault="00E86BE2" w:rsidP="00E86BE2">
            <w:pPr>
              <w:jc w:val="both"/>
              <w:rPr>
                <w:rFonts w:cstheme="minorHAnsi"/>
                <w:sz w:val="24"/>
                <w:szCs w:val="24"/>
              </w:rPr>
            </w:pPr>
            <w:r w:rsidRPr="0010524E">
              <w:rPr>
                <w:rFonts w:cstheme="minorHAnsi"/>
                <w:sz w:val="24"/>
                <w:szCs w:val="24"/>
              </w:rPr>
              <w:t xml:space="preserve">§ 1º Os documentos elencados nos incisos II a X e na alínea “a” do inciso XI do </w:t>
            </w:r>
            <w:r w:rsidRPr="0010524E">
              <w:rPr>
                <w:rFonts w:cstheme="minorHAnsi"/>
                <w:b/>
                <w:bCs/>
                <w:sz w:val="24"/>
                <w:szCs w:val="24"/>
              </w:rPr>
              <w:t>caput</w:t>
            </w:r>
            <w:r w:rsidRPr="0010524E">
              <w:rPr>
                <w:rFonts w:cstheme="minorHAnsi"/>
                <w:sz w:val="24"/>
                <w:szCs w:val="24"/>
              </w:rPr>
              <w:t xml:space="preserve"> devem ser elaborados e aprovados até 31 de março do exercício social subsequente ao de referência. </w:t>
            </w:r>
          </w:p>
        </w:tc>
        <w:tc>
          <w:tcPr>
            <w:tcW w:w="4849" w:type="dxa"/>
          </w:tcPr>
          <w:p w14:paraId="5368DB9A" w14:textId="5FDCB77C"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b) relatório circunstanciado sobre controles internos; e </w:t>
            </w:r>
          </w:p>
        </w:tc>
        <w:tc>
          <w:tcPr>
            <w:tcW w:w="4648" w:type="dxa"/>
          </w:tcPr>
          <w:p w14:paraId="78BD919C" w14:textId="4A12AEAD"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4516BF14" w14:textId="410BC16B" w:rsidTr="00E86BE2">
        <w:tc>
          <w:tcPr>
            <w:tcW w:w="4815" w:type="dxa"/>
          </w:tcPr>
          <w:p w14:paraId="4F29E94B" w14:textId="77777777" w:rsidR="00E86BE2" w:rsidRPr="0010524E" w:rsidRDefault="00E86BE2" w:rsidP="00E86BE2">
            <w:pPr>
              <w:jc w:val="both"/>
              <w:rPr>
                <w:rFonts w:cstheme="minorHAnsi"/>
                <w:sz w:val="24"/>
                <w:szCs w:val="24"/>
              </w:rPr>
            </w:pPr>
            <w:r w:rsidRPr="0010524E">
              <w:rPr>
                <w:rFonts w:cstheme="minorHAnsi"/>
                <w:sz w:val="24"/>
                <w:szCs w:val="24"/>
              </w:rPr>
              <w:t xml:space="preserve">§ 2º As vias originais das demonstrações contábeis, do parecer do conselho fiscal, do relatório de auditor independente sobre as demonstrações contábeis e a manifestação do conselho deliberativo, assinadas e rubricadas, devem ser mantidas na EFPC à disposição da Previc. </w:t>
            </w:r>
          </w:p>
        </w:tc>
        <w:tc>
          <w:tcPr>
            <w:tcW w:w="4849" w:type="dxa"/>
          </w:tcPr>
          <w:p w14:paraId="15E7CBE6" w14:textId="63FD90F9"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c) relatório para propósito específico, exigido das EFPC classificadas pela Previc com base em critérios objetivos que leve em consideração porte e relevância. </w:t>
            </w:r>
          </w:p>
        </w:tc>
        <w:tc>
          <w:tcPr>
            <w:tcW w:w="4648" w:type="dxa"/>
          </w:tcPr>
          <w:p w14:paraId="7885EE60" w14:textId="49C4089A"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49CEA6FC" w14:textId="79E75D72" w:rsidTr="00E86BE2">
        <w:tc>
          <w:tcPr>
            <w:tcW w:w="4815" w:type="dxa"/>
          </w:tcPr>
          <w:p w14:paraId="14AD32D1" w14:textId="77777777" w:rsidR="00E86BE2" w:rsidRPr="0010524E" w:rsidRDefault="00E86BE2" w:rsidP="00E86BE2">
            <w:pPr>
              <w:jc w:val="both"/>
              <w:rPr>
                <w:rFonts w:cstheme="minorHAnsi"/>
                <w:sz w:val="24"/>
                <w:szCs w:val="24"/>
              </w:rPr>
            </w:pPr>
            <w:r w:rsidRPr="0010524E">
              <w:rPr>
                <w:rFonts w:cstheme="minorHAnsi"/>
                <w:sz w:val="24"/>
                <w:szCs w:val="24"/>
              </w:rPr>
              <w:t xml:space="preserve">§ 3° Os documentos referidos nas alíneas “b” e “c” do inciso XI devem ser elaborados até 31 de maio do exercício social subsequente e permanecer à disposição da Previc. </w:t>
            </w:r>
          </w:p>
        </w:tc>
        <w:tc>
          <w:tcPr>
            <w:tcW w:w="4849" w:type="dxa"/>
          </w:tcPr>
          <w:p w14:paraId="53833984" w14:textId="19854723" w:rsidR="00E86BE2" w:rsidRPr="0010524E" w:rsidRDefault="00E86BE2" w:rsidP="00E86BE2">
            <w:pPr>
              <w:jc w:val="both"/>
              <w:rPr>
                <w:rFonts w:cstheme="minorHAnsi"/>
                <w:sz w:val="24"/>
                <w:szCs w:val="24"/>
              </w:rPr>
            </w:pPr>
            <w:r w:rsidRPr="0010524E">
              <w:rPr>
                <w:rFonts w:ascii="Calibri" w:eastAsia="Calibri" w:hAnsi="Calibri" w:cs="Calibri"/>
                <w:sz w:val="24"/>
                <w:szCs w:val="24"/>
              </w:rPr>
              <w:t>XII - informações extracontábeis conforme o Anexo IV mencionado no art. 172.</w:t>
            </w:r>
          </w:p>
        </w:tc>
        <w:tc>
          <w:tcPr>
            <w:tcW w:w="4648" w:type="dxa"/>
          </w:tcPr>
          <w:p w14:paraId="6C4262A1" w14:textId="008AC90D"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069AAE29" w14:textId="543F33A1" w:rsidTr="00E86BE2">
        <w:tc>
          <w:tcPr>
            <w:tcW w:w="4815" w:type="dxa"/>
          </w:tcPr>
          <w:p w14:paraId="17E8EBFD" w14:textId="77777777" w:rsidR="00E86BE2" w:rsidRPr="0010524E" w:rsidRDefault="00E86BE2" w:rsidP="00E86BE2">
            <w:pPr>
              <w:jc w:val="both"/>
              <w:rPr>
                <w:rFonts w:cstheme="minorHAnsi"/>
                <w:sz w:val="24"/>
                <w:szCs w:val="24"/>
              </w:rPr>
            </w:pPr>
            <w:r w:rsidRPr="0010524E">
              <w:rPr>
                <w:rFonts w:cstheme="minorHAnsi"/>
                <w:sz w:val="24"/>
                <w:szCs w:val="24"/>
              </w:rPr>
              <w:t xml:space="preserve">§ 4° A EFPC pode, facultativamente, elaborar Demonstração do Plano de Gestão Administrativa (DPGA), por plano de benefícios de caráter previdencial, comparativo com o exercício anterior. </w:t>
            </w:r>
          </w:p>
        </w:tc>
        <w:tc>
          <w:tcPr>
            <w:tcW w:w="4849" w:type="dxa"/>
          </w:tcPr>
          <w:p w14:paraId="5DB2059A" w14:textId="06A563A9"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 1º  Os documentos elencados nos incisos II a X e na alínea “a” do inciso XI do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devem ser elaborados e aprovados até 31 de março do exercício social subsequente ao de referência. </w:t>
            </w:r>
          </w:p>
        </w:tc>
        <w:tc>
          <w:tcPr>
            <w:tcW w:w="4648" w:type="dxa"/>
          </w:tcPr>
          <w:p w14:paraId="118DC3BC" w14:textId="674FA7AD"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15B230BB" w14:textId="511257DE" w:rsidTr="00E86BE2">
        <w:tc>
          <w:tcPr>
            <w:tcW w:w="4815" w:type="dxa"/>
          </w:tcPr>
          <w:p w14:paraId="77180A79" w14:textId="77777777" w:rsidR="00E86BE2" w:rsidRPr="0010524E" w:rsidRDefault="00E86BE2" w:rsidP="00E86BE2">
            <w:pPr>
              <w:jc w:val="both"/>
              <w:rPr>
                <w:rFonts w:cstheme="minorHAnsi"/>
                <w:sz w:val="24"/>
                <w:szCs w:val="24"/>
              </w:rPr>
            </w:pPr>
            <w:r w:rsidRPr="0010524E">
              <w:rPr>
                <w:rFonts w:cstheme="minorHAnsi"/>
                <w:sz w:val="24"/>
                <w:szCs w:val="24"/>
              </w:rPr>
              <w:t xml:space="preserve">Art. 34. As EFPC devem enviar à Previc as informações previstas no art. 33, por meio de sistema disponibilizado pela autarquia em seu sítio eletrônico na internet, nos seguintes prazos: </w:t>
            </w:r>
          </w:p>
        </w:tc>
        <w:tc>
          <w:tcPr>
            <w:tcW w:w="4849" w:type="dxa"/>
          </w:tcPr>
          <w:p w14:paraId="7056AAE8" w14:textId="4C699EF5"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 2º  As vias originais das demonstrações contábeis, do parecer do conselho fiscal, do relatório de auditor independente sobre as demonstrações contábeis e a manifestação do conselho deliberativo, assinadas e rubricadas, </w:t>
            </w:r>
            <w:r w:rsidRPr="0010524E">
              <w:rPr>
                <w:rFonts w:ascii="Calibri" w:eastAsia="Calibri" w:hAnsi="Calibri" w:cs="Calibri"/>
                <w:sz w:val="24"/>
                <w:szCs w:val="24"/>
              </w:rPr>
              <w:lastRenderedPageBreak/>
              <w:t xml:space="preserve">devem ser mantidas na EFPC à disposição da Previc. </w:t>
            </w:r>
          </w:p>
        </w:tc>
        <w:tc>
          <w:tcPr>
            <w:tcW w:w="4648" w:type="dxa"/>
          </w:tcPr>
          <w:p w14:paraId="47E7764D" w14:textId="75E07B47" w:rsidR="00E86BE2" w:rsidRPr="0010524E" w:rsidRDefault="00E86BE2" w:rsidP="00E86BE2">
            <w:pPr>
              <w:rPr>
                <w:rFonts w:cstheme="minorHAnsi"/>
                <w:sz w:val="24"/>
                <w:szCs w:val="24"/>
              </w:rPr>
            </w:pPr>
            <w:r w:rsidRPr="0010524E">
              <w:rPr>
                <w:rFonts w:cstheme="minorHAnsi"/>
                <w:sz w:val="24"/>
                <w:szCs w:val="24"/>
              </w:rPr>
              <w:lastRenderedPageBreak/>
              <w:t>.</w:t>
            </w:r>
          </w:p>
        </w:tc>
      </w:tr>
      <w:tr w:rsidR="00E86BE2" w:rsidRPr="0010524E" w14:paraId="4A19C953" w14:textId="6D85A720" w:rsidTr="00E86BE2">
        <w:tc>
          <w:tcPr>
            <w:tcW w:w="4815" w:type="dxa"/>
          </w:tcPr>
          <w:p w14:paraId="700437B8" w14:textId="77777777" w:rsidR="00E86BE2" w:rsidRPr="0010524E" w:rsidRDefault="00E86BE2" w:rsidP="00E86BE2">
            <w:pPr>
              <w:jc w:val="both"/>
              <w:rPr>
                <w:rFonts w:cstheme="minorHAnsi"/>
                <w:sz w:val="24"/>
                <w:szCs w:val="24"/>
              </w:rPr>
            </w:pPr>
            <w:r w:rsidRPr="0010524E">
              <w:rPr>
                <w:rFonts w:cstheme="minorHAnsi"/>
                <w:sz w:val="24"/>
                <w:szCs w:val="24"/>
              </w:rPr>
              <w:t xml:space="preserve">I - até o último dia do mês subsequente ao mês de referência: as informações elencadas no inciso I do art. 33; e </w:t>
            </w:r>
          </w:p>
        </w:tc>
        <w:tc>
          <w:tcPr>
            <w:tcW w:w="4849" w:type="dxa"/>
          </w:tcPr>
          <w:p w14:paraId="6CDA7A1D" w14:textId="3471B380"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 3º  Os documentos referidos nas alíneas “b” e “c” do inciso XI devem ser elaborados até 31 de maio do exercício social subsequente e permanecer à disposição da Previc. </w:t>
            </w:r>
          </w:p>
        </w:tc>
        <w:tc>
          <w:tcPr>
            <w:tcW w:w="4648" w:type="dxa"/>
          </w:tcPr>
          <w:p w14:paraId="148B9683" w14:textId="3FE63985"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2848189C" w14:textId="53464B48" w:rsidTr="00E86BE2">
        <w:tc>
          <w:tcPr>
            <w:tcW w:w="4815" w:type="dxa"/>
          </w:tcPr>
          <w:p w14:paraId="5A4D55A9" w14:textId="77777777" w:rsidR="00E86BE2" w:rsidRPr="0010524E" w:rsidRDefault="00E86BE2" w:rsidP="00E86BE2">
            <w:pPr>
              <w:jc w:val="both"/>
              <w:rPr>
                <w:rFonts w:cstheme="minorHAnsi"/>
                <w:sz w:val="24"/>
                <w:szCs w:val="24"/>
              </w:rPr>
            </w:pPr>
            <w:r w:rsidRPr="0010524E">
              <w:rPr>
                <w:rFonts w:cstheme="minorHAnsi"/>
                <w:sz w:val="24"/>
                <w:szCs w:val="24"/>
              </w:rPr>
              <w:t xml:space="preserve">II - até 31 de março do exercício social subsequente ao de referência: as demonstrações contábeis elencadas nos incisos II, V, VIII, IX e X e na alínea “a” do inciso XI do art. 33. </w:t>
            </w:r>
          </w:p>
        </w:tc>
        <w:tc>
          <w:tcPr>
            <w:tcW w:w="4849" w:type="dxa"/>
          </w:tcPr>
          <w:p w14:paraId="63DC0C6F" w14:textId="618A5796"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 4º A EFPC pode, facultativamente, elaborar demonstração do plano de gestão administrativa, por plano de benefícios de caráter previdencial, comparativo com o exercício anterior. </w:t>
            </w:r>
          </w:p>
        </w:tc>
        <w:tc>
          <w:tcPr>
            <w:tcW w:w="4648" w:type="dxa"/>
          </w:tcPr>
          <w:p w14:paraId="0BD5E893" w14:textId="7E397E5A"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631E0844" w14:textId="34DB1C29" w:rsidTr="00E86BE2">
        <w:tc>
          <w:tcPr>
            <w:tcW w:w="4815" w:type="dxa"/>
          </w:tcPr>
          <w:p w14:paraId="70E4DDE7" w14:textId="77777777" w:rsidR="00E86BE2" w:rsidRPr="0010524E" w:rsidRDefault="00E86BE2" w:rsidP="00E86BE2">
            <w:pPr>
              <w:jc w:val="both"/>
              <w:rPr>
                <w:rFonts w:cstheme="minorHAnsi"/>
                <w:sz w:val="24"/>
                <w:szCs w:val="24"/>
              </w:rPr>
            </w:pPr>
            <w:bookmarkStart w:id="133" w:name="_Hlk137824407"/>
          </w:p>
        </w:tc>
        <w:tc>
          <w:tcPr>
            <w:tcW w:w="4849" w:type="dxa"/>
          </w:tcPr>
          <w:p w14:paraId="1721E0D4" w14:textId="5A67F1B3" w:rsidR="00E86BE2" w:rsidRPr="0010524E" w:rsidRDefault="00E86BE2" w:rsidP="00E86BE2">
            <w:pPr>
              <w:jc w:val="both"/>
              <w:rPr>
                <w:rFonts w:cstheme="minorHAnsi"/>
                <w:color w:val="0070C0"/>
                <w:sz w:val="24"/>
                <w:szCs w:val="24"/>
                <w:highlight w:val="yellow"/>
              </w:rPr>
            </w:pPr>
            <w:r w:rsidRPr="0010524E">
              <w:rPr>
                <w:rFonts w:ascii="Calibri" w:eastAsia="Calibri" w:hAnsi="Calibri" w:cs="Calibri"/>
                <w:sz w:val="24"/>
                <w:szCs w:val="24"/>
              </w:rPr>
              <w:t>Art. 408.  As EFPC devem enviar à Previc as informações previstas no art. 407, por meio de sistema disponibilizado pela autarquia em seu sítio eletrônico na internet, nos seguintes prazos:</w:t>
            </w:r>
          </w:p>
        </w:tc>
        <w:tc>
          <w:tcPr>
            <w:tcW w:w="4648" w:type="dxa"/>
          </w:tcPr>
          <w:p w14:paraId="09BAECE0" w14:textId="77777777" w:rsidR="00E86BE2" w:rsidRPr="0010524E" w:rsidRDefault="00E86BE2" w:rsidP="00E86BE2">
            <w:pPr>
              <w:rPr>
                <w:rFonts w:cstheme="minorHAnsi"/>
                <w:sz w:val="24"/>
                <w:szCs w:val="24"/>
                <w:highlight w:val="yellow"/>
              </w:rPr>
            </w:pPr>
            <w:r w:rsidRPr="0010524E">
              <w:rPr>
                <w:rFonts w:cstheme="minorHAnsi"/>
                <w:sz w:val="24"/>
                <w:szCs w:val="24"/>
              </w:rPr>
              <w:t>Incluído para estabelecer o prazo de envio das informações extracontábeis.</w:t>
            </w:r>
          </w:p>
        </w:tc>
      </w:tr>
      <w:bookmarkEnd w:id="133"/>
      <w:tr w:rsidR="00E86BE2" w:rsidRPr="0010524E" w14:paraId="269E0035" w14:textId="66704E65" w:rsidTr="00E86BE2">
        <w:tc>
          <w:tcPr>
            <w:tcW w:w="4815" w:type="dxa"/>
          </w:tcPr>
          <w:p w14:paraId="12301011" w14:textId="77777777" w:rsidR="00E86BE2" w:rsidRPr="0010524E" w:rsidRDefault="00E86BE2" w:rsidP="00E86BE2">
            <w:pPr>
              <w:jc w:val="both"/>
              <w:rPr>
                <w:rFonts w:cstheme="minorHAnsi"/>
                <w:sz w:val="24"/>
                <w:szCs w:val="24"/>
              </w:rPr>
            </w:pPr>
            <w:r w:rsidRPr="0010524E">
              <w:rPr>
                <w:rFonts w:cstheme="minorHAnsi"/>
                <w:sz w:val="24"/>
                <w:szCs w:val="24"/>
              </w:rPr>
              <w:t xml:space="preserve">§ 1º Os balancetes mensais e as informações extracontábeis referentes ao mês de dezembro devem ser enviados até o último dia do mês de fevereiro do exercício subsequente. </w:t>
            </w:r>
          </w:p>
        </w:tc>
        <w:tc>
          <w:tcPr>
            <w:tcW w:w="4849" w:type="dxa"/>
          </w:tcPr>
          <w:p w14:paraId="58E51D36" w14:textId="650D3B48"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I - até o último dia do mês subsequente ao mês de referência: as informações elencadas no inciso I do art. 407; e </w:t>
            </w:r>
          </w:p>
        </w:tc>
        <w:tc>
          <w:tcPr>
            <w:tcW w:w="4648" w:type="dxa"/>
          </w:tcPr>
          <w:p w14:paraId="689E93EE" w14:textId="7EB13721"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32581B96" w14:textId="28A4787B" w:rsidTr="00E86BE2">
        <w:tc>
          <w:tcPr>
            <w:tcW w:w="4815" w:type="dxa"/>
          </w:tcPr>
          <w:p w14:paraId="167AB691" w14:textId="77777777" w:rsidR="00E86BE2" w:rsidRPr="0010524E" w:rsidRDefault="00E86BE2" w:rsidP="00E86BE2">
            <w:pPr>
              <w:jc w:val="both"/>
              <w:rPr>
                <w:rFonts w:cstheme="minorHAnsi"/>
                <w:sz w:val="24"/>
                <w:szCs w:val="24"/>
              </w:rPr>
            </w:pPr>
            <w:r w:rsidRPr="0010524E">
              <w:rPr>
                <w:rFonts w:cstheme="minorHAnsi"/>
                <w:sz w:val="24"/>
                <w:szCs w:val="24"/>
              </w:rPr>
              <w:t>§ 2º Os documentos listados nos incisos II, V, VIII, IX e X e na alínea “a” do inciso XI do art. 33, enviados por meio eletrônico à Previc, devem conter:</w:t>
            </w:r>
          </w:p>
        </w:tc>
        <w:tc>
          <w:tcPr>
            <w:tcW w:w="4849" w:type="dxa"/>
          </w:tcPr>
          <w:p w14:paraId="7CBA8CD3" w14:textId="19C4A615" w:rsidR="00E86BE2" w:rsidRPr="0010524E" w:rsidRDefault="00E86BE2" w:rsidP="00E86BE2">
            <w:pPr>
              <w:rPr>
                <w:rFonts w:cstheme="minorHAnsi"/>
                <w:sz w:val="24"/>
                <w:szCs w:val="24"/>
              </w:rPr>
            </w:pPr>
            <w:r w:rsidRPr="0010524E">
              <w:rPr>
                <w:rFonts w:ascii="Calibri" w:eastAsia="Calibri" w:hAnsi="Calibri" w:cs="Calibri"/>
                <w:sz w:val="24"/>
                <w:szCs w:val="24"/>
              </w:rPr>
              <w:t xml:space="preserve">II - até 31 de março do exercício social subsequente ao de referência: as demonstrações contábeis elencadas nos incisos II, V, VIII, IX e X e na alínea “a” do inciso XI do art. 407. </w:t>
            </w:r>
          </w:p>
        </w:tc>
        <w:tc>
          <w:tcPr>
            <w:tcW w:w="4648" w:type="dxa"/>
          </w:tcPr>
          <w:p w14:paraId="1BB964AE" w14:textId="6F9CF7AE"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2A8BE0C3" w14:textId="758CA182" w:rsidTr="00E86BE2">
        <w:tc>
          <w:tcPr>
            <w:tcW w:w="4815" w:type="dxa"/>
          </w:tcPr>
          <w:p w14:paraId="7927220E" w14:textId="77777777" w:rsidR="00E86BE2" w:rsidRPr="0010524E" w:rsidRDefault="00E86BE2" w:rsidP="00E86BE2">
            <w:pPr>
              <w:jc w:val="both"/>
              <w:rPr>
                <w:rFonts w:cstheme="minorHAnsi"/>
                <w:sz w:val="24"/>
                <w:szCs w:val="24"/>
              </w:rPr>
            </w:pPr>
            <w:r w:rsidRPr="0010524E">
              <w:rPr>
                <w:rFonts w:cstheme="minorHAnsi"/>
                <w:sz w:val="24"/>
                <w:szCs w:val="24"/>
              </w:rPr>
              <w:t xml:space="preserve">I - o nome e o CPF dos dirigentes responsáveis pelas informações; e </w:t>
            </w:r>
          </w:p>
        </w:tc>
        <w:tc>
          <w:tcPr>
            <w:tcW w:w="4849" w:type="dxa"/>
          </w:tcPr>
          <w:p w14:paraId="6D5267BF" w14:textId="0F6CF7EE" w:rsidR="00E86BE2" w:rsidRPr="0010524E" w:rsidRDefault="00E86BE2" w:rsidP="00E86BE2">
            <w:pPr>
              <w:jc w:val="both"/>
              <w:rPr>
                <w:rFonts w:cstheme="minorHAnsi"/>
                <w:sz w:val="24"/>
                <w:szCs w:val="24"/>
              </w:rPr>
            </w:pPr>
            <w:r w:rsidRPr="0010524E">
              <w:rPr>
                <w:rFonts w:ascii="Calibri" w:eastAsia="Calibri" w:hAnsi="Calibri" w:cs="Calibri"/>
                <w:sz w:val="24"/>
                <w:szCs w:val="24"/>
              </w:rPr>
              <w:t>III – até 31 de julho o anexo IV, com informações referentes a competência de junho de cada exercício.</w:t>
            </w:r>
          </w:p>
        </w:tc>
        <w:tc>
          <w:tcPr>
            <w:tcW w:w="4648" w:type="dxa"/>
          </w:tcPr>
          <w:p w14:paraId="0D63038D" w14:textId="73D6B070"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7889ECF6" w14:textId="02D883B7" w:rsidTr="00E86BE2">
        <w:tc>
          <w:tcPr>
            <w:tcW w:w="4815" w:type="dxa"/>
          </w:tcPr>
          <w:p w14:paraId="533A5694" w14:textId="77777777" w:rsidR="00E86BE2" w:rsidRPr="0010524E" w:rsidRDefault="00E86BE2" w:rsidP="00E86BE2">
            <w:pPr>
              <w:jc w:val="both"/>
              <w:rPr>
                <w:rFonts w:cstheme="minorHAnsi"/>
                <w:sz w:val="24"/>
                <w:szCs w:val="24"/>
              </w:rPr>
            </w:pPr>
            <w:r w:rsidRPr="0010524E">
              <w:rPr>
                <w:rFonts w:cstheme="minorHAnsi"/>
                <w:sz w:val="24"/>
                <w:szCs w:val="24"/>
              </w:rPr>
              <w:lastRenderedPageBreak/>
              <w:t xml:space="preserve">II - o nome, o CPF e o CRC do profissional de contabilidade responsável. </w:t>
            </w:r>
          </w:p>
        </w:tc>
        <w:tc>
          <w:tcPr>
            <w:tcW w:w="4849" w:type="dxa"/>
          </w:tcPr>
          <w:p w14:paraId="00185F62" w14:textId="02D83116" w:rsidR="00E86BE2" w:rsidRPr="0010524E" w:rsidRDefault="00E86BE2" w:rsidP="00E86BE2">
            <w:pPr>
              <w:jc w:val="both"/>
              <w:rPr>
                <w:rFonts w:cstheme="minorHAnsi"/>
                <w:sz w:val="24"/>
                <w:szCs w:val="24"/>
              </w:rPr>
            </w:pPr>
            <w:r w:rsidRPr="0010524E">
              <w:rPr>
                <w:rFonts w:ascii="Calibri" w:eastAsia="Calibri" w:hAnsi="Calibri" w:cs="Calibri"/>
                <w:sz w:val="24"/>
                <w:szCs w:val="24"/>
              </w:rPr>
              <w:t xml:space="preserve">§ 1º Os balancetes mensais e as informações extracontábeis referentes ao mês de dezembro devem ser enviados até o último dia do mês de fevereiro do exercício subsequente. </w:t>
            </w:r>
          </w:p>
        </w:tc>
        <w:tc>
          <w:tcPr>
            <w:tcW w:w="4648" w:type="dxa"/>
          </w:tcPr>
          <w:p w14:paraId="420FF07E" w14:textId="0E3BBDFD"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2CF6D25A" w14:textId="3F9BC09A" w:rsidTr="00E86BE2">
        <w:tc>
          <w:tcPr>
            <w:tcW w:w="4815" w:type="dxa"/>
          </w:tcPr>
          <w:p w14:paraId="5E548304" w14:textId="77777777" w:rsidR="00E86BE2" w:rsidRPr="0010524E" w:rsidRDefault="00E86BE2" w:rsidP="00E86BE2">
            <w:pPr>
              <w:jc w:val="both"/>
              <w:rPr>
                <w:rFonts w:cstheme="minorHAnsi"/>
                <w:sz w:val="24"/>
                <w:szCs w:val="24"/>
              </w:rPr>
            </w:pPr>
            <w:r w:rsidRPr="0010524E">
              <w:rPr>
                <w:rFonts w:cstheme="minorHAnsi"/>
                <w:sz w:val="24"/>
                <w:szCs w:val="24"/>
              </w:rPr>
              <w:t xml:space="preserve">§ 3º A justificativa de eventual substituição das demonstrações contábeis e dos balancetes devem ser mantidas na EFPC à disposição do Conselho Fiscal e da Previc. </w:t>
            </w:r>
          </w:p>
        </w:tc>
        <w:tc>
          <w:tcPr>
            <w:tcW w:w="4849" w:type="dxa"/>
          </w:tcPr>
          <w:p w14:paraId="6B330EC9" w14:textId="36077107" w:rsidR="00E86BE2" w:rsidRPr="0010524E" w:rsidRDefault="00E86BE2" w:rsidP="00E86BE2">
            <w:pPr>
              <w:jc w:val="both"/>
              <w:rPr>
                <w:rFonts w:cstheme="minorHAnsi"/>
                <w:sz w:val="24"/>
                <w:szCs w:val="24"/>
              </w:rPr>
            </w:pPr>
            <w:r w:rsidRPr="0010524E">
              <w:rPr>
                <w:rFonts w:ascii="Calibri" w:eastAsia="Calibri" w:hAnsi="Calibri" w:cs="Calibri"/>
                <w:sz w:val="24"/>
                <w:szCs w:val="24"/>
              </w:rPr>
              <w:t>§ 2º Os documentos listados nos incisos II, V, VIII, IX e X e na alínea “a” do inciso XI do art. 407, enviados por meio eletrônico à Previc, devem conter:</w:t>
            </w:r>
          </w:p>
        </w:tc>
        <w:tc>
          <w:tcPr>
            <w:tcW w:w="4648" w:type="dxa"/>
          </w:tcPr>
          <w:p w14:paraId="20CB2929" w14:textId="24F44BC8" w:rsidR="00E86BE2" w:rsidRPr="0010524E" w:rsidRDefault="00E86BE2" w:rsidP="00E86BE2">
            <w:pPr>
              <w:rPr>
                <w:rFonts w:cstheme="minorHAnsi"/>
                <w:sz w:val="24"/>
                <w:szCs w:val="24"/>
              </w:rPr>
            </w:pPr>
            <w:r w:rsidRPr="0010524E">
              <w:rPr>
                <w:rFonts w:cstheme="minorHAnsi"/>
                <w:sz w:val="24"/>
                <w:szCs w:val="24"/>
              </w:rPr>
              <w:t>.</w:t>
            </w:r>
          </w:p>
        </w:tc>
      </w:tr>
      <w:tr w:rsidR="00E86BE2" w:rsidRPr="0010524E" w14:paraId="1F41B194" w14:textId="77C96836" w:rsidTr="00E86BE2">
        <w:tc>
          <w:tcPr>
            <w:tcW w:w="4815" w:type="dxa"/>
          </w:tcPr>
          <w:p w14:paraId="13F092FA" w14:textId="77777777" w:rsidR="00E86BE2" w:rsidRPr="0010524E" w:rsidRDefault="00E86BE2" w:rsidP="00E86BE2">
            <w:pPr>
              <w:jc w:val="both"/>
              <w:rPr>
                <w:rFonts w:cstheme="minorHAnsi"/>
                <w:sz w:val="24"/>
                <w:szCs w:val="24"/>
              </w:rPr>
            </w:pPr>
            <w:r w:rsidRPr="0010524E">
              <w:rPr>
                <w:rFonts w:cstheme="minorHAnsi"/>
                <w:sz w:val="24"/>
                <w:szCs w:val="24"/>
              </w:rPr>
              <w:t xml:space="preserve">§ 4º A operacionalização do envio das informações de que trata o </w:t>
            </w:r>
            <w:r w:rsidRPr="0010524E">
              <w:rPr>
                <w:rFonts w:cstheme="minorHAnsi"/>
                <w:b/>
                <w:bCs/>
                <w:sz w:val="24"/>
                <w:szCs w:val="24"/>
              </w:rPr>
              <w:t>caput</w:t>
            </w:r>
            <w:r w:rsidRPr="0010524E">
              <w:rPr>
                <w:rFonts w:cstheme="minorHAnsi"/>
                <w:sz w:val="24"/>
                <w:szCs w:val="24"/>
              </w:rPr>
              <w:t xml:space="preserve"> deve ser realizada nos termos de Portaria editada pela Diretoria de Fiscalização e Monitoramento.</w:t>
            </w:r>
          </w:p>
        </w:tc>
        <w:tc>
          <w:tcPr>
            <w:tcW w:w="4849" w:type="dxa"/>
          </w:tcPr>
          <w:p w14:paraId="0F4330DA" w14:textId="77777777" w:rsidR="00E86BE2" w:rsidRPr="0010524E" w:rsidRDefault="00E86BE2" w:rsidP="00E86BE2">
            <w:pPr>
              <w:jc w:val="both"/>
              <w:rPr>
                <w:rFonts w:cstheme="minorHAnsi"/>
                <w:sz w:val="24"/>
                <w:szCs w:val="24"/>
              </w:rPr>
            </w:pPr>
          </w:p>
        </w:tc>
        <w:tc>
          <w:tcPr>
            <w:tcW w:w="4648" w:type="dxa"/>
          </w:tcPr>
          <w:p w14:paraId="1FB5DF3C" w14:textId="77777777" w:rsidR="00E86BE2" w:rsidRPr="0010524E" w:rsidRDefault="00E86BE2" w:rsidP="00E86BE2">
            <w:pPr>
              <w:rPr>
                <w:rFonts w:cstheme="minorHAnsi"/>
                <w:sz w:val="24"/>
                <w:szCs w:val="24"/>
              </w:rPr>
            </w:pPr>
            <w:r w:rsidRPr="0010524E">
              <w:rPr>
                <w:rFonts w:cstheme="minorHAnsi"/>
                <w:sz w:val="24"/>
                <w:szCs w:val="24"/>
              </w:rPr>
              <w:t>Realocado para o art. 931</w:t>
            </w:r>
          </w:p>
        </w:tc>
      </w:tr>
      <w:tr w:rsidR="00E86BE2" w:rsidRPr="0010524E" w14:paraId="61A25C90" w14:textId="665EB8BF" w:rsidTr="00E86BE2">
        <w:tc>
          <w:tcPr>
            <w:tcW w:w="4815" w:type="dxa"/>
          </w:tcPr>
          <w:p w14:paraId="364637C2" w14:textId="77777777" w:rsidR="00E86BE2" w:rsidRPr="0010524E" w:rsidRDefault="00E86BE2" w:rsidP="00E86BE2">
            <w:pPr>
              <w:jc w:val="both"/>
              <w:rPr>
                <w:rFonts w:cstheme="minorHAnsi"/>
                <w:sz w:val="24"/>
                <w:szCs w:val="24"/>
              </w:rPr>
            </w:pPr>
            <w:r w:rsidRPr="0010524E">
              <w:rPr>
                <w:rFonts w:cstheme="minorHAnsi"/>
                <w:b/>
                <w:bCs/>
                <w:color w:val="000000"/>
                <w:sz w:val="24"/>
                <w:szCs w:val="24"/>
              </w:rPr>
              <w:t>Instrução Previc nº 35, de 11 de novembro de 2020.</w:t>
            </w:r>
          </w:p>
        </w:tc>
        <w:tc>
          <w:tcPr>
            <w:tcW w:w="4849" w:type="dxa"/>
          </w:tcPr>
          <w:p w14:paraId="3ED5E1C5" w14:textId="77777777" w:rsidR="00E86BE2" w:rsidRPr="0010524E" w:rsidRDefault="00E86BE2" w:rsidP="00E86BE2">
            <w:pPr>
              <w:jc w:val="both"/>
              <w:rPr>
                <w:rFonts w:cstheme="minorHAnsi"/>
                <w:sz w:val="24"/>
                <w:szCs w:val="24"/>
              </w:rPr>
            </w:pPr>
          </w:p>
        </w:tc>
        <w:tc>
          <w:tcPr>
            <w:tcW w:w="4648" w:type="dxa"/>
          </w:tcPr>
          <w:p w14:paraId="2E4329AB" w14:textId="77777777" w:rsidR="00E86BE2" w:rsidRPr="0010524E" w:rsidRDefault="00E86BE2" w:rsidP="00E86BE2">
            <w:pPr>
              <w:rPr>
                <w:rFonts w:cstheme="minorHAnsi"/>
                <w:sz w:val="24"/>
                <w:szCs w:val="24"/>
              </w:rPr>
            </w:pPr>
          </w:p>
        </w:tc>
      </w:tr>
      <w:tr w:rsidR="00E86BE2" w:rsidRPr="0010524E" w14:paraId="3FBDE3BA" w14:textId="3A13300F" w:rsidTr="00E86BE2">
        <w:trPr>
          <w:trHeight w:val="1076"/>
        </w:trPr>
        <w:tc>
          <w:tcPr>
            <w:tcW w:w="4815" w:type="dxa"/>
          </w:tcPr>
          <w:p w14:paraId="2CC5D92E" w14:textId="77777777" w:rsidR="00E86BE2" w:rsidRPr="0010524E" w:rsidRDefault="00E86BE2" w:rsidP="00E86BE2">
            <w:pPr>
              <w:spacing w:before="120" w:after="120"/>
              <w:jc w:val="both"/>
              <w:rPr>
                <w:rFonts w:eastAsia="Times New Roman" w:cstheme="minorHAnsi"/>
                <w:b/>
                <w:sz w:val="24"/>
                <w:szCs w:val="24"/>
                <w:lang w:eastAsia="pt-BR"/>
              </w:rPr>
            </w:pPr>
            <w:r w:rsidRPr="0010524E">
              <w:rPr>
                <w:sz w:val="24"/>
                <w:szCs w:val="24"/>
              </w:rPr>
              <w:t>Dispõe sobre a operacionalização de procedimentos previstos na Resolução do Conselho Monetário Nacional que trata das diretrizes de aplicação dos recursos garantidores dos planos administrados pelas entidades fechadas de previdência complementar e sobre a forma de cumprimento das obrigações em matéria de investimentos junto à Previc</w:t>
            </w:r>
          </w:p>
        </w:tc>
        <w:tc>
          <w:tcPr>
            <w:tcW w:w="4849" w:type="dxa"/>
          </w:tcPr>
          <w:p w14:paraId="3D297D86" w14:textId="77777777" w:rsidR="00E86BE2" w:rsidRPr="0010524E" w:rsidRDefault="00E86BE2" w:rsidP="00E86BE2">
            <w:pPr>
              <w:spacing w:before="120" w:after="120"/>
              <w:jc w:val="center"/>
              <w:rPr>
                <w:rFonts w:eastAsia="Times New Roman" w:cstheme="minorHAnsi"/>
                <w:b/>
                <w:sz w:val="24"/>
                <w:szCs w:val="24"/>
                <w:lang w:eastAsia="pt-BR"/>
              </w:rPr>
            </w:pPr>
          </w:p>
        </w:tc>
        <w:tc>
          <w:tcPr>
            <w:tcW w:w="4648" w:type="dxa"/>
          </w:tcPr>
          <w:p w14:paraId="7BC13FEA" w14:textId="77777777" w:rsidR="00E86BE2" w:rsidRPr="0010524E" w:rsidRDefault="00E86BE2" w:rsidP="00E86BE2">
            <w:pPr>
              <w:spacing w:before="120" w:after="120"/>
              <w:jc w:val="center"/>
              <w:rPr>
                <w:rFonts w:eastAsia="Times New Roman" w:cstheme="minorHAnsi"/>
                <w:color w:val="000000"/>
                <w:sz w:val="24"/>
                <w:szCs w:val="24"/>
                <w:lang w:eastAsia="pt-BR"/>
              </w:rPr>
            </w:pPr>
          </w:p>
        </w:tc>
      </w:tr>
      <w:bookmarkEnd w:id="128"/>
      <w:tr w:rsidR="00E86BE2" w:rsidRPr="0010524E" w14:paraId="2D0382DA" w14:textId="3EE4E369" w:rsidTr="00E86BE2">
        <w:trPr>
          <w:trHeight w:val="1076"/>
        </w:trPr>
        <w:tc>
          <w:tcPr>
            <w:tcW w:w="4815" w:type="dxa"/>
          </w:tcPr>
          <w:p w14:paraId="72D629D0" w14:textId="77777777" w:rsidR="00E86BE2" w:rsidRPr="0010524E" w:rsidRDefault="00E86BE2" w:rsidP="00E86BE2">
            <w:pPr>
              <w:spacing w:before="120" w:after="120"/>
              <w:jc w:val="center"/>
              <w:rPr>
                <w:rFonts w:eastAsia="Times New Roman" w:cstheme="minorHAnsi"/>
                <w:b/>
                <w:sz w:val="24"/>
                <w:szCs w:val="24"/>
                <w:lang w:eastAsia="pt-BR"/>
              </w:rPr>
            </w:pPr>
            <w:r w:rsidRPr="0010524E">
              <w:rPr>
                <w:rFonts w:eastAsia="Times New Roman" w:cstheme="minorHAnsi"/>
                <w:b/>
                <w:sz w:val="24"/>
                <w:szCs w:val="24"/>
                <w:lang w:eastAsia="pt-BR"/>
              </w:rPr>
              <w:t>Seção I</w:t>
            </w:r>
          </w:p>
          <w:p w14:paraId="1D0F0933" w14:textId="77777777" w:rsidR="00E86BE2" w:rsidRPr="0010524E" w:rsidRDefault="00E86BE2" w:rsidP="00E86BE2">
            <w:pPr>
              <w:spacing w:before="120" w:after="120"/>
              <w:jc w:val="center"/>
              <w:rPr>
                <w:rFonts w:eastAsia="Times New Roman" w:cstheme="minorHAnsi"/>
                <w:color w:val="000000"/>
                <w:sz w:val="24"/>
                <w:szCs w:val="24"/>
                <w:lang w:eastAsia="pt-BR"/>
              </w:rPr>
            </w:pPr>
            <w:r w:rsidRPr="0010524E">
              <w:rPr>
                <w:rFonts w:eastAsia="Times New Roman" w:cstheme="minorHAnsi"/>
                <w:b/>
                <w:color w:val="000000"/>
                <w:sz w:val="24"/>
                <w:szCs w:val="24"/>
                <w:lang w:eastAsia="pt-BR"/>
              </w:rPr>
              <w:t>Informações de Investimentos</w:t>
            </w:r>
          </w:p>
        </w:tc>
        <w:tc>
          <w:tcPr>
            <w:tcW w:w="4849" w:type="dxa"/>
          </w:tcPr>
          <w:p w14:paraId="64E0AE16" w14:textId="77777777" w:rsidR="00E86BE2" w:rsidRPr="0010524E" w:rsidRDefault="00E86BE2" w:rsidP="00E86BE2">
            <w:pPr>
              <w:spacing w:before="120" w:after="120"/>
              <w:jc w:val="center"/>
              <w:rPr>
                <w:rFonts w:cstheme="minorHAnsi"/>
                <w:color w:val="000000"/>
                <w:sz w:val="24"/>
                <w:szCs w:val="24"/>
              </w:rPr>
            </w:pPr>
            <w:r w:rsidRPr="0010524E">
              <w:rPr>
                <w:rFonts w:eastAsia="Times New Roman" w:cstheme="minorHAnsi"/>
                <w:b/>
                <w:sz w:val="24"/>
                <w:szCs w:val="24"/>
                <w:lang w:eastAsia="pt-BR"/>
              </w:rPr>
              <w:t>Seção III</w:t>
            </w:r>
          </w:p>
          <w:p w14:paraId="1A83638D" w14:textId="77777777" w:rsidR="00E86BE2" w:rsidRPr="0010524E" w:rsidRDefault="00E86BE2" w:rsidP="00E86BE2">
            <w:pPr>
              <w:spacing w:before="120" w:after="120"/>
              <w:jc w:val="center"/>
              <w:rPr>
                <w:rFonts w:cstheme="minorHAnsi"/>
                <w:color w:val="000000"/>
                <w:sz w:val="24"/>
                <w:szCs w:val="24"/>
              </w:rPr>
            </w:pPr>
            <w:r w:rsidRPr="0010524E">
              <w:rPr>
                <w:rFonts w:eastAsia="Times New Roman" w:cstheme="minorHAnsi"/>
                <w:b/>
                <w:color w:val="000000"/>
                <w:sz w:val="24"/>
                <w:szCs w:val="24"/>
                <w:lang w:eastAsia="pt-BR"/>
              </w:rPr>
              <w:t xml:space="preserve">Informações de Investimentos </w:t>
            </w:r>
          </w:p>
        </w:tc>
        <w:tc>
          <w:tcPr>
            <w:tcW w:w="4648" w:type="dxa"/>
          </w:tcPr>
          <w:p w14:paraId="3D8EDEBB" w14:textId="77777777" w:rsidR="00E86BE2" w:rsidRPr="0010524E" w:rsidRDefault="00E86BE2" w:rsidP="00E86BE2">
            <w:pPr>
              <w:spacing w:before="120" w:after="120"/>
              <w:jc w:val="center"/>
              <w:rPr>
                <w:rFonts w:eastAsia="Times New Roman" w:cstheme="minorHAnsi"/>
                <w:color w:val="000000"/>
                <w:sz w:val="24"/>
                <w:szCs w:val="24"/>
                <w:lang w:eastAsia="pt-BR"/>
              </w:rPr>
            </w:pPr>
          </w:p>
        </w:tc>
      </w:tr>
      <w:tr w:rsidR="00E86BE2" w:rsidRPr="0010524E" w14:paraId="744C1FB2" w14:textId="6DD1C7C7" w:rsidTr="00E86BE2">
        <w:tc>
          <w:tcPr>
            <w:tcW w:w="4815" w:type="dxa"/>
          </w:tcPr>
          <w:p w14:paraId="5EAD6921" w14:textId="77777777" w:rsidR="00E86BE2" w:rsidRDefault="00E86BE2" w:rsidP="00E86BE2">
            <w:pPr>
              <w:spacing w:before="120" w:after="120"/>
              <w:jc w:val="center"/>
              <w:rPr>
                <w:rFonts w:eastAsia="Times New Roman" w:cstheme="minorHAnsi"/>
                <w:b/>
                <w:sz w:val="24"/>
                <w:szCs w:val="24"/>
                <w:lang w:eastAsia="pt-BR"/>
              </w:rPr>
            </w:pPr>
            <w:r w:rsidRPr="0010524E">
              <w:rPr>
                <w:rFonts w:eastAsia="Times New Roman" w:cstheme="minorHAnsi"/>
                <w:b/>
                <w:sz w:val="24"/>
                <w:szCs w:val="24"/>
                <w:lang w:eastAsia="pt-BR"/>
              </w:rPr>
              <w:lastRenderedPageBreak/>
              <w:t>Subseção I</w:t>
            </w:r>
          </w:p>
          <w:p w14:paraId="7ABFB3A4" w14:textId="3DA6F373" w:rsidR="00E86BE2" w:rsidRPr="0010524E" w:rsidRDefault="00E86BE2" w:rsidP="00E86BE2">
            <w:pPr>
              <w:spacing w:before="120" w:after="120"/>
              <w:jc w:val="center"/>
              <w:rPr>
                <w:rFonts w:eastAsia="Times New Roman" w:cstheme="minorHAnsi"/>
                <w:color w:val="000000"/>
                <w:sz w:val="24"/>
                <w:szCs w:val="24"/>
                <w:lang w:eastAsia="pt-BR"/>
              </w:rPr>
            </w:pPr>
            <w:r w:rsidRPr="0010524E">
              <w:rPr>
                <w:rFonts w:eastAsia="Times New Roman" w:cstheme="minorHAnsi"/>
                <w:b/>
                <w:sz w:val="24"/>
                <w:szCs w:val="24"/>
                <w:lang w:eastAsia="pt-BR"/>
              </w:rPr>
              <w:t>Demonstrativo de investimentos, cadastro de fundos de investimento e política de investimentos</w:t>
            </w:r>
          </w:p>
        </w:tc>
        <w:tc>
          <w:tcPr>
            <w:tcW w:w="4849" w:type="dxa"/>
          </w:tcPr>
          <w:p w14:paraId="3072410E" w14:textId="77777777" w:rsidR="00E86BE2" w:rsidRDefault="00E86BE2" w:rsidP="00E86BE2">
            <w:pPr>
              <w:adjustRightInd w:val="0"/>
              <w:spacing w:before="120" w:after="120"/>
              <w:jc w:val="center"/>
              <w:rPr>
                <w:rFonts w:eastAsia="Times New Roman" w:cstheme="minorHAnsi"/>
                <w:b/>
                <w:sz w:val="24"/>
                <w:szCs w:val="24"/>
                <w:lang w:eastAsia="pt-BR"/>
              </w:rPr>
            </w:pPr>
            <w:r w:rsidRPr="0010524E">
              <w:rPr>
                <w:rFonts w:eastAsia="Times New Roman" w:cstheme="minorHAnsi"/>
                <w:b/>
                <w:sz w:val="24"/>
                <w:szCs w:val="24"/>
                <w:lang w:eastAsia="pt-BR"/>
              </w:rPr>
              <w:t>Subseção I</w:t>
            </w:r>
          </w:p>
          <w:p w14:paraId="275BA19A" w14:textId="2A36727B" w:rsidR="00E86BE2" w:rsidRPr="0010524E" w:rsidRDefault="00E86BE2" w:rsidP="00E86BE2">
            <w:pPr>
              <w:adjustRightInd w:val="0"/>
              <w:spacing w:before="120" w:after="120"/>
              <w:jc w:val="center"/>
              <w:rPr>
                <w:rFonts w:eastAsia="Times New Roman" w:cstheme="minorHAnsi"/>
                <w:b/>
                <w:sz w:val="24"/>
                <w:szCs w:val="24"/>
                <w:lang w:eastAsia="pt-BR"/>
              </w:rPr>
            </w:pPr>
            <w:r w:rsidRPr="0010524E">
              <w:rPr>
                <w:rFonts w:eastAsia="Times New Roman" w:cstheme="minorHAnsi"/>
                <w:b/>
                <w:sz w:val="24"/>
                <w:szCs w:val="24"/>
                <w:lang w:eastAsia="pt-BR"/>
              </w:rPr>
              <w:t>Demonstrativo de investimentos, cadastro de fundos de investimento e política de investimentos</w:t>
            </w:r>
          </w:p>
        </w:tc>
        <w:tc>
          <w:tcPr>
            <w:tcW w:w="4648" w:type="dxa"/>
          </w:tcPr>
          <w:p w14:paraId="015350B7" w14:textId="77777777" w:rsidR="00E86BE2" w:rsidRPr="0010524E" w:rsidRDefault="00E86BE2" w:rsidP="00E86BE2">
            <w:pPr>
              <w:spacing w:before="120" w:after="120"/>
              <w:jc w:val="center"/>
              <w:rPr>
                <w:rFonts w:eastAsia="Times New Roman" w:cstheme="minorHAnsi"/>
                <w:color w:val="000000"/>
                <w:sz w:val="24"/>
                <w:szCs w:val="24"/>
                <w:lang w:eastAsia="pt-BR"/>
              </w:rPr>
            </w:pPr>
          </w:p>
        </w:tc>
      </w:tr>
      <w:tr w:rsidR="00E86BE2" w:rsidRPr="0010524E" w14:paraId="1DABE20F" w14:textId="04C5D892" w:rsidTr="00E86BE2">
        <w:tc>
          <w:tcPr>
            <w:tcW w:w="4815" w:type="dxa"/>
          </w:tcPr>
          <w:p w14:paraId="692DDF4B" w14:textId="77777777" w:rsidR="00E86BE2" w:rsidRPr="0010524E" w:rsidRDefault="00E86BE2" w:rsidP="00E86BE2">
            <w:pPr>
              <w:adjustRightInd w:val="0"/>
              <w:spacing w:after="120"/>
              <w:jc w:val="both"/>
              <w:rPr>
                <w:rFonts w:eastAsia="Times New Roman" w:cstheme="minorHAnsi"/>
                <w:b/>
                <w:sz w:val="24"/>
                <w:szCs w:val="24"/>
                <w:lang w:eastAsia="pt-BR"/>
              </w:rPr>
            </w:pPr>
            <w:r w:rsidRPr="0010524E">
              <w:rPr>
                <w:rFonts w:cstheme="minorHAnsi"/>
                <w:sz w:val="24"/>
                <w:szCs w:val="24"/>
              </w:rPr>
              <w:t>Art. 2º  A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Instrução.</w:t>
            </w:r>
          </w:p>
        </w:tc>
        <w:tc>
          <w:tcPr>
            <w:tcW w:w="4849" w:type="dxa"/>
          </w:tcPr>
          <w:p w14:paraId="1FDC1FA2" w14:textId="25F0D524" w:rsidR="00E86BE2" w:rsidRPr="0010524E" w:rsidRDefault="00E86BE2" w:rsidP="00E86BE2">
            <w:pPr>
              <w:adjustRightInd w:val="0"/>
              <w:spacing w:after="120"/>
              <w:jc w:val="both"/>
              <w:rPr>
                <w:rFonts w:eastAsia="Times New Roman" w:cstheme="minorHAnsi"/>
                <w:b/>
                <w:sz w:val="24"/>
                <w:szCs w:val="24"/>
                <w:lang w:eastAsia="pt-BR"/>
              </w:rPr>
            </w:pPr>
            <w:r w:rsidRPr="0010524E">
              <w:rPr>
                <w:rFonts w:ascii="Calibri" w:eastAsia="Calibri" w:hAnsi="Calibri" w:cs="Calibri"/>
                <w:sz w:val="24"/>
                <w:szCs w:val="24"/>
              </w:rPr>
              <w:t>Art. 409.  A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Resolução</w:t>
            </w:r>
          </w:p>
        </w:tc>
        <w:tc>
          <w:tcPr>
            <w:tcW w:w="4648" w:type="dxa"/>
          </w:tcPr>
          <w:p w14:paraId="5AB64618" w14:textId="77777777" w:rsidR="00E86BE2" w:rsidRPr="0010524E" w:rsidRDefault="00E86BE2" w:rsidP="00E86BE2">
            <w:pPr>
              <w:adjustRightInd w:val="0"/>
              <w:spacing w:after="120"/>
              <w:jc w:val="center"/>
              <w:rPr>
                <w:rFonts w:eastAsia="Times New Roman" w:cstheme="minorHAnsi"/>
                <w:sz w:val="24"/>
                <w:szCs w:val="24"/>
                <w:lang w:eastAsia="pt-BR"/>
              </w:rPr>
            </w:pPr>
          </w:p>
        </w:tc>
      </w:tr>
      <w:tr w:rsidR="00E86BE2" w:rsidRPr="0010524E" w14:paraId="46F0FFD3" w14:textId="0E8B6BBE" w:rsidTr="00E86BE2">
        <w:tc>
          <w:tcPr>
            <w:tcW w:w="4815" w:type="dxa"/>
          </w:tcPr>
          <w:p w14:paraId="660C1D08" w14:textId="77777777" w:rsidR="00E86BE2" w:rsidRPr="0010524E" w:rsidRDefault="00E86BE2" w:rsidP="00E86BE2">
            <w:pPr>
              <w:spacing w:after="120"/>
              <w:jc w:val="both"/>
              <w:rPr>
                <w:rFonts w:eastAsia="Times New Roman" w:cstheme="minorHAnsi"/>
                <w:b/>
                <w:color w:val="000000"/>
                <w:sz w:val="24"/>
                <w:szCs w:val="24"/>
                <w:lang w:eastAsia="pt-BR"/>
              </w:rPr>
            </w:pPr>
            <w:r w:rsidRPr="0010524E">
              <w:rPr>
                <w:rFonts w:eastAsia="Times New Roman" w:cstheme="minorHAnsi"/>
                <w:color w:val="000000"/>
                <w:sz w:val="24"/>
                <w:szCs w:val="24"/>
                <w:lang w:eastAsia="pt-BR"/>
              </w:rPr>
              <w:t xml:space="preserve">§1º  O envio a que se refere o </w:t>
            </w:r>
            <w:r w:rsidRPr="0010524E">
              <w:rPr>
                <w:rFonts w:eastAsia="Times New Roman" w:cstheme="minorHAnsi"/>
                <w:b/>
                <w:color w:val="000000"/>
                <w:sz w:val="24"/>
                <w:szCs w:val="24"/>
                <w:lang w:eastAsia="pt-BR"/>
              </w:rPr>
              <w:t>caput</w:t>
            </w:r>
            <w:r w:rsidRPr="0010524E">
              <w:rPr>
                <w:rFonts w:eastAsia="Times New Roman" w:cstheme="minorHAnsi"/>
                <w:color w:val="000000"/>
                <w:sz w:val="24"/>
                <w:szCs w:val="24"/>
                <w:lang w:eastAsia="pt-BR"/>
              </w:rPr>
              <w:t xml:space="preserve"> inclui</w:t>
            </w:r>
            <w:r w:rsidRPr="0010524E">
              <w:rPr>
                <w:rFonts w:cstheme="minorHAnsi"/>
                <w:sz w:val="24"/>
                <w:szCs w:val="24"/>
              </w:rPr>
              <w:t xml:space="preserve"> as informações de todos os fundos de investimento e fundos de investimento em cotas de fundos de investimento constituídos no Brasil dos quais a EFPC seja cotista, direta ou indiretamente, considerando a regulamentação da Comissão de Valores Mobiliários.</w:t>
            </w:r>
          </w:p>
        </w:tc>
        <w:tc>
          <w:tcPr>
            <w:tcW w:w="4849" w:type="dxa"/>
          </w:tcPr>
          <w:p w14:paraId="79C2B5F6" w14:textId="28542C6F" w:rsidR="00E86BE2" w:rsidRPr="0010524E" w:rsidRDefault="00E86BE2" w:rsidP="00E86BE2">
            <w:pPr>
              <w:spacing w:after="120"/>
              <w:jc w:val="both"/>
              <w:rPr>
                <w:rFonts w:eastAsia="Times New Roman" w:cstheme="minorHAnsi"/>
                <w:b/>
                <w:color w:val="000000"/>
                <w:sz w:val="24"/>
                <w:szCs w:val="24"/>
                <w:lang w:eastAsia="pt-BR"/>
              </w:rPr>
            </w:pPr>
            <w:r w:rsidRPr="0010524E">
              <w:rPr>
                <w:rFonts w:ascii="Calibri" w:eastAsia="Calibri" w:hAnsi="Calibri" w:cs="Calibri"/>
                <w:sz w:val="24"/>
                <w:szCs w:val="24"/>
              </w:rPr>
              <w:t xml:space="preserve">§ 1º  O envio a que se refere 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inclui as informações de todos os fundos de investimento e fundos de investimento em cotas de fundos de investimento constituídos no Brasil dos quais a EFPC seja cotista, direta ou indiretamente, considerando a regulamentação da Comissão de Valores Mobiliários.</w:t>
            </w:r>
          </w:p>
        </w:tc>
        <w:tc>
          <w:tcPr>
            <w:tcW w:w="4648" w:type="dxa"/>
          </w:tcPr>
          <w:p w14:paraId="3DCB9A73" w14:textId="77777777" w:rsidR="00E86BE2" w:rsidRPr="0010524E" w:rsidRDefault="00E86BE2" w:rsidP="00E86BE2">
            <w:pPr>
              <w:spacing w:after="120"/>
              <w:jc w:val="center"/>
              <w:rPr>
                <w:rFonts w:eastAsia="Times New Roman" w:cstheme="minorHAnsi"/>
                <w:b/>
                <w:sz w:val="24"/>
                <w:szCs w:val="24"/>
                <w:lang w:eastAsia="pt-BR"/>
              </w:rPr>
            </w:pPr>
          </w:p>
        </w:tc>
      </w:tr>
      <w:tr w:rsidR="00E86BE2" w:rsidRPr="0010524E" w14:paraId="66949A50" w14:textId="46210781" w:rsidTr="00E86BE2">
        <w:tc>
          <w:tcPr>
            <w:tcW w:w="4815" w:type="dxa"/>
          </w:tcPr>
          <w:p w14:paraId="26931786" w14:textId="77777777" w:rsidR="00E86BE2" w:rsidRPr="0010524E" w:rsidRDefault="00E86BE2" w:rsidP="00E86BE2">
            <w:pPr>
              <w:spacing w:after="120"/>
              <w:jc w:val="both"/>
              <w:rPr>
                <w:rFonts w:cstheme="minorHAnsi"/>
                <w:sz w:val="24"/>
                <w:szCs w:val="24"/>
              </w:rPr>
            </w:pPr>
            <w:r w:rsidRPr="0010524E">
              <w:rPr>
                <w:rFonts w:cstheme="minorHAnsi"/>
                <w:sz w:val="24"/>
                <w:szCs w:val="24"/>
              </w:rPr>
              <w:t>§ 2º  O envio das informações relativas à política de investimentos deve observar os seguintes prazos:</w:t>
            </w:r>
          </w:p>
        </w:tc>
        <w:tc>
          <w:tcPr>
            <w:tcW w:w="4849" w:type="dxa"/>
          </w:tcPr>
          <w:p w14:paraId="73FA294C" w14:textId="73CD0294" w:rsidR="00E86BE2" w:rsidRPr="0010524E" w:rsidRDefault="00E86BE2" w:rsidP="00E86BE2">
            <w:pPr>
              <w:spacing w:after="120"/>
              <w:jc w:val="both"/>
              <w:rPr>
                <w:rFonts w:cstheme="minorHAnsi"/>
                <w:sz w:val="24"/>
                <w:szCs w:val="24"/>
              </w:rPr>
            </w:pPr>
            <w:r w:rsidRPr="0010524E">
              <w:rPr>
                <w:rFonts w:ascii="Calibri" w:eastAsia="Calibri" w:hAnsi="Calibri" w:cs="Calibri"/>
                <w:sz w:val="24"/>
                <w:szCs w:val="24"/>
              </w:rPr>
              <w:t>§ 2º  O envio das informações relativas à política de investimentos deve observar os seguintes prazos:</w:t>
            </w:r>
          </w:p>
        </w:tc>
        <w:tc>
          <w:tcPr>
            <w:tcW w:w="4648" w:type="dxa"/>
          </w:tcPr>
          <w:p w14:paraId="5F0F3C99" w14:textId="77777777" w:rsidR="00E86BE2" w:rsidRPr="0010524E" w:rsidRDefault="00E86BE2" w:rsidP="00E86BE2">
            <w:pPr>
              <w:spacing w:after="120"/>
              <w:jc w:val="both"/>
              <w:rPr>
                <w:rFonts w:cstheme="minorHAnsi"/>
                <w:sz w:val="24"/>
                <w:szCs w:val="24"/>
              </w:rPr>
            </w:pPr>
          </w:p>
        </w:tc>
      </w:tr>
      <w:tr w:rsidR="00E86BE2" w:rsidRPr="0010524E" w14:paraId="4C4163B0" w14:textId="69ABCA34" w:rsidTr="00E86BE2">
        <w:tc>
          <w:tcPr>
            <w:tcW w:w="4815" w:type="dxa"/>
          </w:tcPr>
          <w:p w14:paraId="6DF0DC01" w14:textId="77777777" w:rsidR="00E86BE2" w:rsidRPr="0010524E" w:rsidRDefault="00E86BE2" w:rsidP="00E86BE2">
            <w:pPr>
              <w:spacing w:after="120"/>
              <w:jc w:val="both"/>
              <w:rPr>
                <w:rFonts w:cstheme="minorHAnsi"/>
                <w:sz w:val="24"/>
                <w:szCs w:val="24"/>
              </w:rPr>
            </w:pPr>
            <w:r w:rsidRPr="0010524E">
              <w:rPr>
                <w:rFonts w:eastAsia="Times New Roman" w:cstheme="minorHAnsi"/>
                <w:color w:val="000000"/>
                <w:sz w:val="24"/>
                <w:szCs w:val="24"/>
                <w:lang w:eastAsia="pt-BR"/>
              </w:rPr>
              <w:t>I - até 1º de março do exercício de referência; e</w:t>
            </w:r>
          </w:p>
        </w:tc>
        <w:tc>
          <w:tcPr>
            <w:tcW w:w="4849" w:type="dxa"/>
          </w:tcPr>
          <w:p w14:paraId="4C35169C" w14:textId="7390CCD7" w:rsidR="00E86BE2" w:rsidRPr="0010524E" w:rsidRDefault="00E86BE2" w:rsidP="00E86BE2">
            <w:pPr>
              <w:spacing w:after="120"/>
              <w:jc w:val="both"/>
              <w:rPr>
                <w:rFonts w:cstheme="minorHAnsi"/>
                <w:sz w:val="24"/>
                <w:szCs w:val="24"/>
              </w:rPr>
            </w:pPr>
            <w:r w:rsidRPr="0010524E">
              <w:rPr>
                <w:rFonts w:ascii="Calibri" w:eastAsia="Calibri" w:hAnsi="Calibri" w:cs="Calibri"/>
                <w:sz w:val="24"/>
                <w:szCs w:val="24"/>
              </w:rPr>
              <w:t>I - até 1º de março do exercício de referência; e</w:t>
            </w:r>
          </w:p>
        </w:tc>
        <w:tc>
          <w:tcPr>
            <w:tcW w:w="4648" w:type="dxa"/>
          </w:tcPr>
          <w:p w14:paraId="2BB14F71"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2C3373A8" w14:textId="08D24E42" w:rsidTr="00E86BE2">
        <w:tc>
          <w:tcPr>
            <w:tcW w:w="4815" w:type="dxa"/>
          </w:tcPr>
          <w:p w14:paraId="039A3547" w14:textId="77777777" w:rsidR="00E86BE2" w:rsidRPr="0010524E" w:rsidRDefault="00E86BE2" w:rsidP="00E86BE2">
            <w:pPr>
              <w:spacing w:after="120"/>
              <w:jc w:val="both"/>
              <w:rPr>
                <w:rFonts w:cstheme="minorHAnsi"/>
                <w:sz w:val="24"/>
                <w:szCs w:val="24"/>
              </w:rPr>
            </w:pPr>
            <w:r w:rsidRPr="0010524E">
              <w:rPr>
                <w:rFonts w:eastAsia="Times New Roman" w:cstheme="minorHAnsi"/>
                <w:color w:val="000000"/>
                <w:sz w:val="24"/>
                <w:szCs w:val="24"/>
                <w:lang w:eastAsia="pt-BR"/>
              </w:rPr>
              <w:t>II - até trinta dias contados da data da revisão aprovada pelo Conselho Deliberativo</w:t>
            </w:r>
            <w:r w:rsidRPr="0010524E">
              <w:rPr>
                <w:rFonts w:cstheme="minorHAnsi"/>
                <w:sz w:val="24"/>
                <w:szCs w:val="24"/>
              </w:rPr>
              <w:t>.</w:t>
            </w:r>
          </w:p>
        </w:tc>
        <w:tc>
          <w:tcPr>
            <w:tcW w:w="4849" w:type="dxa"/>
          </w:tcPr>
          <w:p w14:paraId="4DFA8C34" w14:textId="0858CA11" w:rsidR="00E86BE2" w:rsidRPr="0010524E" w:rsidRDefault="00E86BE2" w:rsidP="00E86BE2">
            <w:pPr>
              <w:spacing w:after="120"/>
              <w:jc w:val="both"/>
              <w:rPr>
                <w:rFonts w:cstheme="minorHAnsi"/>
                <w:sz w:val="24"/>
                <w:szCs w:val="24"/>
              </w:rPr>
            </w:pPr>
            <w:r w:rsidRPr="0010524E">
              <w:rPr>
                <w:rFonts w:ascii="Calibri" w:eastAsia="Calibri" w:hAnsi="Calibri" w:cs="Calibri"/>
                <w:sz w:val="24"/>
                <w:szCs w:val="24"/>
              </w:rPr>
              <w:t>II - até trinta dias contados da data da revisão aprovada pelo conselho deliberativo.</w:t>
            </w:r>
          </w:p>
        </w:tc>
        <w:tc>
          <w:tcPr>
            <w:tcW w:w="4648" w:type="dxa"/>
          </w:tcPr>
          <w:p w14:paraId="1FE19590" w14:textId="77777777" w:rsidR="00E86BE2" w:rsidRPr="0010524E" w:rsidRDefault="00E86BE2" w:rsidP="00E86BE2">
            <w:pPr>
              <w:spacing w:after="120"/>
              <w:jc w:val="both"/>
              <w:rPr>
                <w:rFonts w:cstheme="minorHAnsi"/>
                <w:sz w:val="24"/>
                <w:szCs w:val="24"/>
              </w:rPr>
            </w:pPr>
          </w:p>
        </w:tc>
      </w:tr>
      <w:tr w:rsidR="00E86BE2" w:rsidRPr="0010524E" w14:paraId="0F203573" w14:textId="2F894BC7" w:rsidTr="00E86BE2">
        <w:tc>
          <w:tcPr>
            <w:tcW w:w="4815" w:type="dxa"/>
          </w:tcPr>
          <w:p w14:paraId="4CE8AC4D"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cstheme="minorHAnsi"/>
                <w:sz w:val="24"/>
                <w:szCs w:val="24"/>
              </w:rPr>
              <w:lastRenderedPageBreak/>
              <w:t>§ 3º  A forma de envio das informações deve ser</w:t>
            </w:r>
            <w:r w:rsidRPr="0010524E">
              <w:rPr>
                <w:rFonts w:cstheme="minorHAnsi"/>
                <w:b/>
                <w:sz w:val="24"/>
                <w:szCs w:val="24"/>
              </w:rPr>
              <w:t xml:space="preserve"> </w:t>
            </w:r>
            <w:r w:rsidRPr="0010524E">
              <w:rPr>
                <w:rFonts w:cstheme="minorHAnsi"/>
                <w:sz w:val="24"/>
                <w:szCs w:val="24"/>
              </w:rPr>
              <w:t>realizada conforme Portaria da Diretoria de Fiscalização e Monitoramento (Difis).</w:t>
            </w:r>
          </w:p>
        </w:tc>
        <w:tc>
          <w:tcPr>
            <w:tcW w:w="4849" w:type="dxa"/>
          </w:tcPr>
          <w:p w14:paraId="1526EFA0" w14:textId="77777777" w:rsidR="00E86BE2" w:rsidRPr="0010524E" w:rsidRDefault="00E86BE2" w:rsidP="00E86BE2">
            <w:pPr>
              <w:spacing w:after="120"/>
              <w:jc w:val="both"/>
              <w:rPr>
                <w:rFonts w:eastAsia="Times New Roman" w:cstheme="minorHAnsi"/>
                <w:color w:val="000000"/>
                <w:sz w:val="24"/>
                <w:szCs w:val="24"/>
                <w:lang w:eastAsia="pt-BR"/>
              </w:rPr>
            </w:pPr>
          </w:p>
        </w:tc>
        <w:tc>
          <w:tcPr>
            <w:tcW w:w="4648" w:type="dxa"/>
          </w:tcPr>
          <w:p w14:paraId="14D01E1F" w14:textId="6E291D57" w:rsidR="00E86BE2" w:rsidRPr="0010524E" w:rsidRDefault="00E86BE2" w:rsidP="00E86BE2">
            <w:pPr>
              <w:spacing w:after="120"/>
              <w:jc w:val="both"/>
              <w:rPr>
                <w:rFonts w:cstheme="minorHAnsi"/>
                <w:sz w:val="24"/>
                <w:szCs w:val="24"/>
              </w:rPr>
            </w:pPr>
            <w:r>
              <w:rPr>
                <w:rFonts w:cstheme="minorHAnsi"/>
                <w:sz w:val="24"/>
                <w:szCs w:val="24"/>
              </w:rPr>
              <w:t>Realocado para o art. 423 da consolidação</w:t>
            </w:r>
          </w:p>
        </w:tc>
      </w:tr>
      <w:tr w:rsidR="00E86BE2" w:rsidRPr="0010524E" w14:paraId="2B1D403F" w14:textId="7403007C" w:rsidTr="00E86BE2">
        <w:tc>
          <w:tcPr>
            <w:tcW w:w="4815" w:type="dxa"/>
          </w:tcPr>
          <w:p w14:paraId="61AF3A5E" w14:textId="77777777" w:rsidR="00E86BE2" w:rsidRPr="0010524E" w:rsidRDefault="00E86BE2" w:rsidP="00E86BE2">
            <w:pPr>
              <w:spacing w:after="120"/>
              <w:jc w:val="both"/>
              <w:rPr>
                <w:rFonts w:cstheme="minorHAnsi"/>
                <w:sz w:val="24"/>
                <w:szCs w:val="24"/>
              </w:rPr>
            </w:pPr>
            <w:r w:rsidRPr="0010524E">
              <w:rPr>
                <w:rFonts w:eastAsia="Times New Roman" w:cstheme="minorHAnsi"/>
                <w:color w:val="000000"/>
                <w:sz w:val="24"/>
                <w:szCs w:val="24"/>
                <w:lang w:eastAsia="pt-BR"/>
              </w:rPr>
              <w:t>Art. 3º  A EFPC deve enviar à Previc o demonstrativo de investimentos de todos os planos por ela administrados, inclusive do Plano de Gestão Administrativa (PGA), até o último dia do mês subsequente à data-base do demonstrativo.</w:t>
            </w:r>
          </w:p>
        </w:tc>
        <w:tc>
          <w:tcPr>
            <w:tcW w:w="4849" w:type="dxa"/>
          </w:tcPr>
          <w:p w14:paraId="1A5F0DD4" w14:textId="618083FB" w:rsidR="00E86BE2" w:rsidRPr="0010524E" w:rsidRDefault="00E86BE2" w:rsidP="00E86BE2">
            <w:pPr>
              <w:spacing w:after="120"/>
              <w:jc w:val="both"/>
              <w:rPr>
                <w:rFonts w:cstheme="minorHAnsi"/>
                <w:sz w:val="24"/>
                <w:szCs w:val="24"/>
              </w:rPr>
            </w:pPr>
            <w:r w:rsidRPr="0010524E">
              <w:rPr>
                <w:rFonts w:ascii="Calibri" w:eastAsia="Calibri" w:hAnsi="Calibri" w:cs="Calibri"/>
                <w:sz w:val="24"/>
                <w:szCs w:val="24"/>
              </w:rPr>
              <w:t>Art. 410.  A EFPC deve enviar à Previc o demonstrativo de investimentos de todos os planos por ela administrados, inclusive do programa de gestão administrativa até o último dia do mês subsequente à data-base do demonstrativo</w:t>
            </w:r>
          </w:p>
        </w:tc>
        <w:tc>
          <w:tcPr>
            <w:tcW w:w="4648" w:type="dxa"/>
          </w:tcPr>
          <w:p w14:paraId="4BA24426"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0BF7625C" w14:textId="727310B8" w:rsidTr="00E86BE2">
        <w:tc>
          <w:tcPr>
            <w:tcW w:w="4815" w:type="dxa"/>
          </w:tcPr>
          <w:p w14:paraId="1C366D95" w14:textId="77777777" w:rsidR="00E86BE2" w:rsidRPr="0010524E" w:rsidRDefault="00E86BE2" w:rsidP="00E86BE2">
            <w:pPr>
              <w:spacing w:after="120"/>
              <w:jc w:val="both"/>
              <w:rPr>
                <w:rFonts w:cstheme="minorHAnsi"/>
                <w:sz w:val="24"/>
                <w:szCs w:val="24"/>
              </w:rPr>
            </w:pPr>
            <w:r w:rsidRPr="0010524E">
              <w:rPr>
                <w:rFonts w:eastAsia="Times New Roman" w:cstheme="minorHAnsi"/>
                <w:color w:val="000000"/>
                <w:sz w:val="24"/>
                <w:szCs w:val="24"/>
                <w:lang w:eastAsia="pt-BR"/>
              </w:rPr>
              <w:t>§1º  O demonstrativo de investimentos é composto por todos os ativos pertencentes à carteira própria, à carteira administrada, aos fundos de investimento e aos fundos de investimento em cotas de fundos de investimento dos quais a EFPC seja direta ou indiretamente cotista.</w:t>
            </w:r>
          </w:p>
        </w:tc>
        <w:tc>
          <w:tcPr>
            <w:tcW w:w="4849" w:type="dxa"/>
          </w:tcPr>
          <w:p w14:paraId="6F16A58C" w14:textId="27B03693" w:rsidR="00E86BE2" w:rsidRPr="0010524E" w:rsidRDefault="00E86BE2" w:rsidP="00E86BE2">
            <w:pPr>
              <w:spacing w:after="120"/>
              <w:jc w:val="both"/>
              <w:rPr>
                <w:rFonts w:cstheme="minorHAnsi"/>
                <w:sz w:val="24"/>
                <w:szCs w:val="24"/>
              </w:rPr>
            </w:pPr>
            <w:r w:rsidRPr="0010524E">
              <w:rPr>
                <w:rFonts w:ascii="Calibri" w:eastAsia="Calibri" w:hAnsi="Calibri" w:cs="Calibri"/>
                <w:sz w:val="24"/>
                <w:szCs w:val="24"/>
              </w:rPr>
              <w:t>§ 1º  O demonstrativo de investimentos é composto por todos os ativos pertencentes à carteira própria, à carteira administrada, aos fundos de investimento e aos fundos de investimento em cotas de fundos de investimento dos quais a EFPC seja direta ou indiretamente cotista.</w:t>
            </w:r>
          </w:p>
        </w:tc>
        <w:tc>
          <w:tcPr>
            <w:tcW w:w="4648" w:type="dxa"/>
          </w:tcPr>
          <w:p w14:paraId="52D9E372" w14:textId="77777777" w:rsidR="00E86BE2" w:rsidRPr="0010524E" w:rsidRDefault="00E86BE2" w:rsidP="00E86BE2">
            <w:pPr>
              <w:spacing w:after="120"/>
              <w:jc w:val="both"/>
              <w:rPr>
                <w:rFonts w:cstheme="minorHAnsi"/>
                <w:sz w:val="24"/>
                <w:szCs w:val="24"/>
              </w:rPr>
            </w:pPr>
          </w:p>
        </w:tc>
      </w:tr>
      <w:tr w:rsidR="00E86BE2" w:rsidRPr="0010524E" w14:paraId="17673194" w14:textId="3C5E4559" w:rsidTr="00E86BE2">
        <w:tc>
          <w:tcPr>
            <w:tcW w:w="4815" w:type="dxa"/>
          </w:tcPr>
          <w:p w14:paraId="2C852403"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§2º  A eventual substituição de informações do demonstrativo de investimentos deve ser justificada pelo Administrador Estatutário Tecnicamente Qualificado (AETQ) e permanecer na EFPC à disposição do Conselho Fiscal e da Previc.</w:t>
            </w:r>
          </w:p>
        </w:tc>
        <w:tc>
          <w:tcPr>
            <w:tcW w:w="4849" w:type="dxa"/>
          </w:tcPr>
          <w:p w14:paraId="0AC35099" w14:textId="2D609637" w:rsidR="00E86BE2" w:rsidRPr="0010524E" w:rsidRDefault="00E86BE2" w:rsidP="00E86BE2">
            <w:pPr>
              <w:spacing w:after="120"/>
              <w:jc w:val="both"/>
              <w:rPr>
                <w:rFonts w:eastAsia="Times New Roman" w:cstheme="minorHAnsi"/>
                <w:color w:val="000000"/>
                <w:sz w:val="24"/>
                <w:szCs w:val="24"/>
                <w:lang w:eastAsia="pt-BR"/>
              </w:rPr>
            </w:pPr>
            <w:r w:rsidRPr="0010524E">
              <w:rPr>
                <w:rFonts w:ascii="Calibri" w:eastAsia="Calibri" w:hAnsi="Calibri" w:cs="Calibri"/>
                <w:sz w:val="24"/>
                <w:szCs w:val="24"/>
              </w:rPr>
              <w:t>§ 2º  A eventual substituição de informações do demonstrativo de investimentos deve ser justificada pelo administrador estatutário tecnicamente qualificado e permanecer na EFPC à disposição do conselho fiscal e da Previc.</w:t>
            </w:r>
          </w:p>
        </w:tc>
        <w:tc>
          <w:tcPr>
            <w:tcW w:w="4648" w:type="dxa"/>
          </w:tcPr>
          <w:p w14:paraId="01F7B854"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6A143A3F" w14:textId="4F673545" w:rsidTr="00E86BE2">
        <w:tc>
          <w:tcPr>
            <w:tcW w:w="4815" w:type="dxa"/>
          </w:tcPr>
          <w:p w14:paraId="6CE5C40C"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Art. 4º  A EFPC deve manter cadastro atualizado dos fundos de investimento e dos fundos de investimento em cotas de fundos de investimento constituídos no Brasil:</w:t>
            </w:r>
          </w:p>
        </w:tc>
        <w:tc>
          <w:tcPr>
            <w:tcW w:w="4849" w:type="dxa"/>
          </w:tcPr>
          <w:p w14:paraId="459EE390" w14:textId="6D7463B7" w:rsidR="00E86BE2" w:rsidRPr="0010524E" w:rsidRDefault="00E86BE2" w:rsidP="00E86BE2">
            <w:pPr>
              <w:spacing w:after="120"/>
              <w:jc w:val="both"/>
              <w:rPr>
                <w:rFonts w:eastAsia="Times New Roman" w:cstheme="minorHAnsi"/>
                <w:color w:val="000000"/>
                <w:sz w:val="24"/>
                <w:szCs w:val="24"/>
                <w:lang w:eastAsia="pt-BR"/>
              </w:rPr>
            </w:pPr>
            <w:r w:rsidRPr="0010524E">
              <w:rPr>
                <w:rFonts w:ascii="Calibri" w:eastAsia="Calibri" w:hAnsi="Calibri" w:cs="Calibri"/>
                <w:sz w:val="24"/>
                <w:szCs w:val="24"/>
              </w:rPr>
              <w:t>Art. 411.  A EFPC deve manter cadastro atualizado dos fundos de investimento e dos fundos de investimento em cotas de fundos de investimento constituídos no Brasil:</w:t>
            </w:r>
          </w:p>
        </w:tc>
        <w:tc>
          <w:tcPr>
            <w:tcW w:w="4648" w:type="dxa"/>
          </w:tcPr>
          <w:p w14:paraId="7B8CF808"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29D93AF1" w14:textId="79A07A8B" w:rsidTr="00E86BE2">
        <w:tc>
          <w:tcPr>
            <w:tcW w:w="4815" w:type="dxa"/>
          </w:tcPr>
          <w:p w14:paraId="250B8018"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lastRenderedPageBreak/>
              <w:t>I - em que a EFPC ou seus planos de benefícios sejam os únicos cotistas; ou</w:t>
            </w:r>
          </w:p>
        </w:tc>
        <w:tc>
          <w:tcPr>
            <w:tcW w:w="4849" w:type="dxa"/>
          </w:tcPr>
          <w:p w14:paraId="453DE033" w14:textId="333483E0" w:rsidR="00E86BE2" w:rsidRPr="0010524E" w:rsidRDefault="00E86BE2" w:rsidP="00E86BE2">
            <w:pPr>
              <w:spacing w:after="120"/>
              <w:jc w:val="both"/>
              <w:rPr>
                <w:rFonts w:eastAsia="Times New Roman" w:cstheme="minorHAnsi"/>
                <w:color w:val="000000"/>
                <w:sz w:val="24"/>
                <w:szCs w:val="24"/>
                <w:lang w:eastAsia="pt-BR"/>
              </w:rPr>
            </w:pPr>
            <w:r w:rsidRPr="0010524E">
              <w:rPr>
                <w:rFonts w:ascii="Calibri" w:eastAsia="Calibri" w:hAnsi="Calibri" w:cs="Calibri"/>
                <w:sz w:val="24"/>
                <w:szCs w:val="24"/>
              </w:rPr>
              <w:t>I - em que a EFPC ou seus planos de benefícios sejam os únicos cotistas; ou</w:t>
            </w:r>
          </w:p>
        </w:tc>
        <w:tc>
          <w:tcPr>
            <w:tcW w:w="4648" w:type="dxa"/>
          </w:tcPr>
          <w:p w14:paraId="71CEE94E"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7163025E" w14:textId="7B041275" w:rsidTr="00E86BE2">
        <w:tc>
          <w:tcPr>
            <w:tcW w:w="4815" w:type="dxa"/>
          </w:tcPr>
          <w:p w14:paraId="0DB6EEB8"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II – em que a EFPC seja cotista e o fundo classificado como multimercado (FIM), no segmento estruturado.</w:t>
            </w:r>
          </w:p>
        </w:tc>
        <w:tc>
          <w:tcPr>
            <w:tcW w:w="4849" w:type="dxa"/>
          </w:tcPr>
          <w:p w14:paraId="3DF0C10A" w14:textId="11A98D7B" w:rsidR="00E86BE2" w:rsidRPr="0010524E" w:rsidRDefault="00E86BE2" w:rsidP="00E86BE2">
            <w:pPr>
              <w:spacing w:after="120"/>
              <w:jc w:val="both"/>
              <w:rPr>
                <w:rFonts w:eastAsia="Times New Roman" w:cstheme="minorHAnsi"/>
                <w:color w:val="000000"/>
                <w:sz w:val="24"/>
                <w:szCs w:val="24"/>
                <w:lang w:eastAsia="pt-BR"/>
              </w:rPr>
            </w:pPr>
            <w:r w:rsidRPr="0010524E">
              <w:rPr>
                <w:rFonts w:ascii="Calibri" w:eastAsia="Calibri" w:hAnsi="Calibri" w:cs="Calibri"/>
                <w:sz w:val="24"/>
                <w:szCs w:val="24"/>
              </w:rPr>
              <w:t>II - em que a EFPC seja cotista e o fundo classificado como multimercado, no segmento estruturado.</w:t>
            </w:r>
          </w:p>
        </w:tc>
        <w:tc>
          <w:tcPr>
            <w:tcW w:w="4648" w:type="dxa"/>
          </w:tcPr>
          <w:p w14:paraId="582A7F50"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38569FBF" w14:textId="031699A4" w:rsidTr="00E86BE2">
        <w:tc>
          <w:tcPr>
            <w:tcW w:w="4815" w:type="dxa"/>
          </w:tcPr>
          <w:p w14:paraId="7E5EB5F9"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Parágrafo único.  O cadastro a que se refere este artigo deve ser realizado até dez dias da data de aquisição do primeiro lote de cotas de fundo de investimento ou de fundo de investimento em cotas de fundos de investimento.</w:t>
            </w:r>
          </w:p>
        </w:tc>
        <w:tc>
          <w:tcPr>
            <w:tcW w:w="4849" w:type="dxa"/>
          </w:tcPr>
          <w:p w14:paraId="12780BF8" w14:textId="512E8202" w:rsidR="00E86BE2" w:rsidRPr="0010524E" w:rsidRDefault="00E86BE2" w:rsidP="00E86BE2">
            <w:pPr>
              <w:spacing w:after="120"/>
              <w:jc w:val="both"/>
              <w:rPr>
                <w:rFonts w:eastAsia="Times New Roman" w:cstheme="minorHAnsi"/>
                <w:color w:val="000000"/>
                <w:sz w:val="24"/>
                <w:szCs w:val="24"/>
                <w:lang w:eastAsia="pt-BR"/>
              </w:rPr>
            </w:pPr>
            <w:r w:rsidRPr="0010524E">
              <w:rPr>
                <w:rFonts w:ascii="Calibri" w:eastAsia="Calibri" w:hAnsi="Calibri" w:cs="Calibri"/>
                <w:sz w:val="24"/>
                <w:szCs w:val="24"/>
              </w:rPr>
              <w:t xml:space="preserve">Parágrafo único.  O cadastro a que se refere 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deve ser realizado até dez dias da data de aquisição do primeiro lote de cotas de fundo de investimento ou de fundo de investimento em cotas de fundos de investimento.</w:t>
            </w:r>
          </w:p>
        </w:tc>
        <w:tc>
          <w:tcPr>
            <w:tcW w:w="4648" w:type="dxa"/>
          </w:tcPr>
          <w:p w14:paraId="226FDBF9"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1EF048FF" w14:textId="415887F6" w:rsidTr="00E86BE2">
        <w:tc>
          <w:tcPr>
            <w:tcW w:w="4815" w:type="dxa"/>
          </w:tcPr>
          <w:p w14:paraId="3F397B21" w14:textId="77777777" w:rsidR="00E86BE2" w:rsidRDefault="00E86BE2" w:rsidP="00E86BE2">
            <w:pPr>
              <w:spacing w:after="120"/>
              <w:jc w:val="center"/>
              <w:rPr>
                <w:rFonts w:eastAsia="Times New Roman" w:cstheme="minorHAnsi"/>
                <w:b/>
                <w:sz w:val="24"/>
                <w:szCs w:val="24"/>
                <w:lang w:eastAsia="pt-BR"/>
              </w:rPr>
            </w:pPr>
            <w:r w:rsidRPr="0010524E">
              <w:rPr>
                <w:rFonts w:eastAsia="Times New Roman" w:cstheme="minorHAnsi"/>
                <w:b/>
                <w:sz w:val="24"/>
                <w:szCs w:val="24"/>
                <w:lang w:eastAsia="pt-BR"/>
              </w:rPr>
              <w:t>Seção II</w:t>
            </w:r>
          </w:p>
          <w:p w14:paraId="6E3B3661" w14:textId="1B35694C" w:rsidR="00E86BE2" w:rsidRPr="0010524E" w:rsidRDefault="00E86BE2" w:rsidP="00E86BE2">
            <w:pPr>
              <w:spacing w:after="120"/>
              <w:jc w:val="center"/>
              <w:rPr>
                <w:rFonts w:eastAsia="Times New Roman" w:cstheme="minorHAnsi"/>
                <w:color w:val="000000"/>
                <w:sz w:val="24"/>
                <w:szCs w:val="24"/>
                <w:lang w:eastAsia="pt-BR"/>
              </w:rPr>
            </w:pPr>
            <w:r w:rsidRPr="0010524E">
              <w:rPr>
                <w:rFonts w:eastAsia="Times New Roman" w:cstheme="minorHAnsi"/>
                <w:b/>
                <w:sz w:val="24"/>
                <w:szCs w:val="24"/>
                <w:lang w:eastAsia="pt-BR"/>
              </w:rPr>
              <w:t>Autorização, da custódia e do extrato de movimentação e posição de títulos públicos federais</w:t>
            </w:r>
          </w:p>
        </w:tc>
        <w:tc>
          <w:tcPr>
            <w:tcW w:w="4849" w:type="dxa"/>
          </w:tcPr>
          <w:p w14:paraId="5C81EE1C" w14:textId="77777777" w:rsidR="00E86BE2" w:rsidRDefault="00E86BE2" w:rsidP="00E86BE2">
            <w:pPr>
              <w:spacing w:after="120"/>
              <w:jc w:val="center"/>
              <w:rPr>
                <w:rFonts w:eastAsia="Times New Roman" w:cstheme="minorHAnsi"/>
                <w:b/>
                <w:sz w:val="24"/>
                <w:szCs w:val="24"/>
                <w:lang w:eastAsia="pt-BR"/>
              </w:rPr>
            </w:pPr>
            <w:r w:rsidRPr="0010524E">
              <w:rPr>
                <w:rFonts w:eastAsia="Times New Roman" w:cstheme="minorHAnsi"/>
                <w:b/>
                <w:sz w:val="24"/>
                <w:szCs w:val="24"/>
                <w:lang w:eastAsia="pt-BR"/>
              </w:rPr>
              <w:t>Subseção II</w:t>
            </w:r>
          </w:p>
          <w:p w14:paraId="70A218D4" w14:textId="7F98951D" w:rsidR="00E86BE2" w:rsidRPr="0010524E" w:rsidRDefault="00E86BE2" w:rsidP="00E86BE2">
            <w:pPr>
              <w:spacing w:after="120"/>
              <w:jc w:val="center"/>
              <w:rPr>
                <w:rFonts w:eastAsia="Times New Roman" w:cstheme="minorHAnsi"/>
                <w:color w:val="000000"/>
                <w:sz w:val="24"/>
                <w:szCs w:val="24"/>
                <w:lang w:eastAsia="pt-BR"/>
              </w:rPr>
            </w:pPr>
            <w:r w:rsidRPr="0010524E">
              <w:rPr>
                <w:rFonts w:eastAsia="Times New Roman" w:cstheme="minorHAnsi"/>
                <w:b/>
                <w:sz w:val="24"/>
                <w:szCs w:val="24"/>
                <w:lang w:eastAsia="pt-BR"/>
              </w:rPr>
              <w:t>Autorização, da custódia e do extrato de movimentação e posição de títulos públicos federais</w:t>
            </w:r>
          </w:p>
        </w:tc>
        <w:tc>
          <w:tcPr>
            <w:tcW w:w="4648" w:type="dxa"/>
          </w:tcPr>
          <w:p w14:paraId="159F64F2" w14:textId="77777777" w:rsidR="00E86BE2" w:rsidRPr="0010524E" w:rsidRDefault="00E86BE2" w:rsidP="00E86BE2">
            <w:pPr>
              <w:spacing w:before="120" w:after="120"/>
              <w:jc w:val="both"/>
              <w:rPr>
                <w:rFonts w:eastAsia="Times New Roman" w:cstheme="minorHAnsi"/>
                <w:color w:val="000000"/>
                <w:sz w:val="24"/>
                <w:szCs w:val="24"/>
                <w:lang w:eastAsia="pt-BR"/>
              </w:rPr>
            </w:pPr>
          </w:p>
        </w:tc>
      </w:tr>
      <w:tr w:rsidR="00E86BE2" w:rsidRPr="0010524E" w14:paraId="6270F26F" w14:textId="367F2167" w:rsidTr="00E86BE2">
        <w:tc>
          <w:tcPr>
            <w:tcW w:w="4815" w:type="dxa"/>
          </w:tcPr>
          <w:p w14:paraId="11D42BBF" w14:textId="77777777" w:rsidR="00E86BE2" w:rsidRPr="0010524E" w:rsidRDefault="00E86BE2" w:rsidP="00E86BE2">
            <w:pPr>
              <w:adjustRightInd w:val="0"/>
              <w:spacing w:after="120"/>
              <w:jc w:val="both"/>
              <w:rPr>
                <w:rFonts w:eastAsia="Times New Roman" w:cstheme="minorHAnsi"/>
                <w:b/>
                <w:sz w:val="24"/>
                <w:szCs w:val="24"/>
                <w:lang w:eastAsia="pt-BR"/>
              </w:rPr>
            </w:pPr>
            <w:r w:rsidRPr="0010524E">
              <w:rPr>
                <w:rFonts w:eastAsia="Times New Roman" w:cstheme="minorHAnsi"/>
                <w:color w:val="000000"/>
                <w:sz w:val="24"/>
                <w:szCs w:val="24"/>
                <w:lang w:eastAsia="pt-BR"/>
              </w:rPr>
              <w:t>Art</w:t>
            </w:r>
            <w:r w:rsidRPr="0010524E">
              <w:rPr>
                <w:rFonts w:eastAsia="Times New Roman" w:cstheme="minorHAnsi"/>
                <w:sz w:val="24"/>
                <w:szCs w:val="24"/>
                <w:lang w:eastAsia="pt-BR"/>
              </w:rPr>
              <w:t>. 5º</w:t>
            </w:r>
            <w:r w:rsidRPr="0010524E">
              <w:rPr>
                <w:rFonts w:eastAsia="Times New Roman" w:cstheme="minorHAnsi"/>
                <w:color w:val="000000"/>
                <w:sz w:val="24"/>
                <w:szCs w:val="24"/>
                <w:lang w:eastAsia="pt-BR"/>
              </w:rPr>
              <w:t xml:space="preserve">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junto a sistema de registro e de liquidação financeira ou depositário central,</w:t>
            </w:r>
            <w:r w:rsidRPr="0010524E" w:rsidDel="00A47A97">
              <w:rPr>
                <w:rFonts w:eastAsia="Times New Roman" w:cstheme="minorHAnsi"/>
                <w:color w:val="000000"/>
                <w:sz w:val="24"/>
                <w:szCs w:val="24"/>
                <w:lang w:eastAsia="pt-BR"/>
              </w:rPr>
              <w:t xml:space="preserve"> </w:t>
            </w:r>
            <w:r w:rsidRPr="0010524E">
              <w:rPr>
                <w:rFonts w:eastAsia="Times New Roman" w:cstheme="minorHAnsi"/>
                <w:color w:val="000000"/>
                <w:sz w:val="24"/>
                <w:szCs w:val="24"/>
                <w:lang w:eastAsia="pt-BR"/>
              </w:rPr>
              <w:t xml:space="preserve">observada a </w:t>
            </w:r>
            <w:r w:rsidRPr="0010524E">
              <w:rPr>
                <w:rFonts w:eastAsia="Times New Roman" w:cstheme="minorHAnsi"/>
                <w:color w:val="000000"/>
                <w:sz w:val="24"/>
                <w:szCs w:val="24"/>
                <w:lang w:eastAsia="pt-BR"/>
              </w:rPr>
              <w:lastRenderedPageBreak/>
              <w:t>regulamentação do Banco Central do Brasil ou da Comissão de Valores Mobiliários, nas suas respectivas áreas de competência.</w:t>
            </w:r>
          </w:p>
        </w:tc>
        <w:tc>
          <w:tcPr>
            <w:tcW w:w="4849" w:type="dxa"/>
          </w:tcPr>
          <w:p w14:paraId="139F0665" w14:textId="0DC3230B" w:rsidR="00E86BE2" w:rsidRPr="0010524E" w:rsidRDefault="00E86BE2" w:rsidP="00E86BE2">
            <w:pPr>
              <w:adjustRightInd w:val="0"/>
              <w:spacing w:after="120"/>
              <w:jc w:val="both"/>
              <w:rPr>
                <w:rFonts w:eastAsia="Times New Roman" w:cstheme="minorHAnsi"/>
                <w:b/>
                <w:sz w:val="24"/>
                <w:szCs w:val="24"/>
                <w:lang w:eastAsia="pt-BR"/>
              </w:rPr>
            </w:pPr>
            <w:r w:rsidRPr="0010524E">
              <w:rPr>
                <w:rFonts w:ascii="Calibri" w:eastAsia="Calibri" w:hAnsi="Calibri" w:cs="Calibri"/>
                <w:sz w:val="24"/>
                <w:szCs w:val="24"/>
              </w:rPr>
              <w:lastRenderedPageBreak/>
              <w:t xml:space="preserve">Art. 412.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junto a sistema de registro e de liquidação financeira ou depositário central, observada a </w:t>
            </w:r>
            <w:r w:rsidRPr="0010524E">
              <w:rPr>
                <w:rFonts w:ascii="Calibri" w:eastAsia="Calibri" w:hAnsi="Calibri" w:cs="Calibri"/>
                <w:sz w:val="24"/>
                <w:szCs w:val="24"/>
              </w:rPr>
              <w:lastRenderedPageBreak/>
              <w:t>regulamentação do Banco Central do Brasil ou da Comissão de Valores Mobiliários, nas suas respectivas áreas de competência</w:t>
            </w:r>
          </w:p>
        </w:tc>
        <w:tc>
          <w:tcPr>
            <w:tcW w:w="4648" w:type="dxa"/>
          </w:tcPr>
          <w:p w14:paraId="56C51985" w14:textId="77777777" w:rsidR="00E86BE2" w:rsidRPr="0010524E" w:rsidRDefault="00E86BE2" w:rsidP="00E86BE2">
            <w:pPr>
              <w:adjustRightInd w:val="0"/>
              <w:spacing w:after="120"/>
              <w:jc w:val="center"/>
              <w:rPr>
                <w:rFonts w:eastAsia="Times New Roman" w:cstheme="minorHAnsi"/>
                <w:b/>
                <w:sz w:val="24"/>
                <w:szCs w:val="24"/>
                <w:lang w:eastAsia="pt-BR"/>
              </w:rPr>
            </w:pPr>
          </w:p>
        </w:tc>
      </w:tr>
      <w:tr w:rsidR="00E86BE2" w:rsidRPr="0010524E" w14:paraId="3AE2E126" w14:textId="67509276" w:rsidTr="00E86BE2">
        <w:tc>
          <w:tcPr>
            <w:tcW w:w="4815" w:type="dxa"/>
          </w:tcPr>
          <w:p w14:paraId="2211747A" w14:textId="77777777" w:rsidR="00E86BE2" w:rsidRPr="0010524E" w:rsidRDefault="00E86BE2" w:rsidP="00E86BE2">
            <w:pPr>
              <w:spacing w:after="120"/>
              <w:jc w:val="both"/>
              <w:rPr>
                <w:rFonts w:eastAsia="Times New Roman" w:cstheme="minorHAnsi"/>
                <w:b/>
                <w:color w:val="000000"/>
                <w:sz w:val="24"/>
                <w:szCs w:val="24"/>
                <w:lang w:eastAsia="pt-BR"/>
              </w:rPr>
            </w:pPr>
            <w:r w:rsidRPr="0010524E">
              <w:rPr>
                <w:rFonts w:eastAsia="Times New Roman" w:cstheme="minorHAnsi"/>
                <w:color w:val="000000"/>
                <w:sz w:val="24"/>
                <w:szCs w:val="24"/>
                <w:lang w:eastAsia="pt-BR"/>
              </w:rPr>
              <w:t>Art. 6º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§3º do art. 2º desta Instrução.</w:t>
            </w:r>
          </w:p>
        </w:tc>
        <w:tc>
          <w:tcPr>
            <w:tcW w:w="4849" w:type="dxa"/>
          </w:tcPr>
          <w:p w14:paraId="12AE323B" w14:textId="0E47F03C" w:rsidR="00E86BE2" w:rsidRPr="0010524E" w:rsidRDefault="00E86BE2" w:rsidP="00E86BE2">
            <w:pPr>
              <w:spacing w:after="120"/>
              <w:jc w:val="both"/>
              <w:rPr>
                <w:rFonts w:eastAsia="Times New Roman" w:cstheme="minorHAnsi"/>
                <w:b/>
                <w:color w:val="000000"/>
                <w:sz w:val="24"/>
                <w:szCs w:val="24"/>
                <w:lang w:eastAsia="pt-BR"/>
              </w:rPr>
            </w:pPr>
            <w:r w:rsidRPr="0010524E">
              <w:rPr>
                <w:rFonts w:ascii="Calibri" w:eastAsia="Calibri" w:hAnsi="Calibri" w:cs="Calibri"/>
                <w:sz w:val="24"/>
                <w:szCs w:val="24"/>
              </w:rPr>
              <w:t>Art. 413.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art. 424.</w:t>
            </w:r>
          </w:p>
        </w:tc>
        <w:tc>
          <w:tcPr>
            <w:tcW w:w="4648" w:type="dxa"/>
          </w:tcPr>
          <w:p w14:paraId="3FC9C6F8" w14:textId="77777777" w:rsidR="00E86BE2" w:rsidRPr="0010524E" w:rsidRDefault="00E86BE2" w:rsidP="00E86BE2">
            <w:pPr>
              <w:spacing w:after="120"/>
              <w:jc w:val="center"/>
              <w:rPr>
                <w:rFonts w:eastAsia="Times New Roman" w:cstheme="minorHAnsi"/>
                <w:b/>
                <w:sz w:val="24"/>
                <w:szCs w:val="24"/>
                <w:lang w:eastAsia="pt-BR"/>
              </w:rPr>
            </w:pPr>
          </w:p>
        </w:tc>
      </w:tr>
      <w:tr w:rsidR="00E86BE2" w:rsidRPr="0010524E" w14:paraId="5396892A" w14:textId="0A83C17E" w:rsidTr="00E86BE2">
        <w:tc>
          <w:tcPr>
            <w:tcW w:w="4815" w:type="dxa"/>
          </w:tcPr>
          <w:p w14:paraId="2CE44C77"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color w:val="000000"/>
                <w:sz w:val="24"/>
                <w:szCs w:val="24"/>
                <w:lang w:eastAsia="pt-BR"/>
              </w:rPr>
              <w:t xml:space="preserve">§1º  A individualização e a identificação mencionadas no </w:t>
            </w:r>
            <w:r w:rsidRPr="0010524E">
              <w:rPr>
                <w:rFonts w:eastAsia="Times New Roman" w:cstheme="minorHAnsi"/>
                <w:b/>
                <w:color w:val="000000"/>
                <w:sz w:val="24"/>
                <w:szCs w:val="24"/>
                <w:lang w:eastAsia="pt-BR"/>
              </w:rPr>
              <w:t>caput</w:t>
            </w:r>
            <w:r w:rsidRPr="0010524E">
              <w:rPr>
                <w:rFonts w:eastAsia="Times New Roman" w:cstheme="minorHAnsi"/>
                <w:color w:val="000000"/>
                <w:sz w:val="24"/>
                <w:szCs w:val="24"/>
                <w:lang w:eastAsia="pt-BR"/>
              </w:rPr>
              <w:t xml:space="preserve"> devem atender ao disposto no §2º do art. 16 da </w:t>
            </w:r>
            <w:r w:rsidRPr="0010524E">
              <w:rPr>
                <w:rFonts w:cstheme="minorHAnsi"/>
                <w:sz w:val="24"/>
                <w:szCs w:val="24"/>
              </w:rPr>
              <w:t>Resolução CMN nº 4.661, de 2018</w:t>
            </w:r>
            <w:r w:rsidRPr="0010524E">
              <w:rPr>
                <w:rFonts w:eastAsia="Times New Roman" w:cstheme="minorHAnsi"/>
                <w:color w:val="000000"/>
                <w:sz w:val="24"/>
                <w:szCs w:val="24"/>
                <w:lang w:eastAsia="pt-BR"/>
              </w:rPr>
              <w:t>.</w:t>
            </w:r>
          </w:p>
        </w:tc>
        <w:tc>
          <w:tcPr>
            <w:tcW w:w="4849" w:type="dxa"/>
          </w:tcPr>
          <w:p w14:paraId="4D564D04" w14:textId="0C321462" w:rsidR="00E86BE2" w:rsidRPr="0010524E" w:rsidRDefault="00E86BE2" w:rsidP="00E86BE2">
            <w:pPr>
              <w:spacing w:after="120"/>
              <w:jc w:val="both"/>
              <w:rPr>
                <w:rFonts w:eastAsia="Times New Roman" w:cstheme="minorHAnsi"/>
                <w:color w:val="000000"/>
                <w:sz w:val="24"/>
                <w:szCs w:val="24"/>
                <w:lang w:eastAsia="pt-BR"/>
              </w:rPr>
            </w:pPr>
            <w:r w:rsidRPr="0010524E">
              <w:rPr>
                <w:rFonts w:ascii="Calibri" w:eastAsia="Calibri" w:hAnsi="Calibri" w:cs="Calibri"/>
                <w:sz w:val="24"/>
                <w:szCs w:val="24"/>
              </w:rPr>
              <w:t xml:space="preserve">§ 1º  A individualização e a identificação mencionadas no </w:t>
            </w:r>
            <w:r w:rsidRPr="0010524E">
              <w:rPr>
                <w:rFonts w:ascii="Calibri" w:eastAsia="Calibri" w:hAnsi="Calibri" w:cs="Calibri"/>
                <w:b/>
                <w:bCs/>
                <w:sz w:val="24"/>
                <w:szCs w:val="24"/>
              </w:rPr>
              <w:t>caput</w:t>
            </w:r>
            <w:r w:rsidRPr="0010524E">
              <w:rPr>
                <w:rFonts w:ascii="Calibri" w:eastAsia="Calibri" w:hAnsi="Calibri" w:cs="Calibri"/>
                <w:sz w:val="24"/>
                <w:szCs w:val="24"/>
              </w:rPr>
              <w:t xml:space="preserve"> devem atender ao disposto no §2º do art. 16 da Resolução CMN nº 4.994, de 2022.</w:t>
            </w:r>
          </w:p>
        </w:tc>
        <w:tc>
          <w:tcPr>
            <w:tcW w:w="4648" w:type="dxa"/>
          </w:tcPr>
          <w:p w14:paraId="02D57FDA" w14:textId="77777777" w:rsidR="00E86BE2" w:rsidRPr="0010524E" w:rsidRDefault="00E86BE2" w:rsidP="00E86BE2">
            <w:pPr>
              <w:spacing w:after="120"/>
              <w:jc w:val="both"/>
              <w:rPr>
                <w:rFonts w:eastAsia="Times New Roman" w:cstheme="minorHAnsi"/>
                <w:color w:val="000000"/>
                <w:sz w:val="24"/>
                <w:szCs w:val="24"/>
                <w:lang w:eastAsia="pt-BR"/>
              </w:rPr>
            </w:pPr>
          </w:p>
        </w:tc>
      </w:tr>
      <w:tr w:rsidR="00E86BE2" w:rsidRPr="0010524E" w14:paraId="6D257D73" w14:textId="2AD3DBFA" w:rsidTr="00E86BE2">
        <w:tc>
          <w:tcPr>
            <w:tcW w:w="4815" w:type="dxa"/>
          </w:tcPr>
          <w:p w14:paraId="5118E83A" w14:textId="77777777" w:rsidR="00E86BE2" w:rsidRPr="0010524E" w:rsidRDefault="00E86BE2" w:rsidP="00E86BE2">
            <w:pPr>
              <w:spacing w:after="120"/>
              <w:jc w:val="both"/>
              <w:rPr>
                <w:rFonts w:eastAsia="Times New Roman" w:cstheme="minorHAnsi"/>
                <w:color w:val="000000"/>
                <w:sz w:val="24"/>
                <w:szCs w:val="24"/>
                <w:lang w:eastAsia="pt-BR"/>
              </w:rPr>
            </w:pPr>
            <w:r w:rsidRPr="0010524E">
              <w:rPr>
                <w:rFonts w:eastAsia="Times New Roman" w:cstheme="minorHAnsi"/>
                <w:sz w:val="24"/>
                <w:szCs w:val="24"/>
                <w:lang w:eastAsia="pt-BR"/>
              </w:rPr>
              <w:t>§2º</w:t>
            </w:r>
            <w:r w:rsidRPr="0010524E" w:rsidDel="00CE5273">
              <w:rPr>
                <w:rFonts w:eastAsia="Times New Roman" w:cstheme="minorHAnsi"/>
                <w:color w:val="000000"/>
                <w:sz w:val="24"/>
                <w:szCs w:val="24"/>
                <w:lang w:eastAsia="pt-BR"/>
              </w:rPr>
              <w:t xml:space="preserve"> </w:t>
            </w:r>
            <w:r w:rsidRPr="0010524E">
              <w:rPr>
                <w:rFonts w:eastAsia="Times New Roman" w:cstheme="minorHAnsi"/>
                <w:color w:val="000000"/>
                <w:sz w:val="24"/>
                <w:szCs w:val="24"/>
                <w:lang w:eastAsia="pt-BR"/>
              </w:rPr>
              <w:t xml:space="preserve"> É vedado às EFPC incluir informações no sistema informatizado com restrição de acesso à Previc, em relação às informações sobre os títulos mencionados no </w:t>
            </w:r>
            <w:r w:rsidRPr="0010524E">
              <w:rPr>
                <w:rFonts w:eastAsia="Times New Roman" w:cstheme="minorHAnsi"/>
                <w:b/>
                <w:color w:val="000000"/>
                <w:sz w:val="24"/>
                <w:szCs w:val="24"/>
                <w:lang w:eastAsia="pt-BR"/>
              </w:rPr>
              <w:t>caput</w:t>
            </w:r>
            <w:r w:rsidRPr="0010524E">
              <w:rPr>
                <w:rFonts w:eastAsia="Times New Roman" w:cstheme="minorHAnsi"/>
                <w:color w:val="000000"/>
                <w:sz w:val="24"/>
                <w:szCs w:val="24"/>
                <w:lang w:eastAsia="pt-BR"/>
              </w:rPr>
              <w:t>.</w:t>
            </w:r>
          </w:p>
        </w:tc>
        <w:tc>
          <w:tcPr>
            <w:tcW w:w="4849" w:type="dxa"/>
          </w:tcPr>
          <w:p w14:paraId="4391CCFD" w14:textId="7C0704BA" w:rsidR="00E86BE2" w:rsidRPr="0010524E" w:rsidRDefault="00E86BE2" w:rsidP="00E86BE2">
            <w:pPr>
              <w:spacing w:after="120"/>
              <w:jc w:val="both"/>
              <w:rPr>
                <w:rFonts w:eastAsia="Times New Roman" w:cstheme="minorHAnsi"/>
                <w:color w:val="000000"/>
                <w:sz w:val="24"/>
                <w:szCs w:val="24"/>
                <w:lang w:eastAsia="pt-BR"/>
              </w:rPr>
            </w:pPr>
            <w:r w:rsidRPr="0010524E">
              <w:rPr>
                <w:rFonts w:ascii="Calibri" w:eastAsia="Calibri" w:hAnsi="Calibri" w:cs="Calibri"/>
                <w:sz w:val="24"/>
                <w:szCs w:val="24"/>
              </w:rPr>
              <w:t xml:space="preserve">§ 2º  É vedado às EFPC incluir informações no sistema informatizado com restrição de acesso à Previc, em relação às informações sobre os títulos mencionados no </w:t>
            </w:r>
            <w:r w:rsidRPr="0010524E">
              <w:rPr>
                <w:rFonts w:ascii="Calibri" w:eastAsia="Calibri" w:hAnsi="Calibri" w:cs="Calibri"/>
                <w:b/>
                <w:bCs/>
                <w:sz w:val="24"/>
                <w:szCs w:val="24"/>
              </w:rPr>
              <w:t>caput</w:t>
            </w:r>
            <w:r w:rsidRPr="0010524E">
              <w:rPr>
                <w:rFonts w:ascii="Calibri" w:eastAsia="Calibri" w:hAnsi="Calibri" w:cs="Calibri"/>
                <w:sz w:val="24"/>
                <w:szCs w:val="24"/>
              </w:rPr>
              <w:t>.</w:t>
            </w:r>
          </w:p>
        </w:tc>
        <w:tc>
          <w:tcPr>
            <w:tcW w:w="4648" w:type="dxa"/>
          </w:tcPr>
          <w:p w14:paraId="4B71F088" w14:textId="77777777" w:rsidR="00E86BE2" w:rsidRPr="0010524E" w:rsidRDefault="00E86BE2" w:rsidP="00E86BE2">
            <w:pPr>
              <w:spacing w:after="120"/>
              <w:jc w:val="both"/>
              <w:rPr>
                <w:rFonts w:eastAsia="Times New Roman" w:cstheme="minorHAnsi"/>
                <w:color w:val="000000"/>
                <w:sz w:val="24"/>
                <w:szCs w:val="24"/>
                <w:lang w:eastAsia="pt-BR"/>
              </w:rPr>
            </w:pPr>
          </w:p>
        </w:tc>
      </w:tr>
      <w:bookmarkEnd w:id="131"/>
      <w:tr w:rsidR="00E86BE2" w:rsidRPr="0010524E" w14:paraId="725A0EAF" w14:textId="5F7EC8A8" w:rsidTr="00E86BE2">
        <w:tc>
          <w:tcPr>
            <w:tcW w:w="4815" w:type="dxa"/>
          </w:tcPr>
          <w:p w14:paraId="524AA222" w14:textId="77777777" w:rsidR="00E86BE2" w:rsidRPr="0010524E" w:rsidRDefault="00E86BE2" w:rsidP="00E86BE2">
            <w:pPr>
              <w:tabs>
                <w:tab w:val="left" w:pos="3000"/>
              </w:tabs>
              <w:spacing w:after="120"/>
              <w:jc w:val="both"/>
              <w:rPr>
                <w:rFonts w:cstheme="minorHAnsi"/>
                <w:b/>
                <w:bCs/>
                <w:sz w:val="24"/>
                <w:szCs w:val="24"/>
              </w:rPr>
            </w:pPr>
            <w:r w:rsidRPr="0010524E">
              <w:rPr>
                <w:rFonts w:cstheme="minorHAnsi"/>
                <w:b/>
                <w:bCs/>
                <w:sz w:val="24"/>
                <w:szCs w:val="24"/>
              </w:rPr>
              <w:t>Instrução Normativa Previc nº 39, de 20 de abril de 2021</w:t>
            </w:r>
          </w:p>
        </w:tc>
        <w:tc>
          <w:tcPr>
            <w:tcW w:w="4849" w:type="dxa"/>
          </w:tcPr>
          <w:p w14:paraId="143AC7D9" w14:textId="77777777" w:rsidR="00E86BE2" w:rsidRPr="0010524E" w:rsidRDefault="00E86BE2" w:rsidP="00E86BE2">
            <w:pPr>
              <w:spacing w:after="120"/>
              <w:jc w:val="center"/>
              <w:rPr>
                <w:rFonts w:cstheme="minorHAnsi"/>
                <w:sz w:val="24"/>
                <w:szCs w:val="24"/>
              </w:rPr>
            </w:pPr>
          </w:p>
        </w:tc>
        <w:tc>
          <w:tcPr>
            <w:tcW w:w="4648" w:type="dxa"/>
          </w:tcPr>
          <w:p w14:paraId="2E118CFA" w14:textId="77777777" w:rsidR="00E86BE2" w:rsidRPr="0010524E" w:rsidRDefault="00E86BE2" w:rsidP="00E86BE2">
            <w:pPr>
              <w:spacing w:after="120"/>
              <w:jc w:val="both"/>
              <w:rPr>
                <w:rFonts w:cstheme="minorHAnsi"/>
                <w:sz w:val="24"/>
                <w:szCs w:val="24"/>
              </w:rPr>
            </w:pPr>
          </w:p>
        </w:tc>
      </w:tr>
      <w:tr w:rsidR="00E86BE2" w:rsidRPr="0010524E" w14:paraId="06C713DC" w14:textId="696BAECD" w:rsidTr="00E86BE2">
        <w:tc>
          <w:tcPr>
            <w:tcW w:w="4815" w:type="dxa"/>
          </w:tcPr>
          <w:p w14:paraId="03F254CD" w14:textId="77777777" w:rsidR="00E86BE2" w:rsidRPr="0010524E" w:rsidRDefault="00E86BE2" w:rsidP="00E86BE2">
            <w:pPr>
              <w:spacing w:after="120"/>
              <w:jc w:val="both"/>
              <w:rPr>
                <w:rFonts w:cstheme="minorHAnsi"/>
                <w:sz w:val="24"/>
                <w:szCs w:val="24"/>
              </w:rPr>
            </w:pPr>
            <w:r w:rsidRPr="0010524E">
              <w:rPr>
                <w:rFonts w:cstheme="minorHAnsi"/>
                <w:sz w:val="24"/>
                <w:szCs w:val="24"/>
              </w:rPr>
              <w:t>Dispõe</w:t>
            </w:r>
            <w:r w:rsidRPr="0010524E">
              <w:rPr>
                <w:rFonts w:cstheme="minorHAnsi"/>
                <w:sz w:val="24"/>
                <w:szCs w:val="24"/>
              </w:rPr>
              <w:tab/>
              <w:t>sobre normas</w:t>
            </w:r>
            <w:r w:rsidRPr="0010524E">
              <w:rPr>
                <w:rFonts w:cstheme="minorHAnsi"/>
                <w:sz w:val="24"/>
                <w:szCs w:val="24"/>
              </w:rPr>
              <w:tab/>
              <w:t>procedimentais para o envio das estatísticas de população e de benefícios.</w:t>
            </w:r>
          </w:p>
        </w:tc>
        <w:tc>
          <w:tcPr>
            <w:tcW w:w="4849" w:type="dxa"/>
          </w:tcPr>
          <w:p w14:paraId="02ABEE74" w14:textId="77777777" w:rsidR="00E86BE2" w:rsidRPr="0010524E" w:rsidRDefault="00E86BE2" w:rsidP="00E86BE2">
            <w:pPr>
              <w:spacing w:after="120"/>
              <w:jc w:val="center"/>
              <w:rPr>
                <w:rFonts w:cstheme="minorHAnsi"/>
                <w:color w:val="4472C4" w:themeColor="accent1"/>
                <w:sz w:val="24"/>
                <w:szCs w:val="24"/>
              </w:rPr>
            </w:pPr>
          </w:p>
        </w:tc>
        <w:tc>
          <w:tcPr>
            <w:tcW w:w="4648" w:type="dxa"/>
          </w:tcPr>
          <w:p w14:paraId="18E7918A" w14:textId="77777777" w:rsidR="00E86BE2" w:rsidRPr="0010524E" w:rsidRDefault="00E86BE2" w:rsidP="00E86BE2">
            <w:pPr>
              <w:spacing w:after="120"/>
              <w:jc w:val="both"/>
              <w:rPr>
                <w:rFonts w:cstheme="minorHAnsi"/>
                <w:sz w:val="24"/>
                <w:szCs w:val="24"/>
              </w:rPr>
            </w:pPr>
          </w:p>
        </w:tc>
      </w:tr>
      <w:tr w:rsidR="00E86BE2" w:rsidRPr="0010524E" w14:paraId="45B71223" w14:textId="0D01440B" w:rsidTr="00E86BE2">
        <w:tc>
          <w:tcPr>
            <w:tcW w:w="4815" w:type="dxa"/>
          </w:tcPr>
          <w:p w14:paraId="1E51964C" w14:textId="77777777" w:rsidR="00E86BE2" w:rsidRPr="0010524E" w:rsidRDefault="00E86BE2" w:rsidP="00E86BE2">
            <w:pPr>
              <w:spacing w:after="120"/>
              <w:jc w:val="both"/>
              <w:rPr>
                <w:rFonts w:cstheme="minorHAnsi"/>
                <w:sz w:val="24"/>
                <w:szCs w:val="24"/>
              </w:rPr>
            </w:pPr>
            <w:r w:rsidRPr="0010524E">
              <w:rPr>
                <w:rFonts w:cstheme="minorHAnsi"/>
                <w:sz w:val="24"/>
                <w:szCs w:val="24"/>
              </w:rPr>
              <w:lastRenderedPageBreak/>
              <w:t xml:space="preserve">A DIRETORIA COLEGIADA DA SUPERINTENDÊNCIA NACIONAL DE PREVIDÊNCIA  COMPLEMENTAR - PREVIC, na sessão 536ª, realizada em 20 de abril de 2021, com fundamento no inciso III do art. 2º da Lei nº 12.154, de 23 de dezembro de 2009, inciso III do art. 2º e inciso VIII do art. 10 do Anexo I do Decreto nº 8.992, de 20 de fevereiro de 2017, em conformidade com o Inciso III do art. 2º do Decreto nº 10.139, de 28 de novembro de 2019. </w:t>
            </w:r>
          </w:p>
        </w:tc>
        <w:tc>
          <w:tcPr>
            <w:tcW w:w="4849" w:type="dxa"/>
          </w:tcPr>
          <w:p w14:paraId="3AFF9E01" w14:textId="77777777" w:rsidR="00E86BE2" w:rsidRPr="0010524E" w:rsidRDefault="00E86BE2" w:rsidP="00E86BE2">
            <w:pPr>
              <w:spacing w:after="120"/>
              <w:jc w:val="center"/>
              <w:rPr>
                <w:rFonts w:cstheme="minorHAnsi"/>
                <w:sz w:val="24"/>
                <w:szCs w:val="24"/>
              </w:rPr>
            </w:pPr>
          </w:p>
        </w:tc>
        <w:tc>
          <w:tcPr>
            <w:tcW w:w="4648" w:type="dxa"/>
          </w:tcPr>
          <w:p w14:paraId="7B5D4F45" w14:textId="77777777" w:rsidR="00E86BE2" w:rsidRPr="0010524E" w:rsidRDefault="00E86BE2" w:rsidP="00E86BE2">
            <w:pPr>
              <w:spacing w:after="120"/>
              <w:jc w:val="both"/>
              <w:rPr>
                <w:rFonts w:cstheme="minorHAnsi"/>
                <w:sz w:val="24"/>
                <w:szCs w:val="24"/>
              </w:rPr>
            </w:pPr>
            <w:r w:rsidRPr="0010524E">
              <w:rPr>
                <w:rFonts w:cstheme="minorHAnsi"/>
                <w:sz w:val="24"/>
                <w:szCs w:val="24"/>
              </w:rPr>
              <w:t>Excluído considerando o processo de consolidação normativa.</w:t>
            </w:r>
          </w:p>
        </w:tc>
      </w:tr>
      <w:tr w:rsidR="00E86BE2" w:rsidRPr="0010524E" w14:paraId="6EAD5317" w14:textId="710B74A5" w:rsidTr="00E86BE2">
        <w:tc>
          <w:tcPr>
            <w:tcW w:w="4815" w:type="dxa"/>
          </w:tcPr>
          <w:p w14:paraId="1B3F9D29" w14:textId="77777777" w:rsidR="00E86BE2" w:rsidRPr="0010524E" w:rsidRDefault="00E86BE2" w:rsidP="00E86BE2">
            <w:pPr>
              <w:spacing w:after="120"/>
              <w:jc w:val="both"/>
              <w:rPr>
                <w:rFonts w:cstheme="minorHAnsi"/>
                <w:sz w:val="24"/>
                <w:szCs w:val="24"/>
              </w:rPr>
            </w:pPr>
            <w:bookmarkStart w:id="134" w:name="_Hlk138923931"/>
            <w:r w:rsidRPr="0010524E">
              <w:rPr>
                <w:rFonts w:cstheme="minorHAnsi"/>
                <w:b/>
                <w:bCs/>
                <w:sz w:val="24"/>
                <w:szCs w:val="24"/>
              </w:rPr>
              <w:t>Normas procedimentais para o envio das estatísticas de população e de benefícios</w:t>
            </w:r>
          </w:p>
        </w:tc>
        <w:tc>
          <w:tcPr>
            <w:tcW w:w="4849" w:type="dxa"/>
          </w:tcPr>
          <w:p w14:paraId="727CFC91" w14:textId="77777777" w:rsidR="00E86BE2" w:rsidRPr="0010524E" w:rsidRDefault="00E86BE2" w:rsidP="00E86BE2">
            <w:pPr>
              <w:spacing w:after="120"/>
              <w:jc w:val="center"/>
              <w:rPr>
                <w:rFonts w:cstheme="minorHAnsi"/>
                <w:b/>
                <w:color w:val="000000" w:themeColor="text1"/>
                <w:sz w:val="24"/>
                <w:szCs w:val="24"/>
              </w:rPr>
            </w:pPr>
            <w:r w:rsidRPr="0010524E">
              <w:rPr>
                <w:rFonts w:eastAsia="Times New Roman" w:cstheme="minorHAnsi"/>
                <w:b/>
                <w:color w:val="000000" w:themeColor="text1"/>
                <w:sz w:val="24"/>
                <w:szCs w:val="24"/>
                <w:lang w:eastAsia="pt-BR"/>
              </w:rPr>
              <w:t>Seção IV</w:t>
            </w:r>
          </w:p>
          <w:p w14:paraId="30A8DBEF" w14:textId="77777777" w:rsidR="00E86BE2" w:rsidRPr="0010524E" w:rsidRDefault="00E86BE2" w:rsidP="00E86BE2">
            <w:pPr>
              <w:spacing w:after="120"/>
              <w:jc w:val="center"/>
              <w:rPr>
                <w:sz w:val="24"/>
                <w:szCs w:val="24"/>
              </w:rPr>
            </w:pPr>
            <w:r w:rsidRPr="0010524E">
              <w:rPr>
                <w:rFonts w:ascii="Calibri" w:eastAsia="Calibri" w:hAnsi="Calibri" w:cs="Calibri"/>
                <w:b/>
                <w:bCs/>
                <w:sz w:val="24"/>
                <w:szCs w:val="24"/>
              </w:rPr>
              <w:t>Normas procedimentais para o envio das estatísticas de população e de benefícios</w:t>
            </w:r>
          </w:p>
          <w:p w14:paraId="4AFDC9D9" w14:textId="77777777" w:rsidR="00E86BE2" w:rsidRPr="0010524E" w:rsidRDefault="00E86BE2" w:rsidP="00E86BE2">
            <w:pPr>
              <w:spacing w:after="120"/>
              <w:jc w:val="center"/>
              <w:rPr>
                <w:rFonts w:cstheme="minorHAnsi"/>
                <w:sz w:val="24"/>
                <w:szCs w:val="24"/>
              </w:rPr>
            </w:pPr>
          </w:p>
        </w:tc>
        <w:tc>
          <w:tcPr>
            <w:tcW w:w="4648" w:type="dxa"/>
          </w:tcPr>
          <w:p w14:paraId="053573EF" w14:textId="162436B0" w:rsidR="00E86BE2" w:rsidRPr="0010524E" w:rsidRDefault="00E86BE2" w:rsidP="00E86BE2">
            <w:pPr>
              <w:spacing w:after="120"/>
              <w:jc w:val="both"/>
              <w:rPr>
                <w:rFonts w:cstheme="minorHAnsi"/>
                <w:sz w:val="24"/>
                <w:szCs w:val="24"/>
              </w:rPr>
            </w:pPr>
            <w:r w:rsidRPr="0010524E">
              <w:rPr>
                <w:rFonts w:cstheme="minorHAnsi"/>
                <w:sz w:val="24"/>
                <w:szCs w:val="24"/>
              </w:rPr>
              <w:t xml:space="preserve">Mudança do titulo da seção </w:t>
            </w:r>
          </w:p>
        </w:tc>
      </w:tr>
      <w:tr w:rsidR="00E86BE2" w:rsidRPr="0010524E" w14:paraId="0B1F15B9" w14:textId="51FF9A77" w:rsidTr="00E86BE2">
        <w:tc>
          <w:tcPr>
            <w:tcW w:w="4815" w:type="dxa"/>
          </w:tcPr>
          <w:p w14:paraId="0A598D33" w14:textId="77777777" w:rsidR="00E86BE2" w:rsidRPr="0010524E" w:rsidRDefault="00E86BE2" w:rsidP="00E86BE2">
            <w:pPr>
              <w:spacing w:after="120"/>
              <w:jc w:val="both"/>
              <w:rPr>
                <w:rFonts w:cstheme="minorHAnsi"/>
                <w:sz w:val="24"/>
                <w:szCs w:val="24"/>
              </w:rPr>
            </w:pPr>
            <w:r w:rsidRPr="0010524E">
              <w:rPr>
                <w:rFonts w:cstheme="minorHAnsi"/>
                <w:sz w:val="24"/>
                <w:szCs w:val="24"/>
              </w:rPr>
              <w:t>Art. 1º As entidades fechadas de previdência complementar (EFPC) deverão observar o disposto nesta Instrução para o envio das estatísticas populacionais e de benefícios dos planos administrados para esta Superintendência Nacional de Previdência Complementar (Previc).</w:t>
            </w:r>
          </w:p>
        </w:tc>
        <w:tc>
          <w:tcPr>
            <w:tcW w:w="4849" w:type="dxa"/>
          </w:tcPr>
          <w:p w14:paraId="288A8A1D" w14:textId="1956EFC3" w:rsidR="00E86BE2" w:rsidRPr="0010524E" w:rsidRDefault="00E86BE2" w:rsidP="00E86BE2">
            <w:pPr>
              <w:spacing w:after="120"/>
              <w:jc w:val="both"/>
              <w:rPr>
                <w:rFonts w:cstheme="minorHAnsi"/>
                <w:sz w:val="24"/>
                <w:szCs w:val="24"/>
              </w:rPr>
            </w:pPr>
            <w:r w:rsidRPr="00793262">
              <w:rPr>
                <w:rFonts w:ascii="Calibri" w:eastAsia="Calibri" w:hAnsi="Calibri" w:cs="Calibri"/>
                <w:strike/>
                <w:sz w:val="24"/>
                <w:szCs w:val="24"/>
                <w:highlight w:val="yellow"/>
              </w:rPr>
              <w:t>Art. 415</w:t>
            </w:r>
            <w:r w:rsidRPr="0010524E">
              <w:rPr>
                <w:rFonts w:ascii="Calibri" w:eastAsia="Calibri" w:hAnsi="Calibri" w:cs="Calibri"/>
                <w:sz w:val="24"/>
                <w:szCs w:val="24"/>
              </w:rPr>
              <w:t>.</w:t>
            </w:r>
            <w:r>
              <w:rPr>
                <w:rFonts w:ascii="Calibri" w:eastAsia="Calibri" w:hAnsi="Calibri" w:cs="Calibri"/>
                <w:sz w:val="24"/>
                <w:szCs w:val="24"/>
              </w:rPr>
              <w:t xml:space="preserve"> Art. 414.</w:t>
            </w:r>
            <w:r w:rsidRPr="0010524E">
              <w:rPr>
                <w:rFonts w:ascii="Calibri" w:eastAsia="Calibri" w:hAnsi="Calibri" w:cs="Calibri"/>
                <w:sz w:val="24"/>
                <w:szCs w:val="24"/>
              </w:rPr>
              <w:t xml:space="preserve">  As EFPC devem observar o disposto nesta Seção para o envio das estatísticas populacionais e de benefícios dos planos administrados para esta Previc.</w:t>
            </w:r>
          </w:p>
        </w:tc>
        <w:tc>
          <w:tcPr>
            <w:tcW w:w="4648" w:type="dxa"/>
          </w:tcPr>
          <w:p w14:paraId="65E130EE" w14:textId="77777777" w:rsidR="00E86BE2" w:rsidRPr="0010524E" w:rsidRDefault="00E86BE2" w:rsidP="00E86BE2">
            <w:pPr>
              <w:spacing w:after="120"/>
              <w:jc w:val="both"/>
              <w:rPr>
                <w:rFonts w:cstheme="minorHAnsi"/>
                <w:sz w:val="24"/>
                <w:szCs w:val="24"/>
              </w:rPr>
            </w:pPr>
            <w:r w:rsidRPr="0010524E">
              <w:rPr>
                <w:rFonts w:cstheme="minorHAnsi"/>
                <w:sz w:val="24"/>
                <w:szCs w:val="24"/>
              </w:rPr>
              <w:t>Melhoria redacional a fim de promover a consolidação normativa.</w:t>
            </w:r>
          </w:p>
        </w:tc>
      </w:tr>
      <w:tr w:rsidR="00E86BE2" w:rsidRPr="0010524E" w14:paraId="1D3BF323" w14:textId="02797FB8" w:rsidTr="00E86BE2">
        <w:tc>
          <w:tcPr>
            <w:tcW w:w="4815" w:type="dxa"/>
          </w:tcPr>
          <w:p w14:paraId="429105F7"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 xml:space="preserve">Art. 2º A EFPC, ao encaminhar o Demonstrativo Estatístico (DE) e o Demonstrativo de Sexo e Idade (DSI), deverá submeter as informações de </w:t>
            </w:r>
            <w:r w:rsidRPr="0010524E">
              <w:rPr>
                <w:rFonts w:cstheme="minorHAnsi"/>
                <w:sz w:val="24"/>
                <w:szCs w:val="24"/>
              </w:rPr>
              <w:lastRenderedPageBreak/>
              <w:t>forma consolidada, segregada pelos planos de benefícios de caráter previdenciário.</w:t>
            </w:r>
          </w:p>
        </w:tc>
        <w:tc>
          <w:tcPr>
            <w:tcW w:w="4849" w:type="dxa"/>
          </w:tcPr>
          <w:p w14:paraId="509EB191" w14:textId="030F3893" w:rsidR="00E86BE2" w:rsidRPr="0010524E" w:rsidRDefault="00E86BE2" w:rsidP="00E86BE2">
            <w:pPr>
              <w:spacing w:before="120" w:after="120"/>
              <w:jc w:val="both"/>
              <w:rPr>
                <w:rFonts w:cstheme="minorHAnsi"/>
                <w:sz w:val="24"/>
                <w:szCs w:val="24"/>
              </w:rPr>
            </w:pPr>
            <w:r w:rsidRPr="00972221">
              <w:rPr>
                <w:rFonts w:ascii="Calibri" w:eastAsia="Calibri" w:hAnsi="Calibri" w:cs="Calibri"/>
                <w:sz w:val="24"/>
                <w:szCs w:val="24"/>
                <w:highlight w:val="yellow"/>
              </w:rPr>
              <w:lastRenderedPageBreak/>
              <w:t>Art. 415</w:t>
            </w:r>
            <w:r w:rsidRPr="00972221">
              <w:rPr>
                <w:rFonts w:ascii="Calibri" w:eastAsia="Calibri" w:hAnsi="Calibri" w:cs="Calibri"/>
                <w:strike/>
                <w:sz w:val="24"/>
                <w:szCs w:val="24"/>
                <w:highlight w:val="yellow"/>
              </w:rPr>
              <w:t>414</w:t>
            </w:r>
            <w:r w:rsidRPr="0010524E">
              <w:rPr>
                <w:rFonts w:ascii="Calibri" w:eastAsia="Calibri" w:hAnsi="Calibri" w:cs="Calibri"/>
                <w:sz w:val="24"/>
                <w:szCs w:val="24"/>
              </w:rPr>
              <w:t xml:space="preserve">.  A EFPC, ao encaminhar o demonstrativo estatístico e o demonstrativo de sexo e idade, deve submeter as informações de </w:t>
            </w:r>
            <w:r w:rsidRPr="0010524E">
              <w:rPr>
                <w:rFonts w:ascii="Calibri" w:eastAsia="Calibri" w:hAnsi="Calibri" w:cs="Calibri"/>
                <w:sz w:val="24"/>
                <w:szCs w:val="24"/>
              </w:rPr>
              <w:lastRenderedPageBreak/>
              <w:t>forma consolidada, segregada pelos planos de benefícios de caráter previdenciário</w:t>
            </w:r>
          </w:p>
        </w:tc>
        <w:tc>
          <w:tcPr>
            <w:tcW w:w="4648" w:type="dxa"/>
          </w:tcPr>
          <w:p w14:paraId="730EE389" w14:textId="77777777" w:rsidR="00E86BE2" w:rsidRPr="0010524E" w:rsidRDefault="00E86BE2" w:rsidP="00E86BE2">
            <w:pPr>
              <w:spacing w:before="120" w:after="120"/>
              <w:jc w:val="both"/>
              <w:rPr>
                <w:rFonts w:cstheme="minorHAnsi"/>
                <w:sz w:val="24"/>
                <w:szCs w:val="24"/>
              </w:rPr>
            </w:pPr>
          </w:p>
        </w:tc>
      </w:tr>
      <w:tr w:rsidR="00E86BE2" w:rsidRPr="0010524E" w14:paraId="418D0AE2" w14:textId="593A9578" w:rsidTr="00E86BE2">
        <w:tc>
          <w:tcPr>
            <w:tcW w:w="4815" w:type="dxa"/>
          </w:tcPr>
          <w:p w14:paraId="1FEB3CA4"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Parágrafo único. Para as informações consolidadas, cada participante deverá ser contabilizado uma única vez, independentemente de participar de mais de um plano de benefícios da entidade.</w:t>
            </w:r>
          </w:p>
        </w:tc>
        <w:tc>
          <w:tcPr>
            <w:tcW w:w="4849" w:type="dxa"/>
          </w:tcPr>
          <w:p w14:paraId="1E821887" w14:textId="27DFDD42" w:rsidR="00E86BE2" w:rsidRPr="0010524E" w:rsidRDefault="00E86BE2" w:rsidP="00E86BE2">
            <w:pPr>
              <w:spacing w:before="120" w:after="120"/>
              <w:jc w:val="both"/>
              <w:rPr>
                <w:rFonts w:cstheme="minorHAnsi"/>
                <w:sz w:val="24"/>
                <w:szCs w:val="24"/>
              </w:rPr>
            </w:pPr>
            <w:r w:rsidRPr="0010524E">
              <w:rPr>
                <w:rFonts w:ascii="Calibri" w:eastAsia="Calibri" w:hAnsi="Calibri" w:cs="Calibri"/>
                <w:sz w:val="24"/>
                <w:szCs w:val="24"/>
              </w:rPr>
              <w:t>Parágrafo único. Para as informações consolidadas, cada participante deve ser contabilizado uma única vez, independentemente de participar de mais de um plano de benefícios da entidade.</w:t>
            </w:r>
          </w:p>
        </w:tc>
        <w:tc>
          <w:tcPr>
            <w:tcW w:w="4648" w:type="dxa"/>
          </w:tcPr>
          <w:p w14:paraId="7FF3A850"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Ajuste tempo verbal.</w:t>
            </w:r>
          </w:p>
        </w:tc>
      </w:tr>
      <w:tr w:rsidR="00E86BE2" w:rsidRPr="0010524E" w14:paraId="03CBB05F" w14:textId="058F17BA" w:rsidTr="00E86BE2">
        <w:tc>
          <w:tcPr>
            <w:tcW w:w="4815" w:type="dxa"/>
          </w:tcPr>
          <w:p w14:paraId="5AE769D3"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Art. 3º O Demonstrativo Estatístico (DE) terá periodicidade semestral e deverá:</w:t>
            </w:r>
          </w:p>
        </w:tc>
        <w:tc>
          <w:tcPr>
            <w:tcW w:w="4849" w:type="dxa"/>
          </w:tcPr>
          <w:p w14:paraId="7AD3A8CD" w14:textId="080AA4E4" w:rsidR="00E86BE2" w:rsidRPr="0010524E" w:rsidRDefault="00E86BE2" w:rsidP="00E86BE2">
            <w:pPr>
              <w:spacing w:before="120" w:after="120"/>
              <w:jc w:val="both"/>
              <w:rPr>
                <w:rFonts w:cstheme="minorHAnsi"/>
                <w:sz w:val="24"/>
                <w:szCs w:val="24"/>
              </w:rPr>
            </w:pPr>
            <w:r w:rsidRPr="00972221">
              <w:rPr>
                <w:rFonts w:ascii="Calibri" w:eastAsia="Calibri" w:hAnsi="Calibri" w:cs="Calibri"/>
                <w:sz w:val="24"/>
                <w:szCs w:val="24"/>
                <w:highlight w:val="yellow"/>
              </w:rPr>
              <w:t>Art. 416</w:t>
            </w:r>
            <w:r w:rsidRPr="00972221">
              <w:rPr>
                <w:rFonts w:ascii="Calibri" w:eastAsia="Calibri" w:hAnsi="Calibri" w:cs="Calibri"/>
                <w:strike/>
                <w:sz w:val="24"/>
                <w:szCs w:val="24"/>
                <w:highlight w:val="yellow"/>
              </w:rPr>
              <w:t>415</w:t>
            </w:r>
            <w:r w:rsidRPr="0010524E">
              <w:rPr>
                <w:rFonts w:ascii="Calibri" w:eastAsia="Calibri" w:hAnsi="Calibri" w:cs="Calibri"/>
                <w:sz w:val="24"/>
                <w:szCs w:val="24"/>
              </w:rPr>
              <w:t>.  O demonstrativo estatístico tem periodicidade semestral e deve:</w:t>
            </w:r>
          </w:p>
        </w:tc>
        <w:tc>
          <w:tcPr>
            <w:tcW w:w="4648" w:type="dxa"/>
          </w:tcPr>
          <w:p w14:paraId="24FFC8EB"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Ajuste tempo verbal.</w:t>
            </w:r>
          </w:p>
        </w:tc>
      </w:tr>
      <w:tr w:rsidR="00E86BE2" w:rsidRPr="0010524E" w14:paraId="74C7F83D" w14:textId="27C7217C" w:rsidTr="00E86BE2">
        <w:tc>
          <w:tcPr>
            <w:tcW w:w="4815" w:type="dxa"/>
          </w:tcPr>
          <w:p w14:paraId="3839ED8D"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I - consolidar as informações de população e de benefícios relativas aos meses do semestre de referência;</w:t>
            </w:r>
          </w:p>
        </w:tc>
        <w:tc>
          <w:tcPr>
            <w:tcW w:w="4849" w:type="dxa"/>
          </w:tcPr>
          <w:p w14:paraId="215B072D" w14:textId="716ED306" w:rsidR="00E86BE2" w:rsidRPr="0010524E" w:rsidRDefault="00E86BE2" w:rsidP="00E86BE2">
            <w:pPr>
              <w:spacing w:before="120" w:after="120"/>
              <w:jc w:val="both"/>
              <w:rPr>
                <w:rFonts w:cstheme="minorHAnsi"/>
                <w:sz w:val="24"/>
                <w:szCs w:val="24"/>
              </w:rPr>
            </w:pPr>
            <w:r w:rsidRPr="0010524E">
              <w:rPr>
                <w:rFonts w:ascii="Calibri" w:eastAsia="Calibri" w:hAnsi="Calibri" w:cs="Calibri"/>
                <w:sz w:val="24"/>
                <w:szCs w:val="24"/>
              </w:rPr>
              <w:t>I - consolidar as informações de população e de benefícios relativas aos meses do semestre de referência;</w:t>
            </w:r>
          </w:p>
        </w:tc>
        <w:tc>
          <w:tcPr>
            <w:tcW w:w="4648" w:type="dxa"/>
          </w:tcPr>
          <w:p w14:paraId="3C2F11BB" w14:textId="77777777" w:rsidR="00E86BE2" w:rsidRPr="0010524E" w:rsidRDefault="00E86BE2" w:rsidP="00E86BE2">
            <w:pPr>
              <w:spacing w:before="120" w:after="120"/>
              <w:jc w:val="both"/>
              <w:rPr>
                <w:rFonts w:cstheme="minorHAnsi"/>
                <w:sz w:val="24"/>
                <w:szCs w:val="24"/>
              </w:rPr>
            </w:pPr>
          </w:p>
        </w:tc>
      </w:tr>
      <w:tr w:rsidR="00E86BE2" w:rsidRPr="0010524E" w14:paraId="6863E33D" w14:textId="78CFACBE" w:rsidTr="00E86BE2">
        <w:tc>
          <w:tcPr>
            <w:tcW w:w="4815" w:type="dxa"/>
          </w:tcPr>
          <w:p w14:paraId="368B3D0A"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II - ser enviado até o último dia do mês de agosto do ano corrente, com dados relativos aos meses do primeiro semestre;</w:t>
            </w:r>
          </w:p>
        </w:tc>
        <w:tc>
          <w:tcPr>
            <w:tcW w:w="4849" w:type="dxa"/>
          </w:tcPr>
          <w:p w14:paraId="16B16C4C" w14:textId="4E89B52D" w:rsidR="00E86BE2" w:rsidRPr="0010524E" w:rsidRDefault="00E86BE2" w:rsidP="00E86BE2">
            <w:pPr>
              <w:spacing w:before="120" w:after="120"/>
              <w:jc w:val="both"/>
              <w:rPr>
                <w:rFonts w:cstheme="minorHAnsi"/>
                <w:sz w:val="24"/>
                <w:szCs w:val="24"/>
              </w:rPr>
            </w:pPr>
            <w:r w:rsidRPr="0010524E">
              <w:rPr>
                <w:rFonts w:ascii="Calibri" w:eastAsia="Calibri" w:hAnsi="Calibri" w:cs="Calibri"/>
                <w:sz w:val="24"/>
                <w:szCs w:val="24"/>
              </w:rPr>
              <w:t>II - ser enviado até o último dia do mês de agosto do ano corrente, com dados relativos aos meses do primeiro semestre;</w:t>
            </w:r>
          </w:p>
        </w:tc>
        <w:tc>
          <w:tcPr>
            <w:tcW w:w="4648" w:type="dxa"/>
          </w:tcPr>
          <w:p w14:paraId="2F9453E9" w14:textId="77777777" w:rsidR="00E86BE2" w:rsidRPr="0010524E" w:rsidRDefault="00E86BE2" w:rsidP="00E86BE2">
            <w:pPr>
              <w:spacing w:before="120" w:after="120"/>
              <w:jc w:val="both"/>
              <w:rPr>
                <w:rFonts w:cstheme="minorHAnsi"/>
                <w:sz w:val="24"/>
                <w:szCs w:val="24"/>
              </w:rPr>
            </w:pPr>
          </w:p>
        </w:tc>
      </w:tr>
      <w:tr w:rsidR="00E86BE2" w:rsidRPr="0010524E" w14:paraId="0209E859" w14:textId="232EF7EC" w:rsidTr="00E86BE2">
        <w:tc>
          <w:tcPr>
            <w:tcW w:w="4815" w:type="dxa"/>
          </w:tcPr>
          <w:p w14:paraId="5B1193F1"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III - ser enviado até o último dia do mês de fevereiro do ano subsequente, com dados relativos aos meses do segundo semestre.</w:t>
            </w:r>
          </w:p>
        </w:tc>
        <w:tc>
          <w:tcPr>
            <w:tcW w:w="4849" w:type="dxa"/>
          </w:tcPr>
          <w:p w14:paraId="4C657D43" w14:textId="38C78084" w:rsidR="00E86BE2" w:rsidRPr="0010524E" w:rsidRDefault="00E86BE2" w:rsidP="00E86BE2">
            <w:pPr>
              <w:spacing w:before="120" w:after="120"/>
              <w:jc w:val="both"/>
              <w:rPr>
                <w:rFonts w:cstheme="minorHAnsi"/>
                <w:sz w:val="24"/>
                <w:szCs w:val="24"/>
              </w:rPr>
            </w:pPr>
            <w:r w:rsidRPr="0010524E">
              <w:rPr>
                <w:rFonts w:ascii="Calibri" w:eastAsia="Calibri" w:hAnsi="Calibri" w:cs="Calibri"/>
                <w:sz w:val="24"/>
                <w:szCs w:val="24"/>
              </w:rPr>
              <w:t>III - ser enviado até o último dia do mês de fevereiro do ano subsequente, com dados relativos aos meses do segundo semestre.</w:t>
            </w:r>
          </w:p>
        </w:tc>
        <w:tc>
          <w:tcPr>
            <w:tcW w:w="4648" w:type="dxa"/>
          </w:tcPr>
          <w:p w14:paraId="6C833EB7" w14:textId="77777777" w:rsidR="00E86BE2" w:rsidRPr="0010524E" w:rsidRDefault="00E86BE2" w:rsidP="00E86BE2">
            <w:pPr>
              <w:spacing w:before="120" w:after="120"/>
              <w:jc w:val="both"/>
              <w:rPr>
                <w:rFonts w:cstheme="minorHAnsi"/>
                <w:sz w:val="24"/>
                <w:szCs w:val="24"/>
              </w:rPr>
            </w:pPr>
          </w:p>
        </w:tc>
      </w:tr>
      <w:tr w:rsidR="00E86BE2" w:rsidRPr="0010524E" w14:paraId="54828825" w14:textId="34F29247" w:rsidTr="00E86BE2">
        <w:tc>
          <w:tcPr>
            <w:tcW w:w="4815" w:type="dxa"/>
          </w:tcPr>
          <w:p w14:paraId="5123472B"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Art. 4º O Demonstrativo de Sexo e Idade (DSI) terá periodicidade anual, sendo o mês de dezembro a data de referência, e deverá:</w:t>
            </w:r>
          </w:p>
        </w:tc>
        <w:tc>
          <w:tcPr>
            <w:tcW w:w="4849" w:type="dxa"/>
          </w:tcPr>
          <w:p w14:paraId="516E163D" w14:textId="0DCC40A8" w:rsidR="00E86BE2" w:rsidRPr="0010524E" w:rsidRDefault="00E86BE2" w:rsidP="00E86BE2">
            <w:pPr>
              <w:spacing w:before="120" w:after="120"/>
              <w:jc w:val="both"/>
              <w:rPr>
                <w:rFonts w:cstheme="minorHAnsi"/>
                <w:sz w:val="24"/>
                <w:szCs w:val="24"/>
              </w:rPr>
            </w:pPr>
            <w:r w:rsidRPr="00972221">
              <w:rPr>
                <w:rFonts w:ascii="Calibri" w:eastAsia="Calibri" w:hAnsi="Calibri" w:cs="Calibri"/>
                <w:sz w:val="24"/>
                <w:szCs w:val="24"/>
                <w:highlight w:val="yellow"/>
              </w:rPr>
              <w:t xml:space="preserve">Art. </w:t>
            </w:r>
            <w:r>
              <w:rPr>
                <w:rFonts w:ascii="Calibri" w:eastAsia="Calibri" w:hAnsi="Calibri" w:cs="Calibri"/>
                <w:sz w:val="24"/>
                <w:szCs w:val="24"/>
                <w:highlight w:val="yellow"/>
              </w:rPr>
              <w:t>417</w:t>
            </w:r>
            <w:r w:rsidRPr="00972221">
              <w:rPr>
                <w:rFonts w:ascii="Calibri" w:eastAsia="Calibri" w:hAnsi="Calibri" w:cs="Calibri"/>
                <w:strike/>
                <w:sz w:val="24"/>
                <w:szCs w:val="24"/>
                <w:highlight w:val="yellow"/>
              </w:rPr>
              <w:t>416</w:t>
            </w:r>
            <w:r w:rsidRPr="0010524E">
              <w:rPr>
                <w:rFonts w:ascii="Calibri" w:eastAsia="Calibri" w:hAnsi="Calibri" w:cs="Calibri"/>
                <w:sz w:val="24"/>
                <w:szCs w:val="24"/>
              </w:rPr>
              <w:t>.  O demonstrativo de sexo e idade tem periodicidade anual, sendo o mês de dezembro a data de referência, e deve:</w:t>
            </w:r>
          </w:p>
        </w:tc>
        <w:tc>
          <w:tcPr>
            <w:tcW w:w="4648" w:type="dxa"/>
          </w:tcPr>
          <w:p w14:paraId="0757F5EF" w14:textId="77777777" w:rsidR="00E86BE2" w:rsidRPr="0010524E" w:rsidRDefault="00E86BE2" w:rsidP="00E86BE2">
            <w:pPr>
              <w:spacing w:before="120" w:after="120"/>
              <w:jc w:val="both"/>
              <w:rPr>
                <w:rFonts w:cstheme="minorHAnsi"/>
                <w:sz w:val="24"/>
                <w:szCs w:val="24"/>
              </w:rPr>
            </w:pPr>
          </w:p>
        </w:tc>
      </w:tr>
      <w:tr w:rsidR="00E86BE2" w:rsidRPr="0010524E" w14:paraId="26851596" w14:textId="069C7677" w:rsidTr="00E86BE2">
        <w:tc>
          <w:tcPr>
            <w:tcW w:w="4815" w:type="dxa"/>
          </w:tcPr>
          <w:p w14:paraId="2EADE7BB"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lastRenderedPageBreak/>
              <w:t>I</w:t>
            </w:r>
            <w:r w:rsidRPr="0010524E">
              <w:rPr>
                <w:rFonts w:cstheme="minorHAnsi"/>
                <w:sz w:val="24"/>
                <w:szCs w:val="24"/>
              </w:rPr>
              <w:tab/>
              <w:t>- conter informações populacionais consistentes com aquelas constantes no Demonstrativo Estatístico (DE) referente ao segundo semestre;</w:t>
            </w:r>
          </w:p>
        </w:tc>
        <w:tc>
          <w:tcPr>
            <w:tcW w:w="4849" w:type="dxa"/>
          </w:tcPr>
          <w:p w14:paraId="609FC72D" w14:textId="286EC986" w:rsidR="00E86BE2" w:rsidRPr="0010524E" w:rsidRDefault="00E86BE2" w:rsidP="00E86BE2">
            <w:pPr>
              <w:spacing w:before="120" w:after="120"/>
              <w:jc w:val="both"/>
              <w:rPr>
                <w:rFonts w:cstheme="minorHAnsi"/>
                <w:sz w:val="24"/>
                <w:szCs w:val="24"/>
              </w:rPr>
            </w:pPr>
            <w:r w:rsidRPr="0010524E">
              <w:rPr>
                <w:rFonts w:ascii="Calibri" w:eastAsia="Calibri" w:hAnsi="Calibri" w:cs="Calibri"/>
                <w:sz w:val="24"/>
                <w:szCs w:val="24"/>
              </w:rPr>
              <w:t>I - conter informações populacionais consistentes com aquelas constantes no demonstrativo estatístico referente ao segundo semestre;</w:t>
            </w:r>
          </w:p>
        </w:tc>
        <w:tc>
          <w:tcPr>
            <w:tcW w:w="4648" w:type="dxa"/>
          </w:tcPr>
          <w:p w14:paraId="6CA8E5CF" w14:textId="77777777" w:rsidR="00E86BE2" w:rsidRPr="0010524E" w:rsidRDefault="00E86BE2" w:rsidP="00E86BE2">
            <w:pPr>
              <w:spacing w:before="120" w:after="120"/>
              <w:jc w:val="both"/>
              <w:rPr>
                <w:rFonts w:cstheme="minorHAnsi"/>
                <w:sz w:val="24"/>
                <w:szCs w:val="24"/>
              </w:rPr>
            </w:pPr>
          </w:p>
        </w:tc>
      </w:tr>
      <w:tr w:rsidR="00E86BE2" w:rsidRPr="0010524E" w14:paraId="0074FE60" w14:textId="3C32163F" w:rsidTr="00E86BE2">
        <w:tc>
          <w:tcPr>
            <w:tcW w:w="4815" w:type="dxa"/>
          </w:tcPr>
          <w:p w14:paraId="5A99D7CF"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II</w:t>
            </w:r>
            <w:r w:rsidRPr="0010524E">
              <w:rPr>
                <w:rFonts w:cstheme="minorHAnsi"/>
                <w:sz w:val="24"/>
                <w:szCs w:val="24"/>
              </w:rPr>
              <w:tab/>
              <w:t>- ser enviado até o último dia do mês de fevereiro do ano subsequente.</w:t>
            </w:r>
          </w:p>
        </w:tc>
        <w:tc>
          <w:tcPr>
            <w:tcW w:w="4849" w:type="dxa"/>
          </w:tcPr>
          <w:p w14:paraId="5AF90281" w14:textId="59DA6657" w:rsidR="00E86BE2" w:rsidRPr="0010524E" w:rsidRDefault="00E86BE2" w:rsidP="00E86BE2">
            <w:pPr>
              <w:spacing w:before="120" w:after="120"/>
              <w:jc w:val="both"/>
              <w:rPr>
                <w:rFonts w:cstheme="minorHAnsi"/>
                <w:sz w:val="24"/>
                <w:szCs w:val="24"/>
              </w:rPr>
            </w:pPr>
            <w:r w:rsidRPr="0010524E">
              <w:rPr>
                <w:rFonts w:ascii="Calibri" w:eastAsia="Calibri" w:hAnsi="Calibri" w:cs="Calibri"/>
                <w:sz w:val="24"/>
                <w:szCs w:val="24"/>
              </w:rPr>
              <w:t>II - ser enviado até o último dia do mês de fevereiro do ano subsequente.</w:t>
            </w:r>
          </w:p>
        </w:tc>
        <w:tc>
          <w:tcPr>
            <w:tcW w:w="4648" w:type="dxa"/>
          </w:tcPr>
          <w:p w14:paraId="1DE1F4B1" w14:textId="77777777" w:rsidR="00E86BE2" w:rsidRPr="0010524E" w:rsidRDefault="00E86BE2" w:rsidP="00E86BE2">
            <w:pPr>
              <w:spacing w:before="120" w:after="120"/>
              <w:jc w:val="both"/>
              <w:rPr>
                <w:rFonts w:cstheme="minorHAnsi"/>
                <w:sz w:val="24"/>
                <w:szCs w:val="24"/>
              </w:rPr>
            </w:pPr>
          </w:p>
        </w:tc>
      </w:tr>
      <w:tr w:rsidR="00E86BE2" w:rsidRPr="0010524E" w14:paraId="05AB08B1" w14:textId="6522E388" w:rsidTr="00E86BE2">
        <w:tc>
          <w:tcPr>
            <w:tcW w:w="4815" w:type="dxa"/>
          </w:tcPr>
          <w:p w14:paraId="234F54B6"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 xml:space="preserve">Art. 5º A EFPC deverá manter base de dados cadastrais própria com informações atualizadas, conﬁáveis, seguras e segregadas por plano de benefícios, independentemente da </w:t>
            </w:r>
          </w:p>
          <w:p w14:paraId="3571878F"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obrigatoriedade de envio de dados à PREVIC.</w:t>
            </w:r>
          </w:p>
        </w:tc>
        <w:tc>
          <w:tcPr>
            <w:tcW w:w="4849" w:type="dxa"/>
          </w:tcPr>
          <w:p w14:paraId="5F6A5C31" w14:textId="70F38230" w:rsidR="00E86BE2" w:rsidRPr="0010524E" w:rsidRDefault="00E86BE2" w:rsidP="00E86BE2">
            <w:pPr>
              <w:spacing w:before="120" w:after="120"/>
              <w:jc w:val="both"/>
              <w:rPr>
                <w:rFonts w:cstheme="minorHAnsi"/>
                <w:sz w:val="24"/>
                <w:szCs w:val="24"/>
              </w:rPr>
            </w:pPr>
            <w:r w:rsidRPr="00972221">
              <w:rPr>
                <w:rFonts w:ascii="Calibri" w:eastAsia="Calibri" w:hAnsi="Calibri" w:cs="Calibri"/>
                <w:sz w:val="24"/>
                <w:szCs w:val="24"/>
                <w:highlight w:val="yellow"/>
              </w:rPr>
              <w:t>Art. 418</w:t>
            </w:r>
            <w:r w:rsidRPr="00972221">
              <w:rPr>
                <w:rFonts w:ascii="Calibri" w:eastAsia="Calibri" w:hAnsi="Calibri" w:cs="Calibri"/>
                <w:strike/>
                <w:sz w:val="24"/>
                <w:szCs w:val="24"/>
                <w:highlight w:val="yellow"/>
              </w:rPr>
              <w:t>417</w:t>
            </w:r>
            <w:r w:rsidRPr="0010524E">
              <w:rPr>
                <w:rFonts w:ascii="Calibri" w:eastAsia="Calibri" w:hAnsi="Calibri" w:cs="Calibri"/>
                <w:sz w:val="24"/>
                <w:szCs w:val="24"/>
              </w:rPr>
              <w:t>.  A EFPC deve manter base de dados cadastrais própria com informações atualizadas, conﬁáveis, seguras e segregadas por plano de benefícios, independentemente da obrigatoriedade de envio de dados à Previc</w:t>
            </w:r>
          </w:p>
        </w:tc>
        <w:tc>
          <w:tcPr>
            <w:tcW w:w="4648" w:type="dxa"/>
          </w:tcPr>
          <w:p w14:paraId="0E5FA0DD"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Ajuste redacional.</w:t>
            </w:r>
          </w:p>
        </w:tc>
      </w:tr>
      <w:tr w:rsidR="00E86BE2" w:rsidRPr="0010524E" w14:paraId="564A92F5" w14:textId="6C8F84ED" w:rsidTr="00E86BE2">
        <w:tc>
          <w:tcPr>
            <w:tcW w:w="4815" w:type="dxa"/>
          </w:tcPr>
          <w:p w14:paraId="0D792FF1"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Art. 6º As EFPC que se encontrem sob administração especial com poderes de liquidação extrajudicial, sem atividades ou com pendência para cancelamento ﬁcarão dispensadas de encaminhar o DE e o DSI.</w:t>
            </w:r>
          </w:p>
        </w:tc>
        <w:tc>
          <w:tcPr>
            <w:tcW w:w="4849" w:type="dxa"/>
          </w:tcPr>
          <w:p w14:paraId="7D30E885" w14:textId="4F8C713B" w:rsidR="00E86BE2" w:rsidRPr="0010524E" w:rsidRDefault="00E86BE2" w:rsidP="00E86BE2">
            <w:pPr>
              <w:spacing w:before="120" w:after="120"/>
              <w:jc w:val="both"/>
              <w:rPr>
                <w:rFonts w:cstheme="minorHAnsi"/>
                <w:sz w:val="24"/>
                <w:szCs w:val="24"/>
              </w:rPr>
            </w:pPr>
            <w:r w:rsidRPr="00972221">
              <w:rPr>
                <w:rFonts w:ascii="Calibri" w:eastAsia="Calibri" w:hAnsi="Calibri" w:cs="Calibri"/>
                <w:sz w:val="24"/>
                <w:szCs w:val="24"/>
                <w:highlight w:val="yellow"/>
              </w:rPr>
              <w:t>Art. 419</w:t>
            </w:r>
            <w:r w:rsidRPr="00972221">
              <w:rPr>
                <w:rFonts w:ascii="Calibri" w:eastAsia="Calibri" w:hAnsi="Calibri" w:cs="Calibri"/>
                <w:strike/>
                <w:sz w:val="24"/>
                <w:szCs w:val="24"/>
                <w:highlight w:val="yellow"/>
              </w:rPr>
              <w:t>418</w:t>
            </w:r>
            <w:r w:rsidRPr="0010524E">
              <w:rPr>
                <w:rFonts w:ascii="Calibri" w:eastAsia="Calibri" w:hAnsi="Calibri" w:cs="Calibri"/>
                <w:sz w:val="24"/>
                <w:szCs w:val="24"/>
              </w:rPr>
              <w:t>.  As EFPC que se encontrem sob administração especial com poderes de liquidação extrajudicial, sem atividades ou com pendência para cancelamento ficam dispensadas de encaminhar o demonstrativo estatístico e o demonstrativo de sexo e idade</w:t>
            </w:r>
          </w:p>
        </w:tc>
        <w:tc>
          <w:tcPr>
            <w:tcW w:w="4648" w:type="dxa"/>
          </w:tcPr>
          <w:p w14:paraId="58552A74" w14:textId="77777777" w:rsidR="00E86BE2" w:rsidRPr="0010524E" w:rsidRDefault="00E86BE2" w:rsidP="00E86BE2">
            <w:pPr>
              <w:spacing w:before="120" w:after="120"/>
              <w:jc w:val="both"/>
              <w:rPr>
                <w:rFonts w:cstheme="minorHAnsi"/>
                <w:sz w:val="24"/>
                <w:szCs w:val="24"/>
              </w:rPr>
            </w:pPr>
          </w:p>
        </w:tc>
      </w:tr>
      <w:tr w:rsidR="00E86BE2" w:rsidRPr="0010524E" w14:paraId="004A1842" w14:textId="5A706ACB" w:rsidTr="00E86BE2">
        <w:tc>
          <w:tcPr>
            <w:tcW w:w="4815" w:type="dxa"/>
          </w:tcPr>
          <w:p w14:paraId="05F4B3A6"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Art. 7º A Diretoria de Licenciamento (Dilic) editará Portaria com as instruções para o preenchimento das estatísticas populacionais e de benefícios, para a execução do disposto nesta Instrução.</w:t>
            </w:r>
          </w:p>
        </w:tc>
        <w:tc>
          <w:tcPr>
            <w:tcW w:w="4849" w:type="dxa"/>
          </w:tcPr>
          <w:p w14:paraId="179C9756" w14:textId="77777777" w:rsidR="00E86BE2" w:rsidRPr="0010524E" w:rsidRDefault="00E86BE2" w:rsidP="00E86BE2">
            <w:pPr>
              <w:spacing w:before="120" w:after="120"/>
              <w:jc w:val="both"/>
              <w:rPr>
                <w:rFonts w:cstheme="minorHAnsi"/>
                <w:sz w:val="24"/>
                <w:szCs w:val="24"/>
              </w:rPr>
            </w:pPr>
          </w:p>
        </w:tc>
        <w:tc>
          <w:tcPr>
            <w:tcW w:w="4648" w:type="dxa"/>
          </w:tcPr>
          <w:p w14:paraId="6D668246"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Realocado art. 931 da proposta de consolidação</w:t>
            </w:r>
          </w:p>
          <w:p w14:paraId="10A0B4F0" w14:textId="77777777" w:rsidR="00E86BE2" w:rsidRPr="0010524E" w:rsidRDefault="00E86BE2" w:rsidP="00E86BE2">
            <w:pPr>
              <w:spacing w:before="120" w:after="120"/>
              <w:jc w:val="both"/>
              <w:rPr>
                <w:rFonts w:cstheme="minorHAnsi"/>
                <w:sz w:val="24"/>
                <w:szCs w:val="24"/>
              </w:rPr>
            </w:pPr>
          </w:p>
        </w:tc>
      </w:tr>
      <w:bookmarkEnd w:id="129"/>
      <w:tr w:rsidR="00E86BE2" w:rsidRPr="0010524E" w14:paraId="158443E4" w14:textId="7DDDA8CE" w:rsidTr="00E86BE2">
        <w:tc>
          <w:tcPr>
            <w:tcW w:w="4815" w:type="dxa"/>
          </w:tcPr>
          <w:p w14:paraId="359150E0"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lastRenderedPageBreak/>
              <w:t>Art. 8º Fica revogada a Instrução Normativa nº 24, de 5 de junho de 2008.</w:t>
            </w:r>
          </w:p>
        </w:tc>
        <w:tc>
          <w:tcPr>
            <w:tcW w:w="4849" w:type="dxa"/>
          </w:tcPr>
          <w:p w14:paraId="22D8845C" w14:textId="77777777" w:rsidR="00E86BE2" w:rsidRPr="0010524E" w:rsidRDefault="00E86BE2" w:rsidP="00E86BE2">
            <w:pPr>
              <w:spacing w:before="120" w:after="120"/>
              <w:jc w:val="center"/>
              <w:rPr>
                <w:rFonts w:cstheme="minorHAnsi"/>
                <w:sz w:val="24"/>
                <w:szCs w:val="24"/>
              </w:rPr>
            </w:pPr>
          </w:p>
        </w:tc>
        <w:tc>
          <w:tcPr>
            <w:tcW w:w="4648" w:type="dxa"/>
          </w:tcPr>
          <w:p w14:paraId="675A7D42"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Excluído considerando o processo de consolidação normativa.</w:t>
            </w:r>
          </w:p>
        </w:tc>
      </w:tr>
      <w:tr w:rsidR="00E86BE2" w:rsidRPr="0010524E" w14:paraId="433C817F" w14:textId="4D881809" w:rsidTr="00E86BE2">
        <w:tc>
          <w:tcPr>
            <w:tcW w:w="4815" w:type="dxa"/>
          </w:tcPr>
          <w:p w14:paraId="0E2D3F6C"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Art. 9º Esta Instrução entra em vigor a partir de primeiro dia útil de maio de 2021.</w:t>
            </w:r>
          </w:p>
        </w:tc>
        <w:tc>
          <w:tcPr>
            <w:tcW w:w="4849" w:type="dxa"/>
          </w:tcPr>
          <w:p w14:paraId="78E6D18C" w14:textId="2079F7E0" w:rsidR="00E86BE2" w:rsidRPr="0010524E" w:rsidRDefault="00E86BE2" w:rsidP="00E86BE2">
            <w:pPr>
              <w:tabs>
                <w:tab w:val="left" w:pos="1215"/>
              </w:tabs>
              <w:spacing w:before="120" w:after="120"/>
              <w:rPr>
                <w:rFonts w:cstheme="minorHAnsi"/>
                <w:sz w:val="24"/>
                <w:szCs w:val="24"/>
              </w:rPr>
            </w:pPr>
          </w:p>
        </w:tc>
        <w:tc>
          <w:tcPr>
            <w:tcW w:w="4648" w:type="dxa"/>
          </w:tcPr>
          <w:p w14:paraId="4A01D45B"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Excluído considerando o processo de consolidação normativa.</w:t>
            </w:r>
          </w:p>
        </w:tc>
      </w:tr>
      <w:tr w:rsidR="00E86BE2" w:rsidRPr="0010524E" w14:paraId="5400C17B" w14:textId="4EEAE57C" w:rsidTr="00E86BE2">
        <w:tc>
          <w:tcPr>
            <w:tcW w:w="4815" w:type="dxa"/>
          </w:tcPr>
          <w:p w14:paraId="0340C832" w14:textId="77777777" w:rsidR="00E86BE2" w:rsidRPr="0010524E" w:rsidRDefault="00E86BE2" w:rsidP="00E86BE2">
            <w:pPr>
              <w:spacing w:before="120" w:after="120"/>
              <w:jc w:val="center"/>
              <w:rPr>
                <w:rFonts w:cstheme="minorHAnsi"/>
                <w:sz w:val="24"/>
                <w:szCs w:val="24"/>
              </w:rPr>
            </w:pPr>
            <w:r w:rsidRPr="0010524E">
              <w:rPr>
                <w:rFonts w:cstheme="minorHAnsi"/>
                <w:sz w:val="24"/>
                <w:szCs w:val="24"/>
              </w:rPr>
              <w:t>LUCIO RODRIGUES CAPELLETTO</w:t>
            </w:r>
          </w:p>
          <w:p w14:paraId="674CDE95" w14:textId="77777777" w:rsidR="00E86BE2" w:rsidRPr="0010524E" w:rsidRDefault="00E86BE2" w:rsidP="00E86BE2">
            <w:pPr>
              <w:spacing w:before="120" w:after="120"/>
              <w:jc w:val="center"/>
              <w:rPr>
                <w:rFonts w:cstheme="minorHAnsi"/>
                <w:sz w:val="24"/>
                <w:szCs w:val="24"/>
              </w:rPr>
            </w:pPr>
            <w:r w:rsidRPr="0010524E">
              <w:rPr>
                <w:rFonts w:cstheme="minorHAnsi"/>
                <w:sz w:val="24"/>
                <w:szCs w:val="24"/>
              </w:rPr>
              <w:t>Diretor Superintendente</w:t>
            </w:r>
          </w:p>
        </w:tc>
        <w:tc>
          <w:tcPr>
            <w:tcW w:w="4849" w:type="dxa"/>
          </w:tcPr>
          <w:p w14:paraId="0B03F1B8" w14:textId="77777777" w:rsidR="00E86BE2" w:rsidRPr="0010524E" w:rsidRDefault="00E86BE2" w:rsidP="00E86BE2">
            <w:pPr>
              <w:spacing w:before="120" w:after="120"/>
              <w:jc w:val="center"/>
              <w:rPr>
                <w:rFonts w:cstheme="minorHAnsi"/>
                <w:sz w:val="24"/>
                <w:szCs w:val="24"/>
              </w:rPr>
            </w:pPr>
          </w:p>
        </w:tc>
        <w:tc>
          <w:tcPr>
            <w:tcW w:w="4648" w:type="dxa"/>
          </w:tcPr>
          <w:p w14:paraId="315CE66D"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Excluído considerando o processo de consolidação normativa.</w:t>
            </w:r>
          </w:p>
        </w:tc>
      </w:tr>
      <w:tr w:rsidR="00E86BE2" w:rsidRPr="0010524E" w14:paraId="24DBB2A4" w14:textId="5FE7B10B" w:rsidTr="00E86BE2">
        <w:tc>
          <w:tcPr>
            <w:tcW w:w="4815" w:type="dxa"/>
          </w:tcPr>
          <w:p w14:paraId="3C0B7C60" w14:textId="77777777" w:rsidR="00E86BE2" w:rsidRPr="0010524E" w:rsidRDefault="00E86BE2" w:rsidP="00E86BE2">
            <w:pPr>
              <w:pBdr>
                <w:top w:val="nil"/>
                <w:left w:val="nil"/>
                <w:bottom w:val="nil"/>
                <w:right w:val="nil"/>
                <w:between w:val="nil"/>
              </w:pBdr>
              <w:tabs>
                <w:tab w:val="left" w:pos="4830"/>
              </w:tabs>
              <w:rPr>
                <w:rFonts w:eastAsia="Calibri" w:cstheme="minorHAnsi"/>
                <w:b/>
                <w:color w:val="000000"/>
                <w:sz w:val="24"/>
                <w:szCs w:val="24"/>
              </w:rPr>
            </w:pPr>
            <w:r w:rsidRPr="0010524E">
              <w:rPr>
                <w:rFonts w:eastAsia="Calibri" w:cstheme="minorHAnsi"/>
                <w:b/>
                <w:color w:val="000000"/>
                <w:sz w:val="24"/>
                <w:szCs w:val="24"/>
              </w:rPr>
              <w:t>Instrução SPC nº 17, de 18 de abril de 2017</w:t>
            </w:r>
          </w:p>
          <w:p w14:paraId="1FAF4FE9" w14:textId="77777777" w:rsidR="00E86BE2" w:rsidRPr="0010524E" w:rsidRDefault="00E86BE2" w:rsidP="00E86BE2">
            <w:pPr>
              <w:pBdr>
                <w:top w:val="nil"/>
                <w:left w:val="nil"/>
                <w:bottom w:val="nil"/>
                <w:right w:val="nil"/>
                <w:between w:val="nil"/>
              </w:pBdr>
              <w:jc w:val="both"/>
              <w:rPr>
                <w:rFonts w:eastAsia="Calibri" w:cstheme="minorHAnsi"/>
                <w:b/>
                <w:color w:val="000000"/>
                <w:sz w:val="24"/>
                <w:szCs w:val="24"/>
              </w:rPr>
            </w:pPr>
          </w:p>
        </w:tc>
        <w:tc>
          <w:tcPr>
            <w:tcW w:w="4849" w:type="dxa"/>
          </w:tcPr>
          <w:p w14:paraId="239959BD" w14:textId="77777777" w:rsidR="00E86BE2" w:rsidRPr="0010524E" w:rsidRDefault="00E86BE2" w:rsidP="00E86BE2">
            <w:pPr>
              <w:pBdr>
                <w:top w:val="nil"/>
                <w:left w:val="nil"/>
                <w:bottom w:val="nil"/>
                <w:right w:val="nil"/>
                <w:between w:val="nil"/>
              </w:pBdr>
              <w:jc w:val="both"/>
              <w:rPr>
                <w:rFonts w:eastAsia="Calibri" w:cstheme="minorHAnsi"/>
                <w:b/>
                <w:color w:val="FF0000"/>
                <w:sz w:val="24"/>
                <w:szCs w:val="24"/>
              </w:rPr>
            </w:pPr>
          </w:p>
        </w:tc>
        <w:tc>
          <w:tcPr>
            <w:tcW w:w="4648" w:type="dxa"/>
          </w:tcPr>
          <w:p w14:paraId="4D147510" w14:textId="77777777" w:rsidR="00E86BE2" w:rsidRPr="0010524E" w:rsidRDefault="00E86BE2" w:rsidP="00E86BE2">
            <w:pPr>
              <w:pBdr>
                <w:top w:val="nil"/>
                <w:left w:val="nil"/>
                <w:bottom w:val="nil"/>
                <w:right w:val="nil"/>
                <w:between w:val="nil"/>
              </w:pBdr>
              <w:jc w:val="both"/>
              <w:rPr>
                <w:rFonts w:eastAsia="Calibri" w:cstheme="minorHAnsi"/>
                <w:color w:val="000000"/>
                <w:sz w:val="24"/>
                <w:szCs w:val="24"/>
              </w:rPr>
            </w:pPr>
          </w:p>
        </w:tc>
      </w:tr>
      <w:tr w:rsidR="00E86BE2" w:rsidRPr="0010524E" w14:paraId="5B22761C" w14:textId="03D5D1E5" w:rsidTr="00E86BE2">
        <w:tc>
          <w:tcPr>
            <w:tcW w:w="4815" w:type="dxa"/>
          </w:tcPr>
          <w:p w14:paraId="1B611087" w14:textId="77777777" w:rsidR="00E86BE2" w:rsidRPr="0010524E" w:rsidRDefault="00E86BE2" w:rsidP="00E86BE2">
            <w:pPr>
              <w:autoSpaceDE w:val="0"/>
              <w:autoSpaceDN w:val="0"/>
              <w:adjustRightInd w:val="0"/>
              <w:jc w:val="both"/>
              <w:rPr>
                <w:rFonts w:eastAsia="Calibri" w:cstheme="minorHAnsi"/>
                <w:b/>
                <w:color w:val="000000"/>
                <w:sz w:val="24"/>
                <w:szCs w:val="24"/>
              </w:rPr>
            </w:pPr>
            <w:r w:rsidRPr="0010524E">
              <w:rPr>
                <w:rFonts w:cstheme="minorHAnsi"/>
                <w:sz w:val="24"/>
                <w:szCs w:val="24"/>
              </w:rPr>
              <w:t>Cria o Relatório Mensal de Informações do administrador especial, interventor ou liquidante, fixa o prazo para o seu encaminhamento à Secretaria de Previdência Complementar e dá outras providências.</w:t>
            </w:r>
          </w:p>
        </w:tc>
        <w:tc>
          <w:tcPr>
            <w:tcW w:w="4849" w:type="dxa"/>
          </w:tcPr>
          <w:p w14:paraId="75C3C170" w14:textId="77777777" w:rsidR="00E86BE2" w:rsidRPr="0010524E" w:rsidRDefault="00E86BE2" w:rsidP="00E86BE2">
            <w:pPr>
              <w:autoSpaceDE w:val="0"/>
              <w:autoSpaceDN w:val="0"/>
              <w:adjustRightInd w:val="0"/>
              <w:jc w:val="both"/>
              <w:rPr>
                <w:rFonts w:cstheme="minorHAnsi"/>
                <w:color w:val="FF0000"/>
                <w:sz w:val="24"/>
                <w:szCs w:val="24"/>
              </w:rPr>
            </w:pPr>
          </w:p>
        </w:tc>
        <w:tc>
          <w:tcPr>
            <w:tcW w:w="4648" w:type="dxa"/>
          </w:tcPr>
          <w:p w14:paraId="71E0E0F1" w14:textId="77777777" w:rsidR="00E86BE2" w:rsidRPr="0010524E" w:rsidRDefault="00E86BE2" w:rsidP="00E86BE2">
            <w:pPr>
              <w:pBdr>
                <w:top w:val="nil"/>
                <w:left w:val="nil"/>
                <w:bottom w:val="nil"/>
                <w:right w:val="nil"/>
                <w:between w:val="nil"/>
              </w:pBdr>
              <w:jc w:val="both"/>
              <w:rPr>
                <w:rFonts w:eastAsia="Calibri" w:cstheme="minorHAnsi"/>
                <w:color w:val="000000"/>
                <w:sz w:val="24"/>
                <w:szCs w:val="24"/>
              </w:rPr>
            </w:pPr>
            <w:r w:rsidRPr="0010524E">
              <w:rPr>
                <w:rFonts w:eastAsia="Calibri" w:cstheme="minorHAnsi"/>
                <w:color w:val="000000"/>
                <w:sz w:val="24"/>
                <w:szCs w:val="24"/>
              </w:rPr>
              <w:t>Excluído</w:t>
            </w:r>
          </w:p>
        </w:tc>
      </w:tr>
      <w:tr w:rsidR="00E86BE2" w:rsidRPr="0010524E" w14:paraId="77EC20D4" w14:textId="4403B327" w:rsidTr="00E86BE2">
        <w:tc>
          <w:tcPr>
            <w:tcW w:w="4815" w:type="dxa"/>
          </w:tcPr>
          <w:p w14:paraId="5419F40D" w14:textId="77777777" w:rsidR="00E86BE2" w:rsidRPr="0010524E" w:rsidRDefault="00E86BE2" w:rsidP="00E86BE2">
            <w:pPr>
              <w:autoSpaceDE w:val="0"/>
              <w:autoSpaceDN w:val="0"/>
              <w:adjustRightInd w:val="0"/>
              <w:jc w:val="both"/>
              <w:rPr>
                <w:rFonts w:cstheme="minorHAnsi"/>
                <w:i/>
                <w:sz w:val="24"/>
                <w:szCs w:val="24"/>
              </w:rPr>
            </w:pPr>
            <w:r w:rsidRPr="0010524E">
              <w:rPr>
                <w:rFonts w:cstheme="minorHAnsi"/>
                <w:sz w:val="24"/>
                <w:szCs w:val="24"/>
              </w:rPr>
              <w:t>O SECRETÁRIO DE PREVIDÊNCIA COMPLEMENTAR DO MINISTÉRIO DA PREVIDÊNCIA SOCIAL, no uso das atribuições que lhe conferem os arts. 5º e 74 da Lei Complementar no 109, de 29 de maio de 2001, e tendo em vista o disposto no art. 6o da Resolução CGPC n° 24, de 26 de fevereiro de 2007, resolve:</w:t>
            </w:r>
          </w:p>
        </w:tc>
        <w:tc>
          <w:tcPr>
            <w:tcW w:w="4849" w:type="dxa"/>
          </w:tcPr>
          <w:p w14:paraId="02B47570" w14:textId="77777777" w:rsidR="00E86BE2" w:rsidRPr="0010524E" w:rsidRDefault="00E86BE2" w:rsidP="00E86BE2">
            <w:pPr>
              <w:pBdr>
                <w:top w:val="nil"/>
                <w:left w:val="nil"/>
                <w:bottom w:val="nil"/>
                <w:right w:val="nil"/>
                <w:between w:val="nil"/>
              </w:pBdr>
              <w:jc w:val="both"/>
              <w:rPr>
                <w:rFonts w:eastAsia="Calibri" w:cstheme="minorHAnsi"/>
                <w:i/>
                <w:color w:val="FF0000"/>
                <w:sz w:val="24"/>
                <w:szCs w:val="24"/>
                <w:highlight w:val="white"/>
              </w:rPr>
            </w:pPr>
          </w:p>
        </w:tc>
        <w:tc>
          <w:tcPr>
            <w:tcW w:w="4648" w:type="dxa"/>
          </w:tcPr>
          <w:p w14:paraId="6009ED94" w14:textId="77777777" w:rsidR="00E86BE2" w:rsidRPr="0010524E" w:rsidRDefault="00E86BE2" w:rsidP="00E86BE2">
            <w:pPr>
              <w:pBdr>
                <w:top w:val="nil"/>
                <w:left w:val="nil"/>
                <w:bottom w:val="nil"/>
                <w:right w:val="nil"/>
                <w:between w:val="nil"/>
              </w:pBdr>
              <w:jc w:val="both"/>
              <w:rPr>
                <w:rFonts w:eastAsia="Calibri" w:cstheme="minorHAnsi"/>
                <w:color w:val="000000"/>
                <w:sz w:val="24"/>
                <w:szCs w:val="24"/>
              </w:rPr>
            </w:pPr>
            <w:r w:rsidRPr="0010524E">
              <w:rPr>
                <w:rFonts w:eastAsia="Calibri" w:cstheme="minorHAnsi"/>
                <w:color w:val="000000"/>
                <w:sz w:val="24"/>
                <w:szCs w:val="24"/>
              </w:rPr>
              <w:t xml:space="preserve">Excluído </w:t>
            </w:r>
          </w:p>
        </w:tc>
      </w:tr>
      <w:tr w:rsidR="00E86BE2" w:rsidRPr="0010524E" w14:paraId="1B5CC73F" w14:textId="6829BE30" w:rsidTr="00E86BE2">
        <w:tc>
          <w:tcPr>
            <w:tcW w:w="4815" w:type="dxa"/>
          </w:tcPr>
          <w:p w14:paraId="38B46299" w14:textId="77777777" w:rsidR="00E86BE2" w:rsidRPr="0010524E" w:rsidRDefault="00E86BE2" w:rsidP="00E86BE2">
            <w:pPr>
              <w:autoSpaceDE w:val="0"/>
              <w:autoSpaceDN w:val="0"/>
              <w:adjustRightInd w:val="0"/>
              <w:jc w:val="both"/>
              <w:rPr>
                <w:rFonts w:cstheme="minorHAnsi"/>
                <w:sz w:val="24"/>
                <w:szCs w:val="24"/>
              </w:rPr>
            </w:pPr>
            <w:bookmarkStart w:id="135" w:name="_Hlk138926253"/>
          </w:p>
        </w:tc>
        <w:tc>
          <w:tcPr>
            <w:tcW w:w="4849" w:type="dxa"/>
          </w:tcPr>
          <w:p w14:paraId="7B374B8A" w14:textId="77777777" w:rsidR="00E86BE2" w:rsidRPr="0010524E" w:rsidRDefault="00E86BE2" w:rsidP="00E86BE2">
            <w:pPr>
              <w:jc w:val="center"/>
              <w:rPr>
                <w:rFonts w:cstheme="minorHAnsi"/>
                <w:b/>
                <w:bCs/>
                <w:color w:val="000000" w:themeColor="text1"/>
                <w:sz w:val="24"/>
                <w:szCs w:val="24"/>
              </w:rPr>
            </w:pPr>
            <w:r w:rsidRPr="0010524E">
              <w:rPr>
                <w:rFonts w:cstheme="minorHAnsi"/>
                <w:b/>
                <w:bCs/>
                <w:color w:val="000000" w:themeColor="text1"/>
                <w:sz w:val="24"/>
                <w:szCs w:val="24"/>
              </w:rPr>
              <w:t>Seção V</w:t>
            </w:r>
          </w:p>
          <w:p w14:paraId="1359E3AC" w14:textId="77777777" w:rsidR="00E86BE2" w:rsidRPr="0010524E" w:rsidRDefault="00E86BE2" w:rsidP="00E86BE2">
            <w:pPr>
              <w:pBdr>
                <w:top w:val="nil"/>
                <w:left w:val="nil"/>
                <w:bottom w:val="nil"/>
                <w:right w:val="nil"/>
                <w:between w:val="nil"/>
              </w:pBdr>
              <w:jc w:val="both"/>
              <w:rPr>
                <w:rFonts w:eastAsia="Calibri" w:cstheme="minorHAnsi"/>
                <w:i/>
                <w:color w:val="FF0000"/>
                <w:sz w:val="24"/>
                <w:szCs w:val="24"/>
                <w:highlight w:val="white"/>
              </w:rPr>
            </w:pPr>
            <w:r w:rsidRPr="0010524E">
              <w:rPr>
                <w:rFonts w:cstheme="minorHAnsi"/>
                <w:b/>
                <w:bCs/>
                <w:color w:val="000000" w:themeColor="text1"/>
                <w:sz w:val="24"/>
                <w:szCs w:val="24"/>
              </w:rPr>
              <w:t>Relatório Mensal de Informações do administrador especial, interventor ou liquidante</w:t>
            </w:r>
          </w:p>
        </w:tc>
        <w:tc>
          <w:tcPr>
            <w:tcW w:w="4648" w:type="dxa"/>
          </w:tcPr>
          <w:p w14:paraId="7A7FFEBE" w14:textId="77777777" w:rsidR="00E86BE2" w:rsidRPr="0010524E" w:rsidRDefault="00E86BE2" w:rsidP="00E86BE2">
            <w:pPr>
              <w:pBdr>
                <w:top w:val="nil"/>
                <w:left w:val="nil"/>
                <w:bottom w:val="nil"/>
                <w:right w:val="nil"/>
                <w:between w:val="nil"/>
              </w:pBdr>
              <w:jc w:val="both"/>
              <w:rPr>
                <w:rFonts w:eastAsia="Calibri" w:cstheme="minorHAnsi"/>
                <w:color w:val="000000"/>
                <w:sz w:val="24"/>
                <w:szCs w:val="24"/>
              </w:rPr>
            </w:pPr>
          </w:p>
        </w:tc>
      </w:tr>
      <w:tr w:rsidR="00E86BE2" w:rsidRPr="0010524E" w14:paraId="52133B6D" w14:textId="492FC9E5" w:rsidTr="00E86BE2">
        <w:tc>
          <w:tcPr>
            <w:tcW w:w="4815" w:type="dxa"/>
          </w:tcPr>
          <w:p w14:paraId="5154780E" w14:textId="77777777" w:rsidR="00E86BE2" w:rsidRPr="0010524E" w:rsidRDefault="00E86BE2" w:rsidP="00E86BE2">
            <w:pPr>
              <w:autoSpaceDE w:val="0"/>
              <w:autoSpaceDN w:val="0"/>
              <w:adjustRightInd w:val="0"/>
              <w:jc w:val="both"/>
              <w:rPr>
                <w:rFonts w:cstheme="minorHAnsi"/>
                <w:i/>
                <w:sz w:val="24"/>
                <w:szCs w:val="24"/>
              </w:rPr>
            </w:pPr>
            <w:r w:rsidRPr="0010524E">
              <w:rPr>
                <w:rFonts w:cstheme="minorHAnsi"/>
                <w:sz w:val="24"/>
                <w:szCs w:val="24"/>
              </w:rPr>
              <w:lastRenderedPageBreak/>
              <w:t>Art. 1º O administrador especial, interventor ou liquidante deverá elaborar Relatório Mensal de Informações, na forma da presente Instrução.</w:t>
            </w:r>
          </w:p>
        </w:tc>
        <w:tc>
          <w:tcPr>
            <w:tcW w:w="4849" w:type="dxa"/>
          </w:tcPr>
          <w:p w14:paraId="66A2A135" w14:textId="34216C02" w:rsidR="00E86BE2" w:rsidRPr="0010524E" w:rsidRDefault="00E86BE2" w:rsidP="00E86BE2">
            <w:pPr>
              <w:jc w:val="both"/>
              <w:rPr>
                <w:rFonts w:cstheme="minorHAnsi"/>
                <w:color w:val="FF0000"/>
                <w:sz w:val="24"/>
                <w:szCs w:val="24"/>
              </w:rPr>
            </w:pPr>
            <w:r w:rsidRPr="00972221">
              <w:rPr>
                <w:rFonts w:ascii="Calibri" w:eastAsia="Calibri" w:hAnsi="Calibri" w:cs="Calibri"/>
                <w:sz w:val="24"/>
                <w:szCs w:val="24"/>
                <w:highlight w:val="yellow"/>
              </w:rPr>
              <w:t xml:space="preserve">Art. </w:t>
            </w:r>
            <w:r>
              <w:rPr>
                <w:rFonts w:ascii="Calibri" w:eastAsia="Calibri" w:hAnsi="Calibri" w:cs="Calibri"/>
                <w:sz w:val="24"/>
                <w:szCs w:val="24"/>
                <w:highlight w:val="yellow"/>
              </w:rPr>
              <w:t>420</w:t>
            </w:r>
            <w:r w:rsidRPr="00972221">
              <w:rPr>
                <w:rFonts w:ascii="Calibri" w:eastAsia="Calibri" w:hAnsi="Calibri" w:cs="Calibri"/>
                <w:strike/>
                <w:sz w:val="24"/>
                <w:szCs w:val="24"/>
                <w:highlight w:val="yellow"/>
              </w:rPr>
              <w:t>419</w:t>
            </w:r>
            <w:r w:rsidRPr="0007292C">
              <w:rPr>
                <w:rFonts w:ascii="Calibri" w:eastAsia="Calibri" w:hAnsi="Calibri" w:cs="Calibri"/>
                <w:sz w:val="24"/>
                <w:szCs w:val="24"/>
              </w:rPr>
              <w:t>.  O relatório mensal de informações previsto no art. 6º da Resolução CNPC nº 52, de 2022, dever ser elaborado pelo administrador especial, interventor ou liquidante, na forma da presente Resolução.</w:t>
            </w:r>
          </w:p>
        </w:tc>
        <w:tc>
          <w:tcPr>
            <w:tcW w:w="4648" w:type="dxa"/>
          </w:tcPr>
          <w:p w14:paraId="080F67F1" w14:textId="77777777" w:rsidR="00E86BE2" w:rsidRPr="0010524E" w:rsidRDefault="00E86BE2" w:rsidP="00E86BE2">
            <w:pPr>
              <w:pBdr>
                <w:top w:val="nil"/>
                <w:left w:val="nil"/>
                <w:bottom w:val="nil"/>
                <w:right w:val="nil"/>
                <w:between w:val="nil"/>
              </w:pBdr>
              <w:jc w:val="both"/>
              <w:rPr>
                <w:rFonts w:eastAsia="Calibri" w:cstheme="minorHAnsi"/>
                <w:color w:val="000000"/>
                <w:sz w:val="24"/>
                <w:szCs w:val="24"/>
              </w:rPr>
            </w:pPr>
            <w:r w:rsidRPr="0010524E">
              <w:rPr>
                <w:rFonts w:eastAsia="Calibri" w:cstheme="minorHAnsi"/>
                <w:color w:val="000000"/>
                <w:sz w:val="24"/>
                <w:szCs w:val="24"/>
              </w:rPr>
              <w:t xml:space="preserve">Ajuste de redação </w:t>
            </w:r>
          </w:p>
        </w:tc>
      </w:tr>
      <w:tr w:rsidR="00E86BE2" w:rsidRPr="0010524E" w14:paraId="1B77A510" w14:textId="2E0F9084" w:rsidTr="00E86BE2">
        <w:tc>
          <w:tcPr>
            <w:tcW w:w="4815" w:type="dxa"/>
          </w:tcPr>
          <w:p w14:paraId="46DBAB40" w14:textId="77777777" w:rsidR="00E86BE2" w:rsidRPr="0010524E" w:rsidRDefault="00E86BE2" w:rsidP="00E86BE2">
            <w:pPr>
              <w:autoSpaceDE w:val="0"/>
              <w:autoSpaceDN w:val="0"/>
              <w:adjustRightInd w:val="0"/>
              <w:jc w:val="both"/>
              <w:rPr>
                <w:rFonts w:cstheme="minorHAnsi"/>
                <w:sz w:val="24"/>
                <w:szCs w:val="24"/>
              </w:rPr>
            </w:pPr>
            <w:r w:rsidRPr="0010524E">
              <w:rPr>
                <w:rFonts w:cstheme="minorHAnsi"/>
                <w:sz w:val="24"/>
                <w:szCs w:val="24"/>
              </w:rPr>
              <w:t>Art. 2º Deverão constar do relatório de que trata o art. 1º, as informações a seguir especificadas:</w:t>
            </w:r>
          </w:p>
          <w:p w14:paraId="74458A3E" w14:textId="77777777" w:rsidR="00E86BE2" w:rsidRPr="0010524E" w:rsidRDefault="00E86BE2" w:rsidP="00E86BE2">
            <w:pPr>
              <w:autoSpaceDE w:val="0"/>
              <w:autoSpaceDN w:val="0"/>
              <w:adjustRightInd w:val="0"/>
              <w:jc w:val="both"/>
              <w:rPr>
                <w:rFonts w:cstheme="minorHAnsi"/>
                <w:sz w:val="24"/>
                <w:szCs w:val="24"/>
              </w:rPr>
            </w:pPr>
            <w:r w:rsidRPr="0010524E">
              <w:rPr>
                <w:rFonts w:cstheme="minorHAnsi"/>
                <w:sz w:val="24"/>
                <w:szCs w:val="24"/>
              </w:rPr>
              <w:t>I – introdução, onde conste, no mínimo:</w:t>
            </w:r>
          </w:p>
          <w:p w14:paraId="2AD55E1E" w14:textId="77777777" w:rsidR="00E86BE2" w:rsidRPr="0010524E" w:rsidRDefault="00E86BE2" w:rsidP="00E86BE2">
            <w:pPr>
              <w:autoSpaceDE w:val="0"/>
              <w:autoSpaceDN w:val="0"/>
              <w:adjustRightInd w:val="0"/>
              <w:jc w:val="both"/>
              <w:rPr>
                <w:rFonts w:cstheme="minorHAnsi"/>
                <w:sz w:val="24"/>
                <w:szCs w:val="24"/>
              </w:rPr>
            </w:pPr>
            <w:r w:rsidRPr="0010524E">
              <w:rPr>
                <w:rFonts w:cstheme="minorHAnsi"/>
                <w:sz w:val="24"/>
                <w:szCs w:val="24"/>
              </w:rPr>
              <w:t>a) o resumo das atividades desenvolvidas no mês;</w:t>
            </w:r>
          </w:p>
          <w:p w14:paraId="56886676" w14:textId="77777777" w:rsidR="00E86BE2" w:rsidRPr="0010524E" w:rsidRDefault="00E86BE2" w:rsidP="00E86BE2">
            <w:pPr>
              <w:autoSpaceDE w:val="0"/>
              <w:autoSpaceDN w:val="0"/>
              <w:adjustRightInd w:val="0"/>
              <w:jc w:val="both"/>
              <w:rPr>
                <w:rFonts w:cstheme="minorHAnsi"/>
                <w:sz w:val="24"/>
                <w:szCs w:val="24"/>
              </w:rPr>
            </w:pPr>
            <w:r w:rsidRPr="0010524E">
              <w:rPr>
                <w:rFonts w:cstheme="minorHAnsi"/>
                <w:sz w:val="24"/>
                <w:szCs w:val="24"/>
              </w:rPr>
              <w:t>b) as medidas que vêm sendo adotadas para encerrar o regime especial; e</w:t>
            </w:r>
          </w:p>
          <w:p w14:paraId="49CF943C" w14:textId="77777777" w:rsidR="00E86BE2" w:rsidRPr="0010524E" w:rsidRDefault="00E86BE2" w:rsidP="00E86BE2">
            <w:pPr>
              <w:autoSpaceDE w:val="0"/>
              <w:autoSpaceDN w:val="0"/>
              <w:adjustRightInd w:val="0"/>
              <w:jc w:val="both"/>
              <w:rPr>
                <w:rFonts w:cstheme="minorHAnsi"/>
                <w:sz w:val="24"/>
                <w:szCs w:val="24"/>
              </w:rPr>
            </w:pPr>
            <w:r w:rsidRPr="0010524E">
              <w:rPr>
                <w:rFonts w:cstheme="minorHAnsi"/>
                <w:sz w:val="24"/>
                <w:szCs w:val="24"/>
              </w:rPr>
              <w:t>c) o prazo estimado para o encerramento do regime especial. II – despesas administrativas, identificadas na forma do Anexo Único desta Instrução, com detalhamento das medidas que vêm sendo adotadas para sua redução, com os esclarecimentos adicionais porventura necessários.</w:t>
            </w:r>
          </w:p>
          <w:p w14:paraId="3B7693B2" w14:textId="77777777" w:rsidR="00E86BE2" w:rsidRPr="0010524E" w:rsidRDefault="00E86BE2" w:rsidP="00E86BE2">
            <w:pPr>
              <w:autoSpaceDE w:val="0"/>
              <w:autoSpaceDN w:val="0"/>
              <w:adjustRightInd w:val="0"/>
              <w:jc w:val="both"/>
              <w:rPr>
                <w:rFonts w:cstheme="minorHAnsi"/>
                <w:sz w:val="24"/>
                <w:szCs w:val="24"/>
              </w:rPr>
            </w:pPr>
            <w:r w:rsidRPr="0010524E">
              <w:rPr>
                <w:rFonts w:cstheme="minorHAnsi"/>
                <w:sz w:val="24"/>
                <w:szCs w:val="24"/>
              </w:rPr>
              <w:t>III – ações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w:t>
            </w:r>
          </w:p>
          <w:p w14:paraId="4F0CDB98" w14:textId="77777777" w:rsidR="00E86BE2" w:rsidRPr="0010524E" w:rsidRDefault="00E86BE2" w:rsidP="00E86BE2">
            <w:pPr>
              <w:autoSpaceDE w:val="0"/>
              <w:autoSpaceDN w:val="0"/>
              <w:adjustRightInd w:val="0"/>
              <w:jc w:val="both"/>
              <w:rPr>
                <w:rFonts w:cstheme="minorHAnsi"/>
                <w:sz w:val="24"/>
                <w:szCs w:val="24"/>
              </w:rPr>
            </w:pPr>
            <w:r w:rsidRPr="0010524E">
              <w:rPr>
                <w:rFonts w:cstheme="minorHAnsi"/>
                <w:sz w:val="24"/>
                <w:szCs w:val="24"/>
              </w:rPr>
              <w:lastRenderedPageBreak/>
              <w:t>IV – considerações gerais julgadas pertinentes.</w:t>
            </w:r>
          </w:p>
        </w:tc>
        <w:tc>
          <w:tcPr>
            <w:tcW w:w="4849" w:type="dxa"/>
          </w:tcPr>
          <w:p w14:paraId="606CF6D2" w14:textId="77777777" w:rsidR="00E86BE2" w:rsidRDefault="00E86BE2" w:rsidP="00E86BE2">
            <w:pPr>
              <w:jc w:val="both"/>
              <w:rPr>
                <w:rFonts w:ascii="Calibri" w:eastAsia="Calibri" w:hAnsi="Calibri" w:cs="Calibri"/>
                <w:sz w:val="24"/>
                <w:szCs w:val="24"/>
              </w:rPr>
            </w:pPr>
            <w:r w:rsidRPr="00972221">
              <w:rPr>
                <w:rFonts w:ascii="Calibri" w:eastAsia="Calibri" w:hAnsi="Calibri" w:cs="Calibri"/>
                <w:sz w:val="24"/>
                <w:szCs w:val="24"/>
                <w:highlight w:val="yellow"/>
              </w:rPr>
              <w:lastRenderedPageBreak/>
              <w:t xml:space="preserve">Art. </w:t>
            </w:r>
            <w:r>
              <w:rPr>
                <w:rFonts w:ascii="Calibri" w:eastAsia="Calibri" w:hAnsi="Calibri" w:cs="Calibri"/>
                <w:sz w:val="24"/>
                <w:szCs w:val="24"/>
                <w:highlight w:val="yellow"/>
              </w:rPr>
              <w:t>421</w:t>
            </w:r>
            <w:r w:rsidRPr="00972221">
              <w:rPr>
                <w:rFonts w:ascii="Calibri" w:eastAsia="Calibri" w:hAnsi="Calibri" w:cs="Calibri"/>
                <w:strike/>
                <w:sz w:val="24"/>
                <w:szCs w:val="24"/>
                <w:highlight w:val="yellow"/>
              </w:rPr>
              <w:t>420</w:t>
            </w:r>
            <w:r w:rsidRPr="0010524E">
              <w:rPr>
                <w:rFonts w:ascii="Calibri" w:eastAsia="Calibri" w:hAnsi="Calibri" w:cs="Calibri"/>
                <w:sz w:val="24"/>
                <w:szCs w:val="24"/>
              </w:rPr>
              <w:t>.  O relatório mensal de informações de que trata o art. 422, deve conter no mínimo as seguintes informações:</w:t>
            </w:r>
          </w:p>
          <w:p w14:paraId="4F45C3C2" w14:textId="77777777" w:rsidR="00E86BE2" w:rsidRPr="0007292C" w:rsidRDefault="00E86BE2" w:rsidP="00E86BE2">
            <w:pPr>
              <w:jc w:val="both"/>
            </w:pPr>
            <w:r w:rsidRPr="0007292C">
              <w:rPr>
                <w:rFonts w:ascii="Calibri" w:eastAsia="Calibri" w:hAnsi="Calibri" w:cs="Calibri"/>
                <w:sz w:val="24"/>
                <w:szCs w:val="24"/>
              </w:rPr>
              <w:t>I - o resumo das atividades desenvolvidas no mês;</w:t>
            </w:r>
          </w:p>
          <w:p w14:paraId="4273D1C7" w14:textId="77777777" w:rsidR="00E86BE2" w:rsidRPr="0007292C" w:rsidRDefault="00E86BE2" w:rsidP="00E86BE2">
            <w:pPr>
              <w:jc w:val="both"/>
            </w:pPr>
            <w:r w:rsidRPr="0007292C">
              <w:rPr>
                <w:rFonts w:ascii="Calibri" w:eastAsia="Calibri" w:hAnsi="Calibri" w:cs="Calibri"/>
                <w:sz w:val="24"/>
                <w:szCs w:val="24"/>
              </w:rPr>
              <w:t>II - as medidas que vêm sendo adotadas para encerrar o regime especial;</w:t>
            </w:r>
          </w:p>
          <w:p w14:paraId="70439323" w14:textId="77777777" w:rsidR="00E86BE2" w:rsidRPr="0007292C" w:rsidRDefault="00E86BE2" w:rsidP="00E86BE2">
            <w:pPr>
              <w:jc w:val="both"/>
            </w:pPr>
            <w:r w:rsidRPr="0007292C">
              <w:rPr>
                <w:rFonts w:ascii="Calibri" w:eastAsia="Calibri" w:hAnsi="Calibri" w:cs="Calibri"/>
                <w:sz w:val="24"/>
                <w:szCs w:val="24"/>
              </w:rPr>
              <w:t>III - o prazo estimado para o encerramento do regime especial;</w:t>
            </w:r>
          </w:p>
          <w:p w14:paraId="6B70895E" w14:textId="77777777" w:rsidR="00E86BE2" w:rsidRPr="0007292C" w:rsidRDefault="00E86BE2" w:rsidP="00E86BE2">
            <w:pPr>
              <w:jc w:val="both"/>
            </w:pPr>
            <w:r w:rsidRPr="0007292C">
              <w:rPr>
                <w:rFonts w:ascii="Calibri" w:eastAsia="Calibri" w:hAnsi="Calibri" w:cs="Calibri"/>
                <w:sz w:val="24"/>
                <w:szCs w:val="24"/>
              </w:rPr>
              <w:t>IV - as despesas administrativas, identificadas na forma do Anexo VI desta Resolução;</w:t>
            </w:r>
          </w:p>
          <w:p w14:paraId="5752CB77" w14:textId="77777777" w:rsidR="00E86BE2" w:rsidRPr="0007292C" w:rsidRDefault="00E86BE2" w:rsidP="00E86BE2">
            <w:pPr>
              <w:jc w:val="both"/>
            </w:pPr>
            <w:r w:rsidRPr="0007292C">
              <w:rPr>
                <w:rFonts w:ascii="Calibri" w:eastAsia="Calibri" w:hAnsi="Calibri" w:cs="Calibri"/>
                <w:sz w:val="24"/>
                <w:szCs w:val="24"/>
              </w:rPr>
              <w:t>V - as ações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w:t>
            </w:r>
          </w:p>
          <w:p w14:paraId="1E5478DD" w14:textId="77777777" w:rsidR="00E86BE2" w:rsidRPr="0007292C" w:rsidRDefault="00E86BE2" w:rsidP="00E86BE2">
            <w:pPr>
              <w:jc w:val="both"/>
            </w:pPr>
            <w:r w:rsidRPr="0007292C">
              <w:rPr>
                <w:rFonts w:ascii="Calibri" w:eastAsia="Calibri" w:hAnsi="Calibri" w:cs="Calibri"/>
                <w:sz w:val="24"/>
                <w:szCs w:val="24"/>
              </w:rPr>
              <w:t>VI - a movimentação financeira;</w:t>
            </w:r>
          </w:p>
          <w:p w14:paraId="29AD6797" w14:textId="77777777" w:rsidR="00E86BE2" w:rsidRPr="0007292C" w:rsidRDefault="00E86BE2" w:rsidP="00E86BE2">
            <w:pPr>
              <w:jc w:val="both"/>
            </w:pPr>
            <w:r w:rsidRPr="0007292C">
              <w:rPr>
                <w:rFonts w:ascii="Calibri" w:eastAsia="Calibri" w:hAnsi="Calibri" w:cs="Calibri"/>
                <w:sz w:val="24"/>
                <w:szCs w:val="24"/>
              </w:rPr>
              <w:t>VII - as informações sobre o Quadro Gerais de Credores; e</w:t>
            </w:r>
          </w:p>
          <w:p w14:paraId="7C6BD342" w14:textId="77777777" w:rsidR="00E86BE2" w:rsidRPr="0007292C" w:rsidRDefault="00E86BE2" w:rsidP="00E86BE2">
            <w:pPr>
              <w:jc w:val="both"/>
            </w:pPr>
            <w:r w:rsidRPr="0007292C">
              <w:rPr>
                <w:rFonts w:ascii="Calibri" w:eastAsia="Calibri" w:hAnsi="Calibri" w:cs="Calibri"/>
                <w:sz w:val="24"/>
                <w:szCs w:val="24"/>
              </w:rPr>
              <w:lastRenderedPageBreak/>
              <w:t>VIII - outras considerações gerais julgadas pertinentes.</w:t>
            </w:r>
          </w:p>
          <w:p w14:paraId="310A0F5B" w14:textId="34431185" w:rsidR="00E86BE2" w:rsidRPr="0010524E" w:rsidRDefault="00E86BE2" w:rsidP="00E86BE2">
            <w:pPr>
              <w:jc w:val="both"/>
              <w:rPr>
                <w:rFonts w:cstheme="minorHAnsi"/>
                <w:color w:val="FF0000"/>
                <w:sz w:val="24"/>
                <w:szCs w:val="24"/>
              </w:rPr>
            </w:pPr>
          </w:p>
        </w:tc>
        <w:tc>
          <w:tcPr>
            <w:tcW w:w="4648" w:type="dxa"/>
          </w:tcPr>
          <w:p w14:paraId="69FBDF09" w14:textId="77777777" w:rsidR="00E86BE2" w:rsidRPr="0010524E" w:rsidRDefault="00E86BE2" w:rsidP="00E86BE2">
            <w:pPr>
              <w:pBdr>
                <w:top w:val="nil"/>
                <w:left w:val="nil"/>
                <w:bottom w:val="nil"/>
                <w:right w:val="nil"/>
                <w:between w:val="nil"/>
              </w:pBdr>
              <w:jc w:val="both"/>
              <w:rPr>
                <w:rFonts w:eastAsia="Calibri" w:cstheme="minorHAnsi"/>
                <w:color w:val="000000"/>
                <w:sz w:val="24"/>
                <w:szCs w:val="24"/>
              </w:rPr>
            </w:pPr>
            <w:r w:rsidRPr="0010524E">
              <w:rPr>
                <w:rFonts w:eastAsia="Calibri" w:cstheme="minorHAnsi"/>
                <w:color w:val="000000"/>
                <w:sz w:val="24"/>
                <w:szCs w:val="24"/>
              </w:rPr>
              <w:lastRenderedPageBreak/>
              <w:t>Ajuste de redação.</w:t>
            </w:r>
          </w:p>
          <w:p w14:paraId="7EA85952" w14:textId="0C03E131" w:rsidR="00E86BE2" w:rsidRPr="0010524E" w:rsidRDefault="00E86BE2" w:rsidP="00E86BE2">
            <w:pPr>
              <w:pBdr>
                <w:top w:val="nil"/>
                <w:left w:val="nil"/>
                <w:bottom w:val="nil"/>
                <w:right w:val="nil"/>
                <w:between w:val="nil"/>
              </w:pBdr>
              <w:jc w:val="both"/>
              <w:rPr>
                <w:rFonts w:eastAsia="Calibri" w:cstheme="minorHAnsi"/>
                <w:color w:val="000000"/>
                <w:sz w:val="24"/>
                <w:szCs w:val="24"/>
              </w:rPr>
            </w:pPr>
          </w:p>
        </w:tc>
      </w:tr>
      <w:tr w:rsidR="00E86BE2" w:rsidRPr="0010524E" w14:paraId="71C930E2" w14:textId="60CDBFF5" w:rsidTr="00E86BE2">
        <w:tc>
          <w:tcPr>
            <w:tcW w:w="4815" w:type="dxa"/>
          </w:tcPr>
          <w:p w14:paraId="58041D78" w14:textId="77777777" w:rsidR="00E86BE2" w:rsidRPr="0010524E" w:rsidRDefault="00E86BE2" w:rsidP="00E86BE2">
            <w:pPr>
              <w:jc w:val="both"/>
              <w:rPr>
                <w:rFonts w:cstheme="minorHAnsi"/>
                <w:sz w:val="24"/>
                <w:szCs w:val="24"/>
              </w:rPr>
            </w:pPr>
            <w:r w:rsidRPr="0010524E">
              <w:rPr>
                <w:rFonts w:cstheme="minorHAnsi"/>
                <w:sz w:val="24"/>
                <w:szCs w:val="24"/>
              </w:rPr>
              <w:t>Parágrafo único. Além das informações de que trata o caput, no caso dos regimes especiais de intervenção e de liquidação extrajudicial, o relatório conterá a movimentação financeira, por plano de benefícios discriminando:</w:t>
            </w:r>
          </w:p>
          <w:p w14:paraId="30EB6973" w14:textId="77777777" w:rsidR="00E86BE2" w:rsidRPr="0010524E" w:rsidRDefault="00E86BE2" w:rsidP="00E86BE2">
            <w:pPr>
              <w:jc w:val="both"/>
              <w:rPr>
                <w:rFonts w:cstheme="minorHAnsi"/>
                <w:sz w:val="24"/>
                <w:szCs w:val="24"/>
              </w:rPr>
            </w:pPr>
            <w:r w:rsidRPr="0010524E">
              <w:rPr>
                <w:rFonts w:cstheme="minorHAnsi"/>
                <w:sz w:val="24"/>
                <w:szCs w:val="24"/>
              </w:rPr>
              <w:t>a) os recursos aplicados no mês, contendo, no mínimo, data, valor, origem, tipo de aplicação e seu destinatário;</w:t>
            </w:r>
          </w:p>
          <w:p w14:paraId="523926FC" w14:textId="77777777" w:rsidR="00E86BE2" w:rsidRPr="0010524E" w:rsidRDefault="00E86BE2" w:rsidP="00E86BE2">
            <w:pPr>
              <w:jc w:val="both"/>
              <w:rPr>
                <w:rFonts w:cstheme="minorHAnsi"/>
                <w:sz w:val="24"/>
                <w:szCs w:val="24"/>
              </w:rPr>
            </w:pPr>
            <w:r w:rsidRPr="0010524E">
              <w:rPr>
                <w:rFonts w:cstheme="minorHAnsi"/>
                <w:sz w:val="24"/>
                <w:szCs w:val="24"/>
              </w:rPr>
              <w:t>b) os recursos resgatados no mês, contendo, no mínimo, data, valor, origem e detentor da aplicação; e</w:t>
            </w:r>
          </w:p>
          <w:p w14:paraId="759972F3" w14:textId="77777777" w:rsidR="00E86BE2" w:rsidRPr="0010524E" w:rsidRDefault="00E86BE2" w:rsidP="00E86BE2">
            <w:pPr>
              <w:jc w:val="both"/>
              <w:rPr>
                <w:rFonts w:eastAsia="Calibri" w:cstheme="minorHAnsi"/>
                <w:sz w:val="24"/>
                <w:szCs w:val="24"/>
              </w:rPr>
            </w:pPr>
            <w:r w:rsidRPr="0010524E">
              <w:rPr>
                <w:rFonts w:cstheme="minorHAnsi"/>
                <w:sz w:val="24"/>
                <w:szCs w:val="24"/>
              </w:rPr>
              <w:t>c) esclarecimentos adicionais porventura necessários</w:t>
            </w:r>
          </w:p>
        </w:tc>
        <w:tc>
          <w:tcPr>
            <w:tcW w:w="4849" w:type="dxa"/>
          </w:tcPr>
          <w:p w14:paraId="1ADBD994" w14:textId="77777777" w:rsidR="00E86BE2" w:rsidRPr="0010524E" w:rsidRDefault="00E86BE2" w:rsidP="00E86BE2">
            <w:pPr>
              <w:autoSpaceDE w:val="0"/>
              <w:autoSpaceDN w:val="0"/>
              <w:adjustRightInd w:val="0"/>
              <w:rPr>
                <w:rFonts w:cstheme="minorHAnsi"/>
                <w:color w:val="FF0000"/>
                <w:sz w:val="24"/>
                <w:szCs w:val="24"/>
              </w:rPr>
            </w:pPr>
          </w:p>
        </w:tc>
        <w:tc>
          <w:tcPr>
            <w:tcW w:w="4648" w:type="dxa"/>
          </w:tcPr>
          <w:p w14:paraId="7F36BBA2" w14:textId="77777777" w:rsidR="00E86BE2" w:rsidRPr="0010524E" w:rsidRDefault="00E86BE2" w:rsidP="00E86BE2">
            <w:pPr>
              <w:pBdr>
                <w:top w:val="nil"/>
                <w:left w:val="nil"/>
                <w:bottom w:val="nil"/>
                <w:right w:val="nil"/>
                <w:between w:val="nil"/>
              </w:pBdr>
              <w:jc w:val="both"/>
              <w:rPr>
                <w:rFonts w:eastAsia="Calibri" w:cstheme="minorHAnsi"/>
                <w:color w:val="000000"/>
                <w:sz w:val="24"/>
                <w:szCs w:val="24"/>
              </w:rPr>
            </w:pPr>
            <w:r w:rsidRPr="0010524E">
              <w:rPr>
                <w:rFonts w:eastAsia="Calibri" w:cstheme="minorHAnsi"/>
                <w:color w:val="000000"/>
                <w:sz w:val="24"/>
                <w:szCs w:val="24"/>
              </w:rPr>
              <w:t xml:space="preserve">Excluído por estar abrangido pelo “caput” do </w:t>
            </w:r>
            <w:r w:rsidRPr="0010524E">
              <w:rPr>
                <w:rFonts w:eastAsia="Calibri" w:cstheme="minorHAnsi"/>
                <w:color w:val="000000"/>
                <w:sz w:val="24"/>
                <w:szCs w:val="24"/>
                <w:highlight w:val="yellow"/>
              </w:rPr>
              <w:t>art. 929</w:t>
            </w:r>
            <w:r w:rsidRPr="0010524E">
              <w:rPr>
                <w:rFonts w:eastAsia="Calibri" w:cstheme="minorHAnsi"/>
                <w:color w:val="000000"/>
                <w:sz w:val="24"/>
                <w:szCs w:val="24"/>
              </w:rPr>
              <w:t xml:space="preserve"> da consolidação.</w:t>
            </w:r>
          </w:p>
        </w:tc>
      </w:tr>
      <w:tr w:rsidR="00E86BE2" w:rsidRPr="0010524E" w14:paraId="50D73E70" w14:textId="42C2D89F" w:rsidTr="00E86BE2">
        <w:tc>
          <w:tcPr>
            <w:tcW w:w="4815" w:type="dxa"/>
          </w:tcPr>
          <w:p w14:paraId="4E6531D5" w14:textId="77777777" w:rsidR="00E86BE2" w:rsidRPr="0010524E" w:rsidRDefault="00E86BE2" w:rsidP="00E86BE2">
            <w:pPr>
              <w:jc w:val="both"/>
              <w:rPr>
                <w:rFonts w:eastAsia="Calibri" w:cstheme="minorHAnsi"/>
                <w:sz w:val="24"/>
                <w:szCs w:val="24"/>
              </w:rPr>
            </w:pPr>
            <w:r w:rsidRPr="0010524E">
              <w:rPr>
                <w:rFonts w:cstheme="minorHAnsi"/>
                <w:sz w:val="24"/>
                <w:szCs w:val="24"/>
              </w:rPr>
              <w:t>Art. 3º O Relatório Mensal de Informações deverá ser enviado à Secretaria de Previdência Complementar, pelo administrador especial, interventor ou liquidante, até o último dia útil do mês subseqüente ao mês a que se refere.</w:t>
            </w:r>
          </w:p>
        </w:tc>
        <w:tc>
          <w:tcPr>
            <w:tcW w:w="4849" w:type="dxa"/>
          </w:tcPr>
          <w:p w14:paraId="6FDE4F88" w14:textId="3019EA06" w:rsidR="00E86BE2" w:rsidRPr="0010524E" w:rsidRDefault="00E86BE2" w:rsidP="00E86BE2">
            <w:pPr>
              <w:jc w:val="both"/>
              <w:rPr>
                <w:rFonts w:cstheme="minorHAnsi"/>
                <w:color w:val="FF0000"/>
                <w:sz w:val="24"/>
                <w:szCs w:val="24"/>
              </w:rPr>
            </w:pPr>
            <w:r w:rsidRPr="00972221">
              <w:rPr>
                <w:rFonts w:ascii="Calibri" w:eastAsia="Calibri" w:hAnsi="Calibri" w:cs="Calibri"/>
                <w:sz w:val="24"/>
                <w:szCs w:val="24"/>
                <w:highlight w:val="yellow"/>
              </w:rPr>
              <w:t>Art. 422</w:t>
            </w:r>
            <w:r w:rsidRPr="00972221">
              <w:rPr>
                <w:rFonts w:ascii="Calibri" w:eastAsia="Calibri" w:hAnsi="Calibri" w:cs="Calibri"/>
                <w:strike/>
                <w:sz w:val="24"/>
                <w:szCs w:val="24"/>
                <w:highlight w:val="yellow"/>
              </w:rPr>
              <w:t>421</w:t>
            </w:r>
            <w:r w:rsidRPr="0010524E">
              <w:rPr>
                <w:rFonts w:ascii="Calibri" w:eastAsia="Calibri" w:hAnsi="Calibri" w:cs="Calibri"/>
                <w:sz w:val="24"/>
                <w:szCs w:val="24"/>
              </w:rPr>
              <w:t>.  O relatório mensal de informações deverá ser enviado à Previc, pelo administrador especial, interventor ou liquidante, até o último dia útil do mês subsequente ao mês a que se refere.</w:t>
            </w:r>
          </w:p>
        </w:tc>
        <w:tc>
          <w:tcPr>
            <w:tcW w:w="4648" w:type="dxa"/>
          </w:tcPr>
          <w:p w14:paraId="3E9E0FF7" w14:textId="77777777" w:rsidR="00E86BE2" w:rsidRPr="0010524E" w:rsidRDefault="00E86BE2" w:rsidP="00E86BE2">
            <w:pPr>
              <w:pBdr>
                <w:top w:val="nil"/>
                <w:left w:val="nil"/>
                <w:bottom w:val="nil"/>
                <w:right w:val="nil"/>
                <w:between w:val="nil"/>
              </w:pBdr>
              <w:jc w:val="both"/>
              <w:rPr>
                <w:rFonts w:eastAsia="Calibri" w:cstheme="minorHAnsi"/>
                <w:color w:val="000000"/>
                <w:sz w:val="24"/>
                <w:szCs w:val="24"/>
              </w:rPr>
            </w:pPr>
            <w:r w:rsidRPr="0010524E">
              <w:rPr>
                <w:rFonts w:eastAsia="Calibri" w:cstheme="minorHAnsi"/>
                <w:color w:val="000000"/>
                <w:sz w:val="24"/>
                <w:szCs w:val="24"/>
              </w:rPr>
              <w:t>Ajuste da redação</w:t>
            </w:r>
          </w:p>
        </w:tc>
      </w:tr>
      <w:tr w:rsidR="00E86BE2" w:rsidRPr="0010524E" w14:paraId="4E1F9B38" w14:textId="5381AEAC" w:rsidTr="00E86BE2">
        <w:tc>
          <w:tcPr>
            <w:tcW w:w="4815" w:type="dxa"/>
          </w:tcPr>
          <w:p w14:paraId="6C832201" w14:textId="77777777" w:rsidR="00E86BE2" w:rsidRPr="0010524E" w:rsidRDefault="00E86BE2" w:rsidP="00E86BE2">
            <w:pPr>
              <w:jc w:val="both"/>
              <w:rPr>
                <w:rFonts w:eastAsia="Calibri" w:cstheme="minorHAnsi"/>
                <w:sz w:val="24"/>
                <w:szCs w:val="24"/>
              </w:rPr>
            </w:pPr>
          </w:p>
        </w:tc>
        <w:tc>
          <w:tcPr>
            <w:tcW w:w="4849" w:type="dxa"/>
          </w:tcPr>
          <w:p w14:paraId="43860D75" w14:textId="2C878591" w:rsidR="00E86BE2" w:rsidRPr="0010524E" w:rsidRDefault="00E86BE2" w:rsidP="00E86BE2">
            <w:pPr>
              <w:jc w:val="both"/>
              <w:rPr>
                <w:rFonts w:cstheme="minorHAnsi"/>
                <w:color w:val="FF0000"/>
                <w:sz w:val="24"/>
                <w:szCs w:val="24"/>
              </w:rPr>
            </w:pPr>
            <w:r w:rsidRPr="00972221">
              <w:rPr>
                <w:rFonts w:ascii="Calibri" w:eastAsia="Calibri" w:hAnsi="Calibri" w:cs="Calibri"/>
                <w:sz w:val="24"/>
                <w:szCs w:val="24"/>
                <w:highlight w:val="yellow"/>
              </w:rPr>
              <w:t>Art. 423</w:t>
            </w:r>
            <w:r w:rsidRPr="00972221">
              <w:rPr>
                <w:rFonts w:ascii="Calibri" w:eastAsia="Calibri" w:hAnsi="Calibri" w:cs="Calibri"/>
                <w:strike/>
                <w:sz w:val="24"/>
                <w:szCs w:val="24"/>
                <w:highlight w:val="yellow"/>
              </w:rPr>
              <w:t>422</w:t>
            </w:r>
            <w:r w:rsidRPr="0010524E">
              <w:rPr>
                <w:rFonts w:ascii="Calibri" w:eastAsia="Calibri" w:hAnsi="Calibri" w:cs="Calibri"/>
                <w:sz w:val="24"/>
                <w:szCs w:val="24"/>
              </w:rPr>
              <w:t>.  A entidade em liquidação extrajudicial deve divulgar mensalmente, em sítio na rede mundial de computadores, as informações relativas ao regime especial.</w:t>
            </w:r>
          </w:p>
        </w:tc>
        <w:tc>
          <w:tcPr>
            <w:tcW w:w="4648" w:type="dxa"/>
          </w:tcPr>
          <w:p w14:paraId="08BF1C8C" w14:textId="77777777" w:rsidR="00E86BE2" w:rsidRPr="0010524E" w:rsidRDefault="00E86BE2" w:rsidP="00E86BE2">
            <w:pPr>
              <w:pBdr>
                <w:top w:val="nil"/>
                <w:left w:val="nil"/>
                <w:bottom w:val="nil"/>
                <w:right w:val="nil"/>
                <w:between w:val="nil"/>
              </w:pBdr>
              <w:jc w:val="both"/>
              <w:rPr>
                <w:rFonts w:eastAsia="Calibri" w:cstheme="minorHAnsi"/>
                <w:color w:val="000000"/>
                <w:sz w:val="24"/>
                <w:szCs w:val="24"/>
              </w:rPr>
            </w:pPr>
            <w:r w:rsidRPr="0010524E">
              <w:rPr>
                <w:rFonts w:eastAsia="Calibri" w:cstheme="minorHAnsi"/>
                <w:color w:val="000000"/>
                <w:sz w:val="24"/>
                <w:szCs w:val="24"/>
              </w:rPr>
              <w:t>Incluído para dar maior transparência nos casos de liquidação extrajudicial.</w:t>
            </w:r>
          </w:p>
          <w:p w14:paraId="26B6CE93" w14:textId="77777777" w:rsidR="00E86BE2" w:rsidRPr="0010524E" w:rsidRDefault="00E86BE2" w:rsidP="00E86BE2">
            <w:pPr>
              <w:pBdr>
                <w:top w:val="nil"/>
                <w:left w:val="nil"/>
                <w:bottom w:val="nil"/>
                <w:right w:val="nil"/>
                <w:between w:val="nil"/>
              </w:pBdr>
              <w:jc w:val="both"/>
              <w:rPr>
                <w:rFonts w:eastAsia="Calibri" w:cstheme="minorHAnsi"/>
                <w:color w:val="000000"/>
                <w:sz w:val="24"/>
                <w:szCs w:val="24"/>
              </w:rPr>
            </w:pPr>
            <w:r w:rsidRPr="0010524E">
              <w:rPr>
                <w:rFonts w:eastAsia="Calibri" w:cstheme="minorHAnsi"/>
                <w:color w:val="000000"/>
                <w:sz w:val="24"/>
                <w:szCs w:val="24"/>
              </w:rPr>
              <w:t>INDICAR AS INFORMAÇÕES NECESSARIAS</w:t>
            </w:r>
          </w:p>
        </w:tc>
      </w:tr>
      <w:tr w:rsidR="00E86BE2" w:rsidRPr="0010524E" w14:paraId="00086266" w14:textId="53FB01E4" w:rsidTr="00E86BE2">
        <w:tc>
          <w:tcPr>
            <w:tcW w:w="4815" w:type="dxa"/>
          </w:tcPr>
          <w:p w14:paraId="2D928791" w14:textId="77777777" w:rsidR="00E86BE2" w:rsidRPr="0010524E" w:rsidRDefault="00E86BE2" w:rsidP="00E86BE2">
            <w:pPr>
              <w:jc w:val="both"/>
              <w:rPr>
                <w:rFonts w:eastAsia="Calibri" w:cstheme="minorHAnsi"/>
                <w:sz w:val="24"/>
                <w:szCs w:val="24"/>
              </w:rPr>
            </w:pPr>
          </w:p>
        </w:tc>
        <w:tc>
          <w:tcPr>
            <w:tcW w:w="4849" w:type="dxa"/>
          </w:tcPr>
          <w:p w14:paraId="244AE25F" w14:textId="77777777" w:rsidR="00E86BE2" w:rsidRPr="0010524E" w:rsidRDefault="00E86BE2" w:rsidP="00E86BE2">
            <w:pPr>
              <w:jc w:val="center"/>
              <w:rPr>
                <w:rFonts w:ascii="Calibri" w:eastAsia="Calibri" w:hAnsi="Calibri" w:cs="Calibri"/>
                <w:sz w:val="24"/>
                <w:szCs w:val="24"/>
              </w:rPr>
            </w:pPr>
            <w:r w:rsidRPr="0010524E">
              <w:rPr>
                <w:rFonts w:ascii="Calibri" w:eastAsia="Calibri" w:hAnsi="Calibri" w:cs="Calibri"/>
                <w:sz w:val="24"/>
                <w:szCs w:val="24"/>
              </w:rPr>
              <w:t>CAPÍTULO X</w:t>
            </w:r>
          </w:p>
          <w:p w14:paraId="67DB0963" w14:textId="77777777" w:rsidR="00E86BE2" w:rsidRPr="0010524E" w:rsidRDefault="00E86BE2" w:rsidP="00E86BE2">
            <w:pPr>
              <w:jc w:val="center"/>
              <w:rPr>
                <w:rFonts w:ascii="Calibri" w:eastAsia="Calibri" w:hAnsi="Calibri" w:cs="Calibri"/>
                <w:sz w:val="24"/>
                <w:szCs w:val="24"/>
              </w:rPr>
            </w:pPr>
            <w:r w:rsidRPr="0010524E">
              <w:rPr>
                <w:rFonts w:ascii="Calibri" w:eastAsia="Calibri" w:hAnsi="Calibri" w:cs="Calibri"/>
                <w:sz w:val="24"/>
                <w:szCs w:val="24"/>
              </w:rPr>
              <w:t>DISPOSIÇÕES FINAIS</w:t>
            </w:r>
          </w:p>
          <w:p w14:paraId="429113FA" w14:textId="08EDC27D" w:rsidR="00E86BE2" w:rsidRPr="0010524E" w:rsidRDefault="00E86BE2" w:rsidP="00E86BE2">
            <w:pPr>
              <w:jc w:val="center"/>
              <w:rPr>
                <w:rFonts w:cstheme="minorHAnsi"/>
                <w:b/>
                <w:bCs/>
                <w:sz w:val="24"/>
                <w:szCs w:val="24"/>
              </w:rPr>
            </w:pPr>
          </w:p>
        </w:tc>
        <w:tc>
          <w:tcPr>
            <w:tcW w:w="4648" w:type="dxa"/>
          </w:tcPr>
          <w:p w14:paraId="52B8364F" w14:textId="77777777" w:rsidR="00E86BE2" w:rsidRPr="0010524E" w:rsidRDefault="00E86BE2" w:rsidP="00E86BE2">
            <w:pPr>
              <w:pBdr>
                <w:top w:val="nil"/>
                <w:left w:val="nil"/>
                <w:bottom w:val="nil"/>
                <w:right w:val="nil"/>
                <w:between w:val="nil"/>
              </w:pBdr>
              <w:jc w:val="both"/>
              <w:rPr>
                <w:rFonts w:eastAsia="Calibri" w:cstheme="minorHAnsi"/>
                <w:color w:val="000000"/>
                <w:sz w:val="24"/>
                <w:szCs w:val="24"/>
              </w:rPr>
            </w:pPr>
          </w:p>
        </w:tc>
      </w:tr>
      <w:tr w:rsidR="00E86BE2" w:rsidRPr="0010524E" w14:paraId="39D46990" w14:textId="78B43FF9" w:rsidTr="00E86BE2">
        <w:tc>
          <w:tcPr>
            <w:tcW w:w="4815" w:type="dxa"/>
          </w:tcPr>
          <w:p w14:paraId="5CB39388" w14:textId="77777777" w:rsidR="00E86BE2" w:rsidRPr="0010524E" w:rsidRDefault="00E86BE2" w:rsidP="00E86BE2">
            <w:pPr>
              <w:jc w:val="both"/>
              <w:rPr>
                <w:rFonts w:eastAsia="Calibri" w:cstheme="minorHAnsi"/>
                <w:sz w:val="24"/>
                <w:szCs w:val="24"/>
              </w:rPr>
            </w:pPr>
          </w:p>
        </w:tc>
        <w:tc>
          <w:tcPr>
            <w:tcW w:w="4849" w:type="dxa"/>
          </w:tcPr>
          <w:p w14:paraId="12BF326B" w14:textId="0D5D790C" w:rsidR="00E86BE2" w:rsidRPr="0010524E" w:rsidRDefault="00E86BE2" w:rsidP="00E86BE2">
            <w:pPr>
              <w:jc w:val="both"/>
              <w:rPr>
                <w:rFonts w:ascii="Calibri" w:eastAsia="Calibri" w:hAnsi="Calibri" w:cs="Calibri"/>
                <w:sz w:val="24"/>
                <w:szCs w:val="24"/>
              </w:rPr>
            </w:pPr>
            <w:r w:rsidRPr="00972221">
              <w:rPr>
                <w:rFonts w:ascii="Calibri" w:eastAsia="Calibri" w:hAnsi="Calibri" w:cs="Calibri"/>
                <w:sz w:val="24"/>
                <w:szCs w:val="24"/>
                <w:highlight w:val="yellow"/>
              </w:rPr>
              <w:t>Art. 424</w:t>
            </w:r>
            <w:r w:rsidRPr="00972221">
              <w:rPr>
                <w:rFonts w:ascii="Calibri" w:eastAsia="Calibri" w:hAnsi="Calibri" w:cs="Calibri"/>
                <w:strike/>
                <w:sz w:val="24"/>
                <w:szCs w:val="24"/>
                <w:highlight w:val="yellow"/>
              </w:rPr>
              <w:t>423</w:t>
            </w:r>
            <w:r w:rsidRPr="0010524E">
              <w:rPr>
                <w:rFonts w:ascii="Calibri" w:eastAsia="Calibri" w:hAnsi="Calibri" w:cs="Calibri"/>
                <w:sz w:val="24"/>
                <w:szCs w:val="24"/>
              </w:rPr>
              <w:t>.  Cabe à Previc emitir orientações para a operacionalização e o detalhamento de documentos e informações que devem ser enviados à autarquia.</w:t>
            </w:r>
          </w:p>
          <w:p w14:paraId="702FB640" w14:textId="0488E4D3"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w:t>
            </w:r>
          </w:p>
          <w:p w14:paraId="716FA7AA" w14:textId="77777777" w:rsidR="00E86BE2" w:rsidRPr="0010524E" w:rsidRDefault="00E86BE2" w:rsidP="00E86BE2">
            <w:pPr>
              <w:jc w:val="both"/>
              <w:rPr>
                <w:rFonts w:cstheme="minorHAnsi"/>
                <w:sz w:val="24"/>
                <w:szCs w:val="24"/>
              </w:rPr>
            </w:pPr>
          </w:p>
        </w:tc>
        <w:tc>
          <w:tcPr>
            <w:tcW w:w="4648" w:type="dxa"/>
          </w:tcPr>
          <w:p w14:paraId="63800CAE" w14:textId="77777777" w:rsidR="00E86BE2" w:rsidRPr="0010524E" w:rsidRDefault="00E86BE2" w:rsidP="00E86BE2">
            <w:pPr>
              <w:jc w:val="both"/>
              <w:rPr>
                <w:rFonts w:eastAsia="Times New Roman" w:cstheme="minorHAnsi"/>
                <w:sz w:val="24"/>
                <w:szCs w:val="24"/>
                <w:lang w:eastAsia="pt-BR"/>
              </w:rPr>
            </w:pPr>
            <w:r w:rsidRPr="0010524E">
              <w:rPr>
                <w:rFonts w:eastAsia="Times New Roman" w:cstheme="minorHAnsi"/>
                <w:sz w:val="24"/>
                <w:szCs w:val="24"/>
                <w:lang w:eastAsia="pt-BR"/>
              </w:rPr>
              <w:t>Realocação do § 1º do art. 1º da Resolução Previc nº 7/2022.</w:t>
            </w:r>
          </w:p>
          <w:p w14:paraId="42736D04" w14:textId="77777777" w:rsidR="00E86BE2" w:rsidRPr="0010524E" w:rsidRDefault="00E86BE2" w:rsidP="00E86BE2">
            <w:pPr>
              <w:pBdr>
                <w:top w:val="nil"/>
                <w:left w:val="nil"/>
                <w:bottom w:val="nil"/>
                <w:right w:val="nil"/>
                <w:between w:val="nil"/>
              </w:pBdr>
              <w:jc w:val="both"/>
              <w:rPr>
                <w:rFonts w:eastAsia="Calibri" w:cstheme="minorHAnsi"/>
                <w:color w:val="000000"/>
                <w:sz w:val="24"/>
                <w:szCs w:val="24"/>
              </w:rPr>
            </w:pPr>
            <w:r w:rsidRPr="0010524E">
              <w:rPr>
                <w:rFonts w:eastAsia="Calibri" w:cstheme="minorHAnsi"/>
                <w:color w:val="000000"/>
                <w:sz w:val="24"/>
                <w:szCs w:val="24"/>
              </w:rPr>
              <w:t>Realocado do § 4º do art. 34 da Resolução Previc nº 21/2023.</w:t>
            </w:r>
          </w:p>
          <w:p w14:paraId="612A0B51" w14:textId="77777777" w:rsidR="00E86BE2" w:rsidRPr="0010524E" w:rsidRDefault="00E86BE2" w:rsidP="00E86BE2">
            <w:pPr>
              <w:pBdr>
                <w:top w:val="nil"/>
                <w:left w:val="nil"/>
                <w:bottom w:val="nil"/>
                <w:right w:val="nil"/>
                <w:between w:val="nil"/>
              </w:pBdr>
              <w:jc w:val="both"/>
              <w:rPr>
                <w:rFonts w:eastAsia="Calibri" w:cstheme="minorHAnsi"/>
                <w:color w:val="000000"/>
                <w:sz w:val="24"/>
                <w:szCs w:val="24"/>
              </w:rPr>
            </w:pPr>
            <w:r w:rsidRPr="0010524E">
              <w:rPr>
                <w:rFonts w:eastAsia="Calibri" w:cstheme="minorHAnsi"/>
                <w:color w:val="000000"/>
                <w:sz w:val="24"/>
                <w:szCs w:val="24"/>
              </w:rPr>
              <w:t>Realocado do § 3º do art. 2º da Instrução Previc nº 35/2020.</w:t>
            </w:r>
          </w:p>
          <w:p w14:paraId="25010C9A" w14:textId="77777777" w:rsidR="00E86BE2" w:rsidRPr="0010524E" w:rsidRDefault="00E86BE2" w:rsidP="00E86BE2">
            <w:pPr>
              <w:pBdr>
                <w:top w:val="nil"/>
                <w:left w:val="nil"/>
                <w:bottom w:val="nil"/>
                <w:right w:val="nil"/>
                <w:between w:val="nil"/>
              </w:pBdr>
              <w:jc w:val="both"/>
              <w:rPr>
                <w:rFonts w:cstheme="minorHAnsi"/>
                <w:sz w:val="24"/>
                <w:szCs w:val="24"/>
              </w:rPr>
            </w:pPr>
            <w:r w:rsidRPr="0010524E">
              <w:rPr>
                <w:rFonts w:eastAsia="Calibri" w:cstheme="minorHAnsi"/>
                <w:color w:val="000000"/>
                <w:sz w:val="24"/>
                <w:szCs w:val="24"/>
              </w:rPr>
              <w:t xml:space="preserve">Realocado do art. 7º da </w:t>
            </w:r>
            <w:r w:rsidRPr="0010524E">
              <w:rPr>
                <w:rFonts w:cstheme="minorHAnsi"/>
                <w:sz w:val="24"/>
                <w:szCs w:val="24"/>
              </w:rPr>
              <w:t>Instrução Normativa Previc nº 39/2021.</w:t>
            </w:r>
          </w:p>
          <w:p w14:paraId="344D322F" w14:textId="77777777" w:rsidR="00E86BE2" w:rsidRPr="0010524E" w:rsidRDefault="00E86BE2" w:rsidP="00E86BE2">
            <w:pPr>
              <w:pBdr>
                <w:top w:val="nil"/>
                <w:left w:val="nil"/>
                <w:bottom w:val="nil"/>
                <w:right w:val="nil"/>
                <w:between w:val="nil"/>
              </w:pBdr>
              <w:jc w:val="both"/>
              <w:rPr>
                <w:rFonts w:eastAsia="Calibri" w:cstheme="minorHAnsi"/>
                <w:color w:val="000000"/>
                <w:sz w:val="24"/>
                <w:szCs w:val="24"/>
              </w:rPr>
            </w:pPr>
          </w:p>
          <w:p w14:paraId="108AFE6F" w14:textId="77777777" w:rsidR="00E86BE2" w:rsidRPr="0010524E" w:rsidRDefault="00E86BE2" w:rsidP="00E86BE2">
            <w:pPr>
              <w:pBdr>
                <w:top w:val="nil"/>
                <w:left w:val="nil"/>
                <w:bottom w:val="nil"/>
                <w:right w:val="nil"/>
                <w:between w:val="nil"/>
              </w:pBdr>
              <w:jc w:val="both"/>
              <w:rPr>
                <w:rFonts w:eastAsia="Calibri" w:cstheme="minorHAnsi"/>
                <w:color w:val="000000"/>
                <w:sz w:val="24"/>
                <w:szCs w:val="24"/>
              </w:rPr>
            </w:pPr>
            <w:r w:rsidRPr="0010524E">
              <w:rPr>
                <w:rFonts w:eastAsia="Times New Roman" w:cstheme="minorHAnsi"/>
                <w:sz w:val="24"/>
                <w:szCs w:val="24"/>
                <w:lang w:eastAsia="pt-BR"/>
              </w:rPr>
              <w:t>Sugestão de alteração de competência</w:t>
            </w:r>
            <w:r w:rsidRPr="0010524E">
              <w:rPr>
                <w:rFonts w:eastAsia="Times New Roman" w:cstheme="minorHAnsi"/>
                <w:sz w:val="24"/>
                <w:szCs w:val="24"/>
                <w:highlight w:val="yellow"/>
                <w:lang w:eastAsia="pt-BR"/>
              </w:rPr>
              <w:t>. Substitução da Diretoria de Fiscalização e de Licenciamento para Previc.</w:t>
            </w:r>
          </w:p>
          <w:p w14:paraId="3F4F9522" w14:textId="77777777" w:rsidR="00E86BE2" w:rsidRPr="0010524E" w:rsidRDefault="00E86BE2" w:rsidP="00E86BE2">
            <w:pPr>
              <w:spacing w:before="120" w:after="120"/>
              <w:jc w:val="both"/>
              <w:rPr>
                <w:rFonts w:cstheme="minorHAnsi"/>
                <w:sz w:val="24"/>
                <w:szCs w:val="24"/>
              </w:rPr>
            </w:pPr>
            <w:r w:rsidRPr="0010524E">
              <w:rPr>
                <w:rFonts w:cstheme="minorHAnsi"/>
                <w:sz w:val="24"/>
                <w:szCs w:val="24"/>
              </w:rPr>
              <w:t>Alteração da Diretoria responsável pela edição na norma complementar. (justificativa original).</w:t>
            </w:r>
          </w:p>
          <w:p w14:paraId="6B1904A7" w14:textId="77777777" w:rsidR="00E86BE2" w:rsidRPr="0010524E" w:rsidRDefault="00E86BE2" w:rsidP="00E86BE2">
            <w:pPr>
              <w:spacing w:before="120" w:after="120"/>
              <w:jc w:val="both"/>
              <w:rPr>
                <w:rFonts w:eastAsia="Calibri" w:cstheme="minorHAnsi"/>
                <w:color w:val="000000"/>
                <w:sz w:val="24"/>
                <w:szCs w:val="24"/>
              </w:rPr>
            </w:pPr>
            <w:r w:rsidRPr="0010524E">
              <w:rPr>
                <w:rFonts w:cstheme="minorHAnsi"/>
                <w:sz w:val="24"/>
                <w:szCs w:val="24"/>
              </w:rPr>
              <w:t>VARIFICAR DE QUEM VAI FICAR A ATRIBUIÇÃO DA ELABORAÇÃO DA PORTARIA</w:t>
            </w:r>
          </w:p>
        </w:tc>
      </w:tr>
      <w:bookmarkEnd w:id="134"/>
      <w:bookmarkEnd w:id="135"/>
      <w:tr w:rsidR="00E86BE2" w:rsidRPr="0010524E" w14:paraId="3F991A11" w14:textId="4DEB256A" w:rsidTr="00E86BE2">
        <w:tc>
          <w:tcPr>
            <w:tcW w:w="4815" w:type="dxa"/>
          </w:tcPr>
          <w:p w14:paraId="24E28C8F" w14:textId="31EBDA80" w:rsidR="00E86BE2" w:rsidRPr="0010524E" w:rsidRDefault="00E86BE2" w:rsidP="00E86BE2">
            <w:pPr>
              <w:autoSpaceDE w:val="0"/>
              <w:autoSpaceDN w:val="0"/>
              <w:adjustRightInd w:val="0"/>
              <w:jc w:val="both"/>
              <w:rPr>
                <w:rFonts w:cstheme="minorHAnsi"/>
                <w:sz w:val="24"/>
                <w:szCs w:val="24"/>
              </w:rPr>
            </w:pPr>
          </w:p>
        </w:tc>
        <w:tc>
          <w:tcPr>
            <w:tcW w:w="4849" w:type="dxa"/>
          </w:tcPr>
          <w:p w14:paraId="2F3DCB15" w14:textId="4D542198" w:rsidR="00E86BE2" w:rsidRPr="0010524E" w:rsidRDefault="00E86BE2" w:rsidP="00E86BE2">
            <w:pPr>
              <w:jc w:val="both"/>
              <w:rPr>
                <w:sz w:val="24"/>
                <w:szCs w:val="24"/>
              </w:rPr>
            </w:pPr>
            <w:r w:rsidRPr="00972221">
              <w:rPr>
                <w:rFonts w:ascii="Calibri" w:eastAsia="Calibri" w:hAnsi="Calibri" w:cs="Calibri"/>
                <w:sz w:val="24"/>
                <w:szCs w:val="24"/>
                <w:highlight w:val="yellow"/>
              </w:rPr>
              <w:t>Art. 425</w:t>
            </w:r>
            <w:r w:rsidRPr="00972221">
              <w:rPr>
                <w:rFonts w:ascii="Calibri" w:eastAsia="Calibri" w:hAnsi="Calibri" w:cs="Calibri"/>
                <w:strike/>
                <w:sz w:val="24"/>
                <w:szCs w:val="24"/>
                <w:highlight w:val="yellow"/>
              </w:rPr>
              <w:t>424</w:t>
            </w:r>
            <w:r w:rsidRPr="0010524E">
              <w:rPr>
                <w:rFonts w:ascii="Calibri" w:eastAsia="Calibri" w:hAnsi="Calibri" w:cs="Calibri"/>
                <w:sz w:val="24"/>
                <w:szCs w:val="24"/>
              </w:rPr>
              <w:t>.  Esta Resolução não se aplica aos planos de assistência à saúde a que se refere o art. 76 da Lei Complementar nº 109, de 29 de maio de 2001, registrados na Agência Nacional de Saúde Suplementar (ANS).</w:t>
            </w:r>
          </w:p>
          <w:p w14:paraId="37427B1E" w14:textId="77777777" w:rsidR="00E86BE2" w:rsidRPr="0010524E" w:rsidRDefault="00E86BE2" w:rsidP="00E86BE2">
            <w:pPr>
              <w:rPr>
                <w:rFonts w:cstheme="minorHAnsi"/>
                <w:color w:val="FF0000"/>
                <w:sz w:val="24"/>
                <w:szCs w:val="24"/>
              </w:rPr>
            </w:pPr>
          </w:p>
        </w:tc>
        <w:tc>
          <w:tcPr>
            <w:tcW w:w="4648" w:type="dxa"/>
          </w:tcPr>
          <w:p w14:paraId="0C7A0186" w14:textId="152B1C5D" w:rsidR="00E86BE2" w:rsidRPr="0010524E" w:rsidRDefault="00E86BE2" w:rsidP="00E86BE2">
            <w:pPr>
              <w:pBdr>
                <w:top w:val="nil"/>
                <w:left w:val="nil"/>
                <w:bottom w:val="nil"/>
                <w:right w:val="nil"/>
                <w:between w:val="nil"/>
              </w:pBdr>
              <w:jc w:val="both"/>
              <w:rPr>
                <w:rFonts w:eastAsia="Calibri" w:cstheme="minorHAnsi"/>
                <w:bCs/>
                <w:color w:val="000000"/>
                <w:sz w:val="24"/>
                <w:szCs w:val="24"/>
              </w:rPr>
            </w:pPr>
          </w:p>
        </w:tc>
      </w:tr>
      <w:tr w:rsidR="00E86BE2" w:rsidRPr="0010524E" w14:paraId="0F2AB5CB" w14:textId="1EBEFA56" w:rsidTr="00E86BE2">
        <w:tc>
          <w:tcPr>
            <w:tcW w:w="4815" w:type="dxa"/>
          </w:tcPr>
          <w:p w14:paraId="63B8A119" w14:textId="77777777" w:rsidR="00E86BE2" w:rsidRPr="0010524E" w:rsidRDefault="00E86BE2" w:rsidP="00E86BE2">
            <w:pPr>
              <w:autoSpaceDE w:val="0"/>
              <w:autoSpaceDN w:val="0"/>
              <w:adjustRightInd w:val="0"/>
              <w:jc w:val="both"/>
              <w:rPr>
                <w:rFonts w:cstheme="minorHAnsi"/>
                <w:sz w:val="24"/>
                <w:szCs w:val="24"/>
              </w:rPr>
            </w:pPr>
          </w:p>
        </w:tc>
        <w:tc>
          <w:tcPr>
            <w:tcW w:w="4849" w:type="dxa"/>
          </w:tcPr>
          <w:p w14:paraId="3D092B6D" w14:textId="319C520D" w:rsidR="00E86BE2" w:rsidRPr="0010524E" w:rsidRDefault="00E86BE2" w:rsidP="00E86BE2">
            <w:pPr>
              <w:jc w:val="both"/>
              <w:rPr>
                <w:rFonts w:ascii="Calibri" w:eastAsia="Calibri" w:hAnsi="Calibri" w:cs="Calibri"/>
                <w:sz w:val="24"/>
                <w:szCs w:val="24"/>
              </w:rPr>
            </w:pPr>
            <w:r w:rsidRPr="00972221">
              <w:rPr>
                <w:rFonts w:ascii="Calibri" w:eastAsia="Calibri" w:hAnsi="Calibri" w:cs="Calibri"/>
                <w:sz w:val="24"/>
                <w:szCs w:val="24"/>
                <w:highlight w:val="yellow"/>
              </w:rPr>
              <w:t>Art. 426</w:t>
            </w:r>
            <w:r w:rsidRPr="00972221">
              <w:rPr>
                <w:rFonts w:ascii="Calibri" w:eastAsia="Calibri" w:hAnsi="Calibri" w:cs="Calibri"/>
                <w:strike/>
                <w:sz w:val="24"/>
                <w:szCs w:val="24"/>
                <w:highlight w:val="yellow"/>
              </w:rPr>
              <w:t>425</w:t>
            </w:r>
            <w:r w:rsidRPr="0010524E">
              <w:rPr>
                <w:rFonts w:ascii="Calibri" w:eastAsia="Calibri" w:hAnsi="Calibri" w:cs="Calibri"/>
                <w:sz w:val="24"/>
                <w:szCs w:val="24"/>
              </w:rPr>
              <w:t>.  As informações disponibilizadas à Previc são de responsabilidade da EFPC, que responde por erros ou omissões, nos termos da legislação vigente.</w:t>
            </w:r>
          </w:p>
        </w:tc>
        <w:tc>
          <w:tcPr>
            <w:tcW w:w="4648" w:type="dxa"/>
          </w:tcPr>
          <w:p w14:paraId="23D3CB4B" w14:textId="77777777" w:rsidR="00E86BE2" w:rsidRPr="0010524E" w:rsidRDefault="00E86BE2" w:rsidP="00E86BE2">
            <w:pPr>
              <w:pBdr>
                <w:top w:val="nil"/>
                <w:left w:val="nil"/>
                <w:bottom w:val="nil"/>
                <w:right w:val="nil"/>
                <w:between w:val="nil"/>
              </w:pBdr>
              <w:jc w:val="both"/>
              <w:rPr>
                <w:rFonts w:eastAsia="Calibri" w:cstheme="minorHAnsi"/>
                <w:bCs/>
                <w:color w:val="000000"/>
                <w:sz w:val="24"/>
                <w:szCs w:val="24"/>
              </w:rPr>
            </w:pPr>
          </w:p>
        </w:tc>
      </w:tr>
      <w:tr w:rsidR="00E86BE2" w:rsidRPr="0010524E" w14:paraId="0F64F40A" w14:textId="6D3B52F7" w:rsidTr="00E86BE2">
        <w:tc>
          <w:tcPr>
            <w:tcW w:w="4815" w:type="dxa"/>
          </w:tcPr>
          <w:p w14:paraId="736B185C" w14:textId="77777777" w:rsidR="00E86BE2" w:rsidRPr="0010524E" w:rsidRDefault="00E86BE2" w:rsidP="00E86BE2">
            <w:pPr>
              <w:autoSpaceDE w:val="0"/>
              <w:autoSpaceDN w:val="0"/>
              <w:adjustRightInd w:val="0"/>
              <w:jc w:val="both"/>
              <w:rPr>
                <w:rFonts w:cstheme="minorHAnsi"/>
                <w:sz w:val="24"/>
                <w:szCs w:val="24"/>
              </w:rPr>
            </w:pPr>
          </w:p>
        </w:tc>
        <w:tc>
          <w:tcPr>
            <w:tcW w:w="4849" w:type="dxa"/>
          </w:tcPr>
          <w:p w14:paraId="6E927E7A" w14:textId="042860D5" w:rsidR="00E86BE2" w:rsidRPr="0010524E" w:rsidRDefault="00E86BE2" w:rsidP="00E86BE2">
            <w:pPr>
              <w:jc w:val="both"/>
              <w:rPr>
                <w:rFonts w:ascii="Calibri" w:eastAsia="Calibri" w:hAnsi="Calibri" w:cs="Calibri"/>
                <w:sz w:val="24"/>
                <w:szCs w:val="24"/>
              </w:rPr>
            </w:pPr>
            <w:r w:rsidRPr="00972221">
              <w:rPr>
                <w:rFonts w:ascii="Calibri" w:eastAsia="Calibri" w:hAnsi="Calibri" w:cs="Calibri"/>
                <w:sz w:val="24"/>
                <w:szCs w:val="24"/>
                <w:highlight w:val="yellow"/>
              </w:rPr>
              <w:t>Art. 427</w:t>
            </w:r>
            <w:r w:rsidRPr="00972221">
              <w:rPr>
                <w:rFonts w:ascii="Calibri" w:eastAsia="Calibri" w:hAnsi="Calibri" w:cs="Calibri"/>
                <w:strike/>
                <w:sz w:val="24"/>
                <w:szCs w:val="24"/>
                <w:highlight w:val="yellow"/>
              </w:rPr>
              <w:t>426</w:t>
            </w:r>
            <w:r w:rsidRPr="0010524E">
              <w:rPr>
                <w:rFonts w:ascii="Calibri" w:eastAsia="Calibri" w:hAnsi="Calibri" w:cs="Calibri"/>
                <w:sz w:val="24"/>
                <w:szCs w:val="24"/>
              </w:rPr>
              <w:t>.  Os documentos, relatórios e informações produzidos pela EFPC e não enviados à Previc, devem ficar arquivados na EFPC à disposição da Previc.</w:t>
            </w:r>
          </w:p>
        </w:tc>
        <w:tc>
          <w:tcPr>
            <w:tcW w:w="4648" w:type="dxa"/>
          </w:tcPr>
          <w:p w14:paraId="050AEE4F" w14:textId="77777777" w:rsidR="00E86BE2" w:rsidRPr="0010524E" w:rsidRDefault="00E86BE2" w:rsidP="00E86BE2">
            <w:pPr>
              <w:pBdr>
                <w:top w:val="nil"/>
                <w:left w:val="nil"/>
                <w:bottom w:val="nil"/>
                <w:right w:val="nil"/>
                <w:between w:val="nil"/>
              </w:pBdr>
              <w:jc w:val="both"/>
              <w:rPr>
                <w:rFonts w:eastAsia="Calibri" w:cstheme="minorHAnsi"/>
                <w:bCs/>
                <w:color w:val="000000"/>
                <w:sz w:val="24"/>
                <w:szCs w:val="24"/>
              </w:rPr>
            </w:pPr>
          </w:p>
        </w:tc>
      </w:tr>
      <w:tr w:rsidR="00E86BE2" w:rsidRPr="0010524E" w14:paraId="13DBA68F" w14:textId="213C7194" w:rsidTr="00E86BE2">
        <w:tc>
          <w:tcPr>
            <w:tcW w:w="4815" w:type="dxa"/>
          </w:tcPr>
          <w:p w14:paraId="773344A8" w14:textId="77777777" w:rsidR="00E86BE2" w:rsidRPr="0010524E" w:rsidRDefault="00E86BE2" w:rsidP="00E86BE2">
            <w:pPr>
              <w:autoSpaceDE w:val="0"/>
              <w:autoSpaceDN w:val="0"/>
              <w:adjustRightInd w:val="0"/>
              <w:jc w:val="both"/>
              <w:rPr>
                <w:rFonts w:cstheme="minorHAnsi"/>
                <w:sz w:val="24"/>
                <w:szCs w:val="24"/>
              </w:rPr>
            </w:pPr>
          </w:p>
        </w:tc>
        <w:tc>
          <w:tcPr>
            <w:tcW w:w="4849" w:type="dxa"/>
          </w:tcPr>
          <w:p w14:paraId="16EAA813" w14:textId="299F4358" w:rsidR="00E86BE2" w:rsidRPr="0010524E" w:rsidRDefault="00E86BE2" w:rsidP="00E86BE2">
            <w:pPr>
              <w:jc w:val="both"/>
              <w:rPr>
                <w:sz w:val="24"/>
                <w:szCs w:val="24"/>
              </w:rPr>
            </w:pPr>
            <w:r w:rsidRPr="00DF754E">
              <w:rPr>
                <w:rFonts w:ascii="Calibri" w:eastAsia="Calibri" w:hAnsi="Calibri" w:cs="Calibri"/>
                <w:sz w:val="24"/>
                <w:szCs w:val="24"/>
                <w:highlight w:val="yellow"/>
              </w:rPr>
              <w:t>Art. 428</w:t>
            </w:r>
            <w:r w:rsidRPr="00DF754E">
              <w:rPr>
                <w:rFonts w:ascii="Calibri" w:eastAsia="Calibri" w:hAnsi="Calibri" w:cs="Calibri"/>
                <w:strike/>
                <w:sz w:val="24"/>
                <w:szCs w:val="24"/>
                <w:highlight w:val="yellow"/>
              </w:rPr>
              <w:t>427</w:t>
            </w:r>
            <w:r w:rsidRPr="0010524E">
              <w:rPr>
                <w:rFonts w:ascii="Calibri" w:eastAsia="Calibri" w:hAnsi="Calibri" w:cs="Calibri"/>
                <w:sz w:val="24"/>
                <w:szCs w:val="24"/>
              </w:rPr>
              <w:t>.  Ficam revogadas as seguintes normas:</w:t>
            </w:r>
            <w:r w:rsidRPr="0010524E">
              <w:rPr>
                <w:rFonts w:ascii="Calibri" w:hAnsi="Calibri"/>
                <w:sz w:val="24"/>
                <w:szCs w:val="24"/>
              </w:rPr>
              <w:t xml:space="preserve"> </w:t>
            </w:r>
          </w:p>
          <w:p w14:paraId="433EAF5A" w14:textId="77777777" w:rsidR="00E86BE2" w:rsidRPr="0010524E" w:rsidRDefault="00E86BE2" w:rsidP="00E86BE2">
            <w:pPr>
              <w:jc w:val="both"/>
              <w:rPr>
                <w:sz w:val="24"/>
                <w:szCs w:val="24"/>
              </w:rPr>
            </w:pPr>
            <w:r w:rsidRPr="0010524E">
              <w:rPr>
                <w:rFonts w:ascii="Calibri" w:eastAsia="Calibri" w:hAnsi="Calibri" w:cs="Calibri"/>
                <w:sz w:val="24"/>
                <w:szCs w:val="24"/>
              </w:rPr>
              <w:t xml:space="preserve">I - Instrução SPC nº 16 de 23 de março de 2007; </w:t>
            </w:r>
          </w:p>
          <w:p w14:paraId="56D9F05A"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II - Instrução Normativa SPC nº 29, de 19 de março de 2009;</w:t>
            </w:r>
          </w:p>
          <w:p w14:paraId="01E692AD"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III - Instrução Previc nº 2, de 20 de julho de 2011;</w:t>
            </w:r>
          </w:p>
          <w:p w14:paraId="0595B27F"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IV - Instrução SPC nº 17, de 18 de abril de 2017; </w:t>
            </w:r>
          </w:p>
          <w:p w14:paraId="5AED55BB"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V - Instrução nº 15, de 8 dezembro de 2017; </w:t>
            </w:r>
          </w:p>
          <w:p w14:paraId="5DFEBC1E"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VI - Instrução Previc nº 3, de 24 de agosto de 2018; </w:t>
            </w:r>
          </w:p>
          <w:p w14:paraId="1083A99C"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VII - Instrução Previc nº 33, de 23 de outubro de 2018; </w:t>
            </w:r>
          </w:p>
          <w:p w14:paraId="260E8FED"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VIII - Instrução Previc nº 12, de 21 de janeiro de 2019; </w:t>
            </w:r>
          </w:p>
          <w:p w14:paraId="17B4512A"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IX - Instrução Previc nº 17, de 13 de setembro de 2019; </w:t>
            </w:r>
          </w:p>
          <w:p w14:paraId="7B9A7878"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 - Instrução Previc nº 25, de 22 de abril de 2020; </w:t>
            </w:r>
          </w:p>
          <w:p w14:paraId="700C86FB"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XI - Instrução Previc nº 26, de 28 de abril de 2020;</w:t>
            </w:r>
          </w:p>
          <w:p w14:paraId="2BA340E6"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XII - Instrução Previc nº 29, de 21 de julho de 2020; </w:t>
            </w:r>
          </w:p>
          <w:p w14:paraId="30FD78D2"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XIII - Instrução Previc nº 30, de 19 de agosto de 2020; </w:t>
            </w:r>
          </w:p>
          <w:p w14:paraId="0710CBC9"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lastRenderedPageBreak/>
              <w:t xml:space="preserve">XIV - Instrução Normativa Previc nº 34, de 28 de outubro de 2020; </w:t>
            </w:r>
          </w:p>
          <w:p w14:paraId="2A669A0A"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XV - Instrução Previc nº 35, de 11 de novembro de 2020; </w:t>
            </w:r>
          </w:p>
          <w:p w14:paraId="3D303811"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XVI - Instrução Normativa Previc nº 39, de 20 de abril de 2021; </w:t>
            </w:r>
          </w:p>
          <w:p w14:paraId="7DE3B41F"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XVII - Instrução Previc nº 41, de 3 de agosto de 2021; </w:t>
            </w:r>
          </w:p>
          <w:p w14:paraId="23820233"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XVIII - Instrução Previc nº 43, de 14 de outubro de 2021; </w:t>
            </w:r>
          </w:p>
          <w:p w14:paraId="4D9B1899"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XIX - Instrução Previc nº 45, de 13 de julho de 2022; </w:t>
            </w:r>
          </w:p>
          <w:p w14:paraId="520B76A7"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XX - Resolução Previc nº 4, de 18 de outubro de 2021; </w:t>
            </w:r>
          </w:p>
          <w:p w14:paraId="1CD3D30A"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XXI - Resolução Previc nº 5, de 27 de outubro de 2021; </w:t>
            </w:r>
          </w:p>
          <w:p w14:paraId="0553EF78"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XXII - Resolução Previc nº 06, de 23 de março de 2022; </w:t>
            </w:r>
          </w:p>
          <w:p w14:paraId="001670FD"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XXIII - Resolução Previc nº 07, 23 de março de 2022; </w:t>
            </w:r>
          </w:p>
          <w:p w14:paraId="77F95BB2"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XXIV - Resolução Previc nº 8, de 23 de março de 2022; </w:t>
            </w:r>
          </w:p>
          <w:p w14:paraId="343FA7F0"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XXV - Resolução Previc nº 9, de 30 de março de 2022; </w:t>
            </w:r>
          </w:p>
          <w:p w14:paraId="091A7570"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XXVI - Resolução Previc nº 10, de 3 de maio de 2022; </w:t>
            </w:r>
          </w:p>
          <w:p w14:paraId="5717F598" w14:textId="77777777" w:rsidR="00E86BE2" w:rsidRPr="0010524E" w:rsidRDefault="00E86BE2" w:rsidP="00E86BE2">
            <w:pPr>
              <w:jc w:val="both"/>
              <w:rPr>
                <w:rFonts w:ascii="Calibri" w:eastAsia="Calibri" w:hAnsi="Calibri" w:cs="Calibri"/>
                <w:bCs/>
                <w:sz w:val="24"/>
                <w:szCs w:val="24"/>
              </w:rPr>
            </w:pPr>
            <w:r w:rsidRPr="0010524E">
              <w:rPr>
                <w:rFonts w:ascii="Calibri" w:eastAsia="Calibri" w:hAnsi="Calibri" w:cs="Calibri"/>
                <w:sz w:val="24"/>
                <w:szCs w:val="24"/>
              </w:rPr>
              <w:t xml:space="preserve">XXVII - </w:t>
            </w:r>
            <w:r w:rsidRPr="0010524E">
              <w:rPr>
                <w:rFonts w:ascii="Calibri" w:eastAsia="Calibri" w:hAnsi="Calibri" w:cs="Calibri"/>
                <w:bCs/>
                <w:sz w:val="24"/>
                <w:szCs w:val="24"/>
              </w:rPr>
              <w:t>Resolução Previc nº 12, de 16 de agosto de 2022;</w:t>
            </w:r>
          </w:p>
          <w:p w14:paraId="4D35B2FE"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lastRenderedPageBreak/>
              <w:t xml:space="preserve">XXVIII - Resolução Previc nº 13, de 16 de agosto de 2022; </w:t>
            </w:r>
          </w:p>
          <w:p w14:paraId="20208DE5"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XXIX - Resolução Previc nº 14, de 13 de setembro de 2022; </w:t>
            </w:r>
          </w:p>
          <w:p w14:paraId="1BF058F2"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XXX - Resolução Previc nº 15, de 20 de setembro de 2022; </w:t>
            </w:r>
          </w:p>
          <w:p w14:paraId="6E90EBB7"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XXXI - Resolução Previc nº 16, de 18 de outubro de 2022;  </w:t>
            </w:r>
          </w:p>
          <w:p w14:paraId="48AFC756"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XXXII - Resolução Previc nº 17, de 16 de novembro de 2022; </w:t>
            </w:r>
          </w:p>
          <w:p w14:paraId="1A7F11D3"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XXXIII - Resolução Previc nº 19, de 22 de dezembro de 2022;</w:t>
            </w:r>
          </w:p>
          <w:p w14:paraId="17DB8E7E"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 xml:space="preserve">XXXIV - Resolução Previc nº 20, de 22 de dezembro de 2022; e </w:t>
            </w:r>
          </w:p>
          <w:p w14:paraId="5CF62C26" w14:textId="77777777" w:rsidR="00E86BE2" w:rsidRPr="0010524E" w:rsidRDefault="00E86BE2" w:rsidP="00E86BE2">
            <w:pPr>
              <w:jc w:val="both"/>
              <w:rPr>
                <w:rFonts w:ascii="Calibri" w:eastAsia="Calibri" w:hAnsi="Calibri" w:cs="Calibri"/>
                <w:sz w:val="24"/>
                <w:szCs w:val="24"/>
              </w:rPr>
            </w:pPr>
            <w:r w:rsidRPr="0010524E">
              <w:rPr>
                <w:rFonts w:ascii="Calibri" w:eastAsia="Calibri" w:hAnsi="Calibri" w:cs="Calibri"/>
                <w:sz w:val="24"/>
                <w:szCs w:val="24"/>
              </w:rPr>
              <w:t>XXXV - Resolução Previc nº 21, de 21 de março de 2023.</w:t>
            </w:r>
          </w:p>
          <w:p w14:paraId="04DDD3D3" w14:textId="77777777" w:rsidR="00E86BE2" w:rsidRPr="0010524E" w:rsidRDefault="00E86BE2" w:rsidP="00E86BE2">
            <w:pPr>
              <w:jc w:val="both"/>
              <w:rPr>
                <w:rFonts w:ascii="Calibri" w:eastAsia="Calibri" w:hAnsi="Calibri" w:cs="Calibri"/>
                <w:sz w:val="24"/>
                <w:szCs w:val="24"/>
              </w:rPr>
            </w:pPr>
          </w:p>
        </w:tc>
        <w:tc>
          <w:tcPr>
            <w:tcW w:w="4648" w:type="dxa"/>
          </w:tcPr>
          <w:p w14:paraId="4D14039E" w14:textId="77777777" w:rsidR="00E86BE2" w:rsidRPr="0010524E" w:rsidRDefault="00E86BE2" w:rsidP="00E86BE2">
            <w:pPr>
              <w:pBdr>
                <w:top w:val="nil"/>
                <w:left w:val="nil"/>
                <w:bottom w:val="nil"/>
                <w:right w:val="nil"/>
                <w:between w:val="nil"/>
              </w:pBdr>
              <w:jc w:val="both"/>
              <w:rPr>
                <w:rFonts w:eastAsia="Calibri" w:cstheme="minorHAnsi"/>
                <w:bCs/>
                <w:color w:val="000000"/>
                <w:sz w:val="24"/>
                <w:szCs w:val="24"/>
              </w:rPr>
            </w:pPr>
          </w:p>
        </w:tc>
      </w:tr>
      <w:tr w:rsidR="00E86BE2" w:rsidRPr="0010524E" w14:paraId="7F8FE56D" w14:textId="2BE1287F" w:rsidTr="00E86BE2">
        <w:tc>
          <w:tcPr>
            <w:tcW w:w="4815" w:type="dxa"/>
          </w:tcPr>
          <w:p w14:paraId="0B055F69" w14:textId="77777777" w:rsidR="00E86BE2" w:rsidRPr="0010524E" w:rsidRDefault="00E86BE2" w:rsidP="00E86BE2">
            <w:pPr>
              <w:autoSpaceDE w:val="0"/>
              <w:autoSpaceDN w:val="0"/>
              <w:adjustRightInd w:val="0"/>
              <w:jc w:val="both"/>
              <w:rPr>
                <w:rFonts w:cstheme="minorHAnsi"/>
                <w:sz w:val="24"/>
                <w:szCs w:val="24"/>
              </w:rPr>
            </w:pPr>
          </w:p>
        </w:tc>
        <w:tc>
          <w:tcPr>
            <w:tcW w:w="4849" w:type="dxa"/>
          </w:tcPr>
          <w:p w14:paraId="6829EB46" w14:textId="75DE32C7" w:rsidR="00E86BE2" w:rsidRPr="0010524E" w:rsidRDefault="00E86BE2" w:rsidP="00E86BE2">
            <w:pPr>
              <w:tabs>
                <w:tab w:val="left" w:pos="1329"/>
              </w:tabs>
              <w:jc w:val="both"/>
              <w:rPr>
                <w:rFonts w:ascii="Calibri" w:eastAsia="Calibri" w:hAnsi="Calibri" w:cs="Calibri"/>
                <w:sz w:val="24"/>
                <w:szCs w:val="24"/>
              </w:rPr>
            </w:pPr>
            <w:r w:rsidRPr="00DF754E">
              <w:rPr>
                <w:rFonts w:ascii="Calibri" w:eastAsia="Calibri" w:hAnsi="Calibri" w:cs="Calibri"/>
                <w:sz w:val="24"/>
                <w:szCs w:val="24"/>
                <w:highlight w:val="yellow"/>
              </w:rPr>
              <w:t>Art. 429</w:t>
            </w:r>
            <w:r w:rsidRPr="00DF754E">
              <w:rPr>
                <w:rFonts w:ascii="Calibri" w:eastAsia="Calibri" w:hAnsi="Calibri" w:cs="Calibri"/>
                <w:strike/>
                <w:sz w:val="24"/>
                <w:szCs w:val="24"/>
                <w:highlight w:val="yellow"/>
              </w:rPr>
              <w:t>428</w:t>
            </w:r>
            <w:r w:rsidRPr="0010524E">
              <w:rPr>
                <w:rFonts w:ascii="Calibri" w:eastAsia="Calibri" w:hAnsi="Calibri" w:cs="Calibri"/>
                <w:sz w:val="24"/>
                <w:szCs w:val="24"/>
              </w:rPr>
              <w:t>.  Esta Resolução entra em vigor em XX de XXXX de 2023.</w:t>
            </w:r>
          </w:p>
        </w:tc>
        <w:tc>
          <w:tcPr>
            <w:tcW w:w="4648" w:type="dxa"/>
          </w:tcPr>
          <w:p w14:paraId="2B33DC1C" w14:textId="41B61117" w:rsidR="00E86BE2" w:rsidRPr="0010524E" w:rsidRDefault="00E86BE2" w:rsidP="00E86BE2">
            <w:pPr>
              <w:pBdr>
                <w:top w:val="nil"/>
                <w:left w:val="nil"/>
                <w:bottom w:val="nil"/>
                <w:right w:val="nil"/>
                <w:between w:val="nil"/>
              </w:pBdr>
              <w:jc w:val="both"/>
              <w:rPr>
                <w:rFonts w:eastAsia="Calibri" w:cstheme="minorHAnsi"/>
                <w:bCs/>
                <w:color w:val="000000"/>
                <w:sz w:val="24"/>
                <w:szCs w:val="24"/>
              </w:rPr>
            </w:pPr>
            <w:r w:rsidRPr="0010524E">
              <w:rPr>
                <w:rFonts w:eastAsia="Calibri" w:cstheme="minorHAnsi"/>
                <w:bCs/>
                <w:color w:val="000000"/>
                <w:sz w:val="24"/>
                <w:szCs w:val="24"/>
              </w:rPr>
              <w:t>O texto da consolidação consta art.429, mas não há referência anterior ao art.428</w:t>
            </w:r>
          </w:p>
        </w:tc>
      </w:tr>
    </w:tbl>
    <w:p w14:paraId="185AB774" w14:textId="550F4E73" w:rsidR="00302289" w:rsidRPr="0010524E" w:rsidRDefault="00302289" w:rsidP="00834245">
      <w:pPr>
        <w:rPr>
          <w:sz w:val="24"/>
          <w:szCs w:val="24"/>
        </w:rPr>
      </w:pPr>
    </w:p>
    <w:sectPr w:rsidR="00302289" w:rsidRPr="0010524E" w:rsidSect="00102B08">
      <w:pgSz w:w="16838" w:h="11906" w:orient="landscape"/>
      <w:pgMar w:top="1701" w:right="1417" w:bottom="1701"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9" w:author="Ana Carolina Baasch - PREVICDF" w:date="2023-06-29T10:27:00Z" w:initials="AP">
    <w:p w14:paraId="1FF6E89B" w14:textId="77777777" w:rsidR="00E31838" w:rsidRDefault="00E31838" w:rsidP="000D7438">
      <w:pPr>
        <w:pStyle w:val="Textodecomentrio"/>
      </w:pPr>
      <w:r>
        <w:t>contado de quando?</w:t>
      </w:r>
      <w:r>
        <w:rPr>
          <w:rStyle w:val="Refdecomentrio"/>
        </w:rPr>
        <w:annotationRef/>
      </w:r>
    </w:p>
  </w:comment>
  <w:comment w:id="20" w:author="Thiago Barros de Siqueira - PREVICSP" w:date="2023-06-30T14:13:00Z" w:initials="TP">
    <w:p w14:paraId="5E46424C" w14:textId="77777777" w:rsidR="00E31838" w:rsidRDefault="00E31838" w:rsidP="000D7438">
      <w:r>
        <w:t>Conta do cumprimento da pena - por exemplo, do término da pena de inabilitação.</w:t>
      </w:r>
      <w:r>
        <w:annotationRef/>
      </w:r>
    </w:p>
  </w:comment>
  <w:comment w:id="21" w:author="Thiago Barros de Siqueira - PREVICSP" w:date="2023-06-30T14:14:00Z" w:initials="TP">
    <w:p w14:paraId="486A3C18" w14:textId="77777777" w:rsidR="00E31838" w:rsidRDefault="00E31838" w:rsidP="000D7438">
      <w:r>
        <w:t>Art. 60 do Decreto 4942</w:t>
      </w:r>
      <w: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FF6E89B" w15:done="0"/>
  <w15:commentEx w15:paraId="5E46424C" w15:paraIdParent="1FF6E89B" w15:done="0"/>
  <w15:commentEx w15:paraId="486A3C18" w15:paraIdParent="1FF6E89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1679B9BD" w16cex:dateUtc="2023-06-29T13:27:00Z"/>
  <w16cex:commentExtensible w16cex:durableId="0EBFD216" w16cex:dateUtc="2023-06-30T17:13:00Z"/>
  <w16cex:commentExtensible w16cex:durableId="726BB30D" w16cex:dateUtc="2023-06-30T17: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FF6E89B" w16cid:durableId="1679B9BD"/>
  <w16cid:commentId w16cid:paraId="5E46424C" w16cid:durableId="0EBFD216"/>
  <w16cid:commentId w16cid:paraId="486A3C18" w16cid:durableId="726BB30D"/>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jaVu Serif Condensed">
    <w:altName w:val="Cambria"/>
    <w:charset w:val="00"/>
    <w:family w:val="roman"/>
    <w:pitch w:val="variable"/>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F655B"/>
    <w:multiLevelType w:val="hybridMultilevel"/>
    <w:tmpl w:val="54DA882C"/>
    <w:lvl w:ilvl="0" w:tplc="978EBE7E">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8689450">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5A8F1C4">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5C05A40">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E98572A">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2E8D8F8">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CE46EE">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7A430F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CC4BA70">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18D22A1"/>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19905E9"/>
    <w:multiLevelType w:val="hybridMultilevel"/>
    <w:tmpl w:val="EF3A058C"/>
    <w:lvl w:ilvl="0" w:tplc="79D2F324">
      <w:start w:val="1"/>
      <w:numFmt w:val="upperRoman"/>
      <w:lvlText w:val="%1 -"/>
      <w:lvlJc w:val="left"/>
      <w:pPr>
        <w:ind w:left="1287" w:hanging="360"/>
      </w:pPr>
      <w:rPr>
        <w:rFonts w:hint="default"/>
      </w:rPr>
    </w:lvl>
    <w:lvl w:ilvl="1" w:tplc="04160019" w:tentative="1">
      <w:start w:val="1"/>
      <w:numFmt w:val="lowerLetter"/>
      <w:lvlText w:val="%2."/>
      <w:lvlJc w:val="left"/>
      <w:pPr>
        <w:ind w:left="2007" w:hanging="360"/>
      </w:pPr>
    </w:lvl>
    <w:lvl w:ilvl="2" w:tplc="0416001B" w:tentative="1">
      <w:start w:val="1"/>
      <w:numFmt w:val="lowerRoman"/>
      <w:lvlText w:val="%3."/>
      <w:lvlJc w:val="right"/>
      <w:pPr>
        <w:ind w:left="2727" w:hanging="180"/>
      </w:pPr>
    </w:lvl>
    <w:lvl w:ilvl="3" w:tplc="0416000F" w:tentative="1">
      <w:start w:val="1"/>
      <w:numFmt w:val="decimal"/>
      <w:lvlText w:val="%4."/>
      <w:lvlJc w:val="left"/>
      <w:pPr>
        <w:ind w:left="3447" w:hanging="360"/>
      </w:pPr>
    </w:lvl>
    <w:lvl w:ilvl="4" w:tplc="04160019" w:tentative="1">
      <w:start w:val="1"/>
      <w:numFmt w:val="lowerLetter"/>
      <w:lvlText w:val="%5."/>
      <w:lvlJc w:val="left"/>
      <w:pPr>
        <w:ind w:left="4167" w:hanging="360"/>
      </w:pPr>
    </w:lvl>
    <w:lvl w:ilvl="5" w:tplc="0416001B" w:tentative="1">
      <w:start w:val="1"/>
      <w:numFmt w:val="lowerRoman"/>
      <w:lvlText w:val="%6."/>
      <w:lvlJc w:val="right"/>
      <w:pPr>
        <w:ind w:left="4887" w:hanging="180"/>
      </w:pPr>
    </w:lvl>
    <w:lvl w:ilvl="6" w:tplc="0416000F" w:tentative="1">
      <w:start w:val="1"/>
      <w:numFmt w:val="decimal"/>
      <w:lvlText w:val="%7."/>
      <w:lvlJc w:val="left"/>
      <w:pPr>
        <w:ind w:left="5607" w:hanging="360"/>
      </w:pPr>
    </w:lvl>
    <w:lvl w:ilvl="7" w:tplc="04160019" w:tentative="1">
      <w:start w:val="1"/>
      <w:numFmt w:val="lowerLetter"/>
      <w:lvlText w:val="%8."/>
      <w:lvlJc w:val="left"/>
      <w:pPr>
        <w:ind w:left="6327" w:hanging="360"/>
      </w:pPr>
    </w:lvl>
    <w:lvl w:ilvl="8" w:tplc="0416001B" w:tentative="1">
      <w:start w:val="1"/>
      <w:numFmt w:val="lowerRoman"/>
      <w:lvlText w:val="%9."/>
      <w:lvlJc w:val="right"/>
      <w:pPr>
        <w:ind w:left="7047" w:hanging="180"/>
      </w:pPr>
    </w:lvl>
  </w:abstractNum>
  <w:abstractNum w:abstractNumId="3" w15:restartNumberingAfterBreak="0">
    <w:nsid w:val="034A6258"/>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E1A288A"/>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2F4543D"/>
    <w:multiLevelType w:val="hybridMultilevel"/>
    <w:tmpl w:val="F0BE5702"/>
    <w:lvl w:ilvl="0" w:tplc="4B880198">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C451EE">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7961D2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5344918">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DE855CE">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432966E">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56E77CC">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92E671A">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FC42456">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351383B"/>
    <w:multiLevelType w:val="hybridMultilevel"/>
    <w:tmpl w:val="D5B63F40"/>
    <w:lvl w:ilvl="0" w:tplc="B9BE3B86">
      <w:start w:val="100"/>
      <w:numFmt w:val="upperRoman"/>
      <w:lvlText w:val="Anexo %1"/>
      <w:lvlJc w:val="center"/>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16BC54B2"/>
    <w:multiLevelType w:val="hybridMultilevel"/>
    <w:tmpl w:val="FA2E6FAC"/>
    <w:lvl w:ilvl="0" w:tplc="73200D2A">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24C634E">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A78996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D1A0692">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9E61BA4">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3095C2">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CB496F4">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3AAE3A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6EE8AEC">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7C05BC3"/>
    <w:multiLevelType w:val="hybridMultilevel"/>
    <w:tmpl w:val="6486FBA6"/>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0A761AC"/>
    <w:multiLevelType w:val="hybridMultilevel"/>
    <w:tmpl w:val="FA2E6FAC"/>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16F6237"/>
    <w:multiLevelType w:val="hybridMultilevel"/>
    <w:tmpl w:val="97D40DAA"/>
    <w:lvl w:ilvl="0" w:tplc="FFFFFFFF">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FFFFFFFF">
      <w:numFmt w:val="bullet"/>
      <w:lvlText w:val="•"/>
      <w:lvlJc w:val="left"/>
      <w:pPr>
        <w:ind w:left="1718" w:hanging="140"/>
      </w:pPr>
      <w:rPr>
        <w:rFonts w:hint="default"/>
        <w:lang w:val="pt-PT" w:eastAsia="en-US" w:bidi="ar-SA"/>
      </w:rPr>
    </w:lvl>
    <w:lvl w:ilvl="2" w:tplc="FFFFFFFF">
      <w:numFmt w:val="bullet"/>
      <w:lvlText w:val="•"/>
      <w:lvlJc w:val="left"/>
      <w:pPr>
        <w:ind w:left="2497" w:hanging="140"/>
      </w:pPr>
      <w:rPr>
        <w:rFonts w:hint="default"/>
        <w:lang w:val="pt-PT" w:eastAsia="en-US" w:bidi="ar-SA"/>
      </w:rPr>
    </w:lvl>
    <w:lvl w:ilvl="3" w:tplc="FFFFFFFF">
      <w:numFmt w:val="bullet"/>
      <w:lvlText w:val="•"/>
      <w:lvlJc w:val="left"/>
      <w:pPr>
        <w:ind w:left="3275" w:hanging="140"/>
      </w:pPr>
      <w:rPr>
        <w:rFonts w:hint="default"/>
        <w:lang w:val="pt-PT" w:eastAsia="en-US" w:bidi="ar-SA"/>
      </w:rPr>
    </w:lvl>
    <w:lvl w:ilvl="4" w:tplc="FFFFFFFF">
      <w:numFmt w:val="bullet"/>
      <w:lvlText w:val="•"/>
      <w:lvlJc w:val="left"/>
      <w:pPr>
        <w:ind w:left="4054" w:hanging="140"/>
      </w:pPr>
      <w:rPr>
        <w:rFonts w:hint="default"/>
        <w:lang w:val="pt-PT" w:eastAsia="en-US" w:bidi="ar-SA"/>
      </w:rPr>
    </w:lvl>
    <w:lvl w:ilvl="5" w:tplc="FFFFFFFF">
      <w:numFmt w:val="bullet"/>
      <w:lvlText w:val="•"/>
      <w:lvlJc w:val="left"/>
      <w:pPr>
        <w:ind w:left="4833" w:hanging="140"/>
      </w:pPr>
      <w:rPr>
        <w:rFonts w:hint="default"/>
        <w:lang w:val="pt-PT" w:eastAsia="en-US" w:bidi="ar-SA"/>
      </w:rPr>
    </w:lvl>
    <w:lvl w:ilvl="6" w:tplc="FFFFFFFF">
      <w:numFmt w:val="bullet"/>
      <w:lvlText w:val="•"/>
      <w:lvlJc w:val="left"/>
      <w:pPr>
        <w:ind w:left="5611" w:hanging="140"/>
      </w:pPr>
      <w:rPr>
        <w:rFonts w:hint="default"/>
        <w:lang w:val="pt-PT" w:eastAsia="en-US" w:bidi="ar-SA"/>
      </w:rPr>
    </w:lvl>
    <w:lvl w:ilvl="7" w:tplc="FFFFFFFF">
      <w:numFmt w:val="bullet"/>
      <w:lvlText w:val="•"/>
      <w:lvlJc w:val="left"/>
      <w:pPr>
        <w:ind w:left="6390" w:hanging="140"/>
      </w:pPr>
      <w:rPr>
        <w:rFonts w:hint="default"/>
        <w:lang w:val="pt-PT" w:eastAsia="en-US" w:bidi="ar-SA"/>
      </w:rPr>
    </w:lvl>
    <w:lvl w:ilvl="8" w:tplc="FFFFFFFF">
      <w:numFmt w:val="bullet"/>
      <w:lvlText w:val="•"/>
      <w:lvlJc w:val="left"/>
      <w:pPr>
        <w:ind w:left="7169" w:hanging="140"/>
      </w:pPr>
      <w:rPr>
        <w:rFonts w:hint="default"/>
        <w:lang w:val="pt-PT" w:eastAsia="en-US" w:bidi="ar-SA"/>
      </w:rPr>
    </w:lvl>
  </w:abstractNum>
  <w:abstractNum w:abstractNumId="11" w15:restartNumberingAfterBreak="0">
    <w:nsid w:val="21B67865"/>
    <w:multiLevelType w:val="hybridMultilevel"/>
    <w:tmpl w:val="F5C8A19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2C4A586A"/>
    <w:multiLevelType w:val="hybridMultilevel"/>
    <w:tmpl w:val="3606055C"/>
    <w:lvl w:ilvl="0" w:tplc="19DA01AC">
      <w:start w:val="1"/>
      <w:numFmt w:val="upperRoman"/>
      <w:lvlText w:val="%1"/>
      <w:lvlJc w:val="left"/>
      <w:pPr>
        <w:ind w:left="102" w:hanging="188"/>
      </w:pPr>
      <w:rPr>
        <w:rFonts w:ascii="Times New Roman" w:eastAsia="Times New Roman" w:hAnsi="Times New Roman" w:cs="Times New Roman" w:hint="default"/>
        <w:w w:val="99"/>
        <w:sz w:val="24"/>
        <w:szCs w:val="24"/>
        <w:lang w:val="pt-PT" w:eastAsia="en-US" w:bidi="ar-SA"/>
      </w:rPr>
    </w:lvl>
    <w:lvl w:ilvl="1" w:tplc="962EE89E">
      <w:numFmt w:val="bullet"/>
      <w:lvlText w:val="•"/>
      <w:lvlJc w:val="left"/>
      <w:pPr>
        <w:ind w:left="962" w:hanging="188"/>
      </w:pPr>
      <w:rPr>
        <w:rFonts w:hint="default"/>
        <w:lang w:val="pt-PT" w:eastAsia="en-US" w:bidi="ar-SA"/>
      </w:rPr>
    </w:lvl>
    <w:lvl w:ilvl="2" w:tplc="A932654A">
      <w:numFmt w:val="bullet"/>
      <w:lvlText w:val="•"/>
      <w:lvlJc w:val="left"/>
      <w:pPr>
        <w:ind w:left="1825" w:hanging="188"/>
      </w:pPr>
      <w:rPr>
        <w:rFonts w:hint="default"/>
        <w:lang w:val="pt-PT" w:eastAsia="en-US" w:bidi="ar-SA"/>
      </w:rPr>
    </w:lvl>
    <w:lvl w:ilvl="3" w:tplc="53766E20">
      <w:numFmt w:val="bullet"/>
      <w:lvlText w:val="•"/>
      <w:lvlJc w:val="left"/>
      <w:pPr>
        <w:ind w:left="2687" w:hanging="188"/>
      </w:pPr>
      <w:rPr>
        <w:rFonts w:hint="default"/>
        <w:lang w:val="pt-PT" w:eastAsia="en-US" w:bidi="ar-SA"/>
      </w:rPr>
    </w:lvl>
    <w:lvl w:ilvl="4" w:tplc="511897AA">
      <w:numFmt w:val="bullet"/>
      <w:lvlText w:val="•"/>
      <w:lvlJc w:val="left"/>
      <w:pPr>
        <w:ind w:left="3550" w:hanging="188"/>
      </w:pPr>
      <w:rPr>
        <w:rFonts w:hint="default"/>
        <w:lang w:val="pt-PT" w:eastAsia="en-US" w:bidi="ar-SA"/>
      </w:rPr>
    </w:lvl>
    <w:lvl w:ilvl="5" w:tplc="FECA5762">
      <w:numFmt w:val="bullet"/>
      <w:lvlText w:val="•"/>
      <w:lvlJc w:val="left"/>
      <w:pPr>
        <w:ind w:left="4413" w:hanging="188"/>
      </w:pPr>
      <w:rPr>
        <w:rFonts w:hint="default"/>
        <w:lang w:val="pt-PT" w:eastAsia="en-US" w:bidi="ar-SA"/>
      </w:rPr>
    </w:lvl>
    <w:lvl w:ilvl="6" w:tplc="AC86366A">
      <w:numFmt w:val="bullet"/>
      <w:lvlText w:val="•"/>
      <w:lvlJc w:val="left"/>
      <w:pPr>
        <w:ind w:left="5275" w:hanging="188"/>
      </w:pPr>
      <w:rPr>
        <w:rFonts w:hint="default"/>
        <w:lang w:val="pt-PT" w:eastAsia="en-US" w:bidi="ar-SA"/>
      </w:rPr>
    </w:lvl>
    <w:lvl w:ilvl="7" w:tplc="02DAD6CC">
      <w:numFmt w:val="bullet"/>
      <w:lvlText w:val="•"/>
      <w:lvlJc w:val="left"/>
      <w:pPr>
        <w:ind w:left="6138" w:hanging="188"/>
      </w:pPr>
      <w:rPr>
        <w:rFonts w:hint="default"/>
        <w:lang w:val="pt-PT" w:eastAsia="en-US" w:bidi="ar-SA"/>
      </w:rPr>
    </w:lvl>
    <w:lvl w:ilvl="8" w:tplc="D5B04542">
      <w:numFmt w:val="bullet"/>
      <w:lvlText w:val="•"/>
      <w:lvlJc w:val="left"/>
      <w:pPr>
        <w:ind w:left="7001" w:hanging="188"/>
      </w:pPr>
      <w:rPr>
        <w:rFonts w:hint="default"/>
        <w:lang w:val="pt-PT" w:eastAsia="en-US" w:bidi="ar-SA"/>
      </w:rPr>
    </w:lvl>
  </w:abstractNum>
  <w:abstractNum w:abstractNumId="13" w15:restartNumberingAfterBreak="0">
    <w:nsid w:val="2D874CE7"/>
    <w:multiLevelType w:val="hybridMultilevel"/>
    <w:tmpl w:val="F5FA0A84"/>
    <w:lvl w:ilvl="0" w:tplc="E66EBF50">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1AE7B86">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6E8AD18">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7B44F24">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4AFB32">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82C5824">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9042F6C">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7C9C0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5BA1E66">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2F1858F3"/>
    <w:multiLevelType w:val="hybridMultilevel"/>
    <w:tmpl w:val="7894520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3A947219"/>
    <w:multiLevelType w:val="hybridMultilevel"/>
    <w:tmpl w:val="33AC9F92"/>
    <w:lvl w:ilvl="0" w:tplc="B016B382">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0832AB2"/>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460B52DB"/>
    <w:multiLevelType w:val="hybridMultilevel"/>
    <w:tmpl w:val="1B34F1CA"/>
    <w:lvl w:ilvl="0" w:tplc="41664624">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71F36F5"/>
    <w:multiLevelType w:val="hybridMultilevel"/>
    <w:tmpl w:val="408E055A"/>
    <w:lvl w:ilvl="0" w:tplc="01C8B706">
      <w:start w:val="58"/>
      <w:numFmt w:val="decimal"/>
      <w:suff w:val="nothing"/>
      <w:lvlText w:val="Art. %1.  "/>
      <w:lvlJc w:val="left"/>
      <w:pPr>
        <w:ind w:left="644"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47E855CB"/>
    <w:multiLevelType w:val="hybridMultilevel"/>
    <w:tmpl w:val="2838648E"/>
    <w:lvl w:ilvl="0" w:tplc="FFFFFFFF">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FFFFFFFF">
      <w:numFmt w:val="bullet"/>
      <w:lvlText w:val="•"/>
      <w:lvlJc w:val="left"/>
      <w:pPr>
        <w:ind w:left="962" w:hanging="303"/>
      </w:pPr>
      <w:rPr>
        <w:rFonts w:hint="default"/>
        <w:lang w:val="pt-PT" w:eastAsia="en-US" w:bidi="ar-SA"/>
      </w:rPr>
    </w:lvl>
    <w:lvl w:ilvl="2" w:tplc="FFFFFFFF">
      <w:numFmt w:val="bullet"/>
      <w:lvlText w:val="•"/>
      <w:lvlJc w:val="left"/>
      <w:pPr>
        <w:ind w:left="1825" w:hanging="303"/>
      </w:pPr>
      <w:rPr>
        <w:rFonts w:hint="default"/>
        <w:lang w:val="pt-PT" w:eastAsia="en-US" w:bidi="ar-SA"/>
      </w:rPr>
    </w:lvl>
    <w:lvl w:ilvl="3" w:tplc="FFFFFFFF">
      <w:numFmt w:val="bullet"/>
      <w:lvlText w:val="•"/>
      <w:lvlJc w:val="left"/>
      <w:pPr>
        <w:ind w:left="2687" w:hanging="303"/>
      </w:pPr>
      <w:rPr>
        <w:rFonts w:hint="default"/>
        <w:lang w:val="pt-PT" w:eastAsia="en-US" w:bidi="ar-SA"/>
      </w:rPr>
    </w:lvl>
    <w:lvl w:ilvl="4" w:tplc="FFFFFFFF">
      <w:numFmt w:val="bullet"/>
      <w:lvlText w:val="•"/>
      <w:lvlJc w:val="left"/>
      <w:pPr>
        <w:ind w:left="3550" w:hanging="303"/>
      </w:pPr>
      <w:rPr>
        <w:rFonts w:hint="default"/>
        <w:lang w:val="pt-PT" w:eastAsia="en-US" w:bidi="ar-SA"/>
      </w:rPr>
    </w:lvl>
    <w:lvl w:ilvl="5" w:tplc="FFFFFFFF">
      <w:numFmt w:val="bullet"/>
      <w:lvlText w:val="•"/>
      <w:lvlJc w:val="left"/>
      <w:pPr>
        <w:ind w:left="4413" w:hanging="303"/>
      </w:pPr>
      <w:rPr>
        <w:rFonts w:hint="default"/>
        <w:lang w:val="pt-PT" w:eastAsia="en-US" w:bidi="ar-SA"/>
      </w:rPr>
    </w:lvl>
    <w:lvl w:ilvl="6" w:tplc="FFFFFFFF">
      <w:numFmt w:val="bullet"/>
      <w:lvlText w:val="•"/>
      <w:lvlJc w:val="left"/>
      <w:pPr>
        <w:ind w:left="5275" w:hanging="303"/>
      </w:pPr>
      <w:rPr>
        <w:rFonts w:hint="default"/>
        <w:lang w:val="pt-PT" w:eastAsia="en-US" w:bidi="ar-SA"/>
      </w:rPr>
    </w:lvl>
    <w:lvl w:ilvl="7" w:tplc="FFFFFFFF">
      <w:numFmt w:val="bullet"/>
      <w:lvlText w:val="•"/>
      <w:lvlJc w:val="left"/>
      <w:pPr>
        <w:ind w:left="6138" w:hanging="303"/>
      </w:pPr>
      <w:rPr>
        <w:rFonts w:hint="default"/>
        <w:lang w:val="pt-PT" w:eastAsia="en-US" w:bidi="ar-SA"/>
      </w:rPr>
    </w:lvl>
    <w:lvl w:ilvl="8" w:tplc="FFFFFFFF">
      <w:numFmt w:val="bullet"/>
      <w:lvlText w:val="•"/>
      <w:lvlJc w:val="left"/>
      <w:pPr>
        <w:ind w:left="7001" w:hanging="303"/>
      </w:pPr>
      <w:rPr>
        <w:rFonts w:hint="default"/>
        <w:lang w:val="pt-PT" w:eastAsia="en-US" w:bidi="ar-SA"/>
      </w:rPr>
    </w:lvl>
  </w:abstractNum>
  <w:abstractNum w:abstractNumId="20" w15:restartNumberingAfterBreak="0">
    <w:nsid w:val="48663F55"/>
    <w:multiLevelType w:val="hybridMultilevel"/>
    <w:tmpl w:val="FA2E6FAC"/>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48AD6BAC"/>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48F77379"/>
    <w:multiLevelType w:val="hybridMultilevel"/>
    <w:tmpl w:val="C00E6026"/>
    <w:lvl w:ilvl="0" w:tplc="1C486944">
      <w:start w:val="1"/>
      <w:numFmt w:val="upperRoman"/>
      <w:lvlText w:val="Anexo %1"/>
      <w:lvlJc w:val="center"/>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15:restartNumberingAfterBreak="0">
    <w:nsid w:val="49B726A8"/>
    <w:multiLevelType w:val="hybridMultilevel"/>
    <w:tmpl w:val="6486FBA6"/>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4A526EB3"/>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4F3743C0"/>
    <w:multiLevelType w:val="hybridMultilevel"/>
    <w:tmpl w:val="BAACF45E"/>
    <w:lvl w:ilvl="0" w:tplc="7EE0D18C">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F4CD7EC">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4463C2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D44386A">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0B20F88">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9AE411C">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C68BE74">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95A2504">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6A406A">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526E044D"/>
    <w:multiLevelType w:val="hybridMultilevel"/>
    <w:tmpl w:val="6486FBA6"/>
    <w:lvl w:ilvl="0" w:tplc="AE580CE8">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5A7684">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25E4442">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F8A6506">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88AB710">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80286D6">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222D6A">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6C0085A">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A6EF92">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54F3373C"/>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561B22A3"/>
    <w:multiLevelType w:val="hybridMultilevel"/>
    <w:tmpl w:val="D4BA7AD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574127A2"/>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583B0632"/>
    <w:multiLevelType w:val="hybridMultilevel"/>
    <w:tmpl w:val="2160D74A"/>
    <w:lvl w:ilvl="0" w:tplc="4B009876">
      <w:start w:val="1"/>
      <w:numFmt w:val="upperRoman"/>
      <w:lvlText w:val="ANEXO %1"/>
      <w:lvlJc w:val="center"/>
      <w:pPr>
        <w:ind w:left="108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15:restartNumberingAfterBreak="0">
    <w:nsid w:val="5B8E210A"/>
    <w:multiLevelType w:val="hybridMultilevel"/>
    <w:tmpl w:val="18864D48"/>
    <w:lvl w:ilvl="0" w:tplc="13727934">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DE55EA5"/>
    <w:multiLevelType w:val="hybridMultilevel"/>
    <w:tmpl w:val="6C348A04"/>
    <w:lvl w:ilvl="0" w:tplc="4766814E">
      <w:start w:val="1"/>
      <w:numFmt w:val="upperRoman"/>
      <w:lvlText w:val="%1"/>
      <w:lvlJc w:val="left"/>
      <w:pPr>
        <w:ind w:left="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62A336">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11245AE">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59EEC3A">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64AAC78">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466CBC8">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3367156">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F8A90CE">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E6021C2">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68402ABC"/>
    <w:multiLevelType w:val="hybridMultilevel"/>
    <w:tmpl w:val="C222341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4" w15:restartNumberingAfterBreak="0">
    <w:nsid w:val="689E4CB0"/>
    <w:multiLevelType w:val="hybridMultilevel"/>
    <w:tmpl w:val="7578DD54"/>
    <w:lvl w:ilvl="0" w:tplc="7AEC5542">
      <w:start w:val="9"/>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1688790">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CA0959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4DE25C2">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0108224">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CAED966">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1C688DE">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EBAD9C0">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6840128">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6A8A7BF1"/>
    <w:multiLevelType w:val="hybridMultilevel"/>
    <w:tmpl w:val="2838648E"/>
    <w:lvl w:ilvl="0" w:tplc="3BF6B07A">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CD6EA4F8">
      <w:numFmt w:val="bullet"/>
      <w:lvlText w:val="•"/>
      <w:lvlJc w:val="left"/>
      <w:pPr>
        <w:ind w:left="962" w:hanging="303"/>
      </w:pPr>
      <w:rPr>
        <w:rFonts w:hint="default"/>
        <w:lang w:val="pt-PT" w:eastAsia="en-US" w:bidi="ar-SA"/>
      </w:rPr>
    </w:lvl>
    <w:lvl w:ilvl="2" w:tplc="4DAE6272">
      <w:numFmt w:val="bullet"/>
      <w:lvlText w:val="•"/>
      <w:lvlJc w:val="left"/>
      <w:pPr>
        <w:ind w:left="1825" w:hanging="303"/>
      </w:pPr>
      <w:rPr>
        <w:rFonts w:hint="default"/>
        <w:lang w:val="pt-PT" w:eastAsia="en-US" w:bidi="ar-SA"/>
      </w:rPr>
    </w:lvl>
    <w:lvl w:ilvl="3" w:tplc="42B202F8">
      <w:numFmt w:val="bullet"/>
      <w:lvlText w:val="•"/>
      <w:lvlJc w:val="left"/>
      <w:pPr>
        <w:ind w:left="2687" w:hanging="303"/>
      </w:pPr>
      <w:rPr>
        <w:rFonts w:hint="default"/>
        <w:lang w:val="pt-PT" w:eastAsia="en-US" w:bidi="ar-SA"/>
      </w:rPr>
    </w:lvl>
    <w:lvl w:ilvl="4" w:tplc="3B5C94DA">
      <w:numFmt w:val="bullet"/>
      <w:lvlText w:val="•"/>
      <w:lvlJc w:val="left"/>
      <w:pPr>
        <w:ind w:left="3550" w:hanging="303"/>
      </w:pPr>
      <w:rPr>
        <w:rFonts w:hint="default"/>
        <w:lang w:val="pt-PT" w:eastAsia="en-US" w:bidi="ar-SA"/>
      </w:rPr>
    </w:lvl>
    <w:lvl w:ilvl="5" w:tplc="0726840E">
      <w:numFmt w:val="bullet"/>
      <w:lvlText w:val="•"/>
      <w:lvlJc w:val="left"/>
      <w:pPr>
        <w:ind w:left="4413" w:hanging="303"/>
      </w:pPr>
      <w:rPr>
        <w:rFonts w:hint="default"/>
        <w:lang w:val="pt-PT" w:eastAsia="en-US" w:bidi="ar-SA"/>
      </w:rPr>
    </w:lvl>
    <w:lvl w:ilvl="6" w:tplc="6F2682F4">
      <w:numFmt w:val="bullet"/>
      <w:lvlText w:val="•"/>
      <w:lvlJc w:val="left"/>
      <w:pPr>
        <w:ind w:left="5275" w:hanging="303"/>
      </w:pPr>
      <w:rPr>
        <w:rFonts w:hint="default"/>
        <w:lang w:val="pt-PT" w:eastAsia="en-US" w:bidi="ar-SA"/>
      </w:rPr>
    </w:lvl>
    <w:lvl w:ilvl="7" w:tplc="3F60B1AE">
      <w:numFmt w:val="bullet"/>
      <w:lvlText w:val="•"/>
      <w:lvlJc w:val="left"/>
      <w:pPr>
        <w:ind w:left="6138" w:hanging="303"/>
      </w:pPr>
      <w:rPr>
        <w:rFonts w:hint="default"/>
        <w:lang w:val="pt-PT" w:eastAsia="en-US" w:bidi="ar-SA"/>
      </w:rPr>
    </w:lvl>
    <w:lvl w:ilvl="8" w:tplc="D78A4E26">
      <w:numFmt w:val="bullet"/>
      <w:lvlText w:val="•"/>
      <w:lvlJc w:val="left"/>
      <w:pPr>
        <w:ind w:left="7001" w:hanging="303"/>
      </w:pPr>
      <w:rPr>
        <w:rFonts w:hint="default"/>
        <w:lang w:val="pt-PT" w:eastAsia="en-US" w:bidi="ar-SA"/>
      </w:rPr>
    </w:lvl>
  </w:abstractNum>
  <w:abstractNum w:abstractNumId="36" w15:restartNumberingAfterBreak="0">
    <w:nsid w:val="6CA70FDA"/>
    <w:multiLevelType w:val="hybridMultilevel"/>
    <w:tmpl w:val="97D40DAA"/>
    <w:lvl w:ilvl="0" w:tplc="824C3A6C">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ADEA9AD2">
      <w:numFmt w:val="bullet"/>
      <w:lvlText w:val="•"/>
      <w:lvlJc w:val="left"/>
      <w:pPr>
        <w:ind w:left="1718" w:hanging="140"/>
      </w:pPr>
      <w:rPr>
        <w:rFonts w:hint="default"/>
        <w:lang w:val="pt-PT" w:eastAsia="en-US" w:bidi="ar-SA"/>
      </w:rPr>
    </w:lvl>
    <w:lvl w:ilvl="2" w:tplc="F0DE0844">
      <w:numFmt w:val="bullet"/>
      <w:lvlText w:val="•"/>
      <w:lvlJc w:val="left"/>
      <w:pPr>
        <w:ind w:left="2497" w:hanging="140"/>
      </w:pPr>
      <w:rPr>
        <w:rFonts w:hint="default"/>
        <w:lang w:val="pt-PT" w:eastAsia="en-US" w:bidi="ar-SA"/>
      </w:rPr>
    </w:lvl>
    <w:lvl w:ilvl="3" w:tplc="8ABE4252">
      <w:numFmt w:val="bullet"/>
      <w:lvlText w:val="•"/>
      <w:lvlJc w:val="left"/>
      <w:pPr>
        <w:ind w:left="3275" w:hanging="140"/>
      </w:pPr>
      <w:rPr>
        <w:rFonts w:hint="default"/>
        <w:lang w:val="pt-PT" w:eastAsia="en-US" w:bidi="ar-SA"/>
      </w:rPr>
    </w:lvl>
    <w:lvl w:ilvl="4" w:tplc="B1EA0998">
      <w:numFmt w:val="bullet"/>
      <w:lvlText w:val="•"/>
      <w:lvlJc w:val="left"/>
      <w:pPr>
        <w:ind w:left="4054" w:hanging="140"/>
      </w:pPr>
      <w:rPr>
        <w:rFonts w:hint="default"/>
        <w:lang w:val="pt-PT" w:eastAsia="en-US" w:bidi="ar-SA"/>
      </w:rPr>
    </w:lvl>
    <w:lvl w:ilvl="5" w:tplc="4A923556">
      <w:numFmt w:val="bullet"/>
      <w:lvlText w:val="•"/>
      <w:lvlJc w:val="left"/>
      <w:pPr>
        <w:ind w:left="4833" w:hanging="140"/>
      </w:pPr>
      <w:rPr>
        <w:rFonts w:hint="default"/>
        <w:lang w:val="pt-PT" w:eastAsia="en-US" w:bidi="ar-SA"/>
      </w:rPr>
    </w:lvl>
    <w:lvl w:ilvl="6" w:tplc="88F499CA">
      <w:numFmt w:val="bullet"/>
      <w:lvlText w:val="•"/>
      <w:lvlJc w:val="left"/>
      <w:pPr>
        <w:ind w:left="5611" w:hanging="140"/>
      </w:pPr>
      <w:rPr>
        <w:rFonts w:hint="default"/>
        <w:lang w:val="pt-PT" w:eastAsia="en-US" w:bidi="ar-SA"/>
      </w:rPr>
    </w:lvl>
    <w:lvl w:ilvl="7" w:tplc="43A0E714">
      <w:numFmt w:val="bullet"/>
      <w:lvlText w:val="•"/>
      <w:lvlJc w:val="left"/>
      <w:pPr>
        <w:ind w:left="6390" w:hanging="140"/>
      </w:pPr>
      <w:rPr>
        <w:rFonts w:hint="default"/>
        <w:lang w:val="pt-PT" w:eastAsia="en-US" w:bidi="ar-SA"/>
      </w:rPr>
    </w:lvl>
    <w:lvl w:ilvl="8" w:tplc="9A702ABA">
      <w:numFmt w:val="bullet"/>
      <w:lvlText w:val="•"/>
      <w:lvlJc w:val="left"/>
      <w:pPr>
        <w:ind w:left="7169" w:hanging="140"/>
      </w:pPr>
      <w:rPr>
        <w:rFonts w:hint="default"/>
        <w:lang w:val="pt-PT" w:eastAsia="en-US" w:bidi="ar-SA"/>
      </w:rPr>
    </w:lvl>
  </w:abstractNum>
  <w:abstractNum w:abstractNumId="37" w15:restartNumberingAfterBreak="0">
    <w:nsid w:val="6D2031DA"/>
    <w:multiLevelType w:val="hybridMultilevel"/>
    <w:tmpl w:val="3CF28B3A"/>
    <w:lvl w:ilvl="0" w:tplc="D99E1CEA">
      <w:start w:val="1"/>
      <w:numFmt w:val="upperRoman"/>
      <w:lvlText w:val="%1 -"/>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8"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9" w15:restartNumberingAfterBreak="0">
    <w:nsid w:val="717B50BD"/>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1395392814">
    <w:abstractNumId w:val="38"/>
  </w:num>
  <w:num w:numId="2" w16cid:durableId="2025204025">
    <w:abstractNumId w:val="37"/>
  </w:num>
  <w:num w:numId="3" w16cid:durableId="652023511">
    <w:abstractNumId w:val="28"/>
  </w:num>
  <w:num w:numId="4" w16cid:durableId="2088070029">
    <w:abstractNumId w:val="2"/>
  </w:num>
  <w:num w:numId="5" w16cid:durableId="1587226459">
    <w:abstractNumId w:val="15"/>
  </w:num>
  <w:num w:numId="6" w16cid:durableId="35854249">
    <w:abstractNumId w:val="31"/>
  </w:num>
  <w:num w:numId="7" w16cid:durableId="1946882138">
    <w:abstractNumId w:val="17"/>
  </w:num>
  <w:num w:numId="8" w16cid:durableId="11690953">
    <w:abstractNumId w:val="18"/>
  </w:num>
  <w:num w:numId="9" w16cid:durableId="1413892263">
    <w:abstractNumId w:val="6"/>
  </w:num>
  <w:num w:numId="10" w16cid:durableId="2041471628">
    <w:abstractNumId w:val="22"/>
  </w:num>
  <w:num w:numId="11" w16cid:durableId="1685471331">
    <w:abstractNumId w:val="30"/>
  </w:num>
  <w:num w:numId="12" w16cid:durableId="1624842886">
    <w:abstractNumId w:val="11"/>
  </w:num>
  <w:num w:numId="13" w16cid:durableId="801388894">
    <w:abstractNumId w:val="14"/>
  </w:num>
  <w:num w:numId="14" w16cid:durableId="11535431">
    <w:abstractNumId w:val="12"/>
  </w:num>
  <w:num w:numId="15" w16cid:durableId="1408531153">
    <w:abstractNumId w:val="36"/>
  </w:num>
  <w:num w:numId="16" w16cid:durableId="2051806657">
    <w:abstractNumId w:val="10"/>
  </w:num>
  <w:num w:numId="17" w16cid:durableId="1342857450">
    <w:abstractNumId w:val="35"/>
  </w:num>
  <w:num w:numId="18" w16cid:durableId="1304501871">
    <w:abstractNumId w:val="19"/>
  </w:num>
  <w:num w:numId="19" w16cid:durableId="333842610">
    <w:abstractNumId w:val="33"/>
  </w:num>
  <w:num w:numId="20" w16cid:durableId="1057162613">
    <w:abstractNumId w:val="25"/>
  </w:num>
  <w:num w:numId="21" w16cid:durableId="420031888">
    <w:abstractNumId w:val="5"/>
  </w:num>
  <w:num w:numId="22" w16cid:durableId="727190465">
    <w:abstractNumId w:val="21"/>
  </w:num>
  <w:num w:numId="23" w16cid:durableId="461920294">
    <w:abstractNumId w:val="29"/>
  </w:num>
  <w:num w:numId="24" w16cid:durableId="2022275650">
    <w:abstractNumId w:val="24"/>
  </w:num>
  <w:num w:numId="25" w16cid:durableId="2061245511">
    <w:abstractNumId w:val="16"/>
  </w:num>
  <w:num w:numId="26" w16cid:durableId="2076319266">
    <w:abstractNumId w:val="39"/>
  </w:num>
  <w:num w:numId="27" w16cid:durableId="1134953002">
    <w:abstractNumId w:val="4"/>
  </w:num>
  <w:num w:numId="28" w16cid:durableId="749618701">
    <w:abstractNumId w:val="27"/>
  </w:num>
  <w:num w:numId="29" w16cid:durableId="820653454">
    <w:abstractNumId w:val="3"/>
  </w:num>
  <w:num w:numId="30" w16cid:durableId="1650742111">
    <w:abstractNumId w:val="1"/>
  </w:num>
  <w:num w:numId="31" w16cid:durableId="528613472">
    <w:abstractNumId w:val="7"/>
  </w:num>
  <w:num w:numId="32" w16cid:durableId="566455852">
    <w:abstractNumId w:val="20"/>
  </w:num>
  <w:num w:numId="33" w16cid:durableId="1260795142">
    <w:abstractNumId w:val="9"/>
  </w:num>
  <w:num w:numId="34" w16cid:durableId="1927809264">
    <w:abstractNumId w:val="13"/>
  </w:num>
  <w:num w:numId="35" w16cid:durableId="63332349">
    <w:abstractNumId w:val="34"/>
  </w:num>
  <w:num w:numId="36" w16cid:durableId="852959121">
    <w:abstractNumId w:val="32"/>
  </w:num>
  <w:num w:numId="37" w16cid:durableId="616988062">
    <w:abstractNumId w:val="26"/>
  </w:num>
  <w:num w:numId="38" w16cid:durableId="1688605639">
    <w:abstractNumId w:val="23"/>
  </w:num>
  <w:num w:numId="39" w16cid:durableId="2003309118">
    <w:abstractNumId w:val="8"/>
  </w:num>
  <w:num w:numId="40" w16cid:durableId="30614365">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na Carolina Baasch - PREVICDF">
    <w15:presenceInfo w15:providerId="AD" w15:userId="S::ana.baasch@previc.gov.br::0bfe7277-a2fe-4020-86d1-ffc2878fed69"/>
  </w15:person>
  <w15:person w15:author="Thiago Barros de Siqueira - PREVICSP">
    <w15:presenceInfo w15:providerId="AD" w15:userId="S::thiago.desiqueira@previc.gov.br::cbd8399b-a4c4-4090-8981-40e66300714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2B08"/>
    <w:rsid w:val="000053DA"/>
    <w:rsid w:val="00022AC2"/>
    <w:rsid w:val="0002337A"/>
    <w:rsid w:val="000234E6"/>
    <w:rsid w:val="000276E5"/>
    <w:rsid w:val="000323B8"/>
    <w:rsid w:val="0003534F"/>
    <w:rsid w:val="00045188"/>
    <w:rsid w:val="00047394"/>
    <w:rsid w:val="00052B22"/>
    <w:rsid w:val="00054806"/>
    <w:rsid w:val="000558FB"/>
    <w:rsid w:val="00065348"/>
    <w:rsid w:val="000707BA"/>
    <w:rsid w:val="000721AD"/>
    <w:rsid w:val="00082638"/>
    <w:rsid w:val="00096688"/>
    <w:rsid w:val="000D6B79"/>
    <w:rsid w:val="000D715E"/>
    <w:rsid w:val="000D7196"/>
    <w:rsid w:val="000D7438"/>
    <w:rsid w:val="000E18EE"/>
    <w:rsid w:val="000E1B34"/>
    <w:rsid w:val="000E4F34"/>
    <w:rsid w:val="000F7568"/>
    <w:rsid w:val="00102B08"/>
    <w:rsid w:val="00104C43"/>
    <w:rsid w:val="0010524E"/>
    <w:rsid w:val="00116AD8"/>
    <w:rsid w:val="00121E2D"/>
    <w:rsid w:val="0012568F"/>
    <w:rsid w:val="0013072A"/>
    <w:rsid w:val="00135E1F"/>
    <w:rsid w:val="00143074"/>
    <w:rsid w:val="00152A71"/>
    <w:rsid w:val="00153168"/>
    <w:rsid w:val="00163CC6"/>
    <w:rsid w:val="0017266A"/>
    <w:rsid w:val="00175DBF"/>
    <w:rsid w:val="001A7F25"/>
    <w:rsid w:val="001B0527"/>
    <w:rsid w:val="001D34B9"/>
    <w:rsid w:val="001D43FE"/>
    <w:rsid w:val="001D7A5F"/>
    <w:rsid w:val="001E0B9A"/>
    <w:rsid w:val="001E1620"/>
    <w:rsid w:val="001E3CC6"/>
    <w:rsid w:val="001E5561"/>
    <w:rsid w:val="001F0BE2"/>
    <w:rsid w:val="001F2A25"/>
    <w:rsid w:val="00206027"/>
    <w:rsid w:val="00207DDA"/>
    <w:rsid w:val="00213224"/>
    <w:rsid w:val="00220FDA"/>
    <w:rsid w:val="002248E8"/>
    <w:rsid w:val="00225EB1"/>
    <w:rsid w:val="00232753"/>
    <w:rsid w:val="00233C43"/>
    <w:rsid w:val="00236C38"/>
    <w:rsid w:val="002373E5"/>
    <w:rsid w:val="00242B55"/>
    <w:rsid w:val="00250A56"/>
    <w:rsid w:val="002529A4"/>
    <w:rsid w:val="00257251"/>
    <w:rsid w:val="00273B8E"/>
    <w:rsid w:val="002800D7"/>
    <w:rsid w:val="00285ADC"/>
    <w:rsid w:val="00286849"/>
    <w:rsid w:val="00291C40"/>
    <w:rsid w:val="002A49F6"/>
    <w:rsid w:val="002B0652"/>
    <w:rsid w:val="002C5E50"/>
    <w:rsid w:val="002F0AE6"/>
    <w:rsid w:val="002F28C3"/>
    <w:rsid w:val="002F2906"/>
    <w:rsid w:val="002F44DC"/>
    <w:rsid w:val="00300D41"/>
    <w:rsid w:val="00302289"/>
    <w:rsid w:val="0031506B"/>
    <w:rsid w:val="003166E7"/>
    <w:rsid w:val="00317E4D"/>
    <w:rsid w:val="003203D9"/>
    <w:rsid w:val="00326D73"/>
    <w:rsid w:val="00334E93"/>
    <w:rsid w:val="00336D9A"/>
    <w:rsid w:val="0034074B"/>
    <w:rsid w:val="003437B8"/>
    <w:rsid w:val="00350AAA"/>
    <w:rsid w:val="00361862"/>
    <w:rsid w:val="00362C6C"/>
    <w:rsid w:val="0036438E"/>
    <w:rsid w:val="0036747C"/>
    <w:rsid w:val="003700FF"/>
    <w:rsid w:val="00375DFD"/>
    <w:rsid w:val="003853DB"/>
    <w:rsid w:val="003872D3"/>
    <w:rsid w:val="00391447"/>
    <w:rsid w:val="003A5209"/>
    <w:rsid w:val="003A5225"/>
    <w:rsid w:val="003B2C82"/>
    <w:rsid w:val="003C460A"/>
    <w:rsid w:val="00407128"/>
    <w:rsid w:val="0041308E"/>
    <w:rsid w:val="0041594E"/>
    <w:rsid w:val="00421B5E"/>
    <w:rsid w:val="00422F3F"/>
    <w:rsid w:val="004545D4"/>
    <w:rsid w:val="00455980"/>
    <w:rsid w:val="004738B5"/>
    <w:rsid w:val="004811C0"/>
    <w:rsid w:val="004A1279"/>
    <w:rsid w:val="004B5D38"/>
    <w:rsid w:val="004C5F6B"/>
    <w:rsid w:val="004F02B7"/>
    <w:rsid w:val="00505151"/>
    <w:rsid w:val="00507194"/>
    <w:rsid w:val="00512036"/>
    <w:rsid w:val="00512EC1"/>
    <w:rsid w:val="00512F76"/>
    <w:rsid w:val="00515FF4"/>
    <w:rsid w:val="00557891"/>
    <w:rsid w:val="00563A3E"/>
    <w:rsid w:val="00567908"/>
    <w:rsid w:val="0057353C"/>
    <w:rsid w:val="005744DA"/>
    <w:rsid w:val="00577B9D"/>
    <w:rsid w:val="005816F7"/>
    <w:rsid w:val="005819E7"/>
    <w:rsid w:val="005A3A64"/>
    <w:rsid w:val="005B6AC3"/>
    <w:rsid w:val="005C215E"/>
    <w:rsid w:val="005C27CC"/>
    <w:rsid w:val="005C4CEF"/>
    <w:rsid w:val="005F2AE8"/>
    <w:rsid w:val="0060532A"/>
    <w:rsid w:val="0062427C"/>
    <w:rsid w:val="006304AB"/>
    <w:rsid w:val="00632184"/>
    <w:rsid w:val="00637FD8"/>
    <w:rsid w:val="006408E6"/>
    <w:rsid w:val="00645006"/>
    <w:rsid w:val="0066386E"/>
    <w:rsid w:val="00676780"/>
    <w:rsid w:val="00680945"/>
    <w:rsid w:val="006A77E5"/>
    <w:rsid w:val="006C0774"/>
    <w:rsid w:val="006C684F"/>
    <w:rsid w:val="006D1F21"/>
    <w:rsid w:val="006E1B96"/>
    <w:rsid w:val="006E4751"/>
    <w:rsid w:val="006F29A5"/>
    <w:rsid w:val="0071363D"/>
    <w:rsid w:val="00726C61"/>
    <w:rsid w:val="00732C5A"/>
    <w:rsid w:val="00761DDF"/>
    <w:rsid w:val="007637F6"/>
    <w:rsid w:val="00763EA4"/>
    <w:rsid w:val="00766CEE"/>
    <w:rsid w:val="007716BA"/>
    <w:rsid w:val="00771D10"/>
    <w:rsid w:val="00793262"/>
    <w:rsid w:val="00795F6A"/>
    <w:rsid w:val="007A6538"/>
    <w:rsid w:val="007C1192"/>
    <w:rsid w:val="007D7CB9"/>
    <w:rsid w:val="007E1A49"/>
    <w:rsid w:val="007F63DA"/>
    <w:rsid w:val="007F7396"/>
    <w:rsid w:val="0080581C"/>
    <w:rsid w:val="00810ABA"/>
    <w:rsid w:val="00810E2E"/>
    <w:rsid w:val="00813D6B"/>
    <w:rsid w:val="008154D4"/>
    <w:rsid w:val="00823270"/>
    <w:rsid w:val="00834245"/>
    <w:rsid w:val="00843426"/>
    <w:rsid w:val="00846A7A"/>
    <w:rsid w:val="008514E5"/>
    <w:rsid w:val="0085289B"/>
    <w:rsid w:val="00857030"/>
    <w:rsid w:val="00864A1F"/>
    <w:rsid w:val="00876894"/>
    <w:rsid w:val="008C0891"/>
    <w:rsid w:val="008E2823"/>
    <w:rsid w:val="00900FB5"/>
    <w:rsid w:val="009012B4"/>
    <w:rsid w:val="009014B5"/>
    <w:rsid w:val="0090245C"/>
    <w:rsid w:val="00905CEC"/>
    <w:rsid w:val="009068E9"/>
    <w:rsid w:val="00916F5D"/>
    <w:rsid w:val="00925DE4"/>
    <w:rsid w:val="00940514"/>
    <w:rsid w:val="009443F4"/>
    <w:rsid w:val="0094794C"/>
    <w:rsid w:val="0095227C"/>
    <w:rsid w:val="009569BF"/>
    <w:rsid w:val="00972221"/>
    <w:rsid w:val="00991D17"/>
    <w:rsid w:val="00995A43"/>
    <w:rsid w:val="009A0EFA"/>
    <w:rsid w:val="009A6713"/>
    <w:rsid w:val="009B1987"/>
    <w:rsid w:val="009B687A"/>
    <w:rsid w:val="009C51F0"/>
    <w:rsid w:val="009C5A6E"/>
    <w:rsid w:val="009E5362"/>
    <w:rsid w:val="009E66DB"/>
    <w:rsid w:val="009F01A7"/>
    <w:rsid w:val="009F55BA"/>
    <w:rsid w:val="00A10EBD"/>
    <w:rsid w:val="00A157C6"/>
    <w:rsid w:val="00A24E18"/>
    <w:rsid w:val="00A26C21"/>
    <w:rsid w:val="00A36EE3"/>
    <w:rsid w:val="00A408DB"/>
    <w:rsid w:val="00A550C3"/>
    <w:rsid w:val="00A555DC"/>
    <w:rsid w:val="00A64B2B"/>
    <w:rsid w:val="00A6584C"/>
    <w:rsid w:val="00A70D16"/>
    <w:rsid w:val="00A72E5B"/>
    <w:rsid w:val="00A81AC2"/>
    <w:rsid w:val="00A9071B"/>
    <w:rsid w:val="00A92A85"/>
    <w:rsid w:val="00A92F83"/>
    <w:rsid w:val="00A943CF"/>
    <w:rsid w:val="00A95720"/>
    <w:rsid w:val="00A95FA0"/>
    <w:rsid w:val="00AA2CB0"/>
    <w:rsid w:val="00AB31DD"/>
    <w:rsid w:val="00AC4555"/>
    <w:rsid w:val="00AE0FD8"/>
    <w:rsid w:val="00AF2884"/>
    <w:rsid w:val="00AF38B1"/>
    <w:rsid w:val="00AF69CA"/>
    <w:rsid w:val="00B06E16"/>
    <w:rsid w:val="00B1001F"/>
    <w:rsid w:val="00B14FDC"/>
    <w:rsid w:val="00B53025"/>
    <w:rsid w:val="00B55DE8"/>
    <w:rsid w:val="00B61B89"/>
    <w:rsid w:val="00B72B56"/>
    <w:rsid w:val="00B765B8"/>
    <w:rsid w:val="00B80D50"/>
    <w:rsid w:val="00B93BCC"/>
    <w:rsid w:val="00B97247"/>
    <w:rsid w:val="00BA3CDC"/>
    <w:rsid w:val="00BC2200"/>
    <w:rsid w:val="00BC2E71"/>
    <w:rsid w:val="00BD11C2"/>
    <w:rsid w:val="00BD3927"/>
    <w:rsid w:val="00BD68E5"/>
    <w:rsid w:val="00BE61B0"/>
    <w:rsid w:val="00BE7865"/>
    <w:rsid w:val="00BF5F95"/>
    <w:rsid w:val="00C115B1"/>
    <w:rsid w:val="00C176D2"/>
    <w:rsid w:val="00C21F6F"/>
    <w:rsid w:val="00C30A20"/>
    <w:rsid w:val="00C46984"/>
    <w:rsid w:val="00C63842"/>
    <w:rsid w:val="00C70B0C"/>
    <w:rsid w:val="00C7634E"/>
    <w:rsid w:val="00C767CA"/>
    <w:rsid w:val="00CA11AA"/>
    <w:rsid w:val="00CA4202"/>
    <w:rsid w:val="00CB0504"/>
    <w:rsid w:val="00CD0033"/>
    <w:rsid w:val="00CD4393"/>
    <w:rsid w:val="00CD4D33"/>
    <w:rsid w:val="00CD5BE3"/>
    <w:rsid w:val="00CF2DBF"/>
    <w:rsid w:val="00D04E54"/>
    <w:rsid w:val="00D06E1F"/>
    <w:rsid w:val="00D109F0"/>
    <w:rsid w:val="00D15E26"/>
    <w:rsid w:val="00D24295"/>
    <w:rsid w:val="00D30B33"/>
    <w:rsid w:val="00D30DC8"/>
    <w:rsid w:val="00D37FDF"/>
    <w:rsid w:val="00D402C2"/>
    <w:rsid w:val="00D417D8"/>
    <w:rsid w:val="00D444C1"/>
    <w:rsid w:val="00D45E82"/>
    <w:rsid w:val="00D721F8"/>
    <w:rsid w:val="00D902B2"/>
    <w:rsid w:val="00D91BD2"/>
    <w:rsid w:val="00D95318"/>
    <w:rsid w:val="00D95D68"/>
    <w:rsid w:val="00DB2195"/>
    <w:rsid w:val="00DE3164"/>
    <w:rsid w:val="00DE649A"/>
    <w:rsid w:val="00DF754E"/>
    <w:rsid w:val="00E065F4"/>
    <w:rsid w:val="00E159E8"/>
    <w:rsid w:val="00E162D4"/>
    <w:rsid w:val="00E178AB"/>
    <w:rsid w:val="00E31838"/>
    <w:rsid w:val="00E31AEF"/>
    <w:rsid w:val="00E32897"/>
    <w:rsid w:val="00E33299"/>
    <w:rsid w:val="00E4192F"/>
    <w:rsid w:val="00E4351F"/>
    <w:rsid w:val="00E476A1"/>
    <w:rsid w:val="00E51F8B"/>
    <w:rsid w:val="00E5641A"/>
    <w:rsid w:val="00E63C7E"/>
    <w:rsid w:val="00E70B4C"/>
    <w:rsid w:val="00E75946"/>
    <w:rsid w:val="00E75B46"/>
    <w:rsid w:val="00E80A19"/>
    <w:rsid w:val="00E86BD3"/>
    <w:rsid w:val="00E86BE2"/>
    <w:rsid w:val="00E87140"/>
    <w:rsid w:val="00E91393"/>
    <w:rsid w:val="00E921E3"/>
    <w:rsid w:val="00E950CB"/>
    <w:rsid w:val="00E9572F"/>
    <w:rsid w:val="00EB70D1"/>
    <w:rsid w:val="00EB77BF"/>
    <w:rsid w:val="00ED547B"/>
    <w:rsid w:val="00ED63AC"/>
    <w:rsid w:val="00ED799B"/>
    <w:rsid w:val="00ED7D87"/>
    <w:rsid w:val="00EF3611"/>
    <w:rsid w:val="00EF3A20"/>
    <w:rsid w:val="00EF7B2C"/>
    <w:rsid w:val="00F004B4"/>
    <w:rsid w:val="00F02E2F"/>
    <w:rsid w:val="00F06F63"/>
    <w:rsid w:val="00F1732E"/>
    <w:rsid w:val="00F258BB"/>
    <w:rsid w:val="00F323FA"/>
    <w:rsid w:val="00F32880"/>
    <w:rsid w:val="00F373F7"/>
    <w:rsid w:val="00F40972"/>
    <w:rsid w:val="00F4471B"/>
    <w:rsid w:val="00F44ABF"/>
    <w:rsid w:val="00F47D20"/>
    <w:rsid w:val="00F60584"/>
    <w:rsid w:val="00F66347"/>
    <w:rsid w:val="00F90430"/>
    <w:rsid w:val="00F9060B"/>
    <w:rsid w:val="00F93F44"/>
    <w:rsid w:val="00FA73D5"/>
    <w:rsid w:val="00FB2F63"/>
    <w:rsid w:val="00FC2BF5"/>
    <w:rsid w:val="00FE1BA4"/>
    <w:rsid w:val="00FF2278"/>
    <w:rsid w:val="00FF6BC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C3D479"/>
  <w15:docId w15:val="{121CBB1C-415E-4CA7-9466-2DA856363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302289"/>
    <w:pPr>
      <w:widowControl w:val="0"/>
      <w:autoSpaceDE w:val="0"/>
      <w:autoSpaceDN w:val="0"/>
      <w:spacing w:before="120" w:after="0" w:line="240" w:lineRule="auto"/>
      <w:jc w:val="center"/>
      <w:outlineLvl w:val="0"/>
    </w:pPr>
    <w:rPr>
      <w:rFonts w:ascii="Calibri" w:eastAsia="Calibri" w:hAnsi="Calibri" w:cs="Calibri"/>
      <w:b/>
      <w:bCs/>
      <w:kern w:val="0"/>
      <w:sz w:val="24"/>
      <w:szCs w:val="24"/>
      <w14:ligatures w14:val="none"/>
    </w:rPr>
  </w:style>
  <w:style w:type="paragraph" w:styleId="Ttulo3">
    <w:name w:val="heading 3"/>
    <w:basedOn w:val="Normal"/>
    <w:next w:val="Normal"/>
    <w:link w:val="Ttulo3Char"/>
    <w:uiPriority w:val="9"/>
    <w:semiHidden/>
    <w:unhideWhenUsed/>
    <w:qFormat/>
    <w:rsid w:val="00B1001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102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semiHidden/>
    <w:unhideWhenUsed/>
    <w:rsid w:val="00843426"/>
    <w:rPr>
      <w:color w:val="0563C1"/>
      <w:u w:val="single"/>
    </w:rPr>
  </w:style>
  <w:style w:type="character" w:styleId="HiperlinkVisitado">
    <w:name w:val="FollowedHyperlink"/>
    <w:basedOn w:val="Fontepargpadro"/>
    <w:uiPriority w:val="99"/>
    <w:semiHidden/>
    <w:unhideWhenUsed/>
    <w:rsid w:val="00843426"/>
    <w:rPr>
      <w:color w:val="954F72"/>
      <w:u w:val="single"/>
    </w:rPr>
  </w:style>
  <w:style w:type="paragraph" w:customStyle="1" w:styleId="msonormal0">
    <w:name w:val="msonormal"/>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843426"/>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843426"/>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843426"/>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843426"/>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843426"/>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843426"/>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843426"/>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843426"/>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843426"/>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843426"/>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843426"/>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843426"/>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843426"/>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843426"/>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843426"/>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843426"/>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843426"/>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PargrafodaLista">
    <w:name w:val="List Paragraph"/>
    <w:basedOn w:val="Normal"/>
    <w:uiPriority w:val="34"/>
    <w:qFormat/>
    <w:rsid w:val="000E4F34"/>
    <w:pPr>
      <w:ind w:left="720"/>
      <w:contextualSpacing/>
    </w:pPr>
  </w:style>
  <w:style w:type="paragraph" w:styleId="Reviso">
    <w:name w:val="Revision"/>
    <w:hidden/>
    <w:uiPriority w:val="99"/>
    <w:semiHidden/>
    <w:rsid w:val="001E1620"/>
    <w:pPr>
      <w:spacing w:after="0" w:line="240" w:lineRule="auto"/>
    </w:pPr>
  </w:style>
  <w:style w:type="character" w:styleId="Refdecomentrio">
    <w:name w:val="annotation reference"/>
    <w:basedOn w:val="Fontepargpadro"/>
    <w:uiPriority w:val="99"/>
    <w:semiHidden/>
    <w:unhideWhenUsed/>
    <w:rsid w:val="000D7438"/>
    <w:rPr>
      <w:sz w:val="16"/>
      <w:szCs w:val="16"/>
    </w:rPr>
  </w:style>
  <w:style w:type="paragraph" w:styleId="Textodecomentrio">
    <w:name w:val="annotation text"/>
    <w:basedOn w:val="Normal"/>
    <w:link w:val="TextodecomentrioChar"/>
    <w:uiPriority w:val="99"/>
    <w:unhideWhenUsed/>
    <w:rsid w:val="000D7438"/>
    <w:pPr>
      <w:spacing w:line="240" w:lineRule="auto"/>
    </w:pPr>
    <w:rPr>
      <w:kern w:val="0"/>
      <w:sz w:val="20"/>
      <w:szCs w:val="20"/>
      <w14:ligatures w14:val="none"/>
    </w:rPr>
  </w:style>
  <w:style w:type="character" w:customStyle="1" w:styleId="TextodecomentrioChar">
    <w:name w:val="Texto de comentário Char"/>
    <w:basedOn w:val="Fontepargpadro"/>
    <w:link w:val="Textodecomentrio"/>
    <w:uiPriority w:val="99"/>
    <w:rsid w:val="000D7438"/>
    <w:rPr>
      <w:kern w:val="0"/>
      <w:sz w:val="20"/>
      <w:szCs w:val="20"/>
      <w14:ligatures w14:val="none"/>
    </w:rPr>
  </w:style>
  <w:style w:type="paragraph" w:styleId="Assuntodocomentrio">
    <w:name w:val="annotation subject"/>
    <w:basedOn w:val="Textodecomentrio"/>
    <w:next w:val="Textodecomentrio"/>
    <w:link w:val="AssuntodocomentrioChar"/>
    <w:uiPriority w:val="99"/>
    <w:semiHidden/>
    <w:unhideWhenUsed/>
    <w:rsid w:val="000D7438"/>
    <w:rPr>
      <w:b/>
      <w:bCs/>
    </w:rPr>
  </w:style>
  <w:style w:type="character" w:customStyle="1" w:styleId="AssuntodocomentrioChar">
    <w:name w:val="Assunto do comentário Char"/>
    <w:basedOn w:val="TextodecomentrioChar"/>
    <w:link w:val="Assuntodocomentrio"/>
    <w:uiPriority w:val="99"/>
    <w:semiHidden/>
    <w:rsid w:val="000D7438"/>
    <w:rPr>
      <w:b/>
      <w:bCs/>
      <w:kern w:val="0"/>
      <w:sz w:val="20"/>
      <w:szCs w:val="20"/>
      <w14:ligatures w14:val="none"/>
    </w:rPr>
  </w:style>
  <w:style w:type="paragraph" w:styleId="Corpodetexto">
    <w:name w:val="Body Text"/>
    <w:basedOn w:val="Normal"/>
    <w:link w:val="CorpodetextoChar"/>
    <w:uiPriority w:val="99"/>
    <w:qFormat/>
    <w:rsid w:val="000D7438"/>
    <w:pPr>
      <w:widowControl w:val="0"/>
      <w:autoSpaceDE w:val="0"/>
      <w:autoSpaceDN w:val="0"/>
      <w:spacing w:after="0" w:line="240" w:lineRule="auto"/>
    </w:pPr>
    <w:rPr>
      <w:rFonts w:ascii="DejaVu Serif Condensed" w:eastAsia="DejaVu Serif Condensed" w:hAnsi="DejaVu Serif Condensed" w:cs="DejaVu Serif Condensed"/>
      <w:kern w:val="0"/>
      <w:lang w:val="pt-PT"/>
      <w14:ligatures w14:val="none"/>
    </w:rPr>
  </w:style>
  <w:style w:type="character" w:customStyle="1" w:styleId="CorpodetextoChar">
    <w:name w:val="Corpo de texto Char"/>
    <w:basedOn w:val="Fontepargpadro"/>
    <w:link w:val="Corpodetexto"/>
    <w:uiPriority w:val="99"/>
    <w:rsid w:val="000D7438"/>
    <w:rPr>
      <w:rFonts w:ascii="DejaVu Serif Condensed" w:eastAsia="DejaVu Serif Condensed" w:hAnsi="DejaVu Serif Condensed" w:cs="DejaVu Serif Condensed"/>
      <w:kern w:val="0"/>
      <w:lang w:val="pt-PT"/>
      <w14:ligatures w14:val="none"/>
    </w:rPr>
  </w:style>
  <w:style w:type="paragraph" w:styleId="Textodebalo">
    <w:name w:val="Balloon Text"/>
    <w:basedOn w:val="Normal"/>
    <w:link w:val="TextodebaloChar"/>
    <w:uiPriority w:val="99"/>
    <w:semiHidden/>
    <w:unhideWhenUsed/>
    <w:rsid w:val="000D7438"/>
    <w:pPr>
      <w:spacing w:after="0" w:line="240" w:lineRule="auto"/>
    </w:pPr>
    <w:rPr>
      <w:rFonts w:ascii="Tahoma" w:hAnsi="Tahoma" w:cs="Tahoma"/>
      <w:kern w:val="0"/>
      <w:sz w:val="16"/>
      <w:szCs w:val="16"/>
      <w14:ligatures w14:val="none"/>
    </w:rPr>
  </w:style>
  <w:style w:type="character" w:customStyle="1" w:styleId="TextodebaloChar">
    <w:name w:val="Texto de balão Char"/>
    <w:basedOn w:val="Fontepargpadro"/>
    <w:link w:val="Textodebalo"/>
    <w:uiPriority w:val="99"/>
    <w:semiHidden/>
    <w:rsid w:val="000D7438"/>
    <w:rPr>
      <w:rFonts w:ascii="Tahoma" w:hAnsi="Tahoma" w:cs="Tahoma"/>
      <w:kern w:val="0"/>
      <w:sz w:val="16"/>
      <w:szCs w:val="16"/>
      <w14:ligatures w14:val="none"/>
    </w:rPr>
  </w:style>
  <w:style w:type="paragraph" w:styleId="Cabealho">
    <w:name w:val="header"/>
    <w:basedOn w:val="Normal"/>
    <w:link w:val="CabealhoChar"/>
    <w:uiPriority w:val="99"/>
    <w:unhideWhenUsed/>
    <w:rsid w:val="000D7438"/>
    <w:pPr>
      <w:tabs>
        <w:tab w:val="center" w:pos="4252"/>
        <w:tab w:val="right" w:pos="8504"/>
      </w:tabs>
      <w:spacing w:after="0" w:line="240" w:lineRule="auto"/>
    </w:pPr>
    <w:rPr>
      <w:kern w:val="0"/>
      <w14:ligatures w14:val="none"/>
    </w:rPr>
  </w:style>
  <w:style w:type="character" w:customStyle="1" w:styleId="CabealhoChar">
    <w:name w:val="Cabeçalho Char"/>
    <w:basedOn w:val="Fontepargpadro"/>
    <w:link w:val="Cabealho"/>
    <w:uiPriority w:val="99"/>
    <w:rsid w:val="000D7438"/>
    <w:rPr>
      <w:kern w:val="0"/>
      <w14:ligatures w14:val="none"/>
    </w:rPr>
  </w:style>
  <w:style w:type="paragraph" w:styleId="Rodap">
    <w:name w:val="footer"/>
    <w:basedOn w:val="Normal"/>
    <w:link w:val="RodapChar"/>
    <w:uiPriority w:val="99"/>
    <w:unhideWhenUsed/>
    <w:rsid w:val="000D7438"/>
    <w:pPr>
      <w:tabs>
        <w:tab w:val="center" w:pos="4252"/>
        <w:tab w:val="right" w:pos="8504"/>
      </w:tabs>
      <w:spacing w:after="0" w:line="240" w:lineRule="auto"/>
    </w:pPr>
    <w:rPr>
      <w:kern w:val="0"/>
      <w14:ligatures w14:val="none"/>
    </w:rPr>
  </w:style>
  <w:style w:type="character" w:customStyle="1" w:styleId="RodapChar">
    <w:name w:val="Rodapé Char"/>
    <w:basedOn w:val="Fontepargpadro"/>
    <w:link w:val="Rodap"/>
    <w:uiPriority w:val="99"/>
    <w:rsid w:val="000D7438"/>
    <w:rPr>
      <w:kern w:val="0"/>
      <w14:ligatures w14:val="none"/>
    </w:rPr>
  </w:style>
  <w:style w:type="character" w:styleId="TextodoEspaoReservado">
    <w:name w:val="Placeholder Text"/>
    <w:basedOn w:val="Fontepargpadro"/>
    <w:uiPriority w:val="99"/>
    <w:semiHidden/>
    <w:rsid w:val="000D7438"/>
    <w:rPr>
      <w:color w:val="808080"/>
    </w:rPr>
  </w:style>
  <w:style w:type="paragraph" w:customStyle="1" w:styleId="font0">
    <w:name w:val="font0"/>
    <w:basedOn w:val="Normal"/>
    <w:rsid w:val="000D7438"/>
    <w:pPr>
      <w:spacing w:before="100" w:beforeAutospacing="1" w:after="100" w:afterAutospacing="1" w:line="240" w:lineRule="auto"/>
    </w:pPr>
    <w:rPr>
      <w:rFonts w:ascii="Calibri" w:eastAsia="Times New Roman" w:hAnsi="Calibri" w:cs="Calibri"/>
      <w:color w:val="000000"/>
      <w:kern w:val="0"/>
      <w:lang w:eastAsia="pt-BR"/>
      <w14:ligatures w14:val="none"/>
    </w:rPr>
  </w:style>
  <w:style w:type="paragraph" w:styleId="NormalWeb">
    <w:name w:val="Normal (Web)"/>
    <w:basedOn w:val="Normal"/>
    <w:uiPriority w:val="99"/>
    <w:unhideWhenUsed/>
    <w:rsid w:val="000D7438"/>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customStyle="1" w:styleId="cf01">
    <w:name w:val="cf01"/>
    <w:basedOn w:val="Fontepargpadro"/>
    <w:rsid w:val="000D7438"/>
    <w:rPr>
      <w:rFonts w:ascii="Segoe UI" w:hAnsi="Segoe UI" w:cs="Segoe UI" w:hint="default"/>
      <w:sz w:val="18"/>
      <w:szCs w:val="18"/>
    </w:rPr>
  </w:style>
  <w:style w:type="character" w:customStyle="1" w:styleId="Ttulo1Char">
    <w:name w:val="Título 1 Char"/>
    <w:basedOn w:val="Fontepargpadro"/>
    <w:link w:val="Ttulo1"/>
    <w:uiPriority w:val="9"/>
    <w:rsid w:val="00302289"/>
    <w:rPr>
      <w:rFonts w:ascii="Calibri" w:eastAsia="Calibri" w:hAnsi="Calibri" w:cs="Calibri"/>
      <w:b/>
      <w:bCs/>
      <w:kern w:val="0"/>
      <w:sz w:val="24"/>
      <w:szCs w:val="24"/>
      <w14:ligatures w14:val="none"/>
    </w:rPr>
  </w:style>
  <w:style w:type="paragraph" w:customStyle="1" w:styleId="Default">
    <w:name w:val="Default"/>
    <w:rsid w:val="00302289"/>
    <w:pPr>
      <w:autoSpaceDE w:val="0"/>
      <w:autoSpaceDN w:val="0"/>
      <w:adjustRightInd w:val="0"/>
      <w:spacing w:after="0" w:line="240" w:lineRule="auto"/>
    </w:pPr>
    <w:rPr>
      <w:rFonts w:ascii="Calibri" w:hAnsi="Calibri" w:cs="Calibri"/>
      <w:color w:val="000000"/>
      <w:kern w:val="0"/>
      <w:sz w:val="24"/>
      <w:szCs w:val="24"/>
      <w14:ligatures w14:val="none"/>
    </w:rPr>
  </w:style>
  <w:style w:type="paragraph" w:customStyle="1" w:styleId="Normal1">
    <w:name w:val="Normal1"/>
    <w:rsid w:val="009B1987"/>
    <w:rPr>
      <w:rFonts w:ascii="Calibri" w:eastAsia="Calibri" w:hAnsi="Calibri" w:cs="Calibri"/>
      <w:kern w:val="0"/>
      <w14:ligatures w14:val="none"/>
    </w:rPr>
  </w:style>
  <w:style w:type="paragraph" w:customStyle="1" w:styleId="textojustificado">
    <w:name w:val="texto_justificado"/>
    <w:basedOn w:val="Normal"/>
    <w:rsid w:val="005819E7"/>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Forte">
    <w:name w:val="Strong"/>
    <w:basedOn w:val="Fontepargpadro"/>
    <w:uiPriority w:val="22"/>
    <w:qFormat/>
    <w:rsid w:val="005819E7"/>
    <w:rPr>
      <w:b/>
      <w:bCs/>
    </w:rPr>
  </w:style>
  <w:style w:type="paragraph" w:customStyle="1" w:styleId="Normalalteradora">
    <w:name w:val="Normal alteradora"/>
    <w:basedOn w:val="Normal"/>
    <w:link w:val="NormalalteradoraChar"/>
    <w:qFormat/>
    <w:rsid w:val="005819E7"/>
    <w:pPr>
      <w:spacing w:before="120" w:after="120" w:line="312" w:lineRule="auto"/>
      <w:ind w:firstLine="567"/>
      <w:jc w:val="both"/>
    </w:pPr>
    <w:rPr>
      <w:rFonts w:eastAsia="Times New Roman"/>
      <w:kern w:val="0"/>
      <w:sz w:val="24"/>
      <w:szCs w:val="24"/>
      <w:lang w:eastAsia="pt-BR"/>
      <w14:ligatures w14:val="none"/>
    </w:rPr>
  </w:style>
  <w:style w:type="character" w:customStyle="1" w:styleId="NormalalteradoraChar">
    <w:name w:val="Normal alteradora Char"/>
    <w:basedOn w:val="Fontepargpadro"/>
    <w:link w:val="Normalalteradora"/>
    <w:rsid w:val="005819E7"/>
    <w:rPr>
      <w:rFonts w:eastAsia="Times New Roman"/>
      <w:kern w:val="0"/>
      <w:sz w:val="24"/>
      <w:szCs w:val="24"/>
      <w:lang w:eastAsia="pt-BR"/>
      <w14:ligatures w14:val="none"/>
    </w:rPr>
  </w:style>
  <w:style w:type="character" w:styleId="nfase">
    <w:name w:val="Emphasis"/>
    <w:basedOn w:val="Fontepargpadro"/>
    <w:uiPriority w:val="20"/>
    <w:qFormat/>
    <w:rsid w:val="00D95318"/>
    <w:rPr>
      <w:i/>
      <w:iCs/>
    </w:rPr>
  </w:style>
  <w:style w:type="paragraph" w:customStyle="1" w:styleId="legislacao-ementa">
    <w:name w:val="legislacao-ementa"/>
    <w:basedOn w:val="Normal"/>
    <w:rsid w:val="00E86BD3"/>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customStyle="1" w:styleId="Ttulo3Char">
    <w:name w:val="Título 3 Char"/>
    <w:basedOn w:val="Fontepargpadro"/>
    <w:link w:val="Ttulo3"/>
    <w:uiPriority w:val="9"/>
    <w:semiHidden/>
    <w:rsid w:val="00B1001F"/>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0640892">
      <w:bodyDiv w:val="1"/>
      <w:marLeft w:val="0"/>
      <w:marRight w:val="0"/>
      <w:marTop w:val="0"/>
      <w:marBottom w:val="0"/>
      <w:divBdr>
        <w:top w:val="none" w:sz="0" w:space="0" w:color="auto"/>
        <w:left w:val="none" w:sz="0" w:space="0" w:color="auto"/>
        <w:bottom w:val="none" w:sz="0" w:space="0" w:color="auto"/>
        <w:right w:val="none" w:sz="0" w:space="0" w:color="auto"/>
      </w:divBdr>
    </w:div>
    <w:div w:id="1028726686">
      <w:bodyDiv w:val="1"/>
      <w:marLeft w:val="0"/>
      <w:marRight w:val="0"/>
      <w:marTop w:val="0"/>
      <w:marBottom w:val="0"/>
      <w:divBdr>
        <w:top w:val="none" w:sz="0" w:space="0" w:color="auto"/>
        <w:left w:val="none" w:sz="0" w:space="0" w:color="auto"/>
        <w:bottom w:val="none" w:sz="0" w:space="0" w:color="auto"/>
        <w:right w:val="none" w:sz="0" w:space="0" w:color="auto"/>
      </w:divBdr>
    </w:div>
    <w:div w:id="1143501579">
      <w:bodyDiv w:val="1"/>
      <w:marLeft w:val="0"/>
      <w:marRight w:val="0"/>
      <w:marTop w:val="0"/>
      <w:marBottom w:val="0"/>
      <w:divBdr>
        <w:top w:val="none" w:sz="0" w:space="0" w:color="auto"/>
        <w:left w:val="none" w:sz="0" w:space="0" w:color="auto"/>
        <w:bottom w:val="none" w:sz="0" w:space="0" w:color="auto"/>
        <w:right w:val="none" w:sz="0" w:space="0" w:color="auto"/>
      </w:divBdr>
    </w:div>
    <w:div w:id="1185703890">
      <w:bodyDiv w:val="1"/>
      <w:marLeft w:val="0"/>
      <w:marRight w:val="0"/>
      <w:marTop w:val="0"/>
      <w:marBottom w:val="0"/>
      <w:divBdr>
        <w:top w:val="none" w:sz="0" w:space="0" w:color="auto"/>
        <w:left w:val="none" w:sz="0" w:space="0" w:color="auto"/>
        <w:bottom w:val="none" w:sz="0" w:space="0" w:color="auto"/>
        <w:right w:val="none" w:sz="0" w:space="0" w:color="auto"/>
      </w:divBdr>
    </w:div>
    <w:div w:id="13931131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3" Type="http://schemas.openxmlformats.org/officeDocument/2006/relationships/styles" Target="styles.xml"/><Relationship Id="rId7" Type="http://schemas.microsoft.com/office/2011/relationships/commentsExtended" Target="commentsExtended.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omments" Target="comment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microsoft.com/office/2018/08/relationships/commentsExtensible" Target="commentsExtensi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E6E665-856A-4420-ABD0-8E4E6B607C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406</Pages>
  <Words>105536</Words>
  <Characters>569897</Characters>
  <Application>Microsoft Office Word</Application>
  <DocSecurity>0</DocSecurity>
  <Lines>4749</Lines>
  <Paragraphs>1348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674085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Claudia Ashton</cp:lastModifiedBy>
  <cp:revision>3</cp:revision>
  <dcterms:created xsi:type="dcterms:W3CDTF">2023-07-15T03:55:00Z</dcterms:created>
  <dcterms:modified xsi:type="dcterms:W3CDTF">2023-07-15T04:13:00Z</dcterms:modified>
</cp:coreProperties>
</file>