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comgrade"/>
        <w:tblW w:w="14737" w:type="dxa"/>
        <w:tblLook w:val="04A0" w:firstRow="1" w:lastRow="0" w:firstColumn="1" w:lastColumn="0" w:noHBand="0" w:noVBand="1"/>
      </w:tblPr>
      <w:tblGrid>
        <w:gridCol w:w="4957"/>
        <w:gridCol w:w="5103"/>
        <w:gridCol w:w="4677"/>
      </w:tblGrid>
      <w:tr w:rsidR="00E451A2" w:rsidRPr="00C031E1" w14:paraId="7D05FB17" w14:textId="77777777" w:rsidTr="001B566D">
        <w:tc>
          <w:tcPr>
            <w:tcW w:w="4957" w:type="dxa"/>
          </w:tcPr>
          <w:p w14:paraId="0A32903A" w14:textId="60F1E1C2" w:rsidR="00E451A2" w:rsidRPr="00C031E1" w:rsidRDefault="007D5D06" w:rsidP="008553C2">
            <w:pPr>
              <w:jc w:val="center"/>
              <w:rPr>
                <w:rFonts w:eastAsia="Times New Roman" w:cstheme="minorHAnsi"/>
                <w:b/>
                <w:bCs/>
                <w:sz w:val="24"/>
                <w:szCs w:val="24"/>
                <w:lang w:eastAsia="pt-BR"/>
              </w:rPr>
            </w:pPr>
            <w:r w:rsidRPr="00C031E1">
              <w:rPr>
                <w:rFonts w:cstheme="minorHAnsi"/>
                <w:sz w:val="24"/>
                <w:szCs w:val="24"/>
              </w:rPr>
              <w:br w:type="page"/>
            </w:r>
            <w:r w:rsidR="00E451A2" w:rsidRPr="00C031E1">
              <w:rPr>
                <w:rFonts w:eastAsia="Times New Roman" w:cstheme="minorHAnsi"/>
                <w:b/>
                <w:bCs/>
                <w:sz w:val="24"/>
                <w:szCs w:val="24"/>
                <w:lang w:eastAsia="pt-BR"/>
              </w:rPr>
              <w:t>DE</w:t>
            </w:r>
          </w:p>
        </w:tc>
        <w:tc>
          <w:tcPr>
            <w:tcW w:w="5103" w:type="dxa"/>
            <w:noWrap/>
            <w:hideMark/>
          </w:tcPr>
          <w:p w14:paraId="50D3B2F9" w14:textId="77777777" w:rsidR="00E451A2" w:rsidRPr="00C031E1" w:rsidRDefault="00E451A2" w:rsidP="008553C2">
            <w:pPr>
              <w:jc w:val="center"/>
              <w:rPr>
                <w:rFonts w:eastAsia="Times New Roman" w:cstheme="minorHAnsi"/>
                <w:b/>
                <w:bCs/>
                <w:sz w:val="24"/>
                <w:szCs w:val="24"/>
                <w:lang w:eastAsia="pt-BR"/>
              </w:rPr>
            </w:pPr>
            <w:r w:rsidRPr="00C031E1">
              <w:rPr>
                <w:rFonts w:eastAsia="Times New Roman" w:cstheme="minorHAnsi"/>
                <w:b/>
                <w:bCs/>
                <w:sz w:val="24"/>
                <w:szCs w:val="24"/>
                <w:lang w:eastAsia="pt-BR"/>
              </w:rPr>
              <w:t>PARA</w:t>
            </w:r>
          </w:p>
        </w:tc>
        <w:tc>
          <w:tcPr>
            <w:tcW w:w="4677" w:type="dxa"/>
            <w:noWrap/>
            <w:hideMark/>
          </w:tcPr>
          <w:p w14:paraId="6485D33F" w14:textId="77777777" w:rsidR="00E451A2" w:rsidRPr="00C031E1" w:rsidRDefault="00E451A2" w:rsidP="008553C2">
            <w:pPr>
              <w:jc w:val="center"/>
              <w:rPr>
                <w:rFonts w:eastAsia="Times New Roman" w:cstheme="minorHAnsi"/>
                <w:b/>
                <w:bCs/>
                <w:sz w:val="24"/>
                <w:szCs w:val="24"/>
                <w:lang w:eastAsia="pt-BR"/>
              </w:rPr>
            </w:pPr>
            <w:r w:rsidRPr="00C031E1">
              <w:rPr>
                <w:rFonts w:eastAsia="Times New Roman" w:cstheme="minorHAnsi"/>
                <w:b/>
                <w:bCs/>
                <w:sz w:val="24"/>
                <w:szCs w:val="24"/>
                <w:lang w:eastAsia="pt-BR"/>
              </w:rPr>
              <w:t>JUSTIFICATIVA</w:t>
            </w:r>
          </w:p>
        </w:tc>
      </w:tr>
      <w:tr w:rsidR="00E451A2" w:rsidRPr="00C031E1" w14:paraId="6C6656F5" w14:textId="77777777" w:rsidTr="001B566D">
        <w:tc>
          <w:tcPr>
            <w:tcW w:w="4957" w:type="dxa"/>
          </w:tcPr>
          <w:p w14:paraId="358EA0B9" w14:textId="77777777" w:rsidR="00E451A2" w:rsidRPr="00C031E1" w:rsidRDefault="00E451A2" w:rsidP="008553C2">
            <w:pPr>
              <w:jc w:val="both"/>
              <w:rPr>
                <w:rFonts w:cstheme="minorHAnsi"/>
                <w:b/>
                <w:bCs/>
                <w:sz w:val="24"/>
                <w:szCs w:val="24"/>
              </w:rPr>
            </w:pPr>
          </w:p>
        </w:tc>
        <w:tc>
          <w:tcPr>
            <w:tcW w:w="5103" w:type="dxa"/>
          </w:tcPr>
          <w:p w14:paraId="3BB8A017" w14:textId="77777777" w:rsidR="00E451A2" w:rsidRPr="00C031E1" w:rsidRDefault="00E451A2" w:rsidP="008553C2">
            <w:pPr>
              <w:jc w:val="center"/>
              <w:rPr>
                <w:rFonts w:eastAsia="Times New Roman" w:cstheme="minorHAnsi"/>
                <w:sz w:val="24"/>
                <w:szCs w:val="24"/>
                <w:lang w:eastAsia="pt-BR"/>
              </w:rPr>
            </w:pPr>
            <w:r w:rsidRPr="00C031E1">
              <w:rPr>
                <w:rFonts w:eastAsia="Times New Roman" w:cstheme="minorHAnsi"/>
                <w:b/>
                <w:bCs/>
                <w:sz w:val="24"/>
                <w:szCs w:val="24"/>
                <w:lang w:eastAsia="pt-BR"/>
              </w:rPr>
              <w:t>Conceitos e Definições</w:t>
            </w:r>
          </w:p>
        </w:tc>
        <w:tc>
          <w:tcPr>
            <w:tcW w:w="4677" w:type="dxa"/>
          </w:tcPr>
          <w:p w14:paraId="34E265C0" w14:textId="77777777" w:rsidR="00E451A2" w:rsidRPr="00C031E1" w:rsidRDefault="00E451A2" w:rsidP="008553C2">
            <w:pPr>
              <w:jc w:val="both"/>
              <w:rPr>
                <w:rFonts w:eastAsia="Times New Roman" w:cstheme="minorHAnsi"/>
                <w:sz w:val="24"/>
                <w:szCs w:val="24"/>
                <w:lang w:eastAsia="pt-BR"/>
              </w:rPr>
            </w:pPr>
          </w:p>
        </w:tc>
      </w:tr>
      <w:tr w:rsidR="00E451A2" w:rsidRPr="00C031E1" w14:paraId="3F61A274" w14:textId="77777777" w:rsidTr="001B566D">
        <w:tc>
          <w:tcPr>
            <w:tcW w:w="4957" w:type="dxa"/>
          </w:tcPr>
          <w:p w14:paraId="0625FC20" w14:textId="77777777" w:rsidR="00E451A2" w:rsidRPr="00C031E1" w:rsidRDefault="00E451A2" w:rsidP="008553C2">
            <w:pPr>
              <w:jc w:val="both"/>
              <w:rPr>
                <w:rFonts w:cstheme="minorHAnsi"/>
                <w:b/>
                <w:bCs/>
                <w:sz w:val="24"/>
                <w:szCs w:val="24"/>
              </w:rPr>
            </w:pPr>
            <w:r w:rsidRPr="00C031E1">
              <w:rPr>
                <w:rFonts w:cstheme="minorHAnsi"/>
                <w:b/>
                <w:bCs/>
                <w:sz w:val="24"/>
                <w:szCs w:val="24"/>
              </w:rPr>
              <w:t xml:space="preserve">Coletânea de Normas </w:t>
            </w:r>
          </w:p>
        </w:tc>
        <w:tc>
          <w:tcPr>
            <w:tcW w:w="5103" w:type="dxa"/>
          </w:tcPr>
          <w:p w14:paraId="7A461B6F" w14:textId="77777777" w:rsidR="00E451A2" w:rsidRPr="00C031E1" w:rsidRDefault="00E451A2" w:rsidP="008553C2">
            <w:pPr>
              <w:jc w:val="both"/>
              <w:rPr>
                <w:rFonts w:eastAsia="Times New Roman" w:cstheme="minorHAnsi"/>
                <w:strike/>
                <w:sz w:val="24"/>
                <w:szCs w:val="24"/>
                <w:lang w:eastAsia="pt-BR"/>
              </w:rPr>
            </w:pPr>
          </w:p>
        </w:tc>
        <w:tc>
          <w:tcPr>
            <w:tcW w:w="4677" w:type="dxa"/>
          </w:tcPr>
          <w:p w14:paraId="6E9759EC" w14:textId="77777777" w:rsidR="00E451A2" w:rsidRPr="00C031E1" w:rsidRDefault="00E451A2" w:rsidP="008553C2">
            <w:pPr>
              <w:jc w:val="both"/>
              <w:rPr>
                <w:rFonts w:eastAsia="Times New Roman" w:cstheme="minorHAnsi"/>
                <w:sz w:val="24"/>
                <w:szCs w:val="24"/>
                <w:lang w:eastAsia="pt-BR"/>
              </w:rPr>
            </w:pPr>
          </w:p>
        </w:tc>
      </w:tr>
      <w:tr w:rsidR="00E451A2" w:rsidRPr="00C031E1" w14:paraId="55292FA8" w14:textId="77777777" w:rsidTr="00CC0C26">
        <w:tc>
          <w:tcPr>
            <w:tcW w:w="4957" w:type="dxa"/>
          </w:tcPr>
          <w:p w14:paraId="1FA20F63" w14:textId="77777777" w:rsidR="00E451A2" w:rsidRPr="00C031E1" w:rsidRDefault="00E451A2" w:rsidP="008553C2">
            <w:pPr>
              <w:jc w:val="both"/>
              <w:rPr>
                <w:rFonts w:eastAsia="Times New Roman" w:cstheme="minorHAnsi"/>
                <w:sz w:val="24"/>
                <w:szCs w:val="24"/>
                <w:lang w:eastAsia="pt-BR"/>
              </w:rPr>
            </w:pPr>
            <w:bookmarkStart w:id="0" w:name="_Hlk138925249"/>
            <w:r w:rsidRPr="00C031E1">
              <w:rPr>
                <w:rFonts w:cstheme="minorHAnsi"/>
                <w:sz w:val="24"/>
                <w:szCs w:val="24"/>
              </w:rPr>
              <w:t xml:space="preserve">Atuariais: Documento elaborado pelo atuário da entidade contendo todas as informações exigidas pelo órgão de fiscalização e controle das </w:t>
            </w:r>
            <w:proofErr w:type="spellStart"/>
            <w:r w:rsidRPr="00C031E1">
              <w:rPr>
                <w:rFonts w:cstheme="minorHAnsi"/>
                <w:sz w:val="24"/>
                <w:szCs w:val="24"/>
              </w:rPr>
              <w:t>EFPP’s</w:t>
            </w:r>
            <w:proofErr w:type="spellEnd"/>
            <w:r w:rsidRPr="00C031E1">
              <w:rPr>
                <w:rFonts w:cstheme="minorHAnsi"/>
                <w:sz w:val="24"/>
                <w:szCs w:val="24"/>
              </w:rPr>
              <w:t xml:space="preserve"> relativamente ao plano de benefícios e à avaliação atuarial de cada exercício.</w:t>
            </w:r>
          </w:p>
        </w:tc>
        <w:tc>
          <w:tcPr>
            <w:tcW w:w="5103" w:type="dxa"/>
            <w:hideMark/>
          </w:tcPr>
          <w:p w14:paraId="27351B3D" w14:textId="55DA90E4" w:rsidR="00E451A2" w:rsidRPr="00C031E1" w:rsidRDefault="00E451A2" w:rsidP="008553C2">
            <w:pPr>
              <w:jc w:val="both"/>
              <w:rPr>
                <w:rFonts w:eastAsia="Times New Roman" w:cstheme="minorHAnsi"/>
                <w:sz w:val="24"/>
                <w:szCs w:val="24"/>
                <w:lang w:eastAsia="pt-BR"/>
              </w:rPr>
            </w:pPr>
            <w:r w:rsidRPr="00C031E1">
              <w:rPr>
                <w:rFonts w:eastAsia="Times New Roman" w:cstheme="minorHAnsi"/>
                <w:sz w:val="24"/>
                <w:szCs w:val="24"/>
                <w:lang w:eastAsia="pt-BR"/>
              </w:rPr>
              <w:t>I - Demonstrações Atuariais (DA)</w:t>
            </w:r>
            <w:r w:rsidR="002C5767">
              <w:rPr>
                <w:rFonts w:eastAsia="Times New Roman" w:cstheme="minorHAnsi"/>
                <w:sz w:val="24"/>
                <w:szCs w:val="24"/>
                <w:lang w:eastAsia="pt-BR"/>
              </w:rPr>
              <w:t>:</w:t>
            </w:r>
            <w:r w:rsidRPr="00C031E1">
              <w:rPr>
                <w:rFonts w:eastAsia="Times New Roman" w:cstheme="minorHAnsi"/>
                <w:sz w:val="24"/>
                <w:szCs w:val="24"/>
                <w:lang w:eastAsia="pt-BR"/>
              </w:rPr>
              <w:t xml:space="preserve"> é o documento elaborado por atuário responsável pelo plano de benefícios, contendo todas as informações exigidas pelo órgão de fiscalização e controle das entidades fechadas de previdência complementar relativamente ao plano de benefícios e à avaliação atuarial a que se refere.</w:t>
            </w:r>
          </w:p>
        </w:tc>
        <w:tc>
          <w:tcPr>
            <w:tcW w:w="4677" w:type="dxa"/>
            <w:shd w:val="clear" w:color="auto" w:fill="auto"/>
            <w:hideMark/>
          </w:tcPr>
          <w:p w14:paraId="3B62B792" w14:textId="77777777" w:rsidR="00E451A2" w:rsidRPr="00C031E1" w:rsidRDefault="00E451A2" w:rsidP="008553C2">
            <w:pPr>
              <w:jc w:val="both"/>
              <w:rPr>
                <w:rFonts w:eastAsia="Times New Roman" w:cstheme="minorHAnsi"/>
                <w:sz w:val="24"/>
                <w:szCs w:val="24"/>
                <w:highlight w:val="yellow"/>
                <w:lang w:eastAsia="pt-BR"/>
              </w:rPr>
            </w:pPr>
            <w:r w:rsidRPr="00C031E1">
              <w:rPr>
                <w:rFonts w:eastAsia="Times New Roman" w:cstheme="minorHAnsi"/>
                <w:sz w:val="24"/>
                <w:szCs w:val="24"/>
                <w:lang w:eastAsia="pt-BR"/>
              </w:rPr>
              <w:t>Trazer o conceito de demonstrações atuariais que constava apenas na coletânea de normas para o texto normativo.</w:t>
            </w:r>
          </w:p>
        </w:tc>
      </w:tr>
      <w:tr w:rsidR="00E451A2" w:rsidRPr="00C031E1" w14:paraId="5A20FED6" w14:textId="77777777" w:rsidTr="001B566D">
        <w:tc>
          <w:tcPr>
            <w:tcW w:w="4957" w:type="dxa"/>
          </w:tcPr>
          <w:p w14:paraId="28163525" w14:textId="77777777" w:rsidR="00E451A2" w:rsidRPr="00C031E1" w:rsidRDefault="00E451A2" w:rsidP="008553C2">
            <w:pPr>
              <w:jc w:val="both"/>
              <w:rPr>
                <w:rFonts w:cstheme="minorHAnsi"/>
                <w:b/>
                <w:sz w:val="24"/>
                <w:szCs w:val="24"/>
              </w:rPr>
            </w:pPr>
            <w:r w:rsidRPr="00C031E1">
              <w:rPr>
                <w:rFonts w:cstheme="minorHAnsi"/>
                <w:b/>
                <w:sz w:val="24"/>
                <w:szCs w:val="24"/>
              </w:rPr>
              <w:t>Resolução Previc nº 7, de 2022.</w:t>
            </w:r>
          </w:p>
        </w:tc>
        <w:tc>
          <w:tcPr>
            <w:tcW w:w="5103" w:type="dxa"/>
          </w:tcPr>
          <w:p w14:paraId="7701A29B" w14:textId="77777777" w:rsidR="00E451A2" w:rsidRPr="00C031E1" w:rsidRDefault="00E451A2" w:rsidP="008553C2">
            <w:pPr>
              <w:jc w:val="both"/>
              <w:rPr>
                <w:rFonts w:eastAsia="Times New Roman" w:cstheme="minorHAnsi"/>
                <w:sz w:val="24"/>
                <w:szCs w:val="24"/>
                <w:lang w:eastAsia="pt-BR"/>
              </w:rPr>
            </w:pPr>
          </w:p>
        </w:tc>
        <w:tc>
          <w:tcPr>
            <w:tcW w:w="4677" w:type="dxa"/>
            <w:noWrap/>
          </w:tcPr>
          <w:p w14:paraId="14C8102B" w14:textId="77777777" w:rsidR="00E451A2" w:rsidRPr="00C031E1" w:rsidRDefault="00E451A2" w:rsidP="008553C2">
            <w:pPr>
              <w:jc w:val="both"/>
              <w:rPr>
                <w:rFonts w:eastAsia="Times New Roman" w:cstheme="minorHAnsi"/>
                <w:sz w:val="24"/>
                <w:szCs w:val="24"/>
                <w:highlight w:val="yellow"/>
                <w:lang w:eastAsia="pt-BR"/>
              </w:rPr>
            </w:pPr>
          </w:p>
        </w:tc>
      </w:tr>
      <w:tr w:rsidR="00E451A2" w:rsidRPr="00C031E1" w14:paraId="5D26D513" w14:textId="77777777" w:rsidTr="001B566D">
        <w:tc>
          <w:tcPr>
            <w:tcW w:w="4957" w:type="dxa"/>
          </w:tcPr>
          <w:p w14:paraId="5587E3CC" w14:textId="47A5C14B" w:rsidR="00E53F5F" w:rsidRDefault="00E451A2" w:rsidP="008553C2">
            <w:pPr>
              <w:jc w:val="both"/>
              <w:rPr>
                <w:rFonts w:cstheme="minorHAnsi"/>
                <w:sz w:val="24"/>
                <w:szCs w:val="24"/>
              </w:rPr>
            </w:pPr>
            <w:r w:rsidRPr="00C031E1">
              <w:rPr>
                <w:rFonts w:cstheme="minorHAnsi"/>
                <w:sz w:val="24"/>
                <w:szCs w:val="24"/>
              </w:rPr>
              <w:t>Art. 3º</w:t>
            </w:r>
            <w:r w:rsidR="00E53F5F">
              <w:rPr>
                <w:rFonts w:cstheme="minorHAnsi"/>
                <w:sz w:val="24"/>
                <w:szCs w:val="24"/>
              </w:rPr>
              <w:t xml:space="preserve"> ...</w:t>
            </w:r>
            <w:r w:rsidRPr="00C031E1">
              <w:rPr>
                <w:rFonts w:cstheme="minorHAnsi"/>
                <w:sz w:val="24"/>
                <w:szCs w:val="24"/>
              </w:rPr>
              <w:t xml:space="preserve"> </w:t>
            </w:r>
          </w:p>
          <w:p w14:paraId="3EDD40F1" w14:textId="04A553AE" w:rsidR="00E451A2" w:rsidRPr="00C031E1" w:rsidRDefault="00E451A2" w:rsidP="008553C2">
            <w:pPr>
              <w:jc w:val="both"/>
              <w:rPr>
                <w:rFonts w:eastAsia="Times New Roman" w:cstheme="minorHAnsi"/>
                <w:sz w:val="24"/>
                <w:szCs w:val="24"/>
                <w:lang w:eastAsia="pt-BR"/>
              </w:rPr>
            </w:pPr>
            <w:r w:rsidRPr="00C031E1">
              <w:rPr>
                <w:rFonts w:cstheme="minorHAnsi"/>
                <w:sz w:val="24"/>
                <w:szCs w:val="24"/>
              </w:rPr>
              <w:t>III - grupo de custeio corresponde a qualquer grupo de participantes tratado, em decorrência das regras do plano de benefícios, mediante a utilização de plano de custeio específico.</w:t>
            </w:r>
          </w:p>
        </w:tc>
        <w:tc>
          <w:tcPr>
            <w:tcW w:w="5103" w:type="dxa"/>
            <w:hideMark/>
          </w:tcPr>
          <w:p w14:paraId="4911384A" w14:textId="6EBCA388" w:rsidR="00E451A2" w:rsidRPr="00C031E1" w:rsidRDefault="00E451A2" w:rsidP="008553C2">
            <w:pPr>
              <w:jc w:val="both"/>
              <w:rPr>
                <w:rFonts w:eastAsia="Times New Roman" w:cstheme="minorHAnsi"/>
                <w:sz w:val="24"/>
                <w:szCs w:val="24"/>
                <w:lang w:eastAsia="pt-BR"/>
              </w:rPr>
            </w:pPr>
            <w:r w:rsidRPr="00C031E1">
              <w:rPr>
                <w:rFonts w:eastAsia="Times New Roman" w:cstheme="minorHAnsi"/>
                <w:sz w:val="24"/>
                <w:szCs w:val="24"/>
                <w:lang w:eastAsia="pt-BR"/>
              </w:rPr>
              <w:t>II - Grupo de custeio</w:t>
            </w:r>
            <w:r w:rsidR="002C5767">
              <w:rPr>
                <w:rFonts w:eastAsia="Times New Roman" w:cstheme="minorHAnsi"/>
                <w:sz w:val="24"/>
                <w:szCs w:val="24"/>
                <w:lang w:eastAsia="pt-BR"/>
              </w:rPr>
              <w:t>:</w:t>
            </w:r>
            <w:r w:rsidRPr="00C031E1">
              <w:rPr>
                <w:rFonts w:eastAsia="Times New Roman" w:cstheme="minorHAnsi"/>
                <w:sz w:val="24"/>
                <w:szCs w:val="24"/>
                <w:lang w:eastAsia="pt-BR"/>
              </w:rPr>
              <w:t xml:space="preserve"> corresponde qualquer grupo de participantes tratado, em decorrência das regras do plano de benefícios, mediante a utilização de plano de custeio específico.</w:t>
            </w:r>
          </w:p>
        </w:tc>
        <w:tc>
          <w:tcPr>
            <w:tcW w:w="4677" w:type="dxa"/>
            <w:noWrap/>
            <w:hideMark/>
          </w:tcPr>
          <w:p w14:paraId="34A94773" w14:textId="33A85233" w:rsidR="00E451A2" w:rsidRPr="00C031E1" w:rsidRDefault="00232119" w:rsidP="008553C2">
            <w:pPr>
              <w:jc w:val="both"/>
              <w:rPr>
                <w:rFonts w:eastAsia="Times New Roman" w:cstheme="minorHAnsi"/>
                <w:sz w:val="24"/>
                <w:szCs w:val="24"/>
                <w:highlight w:val="yellow"/>
                <w:lang w:eastAsia="pt-BR"/>
              </w:rPr>
            </w:pPr>
            <w:r w:rsidRPr="00C031E1">
              <w:rPr>
                <w:rFonts w:eastAsia="Times New Roman" w:cstheme="minorHAnsi"/>
                <w:sz w:val="24"/>
                <w:szCs w:val="24"/>
                <w:lang w:eastAsia="pt-BR"/>
              </w:rPr>
              <w:t>Trazer o conceito de demonstrações atuariais que constava apenas na coletânea de normas para o texto normativo.</w:t>
            </w:r>
          </w:p>
        </w:tc>
      </w:tr>
      <w:tr w:rsidR="00E451A2" w:rsidRPr="00C031E1" w14:paraId="076FB2DF" w14:textId="77777777" w:rsidTr="001B566D">
        <w:tc>
          <w:tcPr>
            <w:tcW w:w="4957" w:type="dxa"/>
          </w:tcPr>
          <w:p w14:paraId="35C932FD" w14:textId="77777777" w:rsidR="00E451A2" w:rsidRPr="00C031E1" w:rsidRDefault="00E451A2" w:rsidP="008553C2">
            <w:pPr>
              <w:jc w:val="both"/>
              <w:rPr>
                <w:rFonts w:eastAsia="Times New Roman" w:cstheme="minorHAnsi"/>
                <w:sz w:val="24"/>
                <w:szCs w:val="24"/>
                <w:lang w:eastAsia="pt-BR"/>
              </w:rPr>
            </w:pPr>
            <w:r w:rsidRPr="00C031E1">
              <w:rPr>
                <w:rFonts w:cstheme="minorHAnsi"/>
                <w:sz w:val="24"/>
                <w:szCs w:val="24"/>
              </w:rPr>
              <w:t>Art. 13. A nota técnica atuarial consiste em documento técnico elaborado por atuário devidamente habilitado, em observância à modelagem do plano de benefícios.</w:t>
            </w:r>
          </w:p>
        </w:tc>
        <w:tc>
          <w:tcPr>
            <w:tcW w:w="5103" w:type="dxa"/>
            <w:hideMark/>
          </w:tcPr>
          <w:p w14:paraId="02B5DBC5" w14:textId="26C856F4" w:rsidR="00E451A2" w:rsidRPr="00C031E1" w:rsidRDefault="00E451A2" w:rsidP="008553C2">
            <w:pPr>
              <w:jc w:val="both"/>
              <w:rPr>
                <w:rFonts w:eastAsia="Times New Roman" w:cstheme="minorHAnsi"/>
                <w:sz w:val="24"/>
                <w:szCs w:val="24"/>
                <w:lang w:eastAsia="pt-BR"/>
              </w:rPr>
            </w:pPr>
            <w:r w:rsidRPr="00C031E1">
              <w:rPr>
                <w:rFonts w:eastAsia="Times New Roman" w:cstheme="minorHAnsi"/>
                <w:sz w:val="24"/>
                <w:szCs w:val="24"/>
                <w:lang w:eastAsia="pt-BR"/>
              </w:rPr>
              <w:t>III - Nota técnica atuarial (NTA)</w:t>
            </w:r>
            <w:r w:rsidR="002C5767">
              <w:rPr>
                <w:rFonts w:eastAsia="Times New Roman" w:cstheme="minorHAnsi"/>
                <w:sz w:val="24"/>
                <w:szCs w:val="24"/>
                <w:lang w:eastAsia="pt-BR"/>
              </w:rPr>
              <w:t>:</w:t>
            </w:r>
            <w:r w:rsidRPr="00C031E1">
              <w:rPr>
                <w:rFonts w:eastAsia="Times New Roman" w:cstheme="minorHAnsi"/>
                <w:sz w:val="24"/>
                <w:szCs w:val="24"/>
                <w:lang w:eastAsia="pt-BR"/>
              </w:rPr>
              <w:t xml:space="preserve"> consiste em documento técnico elaborado por atuário devidamente habilitado, em observância à modelagem do plano de benefícios.</w:t>
            </w:r>
          </w:p>
        </w:tc>
        <w:tc>
          <w:tcPr>
            <w:tcW w:w="4677" w:type="dxa"/>
            <w:noWrap/>
            <w:hideMark/>
          </w:tcPr>
          <w:p w14:paraId="15BCCF77" w14:textId="5B66303D" w:rsidR="00E451A2" w:rsidRPr="00C031E1" w:rsidRDefault="00232119" w:rsidP="008553C2">
            <w:pPr>
              <w:jc w:val="both"/>
              <w:rPr>
                <w:rFonts w:eastAsia="Times New Roman" w:cstheme="minorHAnsi"/>
                <w:sz w:val="24"/>
                <w:szCs w:val="24"/>
                <w:highlight w:val="yellow"/>
                <w:lang w:eastAsia="pt-BR"/>
              </w:rPr>
            </w:pPr>
            <w:r w:rsidRPr="00C031E1">
              <w:rPr>
                <w:rFonts w:eastAsia="Times New Roman" w:cstheme="minorHAnsi"/>
                <w:sz w:val="24"/>
                <w:szCs w:val="24"/>
                <w:lang w:eastAsia="pt-BR"/>
              </w:rPr>
              <w:t>Trazer o conceito de demonstrações atuariais que constava apenas na coletânea de normas para o texto normativo.</w:t>
            </w:r>
          </w:p>
        </w:tc>
      </w:tr>
      <w:bookmarkEnd w:id="0"/>
      <w:tr w:rsidR="00E451A2" w:rsidRPr="00C031E1" w14:paraId="6B6DF6C3" w14:textId="77777777" w:rsidTr="0077247B">
        <w:tc>
          <w:tcPr>
            <w:tcW w:w="4957" w:type="dxa"/>
            <w:shd w:val="clear" w:color="auto" w:fill="E7E6E6" w:themeFill="background2"/>
          </w:tcPr>
          <w:p w14:paraId="632DC6B0" w14:textId="7A7EAA2D" w:rsidR="00E451A2" w:rsidRPr="00C031E1" w:rsidRDefault="00E451A2" w:rsidP="008553C2">
            <w:pPr>
              <w:jc w:val="center"/>
              <w:rPr>
                <w:rFonts w:cstheme="minorHAnsi"/>
                <w:b/>
                <w:sz w:val="24"/>
                <w:szCs w:val="24"/>
              </w:rPr>
            </w:pPr>
            <w:r w:rsidRPr="00C031E1">
              <w:rPr>
                <w:rFonts w:cstheme="minorHAnsi"/>
                <w:b/>
                <w:sz w:val="24"/>
                <w:szCs w:val="24"/>
              </w:rPr>
              <w:t xml:space="preserve">Resolução Previc nº </w:t>
            </w:r>
            <w:r w:rsidR="00F97557">
              <w:rPr>
                <w:rFonts w:cstheme="minorHAnsi"/>
                <w:b/>
                <w:sz w:val="24"/>
                <w:szCs w:val="24"/>
              </w:rPr>
              <w:t>0</w:t>
            </w:r>
            <w:r w:rsidRPr="00C031E1">
              <w:rPr>
                <w:rFonts w:cstheme="minorHAnsi"/>
                <w:b/>
                <w:sz w:val="24"/>
                <w:szCs w:val="24"/>
              </w:rPr>
              <w:t>7,</w:t>
            </w:r>
            <w:r w:rsidR="00F97557">
              <w:rPr>
                <w:rFonts w:cstheme="minorHAnsi"/>
                <w:b/>
                <w:sz w:val="24"/>
                <w:szCs w:val="24"/>
              </w:rPr>
              <w:t xml:space="preserve"> 23 de março</w:t>
            </w:r>
            <w:r w:rsidRPr="00C031E1">
              <w:rPr>
                <w:rFonts w:cstheme="minorHAnsi"/>
                <w:b/>
                <w:sz w:val="24"/>
                <w:szCs w:val="24"/>
              </w:rPr>
              <w:t xml:space="preserve"> de 2022</w:t>
            </w:r>
          </w:p>
          <w:p w14:paraId="6E2C382F" w14:textId="77777777" w:rsidR="00E451A2" w:rsidRPr="00C031E1" w:rsidRDefault="00E451A2" w:rsidP="008553C2">
            <w:pPr>
              <w:jc w:val="center"/>
              <w:rPr>
                <w:rFonts w:eastAsia="Times New Roman" w:cstheme="minorHAnsi"/>
                <w:b/>
                <w:bCs/>
                <w:sz w:val="24"/>
                <w:szCs w:val="24"/>
                <w:lang w:eastAsia="pt-BR"/>
              </w:rPr>
            </w:pPr>
          </w:p>
        </w:tc>
        <w:tc>
          <w:tcPr>
            <w:tcW w:w="5103" w:type="dxa"/>
            <w:shd w:val="clear" w:color="auto" w:fill="E7E6E6" w:themeFill="background2"/>
            <w:noWrap/>
          </w:tcPr>
          <w:p w14:paraId="317452A5" w14:textId="77777777" w:rsidR="00E451A2" w:rsidRPr="00C031E1" w:rsidRDefault="00E451A2" w:rsidP="008553C2">
            <w:pPr>
              <w:jc w:val="center"/>
              <w:rPr>
                <w:rFonts w:eastAsia="Times New Roman" w:cstheme="minorHAnsi"/>
                <w:b/>
                <w:bCs/>
                <w:sz w:val="24"/>
                <w:szCs w:val="24"/>
                <w:lang w:eastAsia="pt-BR"/>
              </w:rPr>
            </w:pPr>
          </w:p>
        </w:tc>
        <w:tc>
          <w:tcPr>
            <w:tcW w:w="4677" w:type="dxa"/>
            <w:shd w:val="clear" w:color="auto" w:fill="E7E6E6" w:themeFill="background2"/>
            <w:noWrap/>
          </w:tcPr>
          <w:p w14:paraId="56934940" w14:textId="3439960A" w:rsidR="00E451A2" w:rsidRPr="00C031E1" w:rsidRDefault="0077247B" w:rsidP="0077247B">
            <w:pPr>
              <w:jc w:val="both"/>
              <w:rPr>
                <w:rFonts w:eastAsia="Times New Roman" w:cstheme="minorHAnsi"/>
                <w:b/>
                <w:bCs/>
                <w:sz w:val="24"/>
                <w:szCs w:val="24"/>
                <w:lang w:eastAsia="pt-BR"/>
              </w:rPr>
            </w:pPr>
            <w:r w:rsidRPr="00C031E1">
              <w:rPr>
                <w:rFonts w:eastAsia="Times New Roman" w:cstheme="minorHAnsi"/>
                <w:sz w:val="24"/>
                <w:szCs w:val="24"/>
                <w:lang w:eastAsia="pt-BR"/>
              </w:rPr>
              <w:t>Excluído considerando a consolidação normativa.</w:t>
            </w:r>
          </w:p>
        </w:tc>
      </w:tr>
      <w:tr w:rsidR="002C5767" w:rsidRPr="00C031E1" w14:paraId="5CC8AFF0" w14:textId="77777777" w:rsidTr="002C5767">
        <w:tc>
          <w:tcPr>
            <w:tcW w:w="4957" w:type="dxa"/>
            <w:shd w:val="clear" w:color="auto" w:fill="FFFFFF" w:themeFill="background1"/>
          </w:tcPr>
          <w:p w14:paraId="5AF93DE5" w14:textId="77777777" w:rsidR="002C5767" w:rsidRPr="006D70CE" w:rsidRDefault="002C5767" w:rsidP="002C5767">
            <w:pPr>
              <w:jc w:val="both"/>
              <w:rPr>
                <w:rFonts w:cstheme="minorHAnsi"/>
                <w:bCs/>
                <w:sz w:val="24"/>
                <w:szCs w:val="24"/>
              </w:rPr>
            </w:pPr>
            <w:r w:rsidRPr="006D70CE">
              <w:rPr>
                <w:rFonts w:cstheme="minorHAnsi"/>
                <w:bCs/>
                <w:sz w:val="24"/>
                <w:szCs w:val="24"/>
              </w:rPr>
              <w:t>Dispõe sobre as demonstrações atuariais e os elementos mínimos que devem constar na nota técnica atuarial dos planos de benefícios de caráter previdenciário administrados pelas entidades fechadas de previdência complementar</w:t>
            </w:r>
            <w:r>
              <w:rPr>
                <w:rFonts w:cstheme="minorHAnsi"/>
                <w:bCs/>
                <w:sz w:val="24"/>
                <w:szCs w:val="24"/>
              </w:rPr>
              <w:t>.</w:t>
            </w:r>
          </w:p>
          <w:p w14:paraId="4EE4FF2B" w14:textId="77777777" w:rsidR="002C5767" w:rsidRPr="00C031E1" w:rsidRDefault="002C5767" w:rsidP="008553C2">
            <w:pPr>
              <w:jc w:val="center"/>
              <w:rPr>
                <w:rFonts w:cstheme="minorHAnsi"/>
                <w:b/>
                <w:sz w:val="24"/>
                <w:szCs w:val="24"/>
              </w:rPr>
            </w:pPr>
          </w:p>
        </w:tc>
        <w:tc>
          <w:tcPr>
            <w:tcW w:w="5103" w:type="dxa"/>
            <w:shd w:val="clear" w:color="auto" w:fill="FFFFFF" w:themeFill="background1"/>
            <w:noWrap/>
          </w:tcPr>
          <w:p w14:paraId="421DFFFE" w14:textId="77777777" w:rsidR="002C5767" w:rsidRPr="00C031E1" w:rsidRDefault="002C5767" w:rsidP="008553C2">
            <w:pPr>
              <w:jc w:val="center"/>
              <w:rPr>
                <w:rFonts w:eastAsia="Times New Roman" w:cstheme="minorHAnsi"/>
                <w:b/>
                <w:bCs/>
                <w:sz w:val="24"/>
                <w:szCs w:val="24"/>
                <w:lang w:eastAsia="pt-BR"/>
              </w:rPr>
            </w:pPr>
          </w:p>
        </w:tc>
        <w:tc>
          <w:tcPr>
            <w:tcW w:w="4677" w:type="dxa"/>
            <w:shd w:val="clear" w:color="auto" w:fill="FFFFFF" w:themeFill="background1"/>
            <w:noWrap/>
          </w:tcPr>
          <w:p w14:paraId="13F29848" w14:textId="77777777" w:rsidR="002C5767" w:rsidRPr="00C031E1" w:rsidRDefault="002C5767" w:rsidP="0077247B">
            <w:pPr>
              <w:jc w:val="both"/>
              <w:rPr>
                <w:rFonts w:eastAsia="Times New Roman" w:cstheme="minorHAnsi"/>
                <w:sz w:val="24"/>
                <w:szCs w:val="24"/>
                <w:lang w:eastAsia="pt-BR"/>
              </w:rPr>
            </w:pPr>
          </w:p>
        </w:tc>
      </w:tr>
      <w:tr w:rsidR="00E451A2" w:rsidRPr="00C031E1" w14:paraId="3B940822" w14:textId="77777777" w:rsidTr="001B566D">
        <w:tc>
          <w:tcPr>
            <w:tcW w:w="4957" w:type="dxa"/>
          </w:tcPr>
          <w:p w14:paraId="2AAEC08D" w14:textId="77777777" w:rsidR="00E451A2" w:rsidRPr="00C031E1" w:rsidRDefault="00E451A2" w:rsidP="008553C2">
            <w:pPr>
              <w:jc w:val="center"/>
              <w:rPr>
                <w:rFonts w:eastAsia="Times New Roman" w:cstheme="minorHAnsi"/>
                <w:b/>
                <w:bCs/>
                <w:sz w:val="24"/>
                <w:szCs w:val="24"/>
                <w:lang w:eastAsia="pt-BR"/>
              </w:rPr>
            </w:pPr>
            <w:r w:rsidRPr="00C031E1">
              <w:rPr>
                <w:rFonts w:cstheme="minorHAnsi"/>
                <w:sz w:val="24"/>
                <w:szCs w:val="24"/>
              </w:rPr>
              <w:t>Das disposições gerais</w:t>
            </w:r>
          </w:p>
        </w:tc>
        <w:tc>
          <w:tcPr>
            <w:tcW w:w="5103" w:type="dxa"/>
            <w:noWrap/>
            <w:hideMark/>
          </w:tcPr>
          <w:p w14:paraId="0D1DA975" w14:textId="490D100A" w:rsidR="00E451A2" w:rsidRPr="00C031E1" w:rsidRDefault="00E451A2" w:rsidP="008553C2">
            <w:pPr>
              <w:jc w:val="center"/>
              <w:rPr>
                <w:rFonts w:eastAsia="Times New Roman" w:cstheme="minorHAnsi"/>
                <w:b/>
                <w:bCs/>
                <w:sz w:val="24"/>
                <w:szCs w:val="24"/>
                <w:lang w:eastAsia="pt-BR"/>
              </w:rPr>
            </w:pPr>
          </w:p>
        </w:tc>
        <w:tc>
          <w:tcPr>
            <w:tcW w:w="4677" w:type="dxa"/>
            <w:noWrap/>
            <w:hideMark/>
          </w:tcPr>
          <w:p w14:paraId="45FAA4E0" w14:textId="38E92AE2" w:rsidR="00E451A2" w:rsidRPr="00C031E1" w:rsidRDefault="00B923CE" w:rsidP="00CC0C26">
            <w:pPr>
              <w:rPr>
                <w:rFonts w:eastAsia="Times New Roman" w:cstheme="minorHAnsi"/>
                <w:b/>
                <w:bCs/>
                <w:sz w:val="24"/>
                <w:szCs w:val="24"/>
                <w:lang w:eastAsia="pt-BR"/>
              </w:rPr>
            </w:pPr>
            <w:r w:rsidRPr="00C031E1">
              <w:rPr>
                <w:rFonts w:eastAsia="Times New Roman" w:cstheme="minorHAnsi"/>
                <w:sz w:val="24"/>
                <w:szCs w:val="24"/>
                <w:lang w:eastAsia="pt-BR"/>
              </w:rPr>
              <w:t>Excluído considerando a consolidação normativa.</w:t>
            </w:r>
          </w:p>
        </w:tc>
      </w:tr>
      <w:tr w:rsidR="00E451A2" w:rsidRPr="00C031E1" w14:paraId="0EFAE884" w14:textId="77777777" w:rsidTr="001B566D">
        <w:tc>
          <w:tcPr>
            <w:tcW w:w="4957" w:type="dxa"/>
          </w:tcPr>
          <w:p w14:paraId="3908C343" w14:textId="77777777" w:rsidR="00E451A2" w:rsidRPr="00C031E1" w:rsidRDefault="00E451A2" w:rsidP="008553C2">
            <w:pPr>
              <w:jc w:val="both"/>
              <w:rPr>
                <w:rFonts w:eastAsia="Times New Roman" w:cstheme="minorHAnsi"/>
                <w:sz w:val="24"/>
                <w:szCs w:val="24"/>
                <w:lang w:eastAsia="pt-BR"/>
              </w:rPr>
            </w:pPr>
            <w:r w:rsidRPr="00C031E1">
              <w:rPr>
                <w:rFonts w:cstheme="minorHAnsi"/>
                <w:sz w:val="24"/>
                <w:szCs w:val="24"/>
              </w:rPr>
              <w:lastRenderedPageBreak/>
              <w:t>Art. 1º Esta Resolução estabelece procedimentos para a elaboração das demonstrações atuariais e da nota técnica atuarial dos planos de benefícios administrados pelas entidades fechadas de previdência complementar (EFPC).</w:t>
            </w:r>
          </w:p>
        </w:tc>
        <w:tc>
          <w:tcPr>
            <w:tcW w:w="5103" w:type="dxa"/>
            <w:noWrap/>
            <w:hideMark/>
          </w:tcPr>
          <w:p w14:paraId="2037C30C" w14:textId="77777777" w:rsidR="00E451A2" w:rsidRPr="00C031E1" w:rsidRDefault="00E451A2" w:rsidP="008553C2">
            <w:pPr>
              <w:jc w:val="both"/>
              <w:rPr>
                <w:rFonts w:eastAsia="Times New Roman" w:cstheme="minorHAnsi"/>
                <w:sz w:val="24"/>
                <w:szCs w:val="24"/>
                <w:lang w:eastAsia="pt-BR"/>
              </w:rPr>
            </w:pPr>
          </w:p>
        </w:tc>
        <w:tc>
          <w:tcPr>
            <w:tcW w:w="4677" w:type="dxa"/>
            <w:noWrap/>
            <w:hideMark/>
          </w:tcPr>
          <w:p w14:paraId="164277CE" w14:textId="65C9B0EB" w:rsidR="00E451A2" w:rsidRPr="00C031E1" w:rsidRDefault="0077247B" w:rsidP="008553C2">
            <w:pPr>
              <w:jc w:val="both"/>
              <w:rPr>
                <w:rFonts w:eastAsia="Times New Roman" w:cstheme="minorHAnsi"/>
                <w:sz w:val="24"/>
                <w:szCs w:val="24"/>
                <w:lang w:eastAsia="pt-BR"/>
              </w:rPr>
            </w:pPr>
            <w:r w:rsidRPr="00C031E1">
              <w:rPr>
                <w:rFonts w:eastAsia="Times New Roman" w:cstheme="minorHAnsi"/>
                <w:sz w:val="24"/>
                <w:szCs w:val="24"/>
                <w:lang w:eastAsia="pt-BR"/>
              </w:rPr>
              <w:t>Excluído considerando a consolidação normativa.</w:t>
            </w:r>
          </w:p>
        </w:tc>
      </w:tr>
      <w:tr w:rsidR="00E451A2" w:rsidRPr="00C031E1" w14:paraId="7BC27FF4" w14:textId="77777777" w:rsidTr="00CC0C26">
        <w:tc>
          <w:tcPr>
            <w:tcW w:w="4957" w:type="dxa"/>
          </w:tcPr>
          <w:p w14:paraId="4AB6B8CA" w14:textId="77777777" w:rsidR="00E451A2" w:rsidRPr="00C031E1" w:rsidRDefault="00E451A2" w:rsidP="008553C2">
            <w:pPr>
              <w:jc w:val="both"/>
              <w:rPr>
                <w:rFonts w:eastAsia="Times New Roman" w:cstheme="minorHAnsi"/>
                <w:sz w:val="24"/>
                <w:szCs w:val="24"/>
                <w:lang w:eastAsia="pt-BR"/>
              </w:rPr>
            </w:pPr>
            <w:r w:rsidRPr="00C031E1">
              <w:rPr>
                <w:rFonts w:cstheme="minorHAnsi"/>
                <w:sz w:val="24"/>
                <w:szCs w:val="24"/>
              </w:rPr>
              <w:t>§ 1º Cabe à Diretoria de Fiscalização e Monitoramento emitir orientações para a operacionalização e o detalhamento do envio de documentos e informações.</w:t>
            </w:r>
          </w:p>
        </w:tc>
        <w:tc>
          <w:tcPr>
            <w:tcW w:w="5103" w:type="dxa"/>
            <w:noWrap/>
          </w:tcPr>
          <w:p w14:paraId="5EDBF6FF" w14:textId="4AF2C430" w:rsidR="00E451A2" w:rsidRPr="00C031E1" w:rsidRDefault="00E451A2" w:rsidP="008553C2">
            <w:pPr>
              <w:jc w:val="both"/>
              <w:rPr>
                <w:rFonts w:eastAsia="Times New Roman" w:cstheme="minorHAnsi"/>
                <w:sz w:val="24"/>
                <w:szCs w:val="24"/>
                <w:lang w:eastAsia="pt-BR"/>
              </w:rPr>
            </w:pPr>
          </w:p>
        </w:tc>
        <w:tc>
          <w:tcPr>
            <w:tcW w:w="4677" w:type="dxa"/>
            <w:noWrap/>
            <w:hideMark/>
          </w:tcPr>
          <w:p w14:paraId="379F77C5" w14:textId="477066D5" w:rsidR="00E451A2" w:rsidRPr="00C031E1" w:rsidRDefault="00C031E1" w:rsidP="008553C2">
            <w:pPr>
              <w:jc w:val="both"/>
              <w:rPr>
                <w:rFonts w:eastAsia="Times New Roman" w:cstheme="minorHAnsi"/>
                <w:sz w:val="24"/>
                <w:szCs w:val="24"/>
                <w:lang w:eastAsia="pt-BR"/>
              </w:rPr>
            </w:pPr>
            <w:r>
              <w:rPr>
                <w:rFonts w:eastAsia="Times New Roman" w:cstheme="minorHAnsi"/>
                <w:sz w:val="24"/>
                <w:szCs w:val="24"/>
                <w:lang w:eastAsia="pt-BR"/>
              </w:rPr>
              <w:t xml:space="preserve">Realocado para o art. </w:t>
            </w:r>
            <w:r w:rsidR="005A71F8">
              <w:rPr>
                <w:rFonts w:eastAsia="Times New Roman" w:cstheme="minorHAnsi"/>
                <w:sz w:val="24"/>
                <w:szCs w:val="24"/>
                <w:lang w:eastAsia="pt-BR"/>
              </w:rPr>
              <w:t>93</w:t>
            </w:r>
            <w:r w:rsidR="00F34410">
              <w:rPr>
                <w:rFonts w:eastAsia="Times New Roman" w:cstheme="minorHAnsi"/>
                <w:sz w:val="24"/>
                <w:szCs w:val="24"/>
                <w:lang w:eastAsia="pt-BR"/>
              </w:rPr>
              <w:t>1</w:t>
            </w:r>
          </w:p>
        </w:tc>
      </w:tr>
      <w:tr w:rsidR="00E451A2" w:rsidRPr="00C031E1" w14:paraId="01D4861D" w14:textId="77777777" w:rsidTr="00CC0C26">
        <w:tc>
          <w:tcPr>
            <w:tcW w:w="4957" w:type="dxa"/>
          </w:tcPr>
          <w:p w14:paraId="6FB3A71A" w14:textId="77777777" w:rsidR="00E451A2" w:rsidRPr="00C031E1" w:rsidRDefault="00E451A2" w:rsidP="008553C2">
            <w:pPr>
              <w:jc w:val="both"/>
              <w:rPr>
                <w:rFonts w:eastAsia="Times New Roman" w:cstheme="minorHAnsi"/>
                <w:sz w:val="24"/>
                <w:szCs w:val="24"/>
                <w:lang w:eastAsia="pt-BR"/>
              </w:rPr>
            </w:pPr>
            <w:r w:rsidRPr="00C031E1">
              <w:rPr>
                <w:rFonts w:cstheme="minorHAnsi"/>
                <w:sz w:val="24"/>
                <w:szCs w:val="24"/>
              </w:rPr>
              <w:t>§ 2º O envio de documentos e informações atuariais à Previc deve ser realizado:</w:t>
            </w:r>
          </w:p>
        </w:tc>
        <w:tc>
          <w:tcPr>
            <w:tcW w:w="5103" w:type="dxa"/>
            <w:noWrap/>
          </w:tcPr>
          <w:p w14:paraId="5A1E8D33" w14:textId="5E5D37A2" w:rsidR="00E451A2" w:rsidRPr="00C031E1" w:rsidRDefault="00E451A2" w:rsidP="008553C2">
            <w:pPr>
              <w:jc w:val="both"/>
              <w:rPr>
                <w:rFonts w:eastAsia="Times New Roman" w:cstheme="minorHAnsi"/>
                <w:sz w:val="24"/>
                <w:szCs w:val="24"/>
                <w:lang w:eastAsia="pt-BR"/>
              </w:rPr>
            </w:pPr>
          </w:p>
        </w:tc>
        <w:tc>
          <w:tcPr>
            <w:tcW w:w="4677" w:type="dxa"/>
            <w:noWrap/>
            <w:hideMark/>
          </w:tcPr>
          <w:p w14:paraId="611BC800" w14:textId="152D2474" w:rsidR="00E451A2" w:rsidRPr="00C031E1" w:rsidRDefault="00C031E1" w:rsidP="008553C2">
            <w:pPr>
              <w:jc w:val="both"/>
              <w:rPr>
                <w:rFonts w:eastAsia="Times New Roman" w:cstheme="minorHAnsi"/>
                <w:sz w:val="24"/>
                <w:szCs w:val="24"/>
                <w:lang w:eastAsia="pt-BR"/>
              </w:rPr>
            </w:pPr>
            <w:r>
              <w:rPr>
                <w:rFonts w:eastAsia="Times New Roman" w:cstheme="minorHAnsi"/>
                <w:sz w:val="24"/>
                <w:szCs w:val="24"/>
                <w:lang w:eastAsia="pt-BR"/>
              </w:rPr>
              <w:t>Realocado para o art. 9</w:t>
            </w:r>
            <w:r w:rsidR="00E91EA6">
              <w:rPr>
                <w:rFonts w:eastAsia="Times New Roman" w:cstheme="minorHAnsi"/>
                <w:sz w:val="24"/>
                <w:szCs w:val="24"/>
                <w:lang w:eastAsia="pt-BR"/>
              </w:rPr>
              <w:t>1</w:t>
            </w:r>
            <w:r w:rsidR="000D0F8E">
              <w:rPr>
                <w:rFonts w:eastAsia="Times New Roman" w:cstheme="minorHAnsi"/>
                <w:sz w:val="24"/>
                <w:szCs w:val="24"/>
                <w:lang w:eastAsia="pt-BR"/>
              </w:rPr>
              <w:t>3</w:t>
            </w:r>
          </w:p>
        </w:tc>
      </w:tr>
      <w:tr w:rsidR="00E451A2" w:rsidRPr="00C031E1" w14:paraId="6AB23C8D" w14:textId="77777777" w:rsidTr="00CC0C26">
        <w:tc>
          <w:tcPr>
            <w:tcW w:w="4957" w:type="dxa"/>
          </w:tcPr>
          <w:p w14:paraId="5129BF68" w14:textId="77777777" w:rsidR="00E451A2" w:rsidRPr="00C031E1" w:rsidRDefault="00E451A2" w:rsidP="008553C2">
            <w:pPr>
              <w:jc w:val="both"/>
              <w:rPr>
                <w:rFonts w:eastAsia="Times New Roman" w:cstheme="minorHAnsi"/>
                <w:sz w:val="24"/>
                <w:szCs w:val="24"/>
                <w:lang w:eastAsia="pt-BR"/>
              </w:rPr>
            </w:pPr>
            <w:r w:rsidRPr="00C031E1">
              <w:rPr>
                <w:rFonts w:cstheme="minorHAnsi"/>
                <w:sz w:val="24"/>
                <w:szCs w:val="24"/>
              </w:rPr>
              <w:t xml:space="preserve">I - </w:t>
            </w:r>
            <w:proofErr w:type="gramStart"/>
            <w:r w:rsidRPr="00C031E1">
              <w:rPr>
                <w:rFonts w:cstheme="minorHAnsi"/>
                <w:sz w:val="24"/>
                <w:szCs w:val="24"/>
              </w:rPr>
              <w:t>até</w:t>
            </w:r>
            <w:proofErr w:type="gramEnd"/>
            <w:r w:rsidRPr="00C031E1">
              <w:rPr>
                <w:rFonts w:cstheme="minorHAnsi"/>
                <w:sz w:val="24"/>
                <w:szCs w:val="24"/>
              </w:rPr>
              <w:t xml:space="preserve"> 31 de março do exercício subsequente, para as demonstrações atuariais relativas ao encerramento do exercício de referência; e</w:t>
            </w:r>
          </w:p>
        </w:tc>
        <w:tc>
          <w:tcPr>
            <w:tcW w:w="5103" w:type="dxa"/>
            <w:noWrap/>
          </w:tcPr>
          <w:p w14:paraId="49A0CD74" w14:textId="392C25A8" w:rsidR="00E451A2" w:rsidRPr="00C031E1" w:rsidRDefault="00E451A2" w:rsidP="008553C2">
            <w:pPr>
              <w:jc w:val="both"/>
              <w:rPr>
                <w:rFonts w:eastAsia="Times New Roman" w:cstheme="minorHAnsi"/>
                <w:sz w:val="24"/>
                <w:szCs w:val="24"/>
                <w:lang w:eastAsia="pt-BR"/>
              </w:rPr>
            </w:pPr>
          </w:p>
        </w:tc>
        <w:tc>
          <w:tcPr>
            <w:tcW w:w="4677" w:type="dxa"/>
            <w:noWrap/>
            <w:hideMark/>
          </w:tcPr>
          <w:p w14:paraId="38F6AF5C" w14:textId="7FDC414A" w:rsidR="00E451A2" w:rsidRPr="00C031E1" w:rsidRDefault="00C031E1" w:rsidP="008553C2">
            <w:pPr>
              <w:jc w:val="both"/>
              <w:rPr>
                <w:rFonts w:eastAsia="Times New Roman" w:cstheme="minorHAnsi"/>
                <w:sz w:val="24"/>
                <w:szCs w:val="24"/>
                <w:lang w:eastAsia="pt-BR"/>
              </w:rPr>
            </w:pPr>
            <w:r>
              <w:rPr>
                <w:rFonts w:eastAsia="Times New Roman" w:cstheme="minorHAnsi"/>
                <w:sz w:val="24"/>
                <w:szCs w:val="24"/>
                <w:lang w:eastAsia="pt-BR"/>
              </w:rPr>
              <w:t>Realocado para o art. 9</w:t>
            </w:r>
            <w:r w:rsidR="00E91EA6">
              <w:rPr>
                <w:rFonts w:eastAsia="Times New Roman" w:cstheme="minorHAnsi"/>
                <w:sz w:val="24"/>
                <w:szCs w:val="24"/>
                <w:lang w:eastAsia="pt-BR"/>
              </w:rPr>
              <w:t>1</w:t>
            </w:r>
            <w:r w:rsidR="000D0F8E">
              <w:rPr>
                <w:rFonts w:eastAsia="Times New Roman" w:cstheme="minorHAnsi"/>
                <w:sz w:val="24"/>
                <w:szCs w:val="24"/>
                <w:lang w:eastAsia="pt-BR"/>
              </w:rPr>
              <w:t>3</w:t>
            </w:r>
          </w:p>
        </w:tc>
      </w:tr>
      <w:tr w:rsidR="00E451A2" w:rsidRPr="00C031E1" w14:paraId="4E4E3B64" w14:textId="77777777" w:rsidTr="00CC0C26">
        <w:tc>
          <w:tcPr>
            <w:tcW w:w="4957" w:type="dxa"/>
          </w:tcPr>
          <w:p w14:paraId="52C9EF26" w14:textId="77777777" w:rsidR="00E451A2" w:rsidRPr="00C031E1" w:rsidRDefault="00E451A2" w:rsidP="008553C2">
            <w:pPr>
              <w:jc w:val="both"/>
              <w:rPr>
                <w:rFonts w:eastAsia="Times New Roman" w:cstheme="minorHAnsi"/>
                <w:sz w:val="24"/>
                <w:szCs w:val="24"/>
                <w:lang w:eastAsia="pt-BR"/>
              </w:rPr>
            </w:pPr>
            <w:r w:rsidRPr="00C031E1">
              <w:rPr>
                <w:rFonts w:cstheme="minorHAnsi"/>
                <w:sz w:val="24"/>
                <w:szCs w:val="24"/>
              </w:rPr>
              <w:t xml:space="preserve">II - </w:t>
            </w:r>
            <w:proofErr w:type="gramStart"/>
            <w:r w:rsidRPr="00C031E1">
              <w:rPr>
                <w:rFonts w:cstheme="minorHAnsi"/>
                <w:sz w:val="24"/>
                <w:szCs w:val="24"/>
              </w:rPr>
              <w:t>até</w:t>
            </w:r>
            <w:proofErr w:type="gramEnd"/>
            <w:r w:rsidRPr="00C031E1">
              <w:rPr>
                <w:rFonts w:cstheme="minorHAnsi"/>
                <w:sz w:val="24"/>
                <w:szCs w:val="24"/>
              </w:rPr>
              <w:t xml:space="preserve"> noventa dias após a conclusão do fato que motivou a nova avaliação atuarial, para as demonstrações atuariais por fato relevante.</w:t>
            </w:r>
          </w:p>
        </w:tc>
        <w:tc>
          <w:tcPr>
            <w:tcW w:w="5103" w:type="dxa"/>
            <w:noWrap/>
          </w:tcPr>
          <w:p w14:paraId="27E85D4C" w14:textId="6DAD75C5" w:rsidR="00E451A2" w:rsidRPr="00C031E1" w:rsidRDefault="00E451A2" w:rsidP="008553C2">
            <w:pPr>
              <w:jc w:val="both"/>
              <w:rPr>
                <w:rFonts w:eastAsia="Times New Roman" w:cstheme="minorHAnsi"/>
                <w:sz w:val="24"/>
                <w:szCs w:val="24"/>
                <w:lang w:eastAsia="pt-BR"/>
              </w:rPr>
            </w:pPr>
          </w:p>
        </w:tc>
        <w:tc>
          <w:tcPr>
            <w:tcW w:w="4677" w:type="dxa"/>
            <w:noWrap/>
            <w:hideMark/>
          </w:tcPr>
          <w:p w14:paraId="184FF3F2" w14:textId="3FC1BB34" w:rsidR="00E451A2" w:rsidRPr="00C031E1" w:rsidRDefault="00C031E1" w:rsidP="008553C2">
            <w:pPr>
              <w:jc w:val="both"/>
              <w:rPr>
                <w:rFonts w:eastAsia="Times New Roman" w:cstheme="minorHAnsi"/>
                <w:sz w:val="24"/>
                <w:szCs w:val="24"/>
                <w:lang w:eastAsia="pt-BR"/>
              </w:rPr>
            </w:pPr>
            <w:r>
              <w:rPr>
                <w:rFonts w:eastAsia="Times New Roman" w:cstheme="minorHAnsi"/>
                <w:sz w:val="24"/>
                <w:szCs w:val="24"/>
                <w:lang w:eastAsia="pt-BR"/>
              </w:rPr>
              <w:t>Realocado para o art. 9</w:t>
            </w:r>
            <w:r w:rsidR="00E91EA6">
              <w:rPr>
                <w:rFonts w:eastAsia="Times New Roman" w:cstheme="minorHAnsi"/>
                <w:sz w:val="24"/>
                <w:szCs w:val="24"/>
                <w:lang w:eastAsia="pt-BR"/>
              </w:rPr>
              <w:t>1</w:t>
            </w:r>
            <w:r w:rsidR="000D0F8E">
              <w:rPr>
                <w:rFonts w:eastAsia="Times New Roman" w:cstheme="minorHAnsi"/>
                <w:sz w:val="24"/>
                <w:szCs w:val="24"/>
                <w:lang w:eastAsia="pt-BR"/>
              </w:rPr>
              <w:t>3</w:t>
            </w:r>
          </w:p>
        </w:tc>
      </w:tr>
      <w:tr w:rsidR="00E91EA6" w:rsidRPr="00C031E1" w14:paraId="5EADD394" w14:textId="77777777" w:rsidTr="00CC0C26">
        <w:tc>
          <w:tcPr>
            <w:tcW w:w="4957" w:type="dxa"/>
          </w:tcPr>
          <w:p w14:paraId="2A49592D"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2º As demonstrações atuariais referentes ao encerramento do exercício devem ser enviadas à Previc por meio do sistema de captação de dados disponível em sua página eletrônica.</w:t>
            </w:r>
          </w:p>
        </w:tc>
        <w:tc>
          <w:tcPr>
            <w:tcW w:w="5103" w:type="dxa"/>
            <w:noWrap/>
          </w:tcPr>
          <w:p w14:paraId="5AEED1C3" w14:textId="328BFB4E" w:rsidR="00E91EA6" w:rsidRPr="00C031E1" w:rsidRDefault="00E91EA6" w:rsidP="00E91EA6">
            <w:pPr>
              <w:jc w:val="both"/>
              <w:rPr>
                <w:rFonts w:eastAsia="Times New Roman" w:cstheme="minorHAnsi"/>
                <w:sz w:val="24"/>
                <w:szCs w:val="24"/>
                <w:lang w:eastAsia="pt-BR"/>
              </w:rPr>
            </w:pPr>
          </w:p>
        </w:tc>
        <w:tc>
          <w:tcPr>
            <w:tcW w:w="4677" w:type="dxa"/>
            <w:noWrap/>
            <w:hideMark/>
          </w:tcPr>
          <w:p w14:paraId="16F20B72" w14:textId="4DDCA93A" w:rsidR="00E91EA6" w:rsidRPr="00C031E1" w:rsidRDefault="00E91EA6" w:rsidP="00E91EA6">
            <w:pPr>
              <w:jc w:val="both"/>
              <w:rPr>
                <w:rFonts w:eastAsia="Times New Roman" w:cstheme="minorHAnsi"/>
                <w:sz w:val="24"/>
                <w:szCs w:val="24"/>
                <w:lang w:eastAsia="pt-BR"/>
              </w:rPr>
            </w:pPr>
            <w:r>
              <w:rPr>
                <w:rFonts w:eastAsia="Times New Roman" w:cstheme="minorHAnsi"/>
                <w:sz w:val="24"/>
                <w:szCs w:val="24"/>
                <w:lang w:eastAsia="pt-BR"/>
              </w:rPr>
              <w:t xml:space="preserve">Realocado para o art. </w:t>
            </w:r>
            <w:r w:rsidR="00077609">
              <w:rPr>
                <w:rFonts w:eastAsia="Times New Roman" w:cstheme="minorHAnsi"/>
                <w:sz w:val="24"/>
                <w:szCs w:val="24"/>
                <w:lang w:eastAsia="pt-BR"/>
              </w:rPr>
              <w:t>93</w:t>
            </w:r>
            <w:r w:rsidR="00F34410">
              <w:rPr>
                <w:rFonts w:eastAsia="Times New Roman" w:cstheme="minorHAnsi"/>
                <w:sz w:val="24"/>
                <w:szCs w:val="24"/>
                <w:lang w:eastAsia="pt-BR"/>
              </w:rPr>
              <w:t>1</w:t>
            </w:r>
          </w:p>
        </w:tc>
      </w:tr>
      <w:tr w:rsidR="006071D8" w:rsidRPr="00C031E1" w14:paraId="1DFF3752" w14:textId="77777777" w:rsidTr="00CC0C26">
        <w:tc>
          <w:tcPr>
            <w:tcW w:w="4957" w:type="dxa"/>
          </w:tcPr>
          <w:p w14:paraId="757F19B6" w14:textId="77777777" w:rsidR="006071D8" w:rsidRPr="00C031E1" w:rsidRDefault="006071D8" w:rsidP="00E91EA6">
            <w:pPr>
              <w:jc w:val="both"/>
              <w:rPr>
                <w:rFonts w:cstheme="minorHAnsi"/>
                <w:sz w:val="24"/>
                <w:szCs w:val="24"/>
              </w:rPr>
            </w:pPr>
            <w:bookmarkStart w:id="1" w:name="_Hlk138926797"/>
            <w:bookmarkStart w:id="2" w:name="_Hlk138926029"/>
          </w:p>
        </w:tc>
        <w:tc>
          <w:tcPr>
            <w:tcW w:w="5103" w:type="dxa"/>
            <w:noWrap/>
          </w:tcPr>
          <w:p w14:paraId="3A2396E7" w14:textId="68B320CE" w:rsidR="006071D8" w:rsidRPr="00C031E1" w:rsidRDefault="006071D8" w:rsidP="006071D8">
            <w:pPr>
              <w:jc w:val="center"/>
              <w:rPr>
                <w:rFonts w:eastAsia="Times New Roman" w:cstheme="minorHAnsi"/>
                <w:b/>
                <w:bCs/>
                <w:sz w:val="24"/>
                <w:szCs w:val="24"/>
                <w:lang w:eastAsia="pt-BR"/>
              </w:rPr>
            </w:pPr>
            <w:bookmarkStart w:id="3" w:name="_Hlk138924104"/>
            <w:r w:rsidRPr="00C031E1">
              <w:rPr>
                <w:rFonts w:eastAsia="Times New Roman" w:cstheme="minorHAnsi"/>
                <w:b/>
                <w:bCs/>
                <w:sz w:val="24"/>
                <w:szCs w:val="24"/>
                <w:lang w:eastAsia="pt-BR"/>
              </w:rPr>
              <w:t>Seção I</w:t>
            </w:r>
          </w:p>
          <w:p w14:paraId="280A5045" w14:textId="1A3D6675" w:rsidR="006071D8" w:rsidRPr="00C031E1" w:rsidRDefault="006071D8" w:rsidP="006071D8">
            <w:pPr>
              <w:jc w:val="center"/>
              <w:rPr>
                <w:rFonts w:eastAsia="Times New Roman" w:cstheme="minorHAnsi"/>
                <w:sz w:val="24"/>
                <w:szCs w:val="24"/>
                <w:lang w:eastAsia="pt-BR"/>
              </w:rPr>
            </w:pPr>
            <w:r w:rsidRPr="00C031E1">
              <w:rPr>
                <w:rFonts w:eastAsia="Times New Roman" w:cstheme="minorHAnsi"/>
                <w:b/>
                <w:bCs/>
                <w:sz w:val="24"/>
                <w:szCs w:val="24"/>
                <w:lang w:eastAsia="pt-BR"/>
              </w:rPr>
              <w:t xml:space="preserve">Informações </w:t>
            </w:r>
            <w:r>
              <w:rPr>
                <w:rFonts w:eastAsia="Times New Roman" w:cstheme="minorHAnsi"/>
                <w:b/>
                <w:bCs/>
                <w:sz w:val="24"/>
                <w:szCs w:val="24"/>
                <w:lang w:eastAsia="pt-BR"/>
              </w:rPr>
              <w:t xml:space="preserve">Atuariais </w:t>
            </w:r>
            <w:bookmarkEnd w:id="3"/>
          </w:p>
        </w:tc>
        <w:tc>
          <w:tcPr>
            <w:tcW w:w="4677" w:type="dxa"/>
            <w:noWrap/>
          </w:tcPr>
          <w:p w14:paraId="2EB62D93" w14:textId="77777777" w:rsidR="006071D8" w:rsidRDefault="006071D8" w:rsidP="00E91EA6">
            <w:pPr>
              <w:jc w:val="both"/>
              <w:rPr>
                <w:rFonts w:eastAsia="Times New Roman" w:cstheme="minorHAnsi"/>
                <w:sz w:val="24"/>
                <w:szCs w:val="24"/>
                <w:lang w:eastAsia="pt-BR"/>
              </w:rPr>
            </w:pPr>
          </w:p>
        </w:tc>
      </w:tr>
      <w:tr w:rsidR="00E91EA6" w:rsidRPr="00C031E1" w14:paraId="0CDDFA48" w14:textId="77777777" w:rsidTr="001B566D">
        <w:tc>
          <w:tcPr>
            <w:tcW w:w="4957" w:type="dxa"/>
          </w:tcPr>
          <w:p w14:paraId="0252387E" w14:textId="77777777" w:rsidR="00E91EA6" w:rsidRPr="00C031E1" w:rsidRDefault="00E91EA6" w:rsidP="00E91EA6">
            <w:pPr>
              <w:jc w:val="center"/>
              <w:rPr>
                <w:rFonts w:eastAsia="Times New Roman" w:cstheme="minorHAnsi"/>
                <w:b/>
                <w:bCs/>
                <w:sz w:val="24"/>
                <w:szCs w:val="24"/>
                <w:lang w:eastAsia="pt-BR"/>
              </w:rPr>
            </w:pPr>
            <w:bookmarkStart w:id="4" w:name="_Hlk138923681"/>
            <w:r w:rsidRPr="00C031E1">
              <w:rPr>
                <w:rFonts w:cstheme="minorHAnsi"/>
                <w:sz w:val="24"/>
                <w:szCs w:val="24"/>
              </w:rPr>
              <w:t>Das demonstrações atuariais</w:t>
            </w:r>
          </w:p>
        </w:tc>
        <w:tc>
          <w:tcPr>
            <w:tcW w:w="5103" w:type="dxa"/>
            <w:noWrap/>
            <w:hideMark/>
          </w:tcPr>
          <w:p w14:paraId="5BE5FB6B" w14:textId="20EB2E7C" w:rsidR="004636E9" w:rsidRDefault="004636E9"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Subseção I</w:t>
            </w:r>
          </w:p>
          <w:p w14:paraId="274DE59C" w14:textId="724F00FE" w:rsidR="00E91EA6" w:rsidRPr="00C031E1" w:rsidRDefault="00E91EA6"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Demonstrações Atuariais</w:t>
            </w:r>
          </w:p>
        </w:tc>
        <w:tc>
          <w:tcPr>
            <w:tcW w:w="4677" w:type="dxa"/>
            <w:noWrap/>
            <w:hideMark/>
          </w:tcPr>
          <w:p w14:paraId="726E4F1D" w14:textId="77777777" w:rsidR="00E91EA6" w:rsidRPr="00C031E1" w:rsidRDefault="00E91EA6" w:rsidP="00E91EA6">
            <w:pPr>
              <w:jc w:val="center"/>
              <w:rPr>
                <w:rFonts w:eastAsia="Times New Roman" w:cstheme="minorHAnsi"/>
                <w:b/>
                <w:bCs/>
                <w:sz w:val="24"/>
                <w:szCs w:val="24"/>
                <w:lang w:eastAsia="pt-BR"/>
              </w:rPr>
            </w:pPr>
          </w:p>
        </w:tc>
      </w:tr>
      <w:tr w:rsidR="00E91EA6" w:rsidRPr="00C031E1" w14:paraId="04A98A82" w14:textId="77777777" w:rsidTr="001B566D">
        <w:tc>
          <w:tcPr>
            <w:tcW w:w="4957" w:type="dxa"/>
          </w:tcPr>
          <w:p w14:paraId="3AD7619E"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3º Para fins desta Resolução:</w:t>
            </w:r>
          </w:p>
        </w:tc>
        <w:tc>
          <w:tcPr>
            <w:tcW w:w="5103" w:type="dxa"/>
            <w:hideMark/>
          </w:tcPr>
          <w:p w14:paraId="73C8AC7B" w14:textId="01A2DD6E"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900.  As demonstrações atuariais podem ser:</w:t>
            </w:r>
          </w:p>
        </w:tc>
        <w:tc>
          <w:tcPr>
            <w:tcW w:w="4677" w:type="dxa"/>
            <w:noWrap/>
            <w:hideMark/>
          </w:tcPr>
          <w:p w14:paraId="748DF2D3" w14:textId="77777777" w:rsidR="00E91EA6" w:rsidRPr="00C031E1" w:rsidRDefault="00E91EA6" w:rsidP="00E91EA6">
            <w:pPr>
              <w:jc w:val="both"/>
              <w:rPr>
                <w:rFonts w:eastAsia="Times New Roman" w:cstheme="minorHAnsi"/>
                <w:sz w:val="24"/>
                <w:szCs w:val="24"/>
                <w:lang w:eastAsia="pt-BR"/>
              </w:rPr>
            </w:pPr>
          </w:p>
        </w:tc>
      </w:tr>
      <w:tr w:rsidR="00E91EA6" w:rsidRPr="00C031E1" w14:paraId="4ACBF8D0" w14:textId="77777777" w:rsidTr="001B566D">
        <w:tc>
          <w:tcPr>
            <w:tcW w:w="4957" w:type="dxa"/>
          </w:tcPr>
          <w:p w14:paraId="77334875"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 - </w:t>
            </w:r>
            <w:proofErr w:type="gramStart"/>
            <w:r w:rsidRPr="00C031E1">
              <w:rPr>
                <w:rFonts w:cstheme="minorHAnsi"/>
                <w:sz w:val="24"/>
                <w:szCs w:val="24"/>
              </w:rPr>
              <w:t>demonstrações</w:t>
            </w:r>
            <w:proofErr w:type="gramEnd"/>
            <w:r w:rsidRPr="00C031E1">
              <w:rPr>
                <w:rFonts w:cstheme="minorHAnsi"/>
                <w:sz w:val="24"/>
                <w:szCs w:val="24"/>
              </w:rPr>
              <w:t xml:space="preserve"> atuariais completas são aquelas preenchidas com todas as informações sobre a avaliação atuarial;</w:t>
            </w:r>
          </w:p>
        </w:tc>
        <w:tc>
          <w:tcPr>
            <w:tcW w:w="5103" w:type="dxa"/>
            <w:noWrap/>
            <w:hideMark/>
          </w:tcPr>
          <w:p w14:paraId="056FA94B"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 - </w:t>
            </w:r>
            <w:proofErr w:type="gramStart"/>
            <w:r w:rsidRPr="00C031E1">
              <w:rPr>
                <w:rFonts w:eastAsia="Times New Roman" w:cstheme="minorHAnsi"/>
                <w:sz w:val="24"/>
                <w:szCs w:val="24"/>
                <w:lang w:eastAsia="pt-BR"/>
              </w:rPr>
              <w:t>demonstrações</w:t>
            </w:r>
            <w:proofErr w:type="gramEnd"/>
            <w:r w:rsidRPr="00C031E1">
              <w:rPr>
                <w:rFonts w:eastAsia="Times New Roman" w:cstheme="minorHAnsi"/>
                <w:sz w:val="24"/>
                <w:szCs w:val="24"/>
                <w:lang w:eastAsia="pt-BR"/>
              </w:rPr>
              <w:t xml:space="preserve"> atuariais completas: são aquelas preenchidas com todas as informações sobre a avaliação atuarial; ou</w:t>
            </w:r>
          </w:p>
        </w:tc>
        <w:tc>
          <w:tcPr>
            <w:tcW w:w="4677" w:type="dxa"/>
            <w:noWrap/>
            <w:hideMark/>
          </w:tcPr>
          <w:p w14:paraId="27BE4E3B" w14:textId="77777777" w:rsidR="00E91EA6" w:rsidRPr="00C031E1" w:rsidRDefault="00E91EA6" w:rsidP="00E91EA6">
            <w:pPr>
              <w:jc w:val="both"/>
              <w:rPr>
                <w:rFonts w:eastAsia="Times New Roman" w:cstheme="minorHAnsi"/>
                <w:sz w:val="24"/>
                <w:szCs w:val="24"/>
                <w:lang w:eastAsia="pt-BR"/>
              </w:rPr>
            </w:pPr>
          </w:p>
        </w:tc>
      </w:tr>
      <w:tr w:rsidR="00E91EA6" w:rsidRPr="00C031E1" w14:paraId="64510AA1" w14:textId="77777777" w:rsidTr="001B566D">
        <w:tc>
          <w:tcPr>
            <w:tcW w:w="4957" w:type="dxa"/>
          </w:tcPr>
          <w:p w14:paraId="0E151311"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II - </w:t>
            </w:r>
            <w:proofErr w:type="gramStart"/>
            <w:r w:rsidRPr="00C031E1">
              <w:rPr>
                <w:rFonts w:cstheme="minorHAnsi"/>
                <w:sz w:val="24"/>
                <w:szCs w:val="24"/>
              </w:rPr>
              <w:t>demonstrações</w:t>
            </w:r>
            <w:proofErr w:type="gramEnd"/>
            <w:r w:rsidRPr="00C031E1">
              <w:rPr>
                <w:rFonts w:cstheme="minorHAnsi"/>
                <w:sz w:val="24"/>
                <w:szCs w:val="24"/>
              </w:rPr>
              <w:t xml:space="preserve"> atuariais simplificadas são aquelas preenchidas com informações sobre a </w:t>
            </w:r>
            <w:r w:rsidRPr="00C031E1">
              <w:rPr>
                <w:rFonts w:cstheme="minorHAnsi"/>
                <w:sz w:val="24"/>
                <w:szCs w:val="24"/>
              </w:rPr>
              <w:lastRenderedPageBreak/>
              <w:t>avaliação atuarial estabelecidas na forma do § 1º do art. 1º; e</w:t>
            </w:r>
          </w:p>
        </w:tc>
        <w:tc>
          <w:tcPr>
            <w:tcW w:w="5103" w:type="dxa"/>
            <w:noWrap/>
            <w:hideMark/>
          </w:tcPr>
          <w:p w14:paraId="59891BEF"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lastRenderedPageBreak/>
              <w:t xml:space="preserve">II - </w:t>
            </w:r>
            <w:proofErr w:type="gramStart"/>
            <w:r w:rsidRPr="00C031E1">
              <w:rPr>
                <w:rFonts w:eastAsia="Times New Roman" w:cstheme="minorHAnsi"/>
                <w:sz w:val="24"/>
                <w:szCs w:val="24"/>
                <w:lang w:eastAsia="pt-BR"/>
              </w:rPr>
              <w:t>demonstrações</w:t>
            </w:r>
            <w:proofErr w:type="gramEnd"/>
            <w:r w:rsidRPr="00C031E1">
              <w:rPr>
                <w:rFonts w:eastAsia="Times New Roman" w:cstheme="minorHAnsi"/>
                <w:sz w:val="24"/>
                <w:szCs w:val="24"/>
                <w:lang w:eastAsia="pt-BR"/>
              </w:rPr>
              <w:t xml:space="preserve"> atuariais simplificadas: são aquelas preenchidas com informações sobre a </w:t>
            </w:r>
            <w:r w:rsidRPr="00C031E1">
              <w:rPr>
                <w:rFonts w:eastAsia="Times New Roman" w:cstheme="minorHAnsi"/>
                <w:sz w:val="24"/>
                <w:szCs w:val="24"/>
                <w:lang w:eastAsia="pt-BR"/>
              </w:rPr>
              <w:lastRenderedPageBreak/>
              <w:t xml:space="preserve">avaliação atuarial estabelecidas na forma do </w:t>
            </w:r>
            <w:r w:rsidRPr="001D7D70">
              <w:rPr>
                <w:rFonts w:eastAsia="Times New Roman" w:cstheme="minorHAnsi"/>
                <w:sz w:val="24"/>
                <w:szCs w:val="24"/>
                <w:highlight w:val="yellow"/>
                <w:lang w:eastAsia="pt-BR"/>
              </w:rPr>
              <w:t xml:space="preserve">art. </w:t>
            </w:r>
            <w:r w:rsidRPr="005055C9">
              <w:rPr>
                <w:rFonts w:eastAsia="Times New Roman" w:cstheme="minorHAnsi"/>
                <w:color w:val="0070C0"/>
                <w:sz w:val="24"/>
                <w:szCs w:val="24"/>
                <w:highlight w:val="yellow"/>
                <w:lang w:eastAsia="pt-BR"/>
              </w:rPr>
              <w:t>53.</w:t>
            </w:r>
          </w:p>
        </w:tc>
        <w:tc>
          <w:tcPr>
            <w:tcW w:w="4677" w:type="dxa"/>
            <w:noWrap/>
            <w:hideMark/>
          </w:tcPr>
          <w:p w14:paraId="7C0198D4" w14:textId="44AA3130" w:rsidR="00E91EA6" w:rsidRPr="00C031E1" w:rsidRDefault="006B0E0B" w:rsidP="00E91EA6">
            <w:pPr>
              <w:jc w:val="both"/>
              <w:rPr>
                <w:rFonts w:eastAsia="Times New Roman" w:cstheme="minorHAnsi"/>
                <w:sz w:val="24"/>
                <w:szCs w:val="24"/>
                <w:lang w:eastAsia="pt-BR"/>
              </w:rPr>
            </w:pPr>
            <w:r w:rsidRPr="002C5767">
              <w:rPr>
                <w:rFonts w:eastAsia="Times New Roman" w:cstheme="minorHAnsi"/>
                <w:sz w:val="24"/>
                <w:szCs w:val="24"/>
                <w:highlight w:val="yellow"/>
                <w:lang w:eastAsia="pt-BR"/>
              </w:rPr>
              <w:lastRenderedPageBreak/>
              <w:t xml:space="preserve">VERIFICAR </w:t>
            </w:r>
            <w:r w:rsidR="00741778" w:rsidRPr="002C5767">
              <w:rPr>
                <w:rFonts w:eastAsia="Times New Roman" w:cstheme="minorHAnsi"/>
                <w:sz w:val="24"/>
                <w:szCs w:val="24"/>
                <w:highlight w:val="yellow"/>
                <w:lang w:eastAsia="pt-BR"/>
              </w:rPr>
              <w:t>REFERÊNCIA</w:t>
            </w:r>
            <w:r w:rsidRPr="002C5767">
              <w:rPr>
                <w:rFonts w:eastAsia="Times New Roman" w:cstheme="minorHAnsi"/>
                <w:sz w:val="24"/>
                <w:szCs w:val="24"/>
                <w:highlight w:val="yellow"/>
                <w:lang w:eastAsia="pt-BR"/>
              </w:rPr>
              <w:t xml:space="preserve"> NORMATIVA</w:t>
            </w:r>
            <w:r>
              <w:rPr>
                <w:rFonts w:eastAsia="Times New Roman" w:cstheme="minorHAnsi"/>
                <w:sz w:val="24"/>
                <w:szCs w:val="24"/>
                <w:lang w:eastAsia="pt-BR"/>
              </w:rPr>
              <w:t>.</w:t>
            </w:r>
          </w:p>
        </w:tc>
      </w:tr>
      <w:tr w:rsidR="00E91EA6" w:rsidRPr="00C031E1" w14:paraId="4863C8DF" w14:textId="77777777" w:rsidTr="001B566D">
        <w:tc>
          <w:tcPr>
            <w:tcW w:w="4957" w:type="dxa"/>
          </w:tcPr>
          <w:p w14:paraId="1411A805"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III - grupo de custeio corresponde a qualquer grupo de participantes tratado, em decorrência das regras do plano de benefícios, mediante a utilização de plano de custeio específico.</w:t>
            </w:r>
          </w:p>
        </w:tc>
        <w:tc>
          <w:tcPr>
            <w:tcW w:w="5103" w:type="dxa"/>
            <w:noWrap/>
            <w:hideMark/>
          </w:tcPr>
          <w:p w14:paraId="04678004" w14:textId="77777777" w:rsidR="00E91EA6" w:rsidRPr="00C031E1" w:rsidRDefault="00E91EA6" w:rsidP="00E91EA6">
            <w:pPr>
              <w:jc w:val="both"/>
              <w:rPr>
                <w:rFonts w:eastAsia="Times New Roman" w:cstheme="minorHAnsi"/>
                <w:strike/>
                <w:sz w:val="24"/>
                <w:szCs w:val="24"/>
                <w:lang w:eastAsia="pt-BR"/>
              </w:rPr>
            </w:pPr>
          </w:p>
        </w:tc>
        <w:tc>
          <w:tcPr>
            <w:tcW w:w="4677" w:type="dxa"/>
            <w:noWrap/>
            <w:hideMark/>
          </w:tcPr>
          <w:p w14:paraId="11A6D5C6" w14:textId="0F8BD1C4"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Deslocado para Conceitos e definições.</w:t>
            </w:r>
          </w:p>
        </w:tc>
      </w:tr>
      <w:tr w:rsidR="00E91EA6" w:rsidRPr="00C031E1" w14:paraId="4A2D4C4D" w14:textId="77777777" w:rsidTr="001B566D">
        <w:tc>
          <w:tcPr>
            <w:tcW w:w="4957" w:type="dxa"/>
          </w:tcPr>
          <w:p w14:paraId="371DF8D7"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4º As demonstrações atuariais devem ser elaboradas nos casos de planos que possuam benefícios concedidos ou a conceder.</w:t>
            </w:r>
          </w:p>
        </w:tc>
        <w:tc>
          <w:tcPr>
            <w:tcW w:w="5103" w:type="dxa"/>
            <w:noWrap/>
            <w:hideMark/>
          </w:tcPr>
          <w:p w14:paraId="13E0242E" w14:textId="03CC8E8C"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901.  As demonstrações atuariais devem ser elaboradas e enviadas nos casos de planos que possuam benefícios concedidos ou a conceder.</w:t>
            </w:r>
          </w:p>
        </w:tc>
        <w:tc>
          <w:tcPr>
            <w:tcW w:w="4677" w:type="dxa"/>
            <w:hideMark/>
          </w:tcPr>
          <w:p w14:paraId="18D8A48C"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Inclusão da palavra “enviadas” para maior clareza de que as DA, além de serem elaboradas, também precisam ser enviadas à Previc</w:t>
            </w:r>
          </w:p>
        </w:tc>
      </w:tr>
      <w:tr w:rsidR="00E91EA6" w:rsidRPr="00C031E1" w14:paraId="5C47F50F" w14:textId="77777777" w:rsidTr="001B566D">
        <w:tc>
          <w:tcPr>
            <w:tcW w:w="4957" w:type="dxa"/>
          </w:tcPr>
          <w:p w14:paraId="46D4FDB7"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Parágrafo único.  A elaboração das demonstrações atuariais é facultativa para os planos de benefícios constituídos na modalidade de contribuição definida cujos saldos contábeis sejam nulos nas contas "Benefício Definido" do grupo de contas das provisões matemáticas.</w:t>
            </w:r>
          </w:p>
        </w:tc>
        <w:tc>
          <w:tcPr>
            <w:tcW w:w="5103" w:type="dxa"/>
            <w:noWrap/>
            <w:hideMark/>
          </w:tcPr>
          <w:p w14:paraId="741623DA"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Parágrafo único.  A elaboração </w:t>
            </w:r>
            <w:r w:rsidRPr="001D7D70">
              <w:rPr>
                <w:rFonts w:eastAsia="Times New Roman" w:cstheme="minorHAnsi"/>
                <w:color w:val="4472C4" w:themeColor="accent1"/>
                <w:sz w:val="24"/>
                <w:szCs w:val="24"/>
                <w:lang w:eastAsia="pt-BR"/>
              </w:rPr>
              <w:t>e envio</w:t>
            </w:r>
            <w:r w:rsidRPr="00C031E1">
              <w:rPr>
                <w:rFonts w:eastAsia="Times New Roman" w:cstheme="minorHAnsi"/>
                <w:sz w:val="24"/>
                <w:szCs w:val="24"/>
                <w:lang w:eastAsia="pt-BR"/>
              </w:rPr>
              <w:t xml:space="preserve"> das demonstrações atuariais é facultativa para os planos de benefícios constituídos na modalidade de contribuição definida cujos saldos contábeis sejam nulos nas contas "Benefício Definido" do grupo de contas das provisões matemáticas.</w:t>
            </w:r>
          </w:p>
        </w:tc>
        <w:tc>
          <w:tcPr>
            <w:tcW w:w="4677" w:type="dxa"/>
            <w:hideMark/>
          </w:tcPr>
          <w:p w14:paraId="106A6240" w14:textId="69F97581"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Inclusão da palavra “envio” para </w:t>
            </w:r>
            <w:r w:rsidR="002C5767">
              <w:rPr>
                <w:rFonts w:eastAsia="Times New Roman" w:cstheme="minorHAnsi"/>
                <w:sz w:val="24"/>
                <w:szCs w:val="24"/>
                <w:lang w:eastAsia="pt-BR"/>
              </w:rPr>
              <w:t xml:space="preserve">indicar </w:t>
            </w:r>
            <w:r w:rsidRPr="00C031E1">
              <w:rPr>
                <w:rFonts w:eastAsia="Times New Roman" w:cstheme="minorHAnsi"/>
                <w:sz w:val="24"/>
                <w:szCs w:val="24"/>
                <w:lang w:eastAsia="pt-BR"/>
              </w:rPr>
              <w:t>que as D</w:t>
            </w:r>
            <w:r w:rsidR="005055C9">
              <w:rPr>
                <w:rFonts w:eastAsia="Times New Roman" w:cstheme="minorHAnsi"/>
                <w:sz w:val="24"/>
                <w:szCs w:val="24"/>
                <w:lang w:eastAsia="pt-BR"/>
              </w:rPr>
              <w:t>A</w:t>
            </w:r>
            <w:r w:rsidRPr="00C031E1">
              <w:rPr>
                <w:rFonts w:eastAsia="Times New Roman" w:cstheme="minorHAnsi"/>
                <w:sz w:val="24"/>
                <w:szCs w:val="24"/>
                <w:lang w:eastAsia="pt-BR"/>
              </w:rPr>
              <w:t>, além de serem elaboradas, também precisam ser enviadas à Previc</w:t>
            </w:r>
          </w:p>
        </w:tc>
      </w:tr>
      <w:tr w:rsidR="00E91EA6" w:rsidRPr="00C031E1" w14:paraId="6D4446FD" w14:textId="77777777" w:rsidTr="001B566D">
        <w:tc>
          <w:tcPr>
            <w:tcW w:w="4957" w:type="dxa"/>
          </w:tcPr>
          <w:p w14:paraId="4F91290C"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5º Na ocorrência de fato relevante deve ser realizada nova avaliação atuarial, posicionada na data da efetivação do fato que a motivou.</w:t>
            </w:r>
          </w:p>
        </w:tc>
        <w:tc>
          <w:tcPr>
            <w:tcW w:w="5103" w:type="dxa"/>
            <w:noWrap/>
            <w:hideMark/>
          </w:tcPr>
          <w:p w14:paraId="0EE0A115" w14:textId="29B165A3"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902.  Na ocorrência de fato relevante deve ser realizada nova avaliação atuarial, posicionada na data da efetivação do fato que a motivou.</w:t>
            </w:r>
          </w:p>
        </w:tc>
        <w:tc>
          <w:tcPr>
            <w:tcW w:w="4677" w:type="dxa"/>
            <w:noWrap/>
            <w:hideMark/>
          </w:tcPr>
          <w:p w14:paraId="5A904F6F" w14:textId="77777777" w:rsidR="00E91EA6" w:rsidRPr="00C031E1" w:rsidRDefault="00E91EA6" w:rsidP="00E91EA6">
            <w:pPr>
              <w:jc w:val="both"/>
              <w:rPr>
                <w:rFonts w:eastAsia="Times New Roman" w:cstheme="minorHAnsi"/>
                <w:sz w:val="24"/>
                <w:szCs w:val="24"/>
                <w:lang w:eastAsia="pt-BR"/>
              </w:rPr>
            </w:pPr>
          </w:p>
        </w:tc>
      </w:tr>
      <w:tr w:rsidR="00E91EA6" w:rsidRPr="00C031E1" w14:paraId="6A071D45" w14:textId="77777777" w:rsidTr="001B566D">
        <w:tc>
          <w:tcPr>
            <w:tcW w:w="4957" w:type="dxa"/>
          </w:tcPr>
          <w:p w14:paraId="6F6446CD"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7º As informações contidas nas demonstrações atuariais devem refletir de forma individualizada todos os planos de benefícios mantidos pela EFPC e aprovados pelo órgão competente, na data de referência da avaliação atuarial.</w:t>
            </w:r>
          </w:p>
        </w:tc>
        <w:tc>
          <w:tcPr>
            <w:tcW w:w="5103" w:type="dxa"/>
            <w:noWrap/>
            <w:hideMark/>
          </w:tcPr>
          <w:p w14:paraId="74FD2014" w14:textId="1CA00F64"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903.  As informações contidas nas demonstrações atuariais devem refletir de forma individualizada todos os planos de benefícios mantidos pela EFPC e aprovados pelo órgão competente, na data de referência da avaliação atuarial.</w:t>
            </w:r>
          </w:p>
        </w:tc>
        <w:tc>
          <w:tcPr>
            <w:tcW w:w="4677" w:type="dxa"/>
            <w:noWrap/>
            <w:hideMark/>
          </w:tcPr>
          <w:p w14:paraId="2DC497FA" w14:textId="77777777" w:rsidR="00E91EA6" w:rsidRPr="00C031E1" w:rsidRDefault="00E91EA6" w:rsidP="00E91EA6">
            <w:pPr>
              <w:jc w:val="both"/>
              <w:rPr>
                <w:rFonts w:eastAsia="Times New Roman" w:cstheme="minorHAnsi"/>
                <w:sz w:val="24"/>
                <w:szCs w:val="24"/>
                <w:lang w:eastAsia="pt-BR"/>
              </w:rPr>
            </w:pPr>
          </w:p>
        </w:tc>
      </w:tr>
      <w:tr w:rsidR="00E91EA6" w:rsidRPr="00C031E1" w14:paraId="3BBE6BD3" w14:textId="77777777" w:rsidTr="001B566D">
        <w:tc>
          <w:tcPr>
            <w:tcW w:w="4957" w:type="dxa"/>
          </w:tcPr>
          <w:p w14:paraId="2DFADCE6"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Parágrafo único.  O preenchimento das demonstrações atuariais deve ser feito, quando indicado, por grupo de custeio, com identificação por numeração sequencial que não pode ser alterada com o tempo.</w:t>
            </w:r>
          </w:p>
        </w:tc>
        <w:tc>
          <w:tcPr>
            <w:tcW w:w="5103" w:type="dxa"/>
            <w:noWrap/>
            <w:hideMark/>
          </w:tcPr>
          <w:p w14:paraId="0BF92E90"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Parágrafo único.  O preenchimento das demonstrações atuariais deve ser feito, quando indicado, por grupo de custeio, com identificação por numeração sequencial que não pode ser alterada com o tempo.</w:t>
            </w:r>
          </w:p>
        </w:tc>
        <w:tc>
          <w:tcPr>
            <w:tcW w:w="4677" w:type="dxa"/>
            <w:noWrap/>
            <w:hideMark/>
          </w:tcPr>
          <w:p w14:paraId="717BF6F8" w14:textId="77777777" w:rsidR="00E91EA6" w:rsidRPr="00C031E1" w:rsidRDefault="00E91EA6" w:rsidP="00E91EA6">
            <w:pPr>
              <w:jc w:val="both"/>
              <w:rPr>
                <w:rFonts w:eastAsia="Times New Roman" w:cstheme="minorHAnsi"/>
                <w:sz w:val="24"/>
                <w:szCs w:val="24"/>
                <w:lang w:eastAsia="pt-BR"/>
              </w:rPr>
            </w:pPr>
          </w:p>
        </w:tc>
      </w:tr>
      <w:tr w:rsidR="00E91EA6" w:rsidRPr="00C031E1" w14:paraId="0BC4C8BC" w14:textId="77777777" w:rsidTr="001B566D">
        <w:tc>
          <w:tcPr>
            <w:tcW w:w="4957" w:type="dxa"/>
          </w:tcPr>
          <w:p w14:paraId="133B4E81"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lastRenderedPageBreak/>
              <w:t>Art. 6º As demonstrações atuariais devem ser enviadas ao patrocinador do plano de benefícios antes do início de vigência do plano de custeio.</w:t>
            </w:r>
          </w:p>
        </w:tc>
        <w:tc>
          <w:tcPr>
            <w:tcW w:w="5103" w:type="dxa"/>
            <w:noWrap/>
            <w:hideMark/>
          </w:tcPr>
          <w:p w14:paraId="653F5DF6" w14:textId="1C85DC04"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904.  As demonstrações atuariais devem ser enviadas ao patrocinador do plano de benefícios antes do início de vigência do plano de custeio.</w:t>
            </w:r>
          </w:p>
        </w:tc>
        <w:tc>
          <w:tcPr>
            <w:tcW w:w="4677" w:type="dxa"/>
            <w:noWrap/>
            <w:hideMark/>
          </w:tcPr>
          <w:p w14:paraId="4B04A1EC" w14:textId="77777777" w:rsidR="00E91EA6" w:rsidRPr="00C031E1" w:rsidRDefault="00E91EA6" w:rsidP="00E91EA6">
            <w:pPr>
              <w:jc w:val="both"/>
              <w:rPr>
                <w:rFonts w:eastAsia="Times New Roman" w:cstheme="minorHAnsi"/>
                <w:sz w:val="24"/>
                <w:szCs w:val="24"/>
                <w:lang w:eastAsia="pt-BR"/>
              </w:rPr>
            </w:pPr>
          </w:p>
        </w:tc>
      </w:tr>
      <w:tr w:rsidR="00E91EA6" w:rsidRPr="00C031E1" w14:paraId="7B752DF7" w14:textId="77777777" w:rsidTr="001B566D">
        <w:tc>
          <w:tcPr>
            <w:tcW w:w="4957" w:type="dxa"/>
          </w:tcPr>
          <w:p w14:paraId="17557A4A"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1º O plano de custeio estabelecido pela avaliação atuarial de encerramento de exercício deve entrar em vigor até o dia 1º de abril do exercício seguinte ao de referência da respectiva avaliação atuarial.</w:t>
            </w:r>
          </w:p>
        </w:tc>
        <w:tc>
          <w:tcPr>
            <w:tcW w:w="5103" w:type="dxa"/>
            <w:noWrap/>
            <w:hideMark/>
          </w:tcPr>
          <w:p w14:paraId="45411FE1"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1</w:t>
            </w:r>
            <w:proofErr w:type="gramStart"/>
            <w:r w:rsidRPr="00C031E1">
              <w:rPr>
                <w:rFonts w:eastAsia="Times New Roman" w:cstheme="minorHAnsi"/>
                <w:sz w:val="24"/>
                <w:szCs w:val="24"/>
                <w:lang w:eastAsia="pt-BR"/>
              </w:rPr>
              <w:t>º  O</w:t>
            </w:r>
            <w:proofErr w:type="gramEnd"/>
            <w:r w:rsidRPr="00C031E1">
              <w:rPr>
                <w:rFonts w:eastAsia="Times New Roman" w:cstheme="minorHAnsi"/>
                <w:sz w:val="24"/>
                <w:szCs w:val="24"/>
                <w:lang w:eastAsia="pt-BR"/>
              </w:rPr>
              <w:t xml:space="preserve"> plano de custeio estabelecido pela avaliação atuarial de encerramento de exercício deve entrar em vigor até o dia 1º de abril do exercício </w:t>
            </w:r>
            <w:r w:rsidRPr="001D7D70">
              <w:rPr>
                <w:rFonts w:eastAsia="Times New Roman" w:cstheme="minorHAnsi"/>
                <w:color w:val="4472C4" w:themeColor="accent1"/>
                <w:sz w:val="24"/>
                <w:szCs w:val="24"/>
                <w:lang w:eastAsia="pt-BR"/>
              </w:rPr>
              <w:t>subsequente</w:t>
            </w:r>
            <w:r w:rsidRPr="00C031E1">
              <w:rPr>
                <w:rFonts w:eastAsia="Times New Roman" w:cstheme="minorHAnsi"/>
                <w:sz w:val="24"/>
                <w:szCs w:val="24"/>
                <w:lang w:eastAsia="pt-BR"/>
              </w:rPr>
              <w:t xml:space="preserve"> ao de referência da respectiva avaliação atuarial.</w:t>
            </w:r>
          </w:p>
        </w:tc>
        <w:tc>
          <w:tcPr>
            <w:tcW w:w="4677" w:type="dxa"/>
            <w:hideMark/>
          </w:tcPr>
          <w:p w14:paraId="6E70E103" w14:textId="1D703B81" w:rsidR="00E91EA6" w:rsidRPr="00C031E1" w:rsidRDefault="005055C9" w:rsidP="00E91EA6">
            <w:pPr>
              <w:jc w:val="both"/>
              <w:rPr>
                <w:rFonts w:eastAsia="Times New Roman" w:cstheme="minorHAnsi"/>
                <w:sz w:val="24"/>
                <w:szCs w:val="24"/>
                <w:lang w:eastAsia="pt-BR"/>
              </w:rPr>
            </w:pPr>
            <w:r>
              <w:rPr>
                <w:rFonts w:eastAsia="Times New Roman" w:cstheme="minorHAnsi"/>
                <w:sz w:val="24"/>
                <w:szCs w:val="24"/>
                <w:lang w:eastAsia="pt-BR"/>
              </w:rPr>
              <w:t>Substituição</w:t>
            </w:r>
            <w:r w:rsidRPr="00C031E1">
              <w:rPr>
                <w:rFonts w:eastAsia="Times New Roman" w:cstheme="minorHAnsi"/>
                <w:sz w:val="24"/>
                <w:szCs w:val="24"/>
                <w:lang w:eastAsia="pt-BR"/>
              </w:rPr>
              <w:t xml:space="preserve"> </w:t>
            </w:r>
            <w:r>
              <w:rPr>
                <w:rFonts w:eastAsia="Times New Roman" w:cstheme="minorHAnsi"/>
                <w:sz w:val="24"/>
                <w:szCs w:val="24"/>
                <w:lang w:eastAsia="pt-BR"/>
              </w:rPr>
              <w:t>d</w:t>
            </w:r>
            <w:r w:rsidR="00E91EA6" w:rsidRPr="00C031E1">
              <w:rPr>
                <w:rFonts w:eastAsia="Times New Roman" w:cstheme="minorHAnsi"/>
                <w:sz w:val="24"/>
                <w:szCs w:val="24"/>
                <w:lang w:eastAsia="pt-BR"/>
              </w:rPr>
              <w:t>a palavra "seguinte" por "subsequente" para conferir paralelismo à norma, uma vez que o segundo termo é o utilizado em outros dispositivos.</w:t>
            </w:r>
          </w:p>
        </w:tc>
      </w:tr>
      <w:tr w:rsidR="00E91EA6" w:rsidRPr="00C031E1" w14:paraId="691B3E87" w14:textId="77777777" w:rsidTr="001B566D">
        <w:tc>
          <w:tcPr>
            <w:tcW w:w="4957" w:type="dxa"/>
          </w:tcPr>
          <w:p w14:paraId="597162ED"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2º O estabelecimento de plano de custeio com efeitos retroativos ao início do exercício é admitido, desde que haja expressa concordância do patrocinador.</w:t>
            </w:r>
          </w:p>
        </w:tc>
        <w:tc>
          <w:tcPr>
            <w:tcW w:w="5103" w:type="dxa"/>
            <w:noWrap/>
            <w:hideMark/>
          </w:tcPr>
          <w:p w14:paraId="6DED0439"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2</w:t>
            </w:r>
            <w:proofErr w:type="gramStart"/>
            <w:r w:rsidRPr="00C031E1">
              <w:rPr>
                <w:rFonts w:eastAsia="Times New Roman" w:cstheme="minorHAnsi"/>
                <w:sz w:val="24"/>
                <w:szCs w:val="24"/>
                <w:lang w:eastAsia="pt-BR"/>
              </w:rPr>
              <w:t xml:space="preserve">º  </w:t>
            </w:r>
            <w:r w:rsidRPr="001D7D70">
              <w:rPr>
                <w:rFonts w:eastAsia="Times New Roman" w:cstheme="minorHAnsi"/>
                <w:color w:val="4472C4" w:themeColor="accent1"/>
                <w:sz w:val="24"/>
                <w:szCs w:val="24"/>
                <w:lang w:eastAsia="pt-BR"/>
              </w:rPr>
              <w:t>É</w:t>
            </w:r>
            <w:proofErr w:type="gramEnd"/>
            <w:r w:rsidRPr="001D7D70">
              <w:rPr>
                <w:rFonts w:eastAsia="Times New Roman" w:cstheme="minorHAnsi"/>
                <w:color w:val="4472C4" w:themeColor="accent1"/>
                <w:sz w:val="24"/>
                <w:szCs w:val="24"/>
                <w:lang w:eastAsia="pt-BR"/>
              </w:rPr>
              <w:t xml:space="preserve"> admitido</w:t>
            </w:r>
            <w:r w:rsidRPr="00C031E1">
              <w:rPr>
                <w:rFonts w:eastAsia="Times New Roman" w:cstheme="minorHAnsi"/>
                <w:sz w:val="24"/>
                <w:szCs w:val="24"/>
                <w:lang w:eastAsia="pt-BR"/>
              </w:rPr>
              <w:t xml:space="preserve"> o estabelecimento de plano de custeio com efeitos retroativos ao início do exercício, desde que haja expressa concordância do patrocinador.</w:t>
            </w:r>
          </w:p>
        </w:tc>
        <w:tc>
          <w:tcPr>
            <w:tcW w:w="4677" w:type="dxa"/>
            <w:hideMark/>
          </w:tcPr>
          <w:p w14:paraId="38C7EEA7" w14:textId="75A78712" w:rsidR="00E91EA6" w:rsidRPr="00C031E1" w:rsidRDefault="005055C9" w:rsidP="00E91EA6">
            <w:pPr>
              <w:jc w:val="both"/>
              <w:rPr>
                <w:rFonts w:eastAsia="Times New Roman" w:cstheme="minorHAnsi"/>
                <w:sz w:val="24"/>
                <w:szCs w:val="24"/>
                <w:lang w:eastAsia="pt-BR"/>
              </w:rPr>
            </w:pPr>
            <w:r>
              <w:rPr>
                <w:rFonts w:eastAsia="Times New Roman" w:cstheme="minorHAnsi"/>
                <w:sz w:val="24"/>
                <w:szCs w:val="24"/>
                <w:lang w:eastAsia="pt-BR"/>
              </w:rPr>
              <w:t>O</w:t>
            </w:r>
            <w:r w:rsidR="00E91EA6" w:rsidRPr="00C031E1">
              <w:rPr>
                <w:rFonts w:eastAsia="Times New Roman" w:cstheme="minorHAnsi"/>
                <w:sz w:val="24"/>
                <w:szCs w:val="24"/>
                <w:lang w:eastAsia="pt-BR"/>
              </w:rPr>
              <w:t xml:space="preserve"> termo “É admitido” </w:t>
            </w:r>
            <w:r>
              <w:rPr>
                <w:rFonts w:eastAsia="Times New Roman" w:cstheme="minorHAnsi"/>
                <w:sz w:val="24"/>
                <w:szCs w:val="24"/>
                <w:lang w:eastAsia="pt-BR"/>
              </w:rPr>
              <w:t xml:space="preserve">transferido </w:t>
            </w:r>
            <w:r w:rsidR="00E91EA6" w:rsidRPr="00C031E1">
              <w:rPr>
                <w:rFonts w:eastAsia="Times New Roman" w:cstheme="minorHAnsi"/>
                <w:sz w:val="24"/>
                <w:szCs w:val="24"/>
                <w:lang w:eastAsia="pt-BR"/>
              </w:rPr>
              <w:t xml:space="preserve">para </w:t>
            </w:r>
            <w:r>
              <w:rPr>
                <w:rFonts w:eastAsia="Times New Roman" w:cstheme="minorHAnsi"/>
                <w:sz w:val="24"/>
                <w:szCs w:val="24"/>
                <w:lang w:eastAsia="pt-BR"/>
              </w:rPr>
              <w:t xml:space="preserve">o </w:t>
            </w:r>
            <w:r w:rsidR="00E91EA6" w:rsidRPr="00C031E1">
              <w:rPr>
                <w:rFonts w:eastAsia="Times New Roman" w:cstheme="minorHAnsi"/>
                <w:sz w:val="24"/>
                <w:szCs w:val="24"/>
                <w:lang w:eastAsia="pt-BR"/>
              </w:rPr>
              <w:t>início do parágrafo para conferir ordem direta do texto.</w:t>
            </w:r>
          </w:p>
        </w:tc>
      </w:tr>
      <w:tr w:rsidR="00E91EA6" w:rsidRPr="00C031E1" w14:paraId="67A706C0" w14:textId="77777777" w:rsidTr="001B566D">
        <w:tc>
          <w:tcPr>
            <w:tcW w:w="4957" w:type="dxa"/>
          </w:tcPr>
          <w:p w14:paraId="553AB448"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5103" w:type="dxa"/>
            <w:noWrap/>
            <w:hideMark/>
          </w:tcPr>
          <w:p w14:paraId="482315EF"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3</w:t>
            </w:r>
            <w:proofErr w:type="gramStart"/>
            <w:r w:rsidRPr="00C031E1">
              <w:rPr>
                <w:rFonts w:eastAsia="Times New Roman" w:cstheme="minorHAnsi"/>
                <w:sz w:val="24"/>
                <w:szCs w:val="24"/>
                <w:lang w:eastAsia="pt-BR"/>
              </w:rPr>
              <w:t>º  No</w:t>
            </w:r>
            <w:proofErr w:type="gramEnd"/>
            <w:r w:rsidRPr="00C031E1">
              <w:rPr>
                <w:rFonts w:eastAsia="Times New Roman" w:cstheme="minorHAnsi"/>
                <w:sz w:val="24"/>
                <w:szCs w:val="24"/>
                <w:lang w:eastAsia="pt-BR"/>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4677" w:type="dxa"/>
            <w:hideMark/>
          </w:tcPr>
          <w:p w14:paraId="050D3B42" w14:textId="77777777" w:rsidR="00E91EA6" w:rsidRPr="00C031E1" w:rsidRDefault="00E91EA6" w:rsidP="00E91EA6">
            <w:pPr>
              <w:jc w:val="both"/>
              <w:rPr>
                <w:rFonts w:eastAsia="Times New Roman" w:cstheme="minorHAnsi"/>
                <w:sz w:val="24"/>
                <w:szCs w:val="24"/>
                <w:lang w:eastAsia="pt-BR"/>
              </w:rPr>
            </w:pPr>
          </w:p>
        </w:tc>
      </w:tr>
      <w:tr w:rsidR="00E91EA6" w:rsidRPr="00C031E1" w14:paraId="45BB1565" w14:textId="77777777" w:rsidTr="001B566D">
        <w:tc>
          <w:tcPr>
            <w:tcW w:w="4957" w:type="dxa"/>
          </w:tcPr>
          <w:p w14:paraId="66202DD6" w14:textId="77777777" w:rsidR="00E91EA6" w:rsidRPr="00C031E1" w:rsidRDefault="00E91EA6" w:rsidP="00E91EA6">
            <w:pPr>
              <w:jc w:val="both"/>
              <w:rPr>
                <w:rFonts w:cstheme="minorHAnsi"/>
                <w:sz w:val="24"/>
                <w:szCs w:val="24"/>
              </w:rPr>
            </w:pPr>
          </w:p>
        </w:tc>
        <w:tc>
          <w:tcPr>
            <w:tcW w:w="5103" w:type="dxa"/>
            <w:noWrap/>
          </w:tcPr>
          <w:p w14:paraId="28E38FB1" w14:textId="081AAF67" w:rsidR="00E91EA6" w:rsidRPr="00C031E1" w:rsidRDefault="00E91EA6"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Subseção II</w:t>
            </w:r>
          </w:p>
          <w:p w14:paraId="7B8B4853" w14:textId="3D0C3ED6" w:rsidR="00E91EA6" w:rsidRPr="00C031E1" w:rsidRDefault="00E91EA6" w:rsidP="00E91EA6">
            <w:pPr>
              <w:jc w:val="center"/>
              <w:rPr>
                <w:rFonts w:eastAsia="Times New Roman" w:cstheme="minorHAnsi"/>
                <w:sz w:val="24"/>
                <w:szCs w:val="24"/>
                <w:lang w:eastAsia="pt-BR"/>
              </w:rPr>
            </w:pPr>
            <w:r w:rsidRPr="00C031E1">
              <w:rPr>
                <w:rFonts w:eastAsia="Times New Roman" w:cstheme="minorHAnsi"/>
                <w:b/>
                <w:bCs/>
                <w:sz w:val="24"/>
                <w:szCs w:val="24"/>
                <w:lang w:eastAsia="pt-BR"/>
              </w:rPr>
              <w:t>Avaliação Atuarial</w:t>
            </w:r>
          </w:p>
        </w:tc>
        <w:tc>
          <w:tcPr>
            <w:tcW w:w="4677" w:type="dxa"/>
          </w:tcPr>
          <w:p w14:paraId="29629356" w14:textId="77777777" w:rsidR="00E91EA6" w:rsidRPr="00C031E1" w:rsidRDefault="00E91EA6" w:rsidP="00E91EA6">
            <w:pPr>
              <w:jc w:val="both"/>
              <w:rPr>
                <w:rFonts w:eastAsia="Times New Roman" w:cstheme="minorHAnsi"/>
                <w:sz w:val="24"/>
                <w:szCs w:val="24"/>
                <w:lang w:eastAsia="pt-BR"/>
              </w:rPr>
            </w:pPr>
          </w:p>
        </w:tc>
      </w:tr>
      <w:tr w:rsidR="00E91EA6" w:rsidRPr="00C031E1" w14:paraId="6F115CD4" w14:textId="77777777" w:rsidTr="001B566D">
        <w:tc>
          <w:tcPr>
            <w:tcW w:w="4957" w:type="dxa"/>
          </w:tcPr>
          <w:p w14:paraId="6CCB9783"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8º A data de referência dos dados cadastrais utilizados na avaliação atuarial não pode estar defasada em mais de seis meses em relação à data da avaliação.</w:t>
            </w:r>
          </w:p>
        </w:tc>
        <w:tc>
          <w:tcPr>
            <w:tcW w:w="5103" w:type="dxa"/>
            <w:noWrap/>
            <w:hideMark/>
          </w:tcPr>
          <w:p w14:paraId="59806F61" w14:textId="608EF7DD"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905.  A data de referência dos dados cadastrais utilizados na avaliação atuarial não pode estar defasada em mais de seis meses em relação à data da avaliação.</w:t>
            </w:r>
          </w:p>
        </w:tc>
        <w:tc>
          <w:tcPr>
            <w:tcW w:w="4677" w:type="dxa"/>
            <w:noWrap/>
            <w:hideMark/>
          </w:tcPr>
          <w:p w14:paraId="2F3DC092" w14:textId="77777777" w:rsidR="00E91EA6" w:rsidRPr="00C031E1" w:rsidRDefault="00E91EA6" w:rsidP="00E91EA6">
            <w:pPr>
              <w:jc w:val="both"/>
              <w:rPr>
                <w:rFonts w:eastAsia="Times New Roman" w:cstheme="minorHAnsi"/>
                <w:sz w:val="24"/>
                <w:szCs w:val="24"/>
                <w:lang w:eastAsia="pt-BR"/>
              </w:rPr>
            </w:pPr>
          </w:p>
        </w:tc>
      </w:tr>
      <w:tr w:rsidR="00E91EA6" w:rsidRPr="00C031E1" w14:paraId="46FF3650" w14:textId="77777777" w:rsidTr="001B566D">
        <w:tc>
          <w:tcPr>
            <w:tcW w:w="4957" w:type="dxa"/>
          </w:tcPr>
          <w:p w14:paraId="08232F46"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 1º Os dados cadastrais que serviram de base para a elaboração da avaliação atuarial devem ser informados pela EFPC e nela permanecer arquivados, inclusive os nomes dos campos, devendo ser apresentados à Previc, quando </w:t>
            </w:r>
            <w:r w:rsidRPr="00C031E1">
              <w:rPr>
                <w:rFonts w:cstheme="minorHAnsi"/>
                <w:sz w:val="24"/>
                <w:szCs w:val="24"/>
              </w:rPr>
              <w:lastRenderedPageBreak/>
              <w:t>solicitado, em formato de planilha eletrônica de utilização comum.</w:t>
            </w:r>
          </w:p>
        </w:tc>
        <w:tc>
          <w:tcPr>
            <w:tcW w:w="5103" w:type="dxa"/>
            <w:noWrap/>
            <w:hideMark/>
          </w:tcPr>
          <w:p w14:paraId="48D94674"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lastRenderedPageBreak/>
              <w:t>§ 1</w:t>
            </w:r>
            <w:proofErr w:type="gramStart"/>
            <w:r w:rsidRPr="00C031E1">
              <w:rPr>
                <w:rFonts w:eastAsia="Times New Roman" w:cstheme="minorHAnsi"/>
                <w:sz w:val="24"/>
                <w:szCs w:val="24"/>
                <w:lang w:eastAsia="pt-BR"/>
              </w:rPr>
              <w:t>º  Os</w:t>
            </w:r>
            <w:proofErr w:type="gramEnd"/>
            <w:r w:rsidRPr="00C031E1">
              <w:rPr>
                <w:rFonts w:eastAsia="Times New Roman" w:cstheme="minorHAnsi"/>
                <w:sz w:val="24"/>
                <w:szCs w:val="24"/>
                <w:lang w:eastAsia="pt-BR"/>
              </w:rPr>
              <w:t xml:space="preserve"> dados cadastrais que serviram de base para a elaboração da avaliação atuarial devem ser informados pela EFPC e nela permanecer arquivados, inclusive os nomes dos campos, devendo ser apresentados à Previc, quando </w:t>
            </w:r>
            <w:r w:rsidRPr="00C031E1">
              <w:rPr>
                <w:rFonts w:eastAsia="Times New Roman" w:cstheme="minorHAnsi"/>
                <w:sz w:val="24"/>
                <w:szCs w:val="24"/>
                <w:lang w:eastAsia="pt-BR"/>
              </w:rPr>
              <w:lastRenderedPageBreak/>
              <w:t>solicitado, em formato de planilha eletrônica de utilização comum.</w:t>
            </w:r>
          </w:p>
        </w:tc>
        <w:tc>
          <w:tcPr>
            <w:tcW w:w="4677" w:type="dxa"/>
            <w:noWrap/>
            <w:hideMark/>
          </w:tcPr>
          <w:p w14:paraId="5270A88E" w14:textId="77777777" w:rsidR="00E91EA6" w:rsidRPr="00C031E1" w:rsidRDefault="00E91EA6" w:rsidP="00E91EA6">
            <w:pPr>
              <w:jc w:val="both"/>
              <w:rPr>
                <w:rFonts w:eastAsia="Times New Roman" w:cstheme="minorHAnsi"/>
                <w:sz w:val="24"/>
                <w:szCs w:val="24"/>
                <w:lang w:eastAsia="pt-BR"/>
              </w:rPr>
            </w:pPr>
          </w:p>
        </w:tc>
      </w:tr>
      <w:tr w:rsidR="00E91EA6" w:rsidRPr="00C031E1" w14:paraId="5080AF27" w14:textId="77777777" w:rsidTr="001B566D">
        <w:tc>
          <w:tcPr>
            <w:tcW w:w="4957" w:type="dxa"/>
          </w:tcPr>
          <w:p w14:paraId="47D37606"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 2º Sem prejuízo do disposto no caput, no caso de plano de benefícios que tenha passado por alteração nos últimos doze meses em decorrência de retirada de patrocínio, </w:t>
            </w:r>
            <w:proofErr w:type="spellStart"/>
            <w:r w:rsidRPr="00C031E1">
              <w:rPr>
                <w:rFonts w:cstheme="minorHAnsi"/>
                <w:sz w:val="24"/>
                <w:szCs w:val="24"/>
              </w:rPr>
              <w:t>saldamento</w:t>
            </w:r>
            <w:proofErr w:type="spellEnd"/>
            <w:r w:rsidRPr="00C031E1">
              <w:rPr>
                <w:rFonts w:cstheme="minorHAnsi"/>
                <w:sz w:val="24"/>
                <w:szCs w:val="24"/>
              </w:rPr>
              <w:t>, fusão, cisão, incorporação, ou qualquer outra forma de reorganização societária, a data de referência dos dados cadastrais não pode ser anterior à data da efetivação da operação.</w:t>
            </w:r>
          </w:p>
        </w:tc>
        <w:tc>
          <w:tcPr>
            <w:tcW w:w="5103" w:type="dxa"/>
            <w:noWrap/>
            <w:hideMark/>
          </w:tcPr>
          <w:p w14:paraId="1663B1A7"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2</w:t>
            </w:r>
            <w:proofErr w:type="gramStart"/>
            <w:r w:rsidRPr="00C031E1">
              <w:rPr>
                <w:rFonts w:eastAsia="Times New Roman" w:cstheme="minorHAnsi"/>
                <w:sz w:val="24"/>
                <w:szCs w:val="24"/>
                <w:lang w:eastAsia="pt-BR"/>
              </w:rPr>
              <w:t>º  Sem</w:t>
            </w:r>
            <w:proofErr w:type="gramEnd"/>
            <w:r w:rsidRPr="00C031E1">
              <w:rPr>
                <w:rFonts w:eastAsia="Times New Roman" w:cstheme="minorHAnsi"/>
                <w:sz w:val="24"/>
                <w:szCs w:val="24"/>
                <w:lang w:eastAsia="pt-BR"/>
              </w:rPr>
              <w:t xml:space="preserve"> prejuízo do disposto no </w:t>
            </w:r>
            <w:r w:rsidRPr="00C031E1">
              <w:rPr>
                <w:rFonts w:eastAsia="Times New Roman" w:cstheme="minorHAnsi"/>
                <w:b/>
                <w:sz w:val="24"/>
                <w:szCs w:val="24"/>
                <w:lang w:eastAsia="pt-BR"/>
              </w:rPr>
              <w:t>caput</w:t>
            </w:r>
            <w:r w:rsidRPr="00C031E1">
              <w:rPr>
                <w:rFonts w:eastAsia="Times New Roman" w:cstheme="minorHAnsi"/>
                <w:sz w:val="24"/>
                <w:szCs w:val="24"/>
                <w:lang w:eastAsia="pt-BR"/>
              </w:rPr>
              <w:t xml:space="preserve">, no caso de plano de benefícios que tenha passado por alteração nos últimos doze meses em decorrência de retirada de patrocínio, </w:t>
            </w:r>
            <w:proofErr w:type="spellStart"/>
            <w:r w:rsidRPr="00C031E1">
              <w:rPr>
                <w:rFonts w:eastAsia="Times New Roman" w:cstheme="minorHAnsi"/>
                <w:sz w:val="24"/>
                <w:szCs w:val="24"/>
                <w:lang w:eastAsia="pt-BR"/>
              </w:rPr>
              <w:t>saldamento</w:t>
            </w:r>
            <w:proofErr w:type="spellEnd"/>
            <w:r w:rsidRPr="00C031E1">
              <w:rPr>
                <w:rFonts w:eastAsia="Times New Roman" w:cstheme="minorHAnsi"/>
                <w:sz w:val="24"/>
                <w:szCs w:val="24"/>
                <w:lang w:eastAsia="pt-BR"/>
              </w:rPr>
              <w:t>, fusão, cisão, incorporação, ou qualquer outra forma de reorganização societária, a data de referência dos dados cadastrais não pode ser anterior à data da efetivação da operação.</w:t>
            </w:r>
          </w:p>
        </w:tc>
        <w:tc>
          <w:tcPr>
            <w:tcW w:w="4677" w:type="dxa"/>
            <w:noWrap/>
            <w:hideMark/>
          </w:tcPr>
          <w:p w14:paraId="09A3159C" w14:textId="77777777" w:rsidR="00E91EA6" w:rsidRPr="00C031E1" w:rsidRDefault="00E91EA6" w:rsidP="00E91EA6">
            <w:pPr>
              <w:jc w:val="both"/>
              <w:rPr>
                <w:rFonts w:eastAsia="Times New Roman" w:cstheme="minorHAnsi"/>
                <w:sz w:val="24"/>
                <w:szCs w:val="24"/>
                <w:lang w:eastAsia="pt-BR"/>
              </w:rPr>
            </w:pPr>
          </w:p>
        </w:tc>
      </w:tr>
      <w:tr w:rsidR="00E91EA6" w:rsidRPr="00C031E1" w14:paraId="57CA0F25" w14:textId="77777777" w:rsidTr="001B566D">
        <w:tc>
          <w:tcPr>
            <w:tcW w:w="4957" w:type="dxa"/>
          </w:tcPr>
          <w:p w14:paraId="73CC4ED2"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Art. 9º Os valores de provisões matemáticas, déficits, superávits e fundos </w:t>
            </w:r>
            <w:proofErr w:type="spellStart"/>
            <w:r w:rsidRPr="00C031E1">
              <w:rPr>
                <w:rFonts w:cstheme="minorHAnsi"/>
                <w:sz w:val="24"/>
                <w:szCs w:val="24"/>
              </w:rPr>
              <w:t>previdenciais</w:t>
            </w:r>
            <w:proofErr w:type="spellEnd"/>
            <w:r w:rsidRPr="00C031E1">
              <w:rPr>
                <w:rFonts w:cstheme="minorHAnsi"/>
                <w:sz w:val="24"/>
                <w:szCs w:val="24"/>
              </w:rPr>
              <w:t xml:space="preserve"> apresentados nas demonstrações atuariais, por ocasião da avaliação atuarial de encerramento do exercício, consolidados pela EFPC, devem coincidir com os valores do balanço patrimonial.</w:t>
            </w:r>
          </w:p>
        </w:tc>
        <w:tc>
          <w:tcPr>
            <w:tcW w:w="5103" w:type="dxa"/>
            <w:noWrap/>
            <w:hideMark/>
          </w:tcPr>
          <w:p w14:paraId="7FF8BE74" w14:textId="7F6348F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Art. 906.  Os valores, </w:t>
            </w:r>
            <w:r w:rsidRPr="001D7D70">
              <w:rPr>
                <w:rFonts w:eastAsia="Times New Roman" w:cstheme="minorHAnsi"/>
                <w:color w:val="4472C4" w:themeColor="accent1"/>
                <w:sz w:val="24"/>
                <w:szCs w:val="24"/>
                <w:lang w:eastAsia="pt-BR"/>
              </w:rPr>
              <w:t>consolidados pela EFPC</w:t>
            </w:r>
            <w:r w:rsidRPr="00C031E1">
              <w:rPr>
                <w:rFonts w:eastAsia="Times New Roman" w:cstheme="minorHAnsi"/>
                <w:sz w:val="24"/>
                <w:szCs w:val="24"/>
                <w:lang w:eastAsia="pt-BR"/>
              </w:rPr>
              <w:t xml:space="preserve">, de provisões matemáticas, déficits, superávits e fundos </w:t>
            </w:r>
            <w:proofErr w:type="spellStart"/>
            <w:r w:rsidRPr="00C031E1">
              <w:rPr>
                <w:rFonts w:eastAsia="Times New Roman" w:cstheme="minorHAnsi"/>
                <w:sz w:val="24"/>
                <w:szCs w:val="24"/>
                <w:lang w:eastAsia="pt-BR"/>
              </w:rPr>
              <w:t>previdenciais</w:t>
            </w:r>
            <w:proofErr w:type="spellEnd"/>
            <w:r w:rsidRPr="00C031E1">
              <w:rPr>
                <w:rFonts w:eastAsia="Times New Roman" w:cstheme="minorHAnsi"/>
                <w:sz w:val="24"/>
                <w:szCs w:val="24"/>
                <w:lang w:eastAsia="pt-BR"/>
              </w:rPr>
              <w:t xml:space="preserve"> apresentados nas demonstrações atuariais, por ocasião da avaliação atuarial de encerramento do exercício, devem coincidir com os valores do balanço patrimonial.</w:t>
            </w:r>
          </w:p>
        </w:tc>
        <w:tc>
          <w:tcPr>
            <w:tcW w:w="4677" w:type="dxa"/>
            <w:noWrap/>
            <w:hideMark/>
          </w:tcPr>
          <w:p w14:paraId="04AF6533"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Ajuste redacional.</w:t>
            </w:r>
          </w:p>
        </w:tc>
      </w:tr>
      <w:tr w:rsidR="00E91EA6" w:rsidRPr="00C031E1" w14:paraId="6E0CEBB7" w14:textId="77777777" w:rsidTr="001B566D">
        <w:tc>
          <w:tcPr>
            <w:tcW w:w="4957" w:type="dxa"/>
          </w:tcPr>
          <w:p w14:paraId="7DB3F26D"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Art. 10. A expectativa de evolução das taxas de contribuição do plano de benefícios deve constar da avaliação atuarial </w:t>
            </w:r>
            <w:r w:rsidRPr="001D7D70">
              <w:rPr>
                <w:rFonts w:cstheme="minorHAnsi"/>
                <w:color w:val="FF0000"/>
                <w:sz w:val="24"/>
                <w:szCs w:val="24"/>
              </w:rPr>
              <w:t>anual.</w:t>
            </w:r>
          </w:p>
        </w:tc>
        <w:tc>
          <w:tcPr>
            <w:tcW w:w="5103" w:type="dxa"/>
            <w:noWrap/>
            <w:hideMark/>
          </w:tcPr>
          <w:p w14:paraId="7B6846B1" w14:textId="512C6872"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w:t>
            </w:r>
            <w:r w:rsidR="000A6F79">
              <w:rPr>
                <w:rFonts w:eastAsia="Times New Roman" w:cstheme="minorHAnsi"/>
                <w:sz w:val="24"/>
                <w:szCs w:val="24"/>
                <w:lang w:eastAsia="pt-BR"/>
              </w:rPr>
              <w:t>7</w:t>
            </w:r>
            <w:r w:rsidRPr="00C031E1">
              <w:rPr>
                <w:rFonts w:eastAsia="Times New Roman" w:cstheme="minorHAnsi"/>
                <w:sz w:val="24"/>
                <w:szCs w:val="24"/>
                <w:lang w:eastAsia="pt-BR"/>
              </w:rPr>
              <w:t>.  A expectativa de evolução das taxas de contribuição do plano de benefícios deve constar da avaliação atuarial.</w:t>
            </w:r>
          </w:p>
        </w:tc>
        <w:tc>
          <w:tcPr>
            <w:tcW w:w="4677" w:type="dxa"/>
            <w:noWrap/>
            <w:hideMark/>
          </w:tcPr>
          <w:p w14:paraId="6A6CE152" w14:textId="3DCA6535"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Ajuste redacional </w:t>
            </w:r>
            <w:r w:rsidR="005055C9">
              <w:rPr>
                <w:rFonts w:eastAsia="Times New Roman" w:cstheme="minorHAnsi"/>
                <w:sz w:val="24"/>
                <w:szCs w:val="24"/>
                <w:lang w:eastAsia="pt-BR"/>
              </w:rPr>
              <w:t xml:space="preserve">com retirada do termo “anual” </w:t>
            </w:r>
            <w:r w:rsidRPr="00C031E1">
              <w:rPr>
                <w:rFonts w:eastAsia="Times New Roman" w:cstheme="minorHAnsi"/>
                <w:sz w:val="24"/>
                <w:szCs w:val="24"/>
                <w:lang w:eastAsia="pt-BR"/>
              </w:rPr>
              <w:t>para acompanhar demais dispositivos que estabelecem apenas “avaliação atuarial”.</w:t>
            </w:r>
          </w:p>
        </w:tc>
      </w:tr>
      <w:tr w:rsidR="00E91EA6" w:rsidRPr="00C031E1" w14:paraId="5561DAFF" w14:textId="77777777" w:rsidTr="001B566D">
        <w:tc>
          <w:tcPr>
            <w:tcW w:w="4957" w:type="dxa"/>
          </w:tcPr>
          <w:p w14:paraId="00BBBF06"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11. A destinação das contribuições para o plano de benefícios deve ser discriminada na avaliação atuarial.</w:t>
            </w:r>
          </w:p>
        </w:tc>
        <w:tc>
          <w:tcPr>
            <w:tcW w:w="5103" w:type="dxa"/>
            <w:noWrap/>
            <w:hideMark/>
          </w:tcPr>
          <w:p w14:paraId="3D9C0041" w14:textId="03CB2224"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90</w:t>
            </w:r>
            <w:r w:rsidR="000A6F79">
              <w:rPr>
                <w:rFonts w:eastAsia="Times New Roman" w:cstheme="minorHAnsi"/>
                <w:sz w:val="24"/>
                <w:szCs w:val="24"/>
                <w:lang w:eastAsia="pt-BR"/>
              </w:rPr>
              <w:t>8</w:t>
            </w:r>
            <w:r w:rsidRPr="00C031E1">
              <w:rPr>
                <w:rFonts w:eastAsia="Times New Roman" w:cstheme="minorHAnsi"/>
                <w:sz w:val="24"/>
                <w:szCs w:val="24"/>
                <w:lang w:eastAsia="pt-BR"/>
              </w:rPr>
              <w:t>.  A destinação das contribuições para o plano de benefícios deve ser discriminada na avaliação atuarial.</w:t>
            </w:r>
          </w:p>
        </w:tc>
        <w:tc>
          <w:tcPr>
            <w:tcW w:w="4677" w:type="dxa"/>
            <w:noWrap/>
            <w:hideMark/>
          </w:tcPr>
          <w:p w14:paraId="24C28480" w14:textId="77777777" w:rsidR="00E91EA6" w:rsidRPr="00C031E1" w:rsidRDefault="00E91EA6" w:rsidP="00E91EA6">
            <w:pPr>
              <w:jc w:val="both"/>
              <w:rPr>
                <w:rFonts w:eastAsia="Times New Roman" w:cstheme="minorHAnsi"/>
                <w:sz w:val="24"/>
                <w:szCs w:val="24"/>
                <w:lang w:eastAsia="pt-BR"/>
              </w:rPr>
            </w:pPr>
          </w:p>
        </w:tc>
      </w:tr>
      <w:tr w:rsidR="00E91EA6" w:rsidRPr="00C031E1" w14:paraId="1AA3F39A" w14:textId="77777777" w:rsidTr="001B566D">
        <w:tc>
          <w:tcPr>
            <w:tcW w:w="4957" w:type="dxa"/>
          </w:tcPr>
          <w:p w14:paraId="261B40D4"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12. Os relatórios complementares apresentados pelo atuário à diretoria executiva ou aos conselhos devem ser arquivados em conjunto com as demonstrações atuariais e apresentados à Previc, quando solicitado.</w:t>
            </w:r>
          </w:p>
        </w:tc>
        <w:tc>
          <w:tcPr>
            <w:tcW w:w="5103" w:type="dxa"/>
            <w:noWrap/>
            <w:hideMark/>
          </w:tcPr>
          <w:p w14:paraId="7E92D6D5" w14:textId="6DF4CF6F"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w:t>
            </w:r>
            <w:r w:rsidR="000A6F79">
              <w:rPr>
                <w:rFonts w:eastAsia="Times New Roman" w:cstheme="minorHAnsi"/>
                <w:sz w:val="24"/>
                <w:szCs w:val="24"/>
                <w:lang w:eastAsia="pt-BR"/>
              </w:rPr>
              <w:t>09</w:t>
            </w:r>
            <w:r w:rsidRPr="00C031E1">
              <w:rPr>
                <w:rFonts w:eastAsia="Times New Roman" w:cstheme="minorHAnsi"/>
                <w:sz w:val="24"/>
                <w:szCs w:val="24"/>
                <w:lang w:eastAsia="pt-BR"/>
              </w:rPr>
              <w:t>.  Os relatórios complementares apresentados pelo atuário à diretoria executiva ou aos conselhos devem ser arquivados em conjunto com as demonstrações atuariais e apresentados à Previc, quando solicitado.</w:t>
            </w:r>
          </w:p>
        </w:tc>
        <w:tc>
          <w:tcPr>
            <w:tcW w:w="4677" w:type="dxa"/>
            <w:noWrap/>
            <w:hideMark/>
          </w:tcPr>
          <w:p w14:paraId="6248B711" w14:textId="77777777" w:rsidR="00E91EA6" w:rsidRPr="00C031E1" w:rsidRDefault="00E91EA6" w:rsidP="00E91EA6">
            <w:pPr>
              <w:jc w:val="both"/>
              <w:rPr>
                <w:rFonts w:eastAsia="Times New Roman" w:cstheme="minorHAnsi"/>
                <w:sz w:val="24"/>
                <w:szCs w:val="24"/>
                <w:lang w:eastAsia="pt-BR"/>
              </w:rPr>
            </w:pPr>
          </w:p>
        </w:tc>
      </w:tr>
      <w:tr w:rsidR="00E91EA6" w:rsidRPr="00C031E1" w14:paraId="455C25AC" w14:textId="77777777" w:rsidTr="001B566D">
        <w:tc>
          <w:tcPr>
            <w:tcW w:w="4957" w:type="dxa"/>
          </w:tcPr>
          <w:p w14:paraId="781B0681" w14:textId="77777777" w:rsidR="00E91EA6" w:rsidRPr="00C031E1" w:rsidRDefault="00E91EA6" w:rsidP="00E91EA6">
            <w:pPr>
              <w:jc w:val="center"/>
              <w:rPr>
                <w:rFonts w:eastAsia="Times New Roman" w:cstheme="minorHAnsi"/>
                <w:b/>
                <w:bCs/>
                <w:sz w:val="24"/>
                <w:szCs w:val="24"/>
                <w:lang w:eastAsia="pt-BR"/>
              </w:rPr>
            </w:pPr>
            <w:r w:rsidRPr="00C031E1">
              <w:rPr>
                <w:rFonts w:cstheme="minorHAnsi"/>
                <w:sz w:val="24"/>
                <w:szCs w:val="24"/>
              </w:rPr>
              <w:t>Da nota técnica atuarial</w:t>
            </w:r>
          </w:p>
        </w:tc>
        <w:tc>
          <w:tcPr>
            <w:tcW w:w="5103" w:type="dxa"/>
            <w:noWrap/>
            <w:hideMark/>
          </w:tcPr>
          <w:p w14:paraId="4000B78E" w14:textId="5279AD94" w:rsidR="00E91EA6" w:rsidRPr="00C031E1" w:rsidRDefault="00E91EA6"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 xml:space="preserve">Subseção </w:t>
            </w:r>
            <w:r w:rsidR="00AB5D4F">
              <w:rPr>
                <w:rFonts w:eastAsia="Times New Roman" w:cstheme="minorHAnsi"/>
                <w:b/>
                <w:bCs/>
                <w:sz w:val="24"/>
                <w:szCs w:val="24"/>
                <w:lang w:eastAsia="pt-BR"/>
              </w:rPr>
              <w:t>III</w:t>
            </w:r>
          </w:p>
          <w:p w14:paraId="3FD567F1" w14:textId="768E9740" w:rsidR="00E91EA6" w:rsidRPr="00C031E1" w:rsidRDefault="00E91EA6"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Nota Técnica Atuarial</w:t>
            </w:r>
          </w:p>
        </w:tc>
        <w:tc>
          <w:tcPr>
            <w:tcW w:w="4677" w:type="dxa"/>
            <w:noWrap/>
            <w:hideMark/>
          </w:tcPr>
          <w:p w14:paraId="790163BC" w14:textId="77777777" w:rsidR="00E91EA6" w:rsidRPr="00C031E1" w:rsidRDefault="00E91EA6" w:rsidP="00E91EA6">
            <w:pPr>
              <w:jc w:val="center"/>
              <w:rPr>
                <w:rFonts w:eastAsia="Times New Roman" w:cstheme="minorHAnsi"/>
                <w:b/>
                <w:bCs/>
                <w:sz w:val="24"/>
                <w:szCs w:val="24"/>
                <w:lang w:eastAsia="pt-BR"/>
              </w:rPr>
            </w:pPr>
          </w:p>
        </w:tc>
      </w:tr>
      <w:tr w:rsidR="00E91EA6" w:rsidRPr="00C031E1" w14:paraId="4313EFA4" w14:textId="77777777" w:rsidTr="001B566D">
        <w:tc>
          <w:tcPr>
            <w:tcW w:w="4957" w:type="dxa"/>
          </w:tcPr>
          <w:p w14:paraId="7B1E136B"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Art. 13. A nota técnica atuarial consiste em documento técnico elaborado por atuário </w:t>
            </w:r>
            <w:r w:rsidRPr="00C031E1">
              <w:rPr>
                <w:rFonts w:cstheme="minorHAnsi"/>
                <w:sz w:val="24"/>
                <w:szCs w:val="24"/>
              </w:rPr>
              <w:lastRenderedPageBreak/>
              <w:t>devidamente habilitado, em observância à modelagem do plano de benefícios.</w:t>
            </w:r>
          </w:p>
        </w:tc>
        <w:tc>
          <w:tcPr>
            <w:tcW w:w="5103" w:type="dxa"/>
            <w:noWrap/>
            <w:hideMark/>
          </w:tcPr>
          <w:p w14:paraId="4BDBEB34" w14:textId="77777777" w:rsidR="00E91EA6" w:rsidRPr="00C031E1" w:rsidRDefault="00E91EA6" w:rsidP="00E91EA6">
            <w:pPr>
              <w:jc w:val="both"/>
              <w:rPr>
                <w:rFonts w:eastAsia="Times New Roman" w:cstheme="minorHAnsi"/>
                <w:sz w:val="24"/>
                <w:szCs w:val="24"/>
                <w:lang w:eastAsia="pt-BR"/>
              </w:rPr>
            </w:pPr>
          </w:p>
        </w:tc>
        <w:tc>
          <w:tcPr>
            <w:tcW w:w="4677" w:type="dxa"/>
            <w:noWrap/>
            <w:hideMark/>
          </w:tcPr>
          <w:p w14:paraId="4EDB0321"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Deslocado para a Seção I - Conceitos e definições</w:t>
            </w:r>
          </w:p>
        </w:tc>
      </w:tr>
      <w:tr w:rsidR="00E91EA6" w:rsidRPr="00C031E1" w14:paraId="75C3A5DF" w14:textId="77777777" w:rsidTr="001B566D">
        <w:tc>
          <w:tcPr>
            <w:tcW w:w="4957" w:type="dxa"/>
          </w:tcPr>
          <w:p w14:paraId="6EDD3A92"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14. A nota técnica atuarial deve:</w:t>
            </w:r>
          </w:p>
        </w:tc>
        <w:tc>
          <w:tcPr>
            <w:tcW w:w="5103" w:type="dxa"/>
            <w:noWrap/>
            <w:hideMark/>
          </w:tcPr>
          <w:p w14:paraId="381CE4A2" w14:textId="522A3BE2"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w:t>
            </w:r>
            <w:r w:rsidR="000A6F79">
              <w:rPr>
                <w:rFonts w:eastAsia="Times New Roman" w:cstheme="minorHAnsi"/>
                <w:sz w:val="24"/>
                <w:szCs w:val="24"/>
                <w:lang w:eastAsia="pt-BR"/>
              </w:rPr>
              <w:t>10</w:t>
            </w:r>
            <w:r w:rsidRPr="00C031E1">
              <w:rPr>
                <w:rFonts w:eastAsia="Times New Roman" w:cstheme="minorHAnsi"/>
                <w:sz w:val="24"/>
                <w:szCs w:val="24"/>
                <w:lang w:eastAsia="pt-BR"/>
              </w:rPr>
              <w:t>.  A nota técnica atuarial deve:</w:t>
            </w:r>
          </w:p>
        </w:tc>
        <w:tc>
          <w:tcPr>
            <w:tcW w:w="4677" w:type="dxa"/>
            <w:noWrap/>
            <w:hideMark/>
          </w:tcPr>
          <w:p w14:paraId="477BDC6A" w14:textId="77777777" w:rsidR="00E91EA6" w:rsidRPr="00C031E1" w:rsidRDefault="00E91EA6" w:rsidP="00E91EA6">
            <w:pPr>
              <w:jc w:val="both"/>
              <w:rPr>
                <w:rFonts w:eastAsia="Times New Roman" w:cstheme="minorHAnsi"/>
                <w:sz w:val="24"/>
                <w:szCs w:val="24"/>
                <w:lang w:eastAsia="pt-BR"/>
              </w:rPr>
            </w:pPr>
          </w:p>
        </w:tc>
      </w:tr>
      <w:tr w:rsidR="00E91EA6" w:rsidRPr="00C031E1" w14:paraId="20FA14F2" w14:textId="77777777" w:rsidTr="001B566D">
        <w:tc>
          <w:tcPr>
            <w:tcW w:w="4957" w:type="dxa"/>
          </w:tcPr>
          <w:p w14:paraId="6DBF5445"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 - </w:t>
            </w:r>
            <w:proofErr w:type="gramStart"/>
            <w:r w:rsidRPr="00C031E1">
              <w:rPr>
                <w:rFonts w:cstheme="minorHAnsi"/>
                <w:sz w:val="24"/>
                <w:szCs w:val="24"/>
              </w:rPr>
              <w:t>estar</w:t>
            </w:r>
            <w:proofErr w:type="gramEnd"/>
            <w:r w:rsidRPr="00C031E1">
              <w:rPr>
                <w:rFonts w:cstheme="minorHAnsi"/>
                <w:sz w:val="24"/>
                <w:szCs w:val="24"/>
              </w:rPr>
              <w:t xml:space="preserve"> atualizada e consistente com o regulamento do plano de benefícios;</w:t>
            </w:r>
          </w:p>
        </w:tc>
        <w:tc>
          <w:tcPr>
            <w:tcW w:w="5103" w:type="dxa"/>
            <w:noWrap/>
            <w:hideMark/>
          </w:tcPr>
          <w:p w14:paraId="6010C96F"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 - </w:t>
            </w:r>
            <w:proofErr w:type="gramStart"/>
            <w:r w:rsidRPr="00C031E1">
              <w:rPr>
                <w:rFonts w:eastAsia="Times New Roman" w:cstheme="minorHAnsi"/>
                <w:sz w:val="24"/>
                <w:szCs w:val="24"/>
                <w:lang w:eastAsia="pt-BR"/>
              </w:rPr>
              <w:t>estar</w:t>
            </w:r>
            <w:proofErr w:type="gramEnd"/>
            <w:r w:rsidRPr="00C031E1">
              <w:rPr>
                <w:rFonts w:eastAsia="Times New Roman" w:cstheme="minorHAnsi"/>
                <w:sz w:val="24"/>
                <w:szCs w:val="24"/>
                <w:lang w:eastAsia="pt-BR"/>
              </w:rPr>
              <w:t xml:space="preserve"> atualizada e consistente com o regulamento do plano de benefícios;</w:t>
            </w:r>
          </w:p>
        </w:tc>
        <w:tc>
          <w:tcPr>
            <w:tcW w:w="4677" w:type="dxa"/>
            <w:noWrap/>
            <w:hideMark/>
          </w:tcPr>
          <w:p w14:paraId="7F0C9697" w14:textId="77777777" w:rsidR="00E91EA6" w:rsidRPr="00C031E1" w:rsidRDefault="00E91EA6" w:rsidP="00E91EA6">
            <w:pPr>
              <w:jc w:val="both"/>
              <w:rPr>
                <w:rFonts w:eastAsia="Times New Roman" w:cstheme="minorHAnsi"/>
                <w:sz w:val="24"/>
                <w:szCs w:val="24"/>
                <w:lang w:eastAsia="pt-BR"/>
              </w:rPr>
            </w:pPr>
          </w:p>
        </w:tc>
      </w:tr>
      <w:tr w:rsidR="00E91EA6" w:rsidRPr="00C031E1" w14:paraId="01952022" w14:textId="77777777" w:rsidTr="001B566D">
        <w:tc>
          <w:tcPr>
            <w:tcW w:w="4957" w:type="dxa"/>
          </w:tcPr>
          <w:p w14:paraId="35024595"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II - </w:t>
            </w:r>
            <w:proofErr w:type="gramStart"/>
            <w:r w:rsidRPr="00C031E1">
              <w:rPr>
                <w:rFonts w:cstheme="minorHAnsi"/>
                <w:sz w:val="24"/>
                <w:szCs w:val="24"/>
              </w:rPr>
              <w:t>ser</w:t>
            </w:r>
            <w:proofErr w:type="gramEnd"/>
            <w:r w:rsidRPr="00C031E1">
              <w:rPr>
                <w:rFonts w:cstheme="minorHAnsi"/>
                <w:sz w:val="24"/>
                <w:szCs w:val="24"/>
              </w:rPr>
              <w:t xml:space="preserve"> elaborada observando as características específicas de cada plano de benefícios;</w:t>
            </w:r>
          </w:p>
        </w:tc>
        <w:tc>
          <w:tcPr>
            <w:tcW w:w="5103" w:type="dxa"/>
            <w:noWrap/>
            <w:hideMark/>
          </w:tcPr>
          <w:p w14:paraId="33342B6A"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II - </w:t>
            </w:r>
            <w:proofErr w:type="gramStart"/>
            <w:r w:rsidRPr="00C031E1">
              <w:rPr>
                <w:rFonts w:eastAsia="Times New Roman" w:cstheme="minorHAnsi"/>
                <w:sz w:val="24"/>
                <w:szCs w:val="24"/>
                <w:lang w:eastAsia="pt-BR"/>
              </w:rPr>
              <w:t>ser</w:t>
            </w:r>
            <w:proofErr w:type="gramEnd"/>
            <w:r w:rsidRPr="00C031E1">
              <w:rPr>
                <w:rFonts w:eastAsia="Times New Roman" w:cstheme="minorHAnsi"/>
                <w:sz w:val="24"/>
                <w:szCs w:val="24"/>
                <w:lang w:eastAsia="pt-BR"/>
              </w:rPr>
              <w:t xml:space="preserve"> elaborada observando as características específicas de cada plano de benefícios; e</w:t>
            </w:r>
          </w:p>
        </w:tc>
        <w:tc>
          <w:tcPr>
            <w:tcW w:w="4677" w:type="dxa"/>
            <w:noWrap/>
            <w:hideMark/>
          </w:tcPr>
          <w:p w14:paraId="73724384" w14:textId="77777777" w:rsidR="00E91EA6" w:rsidRPr="00C031E1" w:rsidRDefault="00E91EA6" w:rsidP="00E91EA6">
            <w:pPr>
              <w:jc w:val="both"/>
              <w:rPr>
                <w:rFonts w:eastAsia="Times New Roman" w:cstheme="minorHAnsi"/>
                <w:sz w:val="24"/>
                <w:szCs w:val="24"/>
                <w:lang w:eastAsia="pt-BR"/>
              </w:rPr>
            </w:pPr>
          </w:p>
        </w:tc>
      </w:tr>
      <w:tr w:rsidR="00E91EA6" w:rsidRPr="00C031E1" w14:paraId="7B7E925C" w14:textId="77777777" w:rsidTr="001B566D">
        <w:tc>
          <w:tcPr>
            <w:tcW w:w="4957" w:type="dxa"/>
          </w:tcPr>
          <w:p w14:paraId="50FE7185"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III - ser enviada à Previc:</w:t>
            </w:r>
          </w:p>
        </w:tc>
        <w:tc>
          <w:tcPr>
            <w:tcW w:w="5103" w:type="dxa"/>
            <w:noWrap/>
            <w:hideMark/>
          </w:tcPr>
          <w:p w14:paraId="4C55EBDC"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III - ser enviada à Previc:</w:t>
            </w:r>
          </w:p>
        </w:tc>
        <w:tc>
          <w:tcPr>
            <w:tcW w:w="4677" w:type="dxa"/>
            <w:noWrap/>
            <w:hideMark/>
          </w:tcPr>
          <w:p w14:paraId="1746357C" w14:textId="77777777" w:rsidR="00E91EA6" w:rsidRPr="00C031E1" w:rsidRDefault="00E91EA6" w:rsidP="00E91EA6">
            <w:pPr>
              <w:jc w:val="both"/>
              <w:rPr>
                <w:rFonts w:eastAsia="Times New Roman" w:cstheme="minorHAnsi"/>
                <w:sz w:val="24"/>
                <w:szCs w:val="24"/>
                <w:lang w:eastAsia="pt-BR"/>
              </w:rPr>
            </w:pPr>
          </w:p>
        </w:tc>
      </w:tr>
      <w:tr w:rsidR="00E91EA6" w:rsidRPr="00C031E1" w14:paraId="6DDAC4A3" w14:textId="77777777" w:rsidTr="001B566D">
        <w:tc>
          <w:tcPr>
            <w:tcW w:w="4957" w:type="dxa"/>
          </w:tcPr>
          <w:p w14:paraId="41C1DC17"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 por ocasião da implantação ou alteração do plano de benefícios e sempre que houver modificações na modelagem atuarial, de modo que seu conteúdo reflita todas as práticas atuariais adotadas para o plano; e</w:t>
            </w:r>
          </w:p>
        </w:tc>
        <w:tc>
          <w:tcPr>
            <w:tcW w:w="5103" w:type="dxa"/>
            <w:noWrap/>
            <w:hideMark/>
          </w:tcPr>
          <w:p w14:paraId="4525442F"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 por ocasião da implantação ou alteração do plano de benefícios e sempre que houver modificações na modelagem atuarial, de modo que seu conteúdo reflita todas as práticas atuariais adotadas para o plano; e</w:t>
            </w:r>
          </w:p>
        </w:tc>
        <w:tc>
          <w:tcPr>
            <w:tcW w:w="4677" w:type="dxa"/>
            <w:noWrap/>
            <w:hideMark/>
          </w:tcPr>
          <w:p w14:paraId="41B59325" w14:textId="77777777" w:rsidR="00E91EA6" w:rsidRPr="00C031E1" w:rsidRDefault="00E91EA6" w:rsidP="00E91EA6">
            <w:pPr>
              <w:jc w:val="both"/>
              <w:rPr>
                <w:rFonts w:eastAsia="Times New Roman" w:cstheme="minorHAnsi"/>
                <w:sz w:val="24"/>
                <w:szCs w:val="24"/>
                <w:lang w:eastAsia="pt-BR"/>
              </w:rPr>
            </w:pPr>
          </w:p>
        </w:tc>
      </w:tr>
      <w:tr w:rsidR="00E91EA6" w:rsidRPr="00C031E1" w14:paraId="21131DB7" w14:textId="77777777" w:rsidTr="001B566D">
        <w:tc>
          <w:tcPr>
            <w:tcW w:w="4957" w:type="dxa"/>
          </w:tcPr>
          <w:p w14:paraId="7CB68504"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b) contendo a identificação do atuário habilitado e legalmente responsável pelo plano de benefícios, acompanhada de manifestação de ciência e concordância do administrador responsável pelo plano de benefícios com seu inteiro teor, para cada um dos planos de benefícios administrados pela EFPC.</w:t>
            </w:r>
          </w:p>
        </w:tc>
        <w:tc>
          <w:tcPr>
            <w:tcW w:w="5103" w:type="dxa"/>
            <w:noWrap/>
            <w:hideMark/>
          </w:tcPr>
          <w:p w14:paraId="0119E890"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b) contendo a identificação do atuário habilitado e legalmente responsável pelo plano de benefícios, acompanhada de manifestação de ciência e concordância do administrador responsável pelo plano de benefícios com seu inteiro teor, para cada um dos planos de benefícios administrados pela EFPC.</w:t>
            </w:r>
          </w:p>
        </w:tc>
        <w:tc>
          <w:tcPr>
            <w:tcW w:w="4677" w:type="dxa"/>
            <w:noWrap/>
            <w:hideMark/>
          </w:tcPr>
          <w:p w14:paraId="59FB8466" w14:textId="77777777" w:rsidR="00E91EA6" w:rsidRPr="00C031E1" w:rsidRDefault="00E91EA6" w:rsidP="00E91EA6">
            <w:pPr>
              <w:jc w:val="both"/>
              <w:rPr>
                <w:rFonts w:eastAsia="Times New Roman" w:cstheme="minorHAnsi"/>
                <w:sz w:val="24"/>
                <w:szCs w:val="24"/>
                <w:lang w:eastAsia="pt-BR"/>
              </w:rPr>
            </w:pPr>
          </w:p>
        </w:tc>
      </w:tr>
      <w:tr w:rsidR="00E91EA6" w:rsidRPr="00C031E1" w14:paraId="6A0B8020" w14:textId="77777777" w:rsidTr="001B566D">
        <w:tc>
          <w:tcPr>
            <w:tcW w:w="4957" w:type="dxa"/>
          </w:tcPr>
          <w:p w14:paraId="7567C08E"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Parágrafo único.  Os planos de benefícios dispensados de envio das demonstrações atuariais, nos termos do parágrafo único do art. 4º, também estão dispensados do envio da nota técnica atuarial.</w:t>
            </w:r>
          </w:p>
        </w:tc>
        <w:tc>
          <w:tcPr>
            <w:tcW w:w="5103" w:type="dxa"/>
            <w:noWrap/>
            <w:hideMark/>
          </w:tcPr>
          <w:p w14:paraId="285307F1"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Parágrafo único.  Os planos de benefícios dispensados de envio das demonstrações atuariais, nos termos do parágrafo único do </w:t>
            </w:r>
            <w:r w:rsidRPr="001D7D70">
              <w:rPr>
                <w:rFonts w:eastAsia="Times New Roman" w:cstheme="minorHAnsi"/>
                <w:sz w:val="24"/>
                <w:szCs w:val="24"/>
                <w:highlight w:val="yellow"/>
                <w:lang w:eastAsia="pt-BR"/>
              </w:rPr>
              <w:t xml:space="preserve">art. </w:t>
            </w:r>
            <w:r w:rsidRPr="005055C9">
              <w:rPr>
                <w:rFonts w:eastAsia="Times New Roman" w:cstheme="minorHAnsi"/>
                <w:color w:val="0070C0"/>
                <w:sz w:val="24"/>
                <w:szCs w:val="24"/>
                <w:highlight w:val="yellow"/>
                <w:lang w:eastAsia="pt-BR"/>
              </w:rPr>
              <w:t>57</w:t>
            </w:r>
            <w:r w:rsidRPr="00C031E1">
              <w:rPr>
                <w:rFonts w:eastAsia="Times New Roman" w:cstheme="minorHAnsi"/>
                <w:sz w:val="24"/>
                <w:szCs w:val="24"/>
                <w:lang w:eastAsia="pt-BR"/>
              </w:rPr>
              <w:t>, também estão dispensados do envio da nota técnica atuarial.</w:t>
            </w:r>
          </w:p>
        </w:tc>
        <w:tc>
          <w:tcPr>
            <w:tcW w:w="4677" w:type="dxa"/>
            <w:noWrap/>
            <w:hideMark/>
          </w:tcPr>
          <w:p w14:paraId="146461E0" w14:textId="01472429" w:rsidR="00E91EA6" w:rsidRPr="00C031E1" w:rsidRDefault="005055C9" w:rsidP="00E91EA6">
            <w:pPr>
              <w:jc w:val="both"/>
              <w:rPr>
                <w:rFonts w:eastAsia="Times New Roman" w:cstheme="minorHAnsi"/>
                <w:sz w:val="24"/>
                <w:szCs w:val="24"/>
                <w:lang w:eastAsia="pt-BR"/>
              </w:rPr>
            </w:pPr>
            <w:r w:rsidRPr="00E53F5F">
              <w:rPr>
                <w:rFonts w:eastAsia="Times New Roman" w:cstheme="minorHAnsi"/>
                <w:sz w:val="24"/>
                <w:szCs w:val="24"/>
                <w:highlight w:val="yellow"/>
                <w:lang w:eastAsia="pt-BR"/>
              </w:rPr>
              <w:t xml:space="preserve">VERIFICAR </w:t>
            </w:r>
            <w:r w:rsidR="00741778" w:rsidRPr="00E53F5F">
              <w:rPr>
                <w:rFonts w:eastAsia="Times New Roman" w:cstheme="minorHAnsi"/>
                <w:sz w:val="24"/>
                <w:szCs w:val="24"/>
                <w:highlight w:val="yellow"/>
                <w:lang w:eastAsia="pt-BR"/>
              </w:rPr>
              <w:t>REFERÊNCIA</w:t>
            </w:r>
            <w:r w:rsidRPr="00E53F5F">
              <w:rPr>
                <w:rFonts w:eastAsia="Times New Roman" w:cstheme="minorHAnsi"/>
                <w:sz w:val="24"/>
                <w:szCs w:val="24"/>
                <w:highlight w:val="yellow"/>
                <w:lang w:eastAsia="pt-BR"/>
              </w:rPr>
              <w:t xml:space="preserve"> NORMATIVA</w:t>
            </w:r>
            <w:r>
              <w:rPr>
                <w:rFonts w:eastAsia="Times New Roman" w:cstheme="minorHAnsi"/>
                <w:sz w:val="24"/>
                <w:szCs w:val="24"/>
                <w:lang w:eastAsia="pt-BR"/>
              </w:rPr>
              <w:t>.</w:t>
            </w:r>
          </w:p>
        </w:tc>
      </w:tr>
      <w:tr w:rsidR="00E91EA6" w:rsidRPr="00C031E1" w14:paraId="54C4AE30" w14:textId="77777777" w:rsidTr="001B566D">
        <w:tc>
          <w:tcPr>
            <w:tcW w:w="4957" w:type="dxa"/>
          </w:tcPr>
          <w:p w14:paraId="563F3CD7"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15. A EFPC deve assegurar que o atuário, ao assumir a responsabilidade pelo plano de benefícios:</w:t>
            </w:r>
          </w:p>
        </w:tc>
        <w:tc>
          <w:tcPr>
            <w:tcW w:w="5103" w:type="dxa"/>
            <w:noWrap/>
            <w:hideMark/>
          </w:tcPr>
          <w:p w14:paraId="530DEF8D" w14:textId="222A04C8"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91</w:t>
            </w:r>
            <w:r w:rsidR="000A6F79">
              <w:rPr>
                <w:rFonts w:eastAsia="Times New Roman" w:cstheme="minorHAnsi"/>
                <w:sz w:val="24"/>
                <w:szCs w:val="24"/>
                <w:lang w:eastAsia="pt-BR"/>
              </w:rPr>
              <w:t>1</w:t>
            </w:r>
            <w:r w:rsidRPr="00C031E1">
              <w:rPr>
                <w:rFonts w:eastAsia="Times New Roman" w:cstheme="minorHAnsi"/>
                <w:sz w:val="24"/>
                <w:szCs w:val="24"/>
                <w:lang w:eastAsia="pt-BR"/>
              </w:rPr>
              <w:t>.  A EFPC deve assegurar que o atuário, ao assumir a responsabilidade pelo plano de benefícios:</w:t>
            </w:r>
          </w:p>
        </w:tc>
        <w:tc>
          <w:tcPr>
            <w:tcW w:w="4677" w:type="dxa"/>
            <w:noWrap/>
            <w:hideMark/>
          </w:tcPr>
          <w:p w14:paraId="58ABE031" w14:textId="77777777" w:rsidR="00E91EA6" w:rsidRPr="00C031E1" w:rsidRDefault="00E91EA6" w:rsidP="00E91EA6">
            <w:pPr>
              <w:jc w:val="both"/>
              <w:rPr>
                <w:rFonts w:eastAsia="Times New Roman" w:cstheme="minorHAnsi"/>
                <w:sz w:val="24"/>
                <w:szCs w:val="24"/>
                <w:lang w:eastAsia="pt-BR"/>
              </w:rPr>
            </w:pPr>
          </w:p>
        </w:tc>
      </w:tr>
      <w:tr w:rsidR="00E91EA6" w:rsidRPr="00C031E1" w14:paraId="2F48B941" w14:textId="77777777" w:rsidTr="001B566D">
        <w:tc>
          <w:tcPr>
            <w:tcW w:w="4957" w:type="dxa"/>
          </w:tcPr>
          <w:p w14:paraId="185B40FB"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 - </w:t>
            </w:r>
            <w:proofErr w:type="gramStart"/>
            <w:r w:rsidRPr="00C031E1">
              <w:rPr>
                <w:rFonts w:cstheme="minorHAnsi"/>
                <w:sz w:val="24"/>
                <w:szCs w:val="24"/>
              </w:rPr>
              <w:t>ratifique</w:t>
            </w:r>
            <w:proofErr w:type="gramEnd"/>
            <w:r w:rsidRPr="00C031E1">
              <w:rPr>
                <w:rFonts w:cstheme="minorHAnsi"/>
                <w:sz w:val="24"/>
                <w:szCs w:val="24"/>
              </w:rPr>
              <w:t xml:space="preserve"> formalmente a nota técnica atuarial em vigor, caso considere o documento apropriado às regras regulamentares do plano e </w:t>
            </w:r>
            <w:r w:rsidRPr="00C031E1">
              <w:rPr>
                <w:rFonts w:cstheme="minorHAnsi"/>
                <w:sz w:val="24"/>
                <w:szCs w:val="24"/>
              </w:rPr>
              <w:lastRenderedPageBreak/>
              <w:t>aderente aos requisitos técnico-atuariais pertinentes; ou</w:t>
            </w:r>
          </w:p>
        </w:tc>
        <w:tc>
          <w:tcPr>
            <w:tcW w:w="5103" w:type="dxa"/>
            <w:noWrap/>
            <w:hideMark/>
          </w:tcPr>
          <w:p w14:paraId="7FD892FB"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lastRenderedPageBreak/>
              <w:t xml:space="preserve">I - </w:t>
            </w:r>
            <w:proofErr w:type="gramStart"/>
            <w:r w:rsidRPr="00C031E1">
              <w:rPr>
                <w:rFonts w:eastAsia="Times New Roman" w:cstheme="minorHAnsi"/>
                <w:sz w:val="24"/>
                <w:szCs w:val="24"/>
                <w:lang w:eastAsia="pt-BR"/>
              </w:rPr>
              <w:t>ratifique</w:t>
            </w:r>
            <w:proofErr w:type="gramEnd"/>
            <w:r w:rsidRPr="00C031E1">
              <w:rPr>
                <w:rFonts w:eastAsia="Times New Roman" w:cstheme="minorHAnsi"/>
                <w:sz w:val="24"/>
                <w:szCs w:val="24"/>
                <w:lang w:eastAsia="pt-BR"/>
              </w:rPr>
              <w:t xml:space="preserve"> formalmente a nota técnica atuarial em vigor, caso considere o documento apropriado às regras regulamentares do plano e aderente aos requisitos técnico-atuariais pertinentes; ou</w:t>
            </w:r>
          </w:p>
        </w:tc>
        <w:tc>
          <w:tcPr>
            <w:tcW w:w="4677" w:type="dxa"/>
            <w:noWrap/>
            <w:hideMark/>
          </w:tcPr>
          <w:p w14:paraId="328B910F" w14:textId="77777777" w:rsidR="00E91EA6" w:rsidRPr="00C031E1" w:rsidRDefault="00E91EA6" w:rsidP="00E91EA6">
            <w:pPr>
              <w:jc w:val="both"/>
              <w:rPr>
                <w:rFonts w:eastAsia="Times New Roman" w:cstheme="minorHAnsi"/>
                <w:sz w:val="24"/>
                <w:szCs w:val="24"/>
                <w:lang w:eastAsia="pt-BR"/>
              </w:rPr>
            </w:pPr>
          </w:p>
        </w:tc>
      </w:tr>
      <w:tr w:rsidR="00E91EA6" w:rsidRPr="00C031E1" w14:paraId="5F7394E8" w14:textId="77777777" w:rsidTr="001B566D">
        <w:tc>
          <w:tcPr>
            <w:tcW w:w="4957" w:type="dxa"/>
          </w:tcPr>
          <w:p w14:paraId="13F7AD0F"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II - </w:t>
            </w:r>
            <w:proofErr w:type="gramStart"/>
            <w:r w:rsidRPr="00C031E1">
              <w:rPr>
                <w:rFonts w:cstheme="minorHAnsi"/>
                <w:sz w:val="24"/>
                <w:szCs w:val="24"/>
              </w:rPr>
              <w:t>elabore</w:t>
            </w:r>
            <w:proofErr w:type="gramEnd"/>
            <w:r w:rsidRPr="00C031E1">
              <w:rPr>
                <w:rFonts w:cstheme="minorHAnsi"/>
                <w:sz w:val="24"/>
                <w:szCs w:val="24"/>
              </w:rPr>
              <w:t xml:space="preserve"> nota técnica atuarial, com as justificativas da alteração.</w:t>
            </w:r>
          </w:p>
        </w:tc>
        <w:tc>
          <w:tcPr>
            <w:tcW w:w="5103" w:type="dxa"/>
            <w:noWrap/>
            <w:hideMark/>
          </w:tcPr>
          <w:p w14:paraId="1FB6E601"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II - </w:t>
            </w:r>
            <w:proofErr w:type="gramStart"/>
            <w:r w:rsidRPr="00C031E1">
              <w:rPr>
                <w:rFonts w:eastAsia="Times New Roman" w:cstheme="minorHAnsi"/>
                <w:sz w:val="24"/>
                <w:szCs w:val="24"/>
                <w:lang w:eastAsia="pt-BR"/>
              </w:rPr>
              <w:t>elabore</w:t>
            </w:r>
            <w:proofErr w:type="gramEnd"/>
            <w:r w:rsidRPr="00C031E1">
              <w:rPr>
                <w:rFonts w:eastAsia="Times New Roman" w:cstheme="minorHAnsi"/>
                <w:sz w:val="24"/>
                <w:szCs w:val="24"/>
                <w:lang w:eastAsia="pt-BR"/>
              </w:rPr>
              <w:t xml:space="preserve"> nota técnica atuarial, com as justificativas da alteração.</w:t>
            </w:r>
          </w:p>
        </w:tc>
        <w:tc>
          <w:tcPr>
            <w:tcW w:w="4677" w:type="dxa"/>
            <w:noWrap/>
            <w:hideMark/>
          </w:tcPr>
          <w:p w14:paraId="46A267C4" w14:textId="77777777" w:rsidR="00E91EA6" w:rsidRPr="00C031E1" w:rsidRDefault="00E91EA6" w:rsidP="00E91EA6">
            <w:pPr>
              <w:jc w:val="both"/>
              <w:rPr>
                <w:rFonts w:eastAsia="Times New Roman" w:cstheme="minorHAnsi"/>
                <w:sz w:val="24"/>
                <w:szCs w:val="24"/>
                <w:lang w:eastAsia="pt-BR"/>
              </w:rPr>
            </w:pPr>
          </w:p>
        </w:tc>
      </w:tr>
      <w:tr w:rsidR="00E91EA6" w:rsidRPr="00C031E1" w14:paraId="68B69802" w14:textId="77777777" w:rsidTr="0077247B">
        <w:tc>
          <w:tcPr>
            <w:tcW w:w="4957" w:type="dxa"/>
            <w:shd w:val="clear" w:color="auto" w:fill="E7E6E6" w:themeFill="background2"/>
          </w:tcPr>
          <w:p w14:paraId="702465CA" w14:textId="701FB6B3" w:rsidR="00E91EA6" w:rsidRPr="00C031E1" w:rsidRDefault="00E91EA6" w:rsidP="00E91EA6">
            <w:pPr>
              <w:jc w:val="both"/>
              <w:rPr>
                <w:rFonts w:cstheme="minorHAnsi"/>
                <w:b/>
                <w:sz w:val="24"/>
                <w:szCs w:val="24"/>
              </w:rPr>
            </w:pPr>
            <w:r w:rsidRPr="00C031E1">
              <w:rPr>
                <w:rFonts w:cstheme="minorHAnsi"/>
                <w:b/>
                <w:sz w:val="24"/>
                <w:szCs w:val="24"/>
              </w:rPr>
              <w:t>Resolução Previc nº 8, de março de 2022.</w:t>
            </w:r>
          </w:p>
        </w:tc>
        <w:tc>
          <w:tcPr>
            <w:tcW w:w="5103" w:type="dxa"/>
            <w:shd w:val="clear" w:color="auto" w:fill="E7E6E6" w:themeFill="background2"/>
            <w:noWrap/>
          </w:tcPr>
          <w:p w14:paraId="3F61EA99" w14:textId="77777777" w:rsidR="00E91EA6" w:rsidRPr="00C031E1" w:rsidRDefault="00E91EA6" w:rsidP="00E91EA6">
            <w:pPr>
              <w:jc w:val="both"/>
              <w:rPr>
                <w:rFonts w:eastAsia="Times New Roman" w:cstheme="minorHAnsi"/>
                <w:sz w:val="24"/>
                <w:szCs w:val="24"/>
                <w:lang w:eastAsia="pt-BR"/>
              </w:rPr>
            </w:pPr>
          </w:p>
        </w:tc>
        <w:tc>
          <w:tcPr>
            <w:tcW w:w="4677" w:type="dxa"/>
            <w:shd w:val="clear" w:color="auto" w:fill="E7E6E6" w:themeFill="background2"/>
            <w:noWrap/>
          </w:tcPr>
          <w:p w14:paraId="2A71BEEF" w14:textId="77777777" w:rsidR="00E91EA6" w:rsidRPr="00C031E1" w:rsidRDefault="00E91EA6" w:rsidP="00E91EA6">
            <w:pPr>
              <w:jc w:val="both"/>
              <w:rPr>
                <w:rFonts w:eastAsia="Times New Roman" w:cstheme="minorHAnsi"/>
                <w:sz w:val="24"/>
                <w:szCs w:val="24"/>
                <w:lang w:eastAsia="pt-BR"/>
              </w:rPr>
            </w:pPr>
          </w:p>
        </w:tc>
      </w:tr>
      <w:tr w:rsidR="00E53F5F" w:rsidRPr="00C031E1" w14:paraId="70619538" w14:textId="77777777" w:rsidTr="001B566D">
        <w:tc>
          <w:tcPr>
            <w:tcW w:w="4957" w:type="dxa"/>
          </w:tcPr>
          <w:p w14:paraId="45F96B7F" w14:textId="139B7C41" w:rsidR="00E53F5F" w:rsidRPr="00C031E1" w:rsidRDefault="00E53F5F" w:rsidP="00E91EA6">
            <w:pPr>
              <w:jc w:val="both"/>
              <w:rPr>
                <w:rFonts w:cstheme="minorHAnsi"/>
                <w:sz w:val="24"/>
                <w:szCs w:val="24"/>
              </w:rPr>
            </w:pPr>
            <w:r w:rsidRPr="00E53F5F">
              <w:rPr>
                <w:rFonts w:cstheme="minorHAnsi"/>
                <w:sz w:val="24"/>
                <w:szCs w:val="24"/>
              </w:rPr>
              <w:t>Dispõe sobre as regras para contratação de seguros para cobertura de riscos pelas entidades fechadas de previdência complementar</w:t>
            </w:r>
          </w:p>
        </w:tc>
        <w:tc>
          <w:tcPr>
            <w:tcW w:w="5103" w:type="dxa"/>
            <w:noWrap/>
          </w:tcPr>
          <w:p w14:paraId="0C9DBA16" w14:textId="77777777" w:rsidR="00E53F5F" w:rsidRPr="00C031E1" w:rsidRDefault="00E53F5F" w:rsidP="00E91EA6">
            <w:pPr>
              <w:jc w:val="both"/>
              <w:rPr>
                <w:rFonts w:eastAsia="Times New Roman" w:cstheme="minorHAnsi"/>
                <w:sz w:val="24"/>
                <w:szCs w:val="24"/>
                <w:lang w:eastAsia="pt-BR"/>
              </w:rPr>
            </w:pPr>
          </w:p>
        </w:tc>
        <w:tc>
          <w:tcPr>
            <w:tcW w:w="4677" w:type="dxa"/>
            <w:noWrap/>
          </w:tcPr>
          <w:p w14:paraId="19F89465" w14:textId="77777777" w:rsidR="00E53F5F" w:rsidRPr="00C031E1" w:rsidRDefault="00E53F5F" w:rsidP="00E91EA6">
            <w:pPr>
              <w:jc w:val="both"/>
              <w:rPr>
                <w:rFonts w:eastAsia="Times New Roman" w:cstheme="minorHAnsi"/>
                <w:sz w:val="24"/>
                <w:szCs w:val="24"/>
                <w:lang w:eastAsia="pt-BR"/>
              </w:rPr>
            </w:pPr>
          </w:p>
        </w:tc>
      </w:tr>
      <w:tr w:rsidR="00E91EA6" w:rsidRPr="00C031E1" w14:paraId="741A2716" w14:textId="77777777" w:rsidTr="001B566D">
        <w:tc>
          <w:tcPr>
            <w:tcW w:w="4957" w:type="dxa"/>
          </w:tcPr>
          <w:p w14:paraId="3FF285FA"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Art. 10. A nota técnica atuarial e o plano de custeio de cada plano de benefícios objeto de contrato de seguro devem prever o tratamento a ser dado às seguintes situações:</w:t>
            </w:r>
          </w:p>
        </w:tc>
        <w:tc>
          <w:tcPr>
            <w:tcW w:w="5103" w:type="dxa"/>
            <w:noWrap/>
            <w:hideMark/>
          </w:tcPr>
          <w:p w14:paraId="560AAE52" w14:textId="26FC7CA2"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 91</w:t>
            </w:r>
            <w:r w:rsidR="000A6F79">
              <w:rPr>
                <w:rFonts w:eastAsia="Times New Roman" w:cstheme="minorHAnsi"/>
                <w:sz w:val="24"/>
                <w:szCs w:val="24"/>
                <w:lang w:eastAsia="pt-BR"/>
              </w:rPr>
              <w:t>2</w:t>
            </w:r>
            <w:r w:rsidRPr="00C031E1">
              <w:rPr>
                <w:rFonts w:eastAsia="Times New Roman" w:cstheme="minorHAnsi"/>
                <w:sz w:val="24"/>
                <w:szCs w:val="24"/>
                <w:lang w:eastAsia="pt-BR"/>
              </w:rPr>
              <w:t>.  A nota técnica atuarial e o plano de custeio de cada plano de benefícios, objeto de contrato de seguro, devem prever o tratamento a ser dado às seguintes situações:</w:t>
            </w:r>
          </w:p>
        </w:tc>
        <w:tc>
          <w:tcPr>
            <w:tcW w:w="4677" w:type="dxa"/>
            <w:noWrap/>
            <w:hideMark/>
          </w:tcPr>
          <w:p w14:paraId="72CE6C35" w14:textId="5C790269" w:rsidR="00E91EA6" w:rsidRPr="00C031E1" w:rsidRDefault="00E91EA6" w:rsidP="00E91EA6">
            <w:pPr>
              <w:jc w:val="both"/>
              <w:rPr>
                <w:rFonts w:eastAsia="Times New Roman" w:cstheme="minorHAnsi"/>
                <w:sz w:val="24"/>
                <w:szCs w:val="24"/>
                <w:lang w:eastAsia="pt-BR"/>
              </w:rPr>
            </w:pPr>
          </w:p>
        </w:tc>
      </w:tr>
      <w:tr w:rsidR="00E91EA6" w:rsidRPr="00C031E1" w14:paraId="14950627" w14:textId="77777777" w:rsidTr="001B566D">
        <w:tc>
          <w:tcPr>
            <w:tcW w:w="4957" w:type="dxa"/>
          </w:tcPr>
          <w:p w14:paraId="2A5A5E52"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 - </w:t>
            </w:r>
            <w:proofErr w:type="gramStart"/>
            <w:r w:rsidRPr="00C031E1">
              <w:rPr>
                <w:rFonts w:cstheme="minorHAnsi"/>
                <w:sz w:val="24"/>
                <w:szCs w:val="24"/>
              </w:rPr>
              <w:t>exclusão</w:t>
            </w:r>
            <w:proofErr w:type="gramEnd"/>
            <w:r w:rsidRPr="00C031E1">
              <w:rPr>
                <w:rFonts w:cstheme="minorHAnsi"/>
                <w:sz w:val="24"/>
                <w:szCs w:val="24"/>
              </w:rPr>
              <w:t xml:space="preserve"> de determinados riscos pela sociedade seguradora; e</w:t>
            </w:r>
          </w:p>
        </w:tc>
        <w:tc>
          <w:tcPr>
            <w:tcW w:w="5103" w:type="dxa"/>
            <w:noWrap/>
            <w:hideMark/>
          </w:tcPr>
          <w:p w14:paraId="67E135D8"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 - </w:t>
            </w:r>
            <w:proofErr w:type="gramStart"/>
            <w:r w:rsidRPr="00C031E1">
              <w:rPr>
                <w:rFonts w:eastAsia="Times New Roman" w:cstheme="minorHAnsi"/>
                <w:sz w:val="24"/>
                <w:szCs w:val="24"/>
                <w:lang w:eastAsia="pt-BR"/>
              </w:rPr>
              <w:t>exclusão</w:t>
            </w:r>
            <w:proofErr w:type="gramEnd"/>
            <w:r w:rsidRPr="00C031E1">
              <w:rPr>
                <w:rFonts w:eastAsia="Times New Roman" w:cstheme="minorHAnsi"/>
                <w:sz w:val="24"/>
                <w:szCs w:val="24"/>
                <w:lang w:eastAsia="pt-BR"/>
              </w:rPr>
              <w:t xml:space="preserve"> de determinados riscos pela sociedade seguradora; e</w:t>
            </w:r>
          </w:p>
        </w:tc>
        <w:tc>
          <w:tcPr>
            <w:tcW w:w="4677" w:type="dxa"/>
            <w:noWrap/>
            <w:hideMark/>
          </w:tcPr>
          <w:p w14:paraId="45DB994D" w14:textId="77777777" w:rsidR="00E91EA6" w:rsidRPr="00C031E1" w:rsidRDefault="00E91EA6" w:rsidP="00E91EA6">
            <w:pPr>
              <w:jc w:val="both"/>
              <w:rPr>
                <w:rFonts w:eastAsia="Times New Roman" w:cstheme="minorHAnsi"/>
                <w:sz w:val="24"/>
                <w:szCs w:val="24"/>
                <w:lang w:eastAsia="pt-BR"/>
              </w:rPr>
            </w:pPr>
          </w:p>
        </w:tc>
      </w:tr>
      <w:tr w:rsidR="00E91EA6" w:rsidRPr="00C031E1" w14:paraId="7BE4E030" w14:textId="77777777" w:rsidTr="001B566D">
        <w:tc>
          <w:tcPr>
            <w:tcW w:w="4957" w:type="dxa"/>
          </w:tcPr>
          <w:p w14:paraId="3419BE37" w14:textId="77777777" w:rsidR="00E91EA6" w:rsidRPr="00C031E1" w:rsidRDefault="00E91EA6" w:rsidP="00E91EA6">
            <w:pPr>
              <w:jc w:val="both"/>
              <w:rPr>
                <w:rFonts w:eastAsia="Times New Roman" w:cstheme="minorHAnsi"/>
                <w:sz w:val="24"/>
                <w:szCs w:val="24"/>
                <w:lang w:eastAsia="pt-BR"/>
              </w:rPr>
            </w:pPr>
            <w:r w:rsidRPr="00C031E1">
              <w:rPr>
                <w:rFonts w:cstheme="minorHAnsi"/>
                <w:sz w:val="24"/>
                <w:szCs w:val="24"/>
              </w:rPr>
              <w:t xml:space="preserve">II - </w:t>
            </w:r>
            <w:proofErr w:type="gramStart"/>
            <w:r w:rsidRPr="00C031E1">
              <w:rPr>
                <w:rFonts w:cstheme="minorHAnsi"/>
                <w:sz w:val="24"/>
                <w:szCs w:val="24"/>
              </w:rPr>
              <w:t>recusa</w:t>
            </w:r>
            <w:proofErr w:type="gramEnd"/>
            <w:r w:rsidRPr="00C031E1">
              <w:rPr>
                <w:rFonts w:cstheme="minorHAnsi"/>
                <w:sz w:val="24"/>
                <w:szCs w:val="24"/>
              </w:rPr>
              <w:t xml:space="preserve"> de participantes ou assistidos pela sociedade seguradora.</w:t>
            </w:r>
          </w:p>
        </w:tc>
        <w:tc>
          <w:tcPr>
            <w:tcW w:w="5103" w:type="dxa"/>
            <w:noWrap/>
            <w:hideMark/>
          </w:tcPr>
          <w:p w14:paraId="5AA318B9" w14:textId="77777777"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II - </w:t>
            </w:r>
            <w:proofErr w:type="gramStart"/>
            <w:r w:rsidRPr="00C031E1">
              <w:rPr>
                <w:rFonts w:eastAsia="Times New Roman" w:cstheme="minorHAnsi"/>
                <w:sz w:val="24"/>
                <w:szCs w:val="24"/>
                <w:lang w:eastAsia="pt-BR"/>
              </w:rPr>
              <w:t>recusa</w:t>
            </w:r>
            <w:proofErr w:type="gramEnd"/>
            <w:r w:rsidRPr="00C031E1">
              <w:rPr>
                <w:rFonts w:eastAsia="Times New Roman" w:cstheme="minorHAnsi"/>
                <w:sz w:val="24"/>
                <w:szCs w:val="24"/>
                <w:lang w:eastAsia="pt-BR"/>
              </w:rPr>
              <w:t xml:space="preserve"> de participantes ou assistidos pela sociedade seguradora.</w:t>
            </w:r>
          </w:p>
        </w:tc>
        <w:tc>
          <w:tcPr>
            <w:tcW w:w="4677" w:type="dxa"/>
            <w:noWrap/>
            <w:hideMark/>
          </w:tcPr>
          <w:p w14:paraId="3DF85BC1" w14:textId="77777777" w:rsidR="00E91EA6" w:rsidRPr="00C031E1" w:rsidRDefault="00E91EA6" w:rsidP="00E91EA6">
            <w:pPr>
              <w:jc w:val="both"/>
              <w:rPr>
                <w:rFonts w:eastAsia="Times New Roman" w:cstheme="minorHAnsi"/>
                <w:sz w:val="24"/>
                <w:szCs w:val="24"/>
                <w:lang w:eastAsia="pt-BR"/>
              </w:rPr>
            </w:pPr>
          </w:p>
        </w:tc>
      </w:tr>
      <w:tr w:rsidR="00E91EA6" w:rsidRPr="00C031E1" w14:paraId="090E5673" w14:textId="77777777" w:rsidTr="001B566D">
        <w:trPr>
          <w:trHeight w:val="60"/>
        </w:trPr>
        <w:tc>
          <w:tcPr>
            <w:tcW w:w="4957" w:type="dxa"/>
          </w:tcPr>
          <w:p w14:paraId="0157E3C5" w14:textId="77777777" w:rsidR="00E91EA6" w:rsidRPr="00C031E1" w:rsidRDefault="00E91EA6" w:rsidP="00E91EA6">
            <w:pPr>
              <w:jc w:val="both"/>
              <w:rPr>
                <w:rFonts w:cstheme="minorHAnsi"/>
                <w:sz w:val="24"/>
                <w:szCs w:val="24"/>
              </w:rPr>
            </w:pPr>
          </w:p>
        </w:tc>
        <w:tc>
          <w:tcPr>
            <w:tcW w:w="5103" w:type="dxa"/>
            <w:noWrap/>
          </w:tcPr>
          <w:p w14:paraId="23CEFBFB" w14:textId="441822AB" w:rsidR="00E91EA6" w:rsidRPr="00C031E1" w:rsidRDefault="00E91EA6"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 xml:space="preserve">Subseção </w:t>
            </w:r>
            <w:r w:rsidR="00AB5D4F">
              <w:rPr>
                <w:rFonts w:eastAsia="Times New Roman" w:cstheme="minorHAnsi"/>
                <w:b/>
                <w:bCs/>
                <w:sz w:val="24"/>
                <w:szCs w:val="24"/>
                <w:lang w:eastAsia="pt-BR"/>
              </w:rPr>
              <w:t>IV</w:t>
            </w:r>
          </w:p>
          <w:p w14:paraId="23C9A627" w14:textId="3B666743" w:rsidR="00E91EA6" w:rsidRPr="00C031E1" w:rsidRDefault="00E91EA6" w:rsidP="00E91EA6">
            <w:pPr>
              <w:jc w:val="center"/>
              <w:rPr>
                <w:rFonts w:eastAsia="Times New Roman" w:cstheme="minorHAnsi"/>
                <w:sz w:val="24"/>
                <w:szCs w:val="24"/>
                <w:lang w:eastAsia="pt-BR"/>
              </w:rPr>
            </w:pPr>
            <w:r w:rsidRPr="00C031E1">
              <w:rPr>
                <w:rFonts w:eastAsia="Times New Roman" w:cstheme="minorHAnsi"/>
                <w:b/>
                <w:bCs/>
                <w:sz w:val="24"/>
                <w:szCs w:val="24"/>
                <w:lang w:eastAsia="pt-BR"/>
              </w:rPr>
              <w:t>Envio das Informações Atuariais</w:t>
            </w:r>
          </w:p>
        </w:tc>
        <w:tc>
          <w:tcPr>
            <w:tcW w:w="4677" w:type="dxa"/>
            <w:noWrap/>
          </w:tcPr>
          <w:p w14:paraId="0C78FB0F" w14:textId="29F8F614" w:rsidR="00E91EA6" w:rsidRPr="00C031E1" w:rsidRDefault="00E91EA6" w:rsidP="00E91EA6">
            <w:pPr>
              <w:jc w:val="both"/>
              <w:rPr>
                <w:rFonts w:cstheme="minorHAnsi"/>
                <w:sz w:val="24"/>
                <w:szCs w:val="24"/>
              </w:rPr>
            </w:pPr>
            <w:r w:rsidRPr="00C031E1">
              <w:rPr>
                <w:rFonts w:eastAsia="Times New Roman" w:cstheme="minorHAnsi"/>
                <w:sz w:val="24"/>
                <w:szCs w:val="24"/>
                <w:lang w:eastAsia="pt-BR"/>
              </w:rPr>
              <w:t xml:space="preserve">Realocação das disposições gerais da </w:t>
            </w:r>
            <w:r w:rsidRPr="00C031E1">
              <w:rPr>
                <w:rFonts w:cstheme="minorHAnsi"/>
                <w:sz w:val="24"/>
                <w:szCs w:val="24"/>
              </w:rPr>
              <w:t>Resolução Previc nº 07/ 2022.</w:t>
            </w:r>
          </w:p>
          <w:p w14:paraId="09F7F8BE" w14:textId="18441DCF" w:rsidR="00E91EA6" w:rsidRPr="00C031E1" w:rsidRDefault="00E91EA6" w:rsidP="00E91EA6">
            <w:pPr>
              <w:jc w:val="both"/>
              <w:rPr>
                <w:rFonts w:eastAsia="Times New Roman" w:cstheme="minorHAnsi"/>
                <w:sz w:val="24"/>
                <w:szCs w:val="24"/>
                <w:lang w:eastAsia="pt-BR"/>
              </w:rPr>
            </w:pPr>
          </w:p>
        </w:tc>
      </w:tr>
      <w:tr w:rsidR="00E91EA6" w:rsidRPr="00C031E1" w14:paraId="53503EAB" w14:textId="77777777" w:rsidTr="001B566D">
        <w:trPr>
          <w:trHeight w:val="60"/>
        </w:trPr>
        <w:tc>
          <w:tcPr>
            <w:tcW w:w="4957" w:type="dxa"/>
          </w:tcPr>
          <w:p w14:paraId="46033809" w14:textId="77777777" w:rsidR="00E91EA6" w:rsidRPr="00C031E1" w:rsidRDefault="00E91EA6" w:rsidP="00E91EA6">
            <w:pPr>
              <w:jc w:val="both"/>
              <w:rPr>
                <w:rFonts w:cstheme="minorHAnsi"/>
                <w:sz w:val="24"/>
                <w:szCs w:val="24"/>
              </w:rPr>
            </w:pPr>
          </w:p>
        </w:tc>
        <w:tc>
          <w:tcPr>
            <w:tcW w:w="5103" w:type="dxa"/>
            <w:noWrap/>
          </w:tcPr>
          <w:p w14:paraId="048987D1" w14:textId="45D2CA28"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Art.</w:t>
            </w:r>
            <w:r w:rsidR="000D0F8E">
              <w:rPr>
                <w:rFonts w:eastAsia="Times New Roman" w:cstheme="minorHAnsi"/>
                <w:sz w:val="24"/>
                <w:szCs w:val="24"/>
                <w:lang w:eastAsia="pt-BR"/>
              </w:rPr>
              <w:t xml:space="preserve"> </w:t>
            </w:r>
            <w:r w:rsidRPr="00C031E1">
              <w:rPr>
                <w:rFonts w:eastAsia="Times New Roman" w:cstheme="minorHAnsi"/>
                <w:sz w:val="24"/>
                <w:szCs w:val="24"/>
                <w:lang w:eastAsia="pt-BR"/>
              </w:rPr>
              <w:t>9</w:t>
            </w:r>
            <w:r>
              <w:rPr>
                <w:rFonts w:eastAsia="Times New Roman" w:cstheme="minorHAnsi"/>
                <w:sz w:val="24"/>
                <w:szCs w:val="24"/>
                <w:lang w:eastAsia="pt-BR"/>
              </w:rPr>
              <w:t>1</w:t>
            </w:r>
            <w:r w:rsidR="000A6F79">
              <w:rPr>
                <w:rFonts w:eastAsia="Times New Roman" w:cstheme="minorHAnsi"/>
                <w:sz w:val="24"/>
                <w:szCs w:val="24"/>
                <w:lang w:eastAsia="pt-BR"/>
              </w:rPr>
              <w:t>3</w:t>
            </w:r>
            <w:r w:rsidRPr="00C031E1">
              <w:rPr>
                <w:rFonts w:eastAsia="Times New Roman" w:cstheme="minorHAnsi"/>
                <w:sz w:val="24"/>
                <w:szCs w:val="24"/>
                <w:lang w:eastAsia="pt-BR"/>
              </w:rPr>
              <w:t>. O envio de documentos e informações atuariais à Previc deve ser realizado:</w:t>
            </w:r>
          </w:p>
        </w:tc>
        <w:tc>
          <w:tcPr>
            <w:tcW w:w="4677" w:type="dxa"/>
            <w:noWrap/>
          </w:tcPr>
          <w:p w14:paraId="2B2C0889" w14:textId="238ACF99" w:rsidR="00E91EA6" w:rsidRPr="00C031E1" w:rsidRDefault="000D0F8E" w:rsidP="001D7D70">
            <w:pPr>
              <w:jc w:val="both"/>
              <w:rPr>
                <w:rFonts w:eastAsia="Times New Roman" w:cstheme="minorHAnsi"/>
                <w:sz w:val="24"/>
                <w:szCs w:val="24"/>
                <w:lang w:eastAsia="pt-BR"/>
              </w:rPr>
            </w:pPr>
            <w:r>
              <w:rPr>
                <w:rFonts w:eastAsia="Times New Roman" w:cstheme="minorHAnsi"/>
                <w:sz w:val="24"/>
                <w:szCs w:val="24"/>
                <w:lang w:eastAsia="pt-BR"/>
              </w:rPr>
              <w:t xml:space="preserve">Realocado do § 2º do </w:t>
            </w:r>
            <w:proofErr w:type="spellStart"/>
            <w:r>
              <w:rPr>
                <w:rFonts w:eastAsia="Times New Roman" w:cstheme="minorHAnsi"/>
                <w:sz w:val="24"/>
                <w:szCs w:val="24"/>
                <w:lang w:eastAsia="pt-BR"/>
              </w:rPr>
              <w:t>art</w:t>
            </w:r>
            <w:proofErr w:type="spellEnd"/>
            <w:r>
              <w:rPr>
                <w:rFonts w:eastAsia="Times New Roman" w:cstheme="minorHAnsi"/>
                <w:sz w:val="24"/>
                <w:szCs w:val="24"/>
                <w:lang w:eastAsia="pt-BR"/>
              </w:rPr>
              <w:t xml:space="preserve"> 1º da Resolução Previc nº 07/2022.</w:t>
            </w:r>
          </w:p>
        </w:tc>
      </w:tr>
      <w:tr w:rsidR="00E91EA6" w:rsidRPr="00C031E1" w14:paraId="4C43572F" w14:textId="77777777" w:rsidTr="001B566D">
        <w:trPr>
          <w:trHeight w:val="60"/>
        </w:trPr>
        <w:tc>
          <w:tcPr>
            <w:tcW w:w="4957" w:type="dxa"/>
          </w:tcPr>
          <w:p w14:paraId="48810A3A" w14:textId="77777777" w:rsidR="00E91EA6" w:rsidRPr="00C031E1" w:rsidRDefault="00E91EA6" w:rsidP="00E91EA6">
            <w:pPr>
              <w:jc w:val="both"/>
              <w:rPr>
                <w:rFonts w:cstheme="minorHAnsi"/>
                <w:sz w:val="24"/>
                <w:szCs w:val="24"/>
              </w:rPr>
            </w:pPr>
          </w:p>
        </w:tc>
        <w:tc>
          <w:tcPr>
            <w:tcW w:w="5103" w:type="dxa"/>
            <w:noWrap/>
          </w:tcPr>
          <w:p w14:paraId="19722053" w14:textId="7CC9618B"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 - </w:t>
            </w:r>
            <w:proofErr w:type="gramStart"/>
            <w:r w:rsidRPr="00C031E1">
              <w:rPr>
                <w:rFonts w:eastAsia="Times New Roman" w:cstheme="minorHAnsi"/>
                <w:sz w:val="24"/>
                <w:szCs w:val="24"/>
                <w:lang w:eastAsia="pt-BR"/>
              </w:rPr>
              <w:t>até</w:t>
            </w:r>
            <w:proofErr w:type="gramEnd"/>
            <w:r w:rsidRPr="00C031E1">
              <w:rPr>
                <w:rFonts w:eastAsia="Times New Roman" w:cstheme="minorHAnsi"/>
                <w:sz w:val="24"/>
                <w:szCs w:val="24"/>
                <w:lang w:eastAsia="pt-BR"/>
              </w:rPr>
              <w:t xml:space="preserve"> 31 de março do exercício subsequente, para as demonstrações atuariais relativas ao encerramento do exercício de referência; e</w:t>
            </w:r>
          </w:p>
        </w:tc>
        <w:tc>
          <w:tcPr>
            <w:tcW w:w="4677" w:type="dxa"/>
            <w:noWrap/>
          </w:tcPr>
          <w:p w14:paraId="4A4ECE0B" w14:textId="77777777" w:rsidR="00E91EA6" w:rsidRPr="00C031E1" w:rsidRDefault="00E91EA6" w:rsidP="00E91EA6">
            <w:pPr>
              <w:jc w:val="both"/>
              <w:rPr>
                <w:rFonts w:eastAsia="Times New Roman" w:cstheme="minorHAnsi"/>
                <w:sz w:val="24"/>
                <w:szCs w:val="24"/>
                <w:lang w:eastAsia="pt-BR"/>
              </w:rPr>
            </w:pPr>
          </w:p>
        </w:tc>
      </w:tr>
      <w:tr w:rsidR="00E91EA6" w:rsidRPr="00C031E1" w14:paraId="27E5A10D" w14:textId="77777777" w:rsidTr="001B566D">
        <w:trPr>
          <w:trHeight w:val="60"/>
        </w:trPr>
        <w:tc>
          <w:tcPr>
            <w:tcW w:w="4957" w:type="dxa"/>
          </w:tcPr>
          <w:p w14:paraId="4E748216" w14:textId="77777777" w:rsidR="00E91EA6" w:rsidRPr="00C031E1" w:rsidRDefault="00E91EA6" w:rsidP="00E91EA6">
            <w:pPr>
              <w:jc w:val="both"/>
              <w:rPr>
                <w:rFonts w:cstheme="minorHAnsi"/>
                <w:sz w:val="24"/>
                <w:szCs w:val="24"/>
              </w:rPr>
            </w:pPr>
          </w:p>
        </w:tc>
        <w:tc>
          <w:tcPr>
            <w:tcW w:w="5103" w:type="dxa"/>
            <w:noWrap/>
          </w:tcPr>
          <w:p w14:paraId="66AF61ED" w14:textId="54B01F1C"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 xml:space="preserve">II - </w:t>
            </w:r>
            <w:proofErr w:type="gramStart"/>
            <w:r w:rsidRPr="00C031E1">
              <w:rPr>
                <w:rFonts w:eastAsia="Times New Roman" w:cstheme="minorHAnsi"/>
                <w:sz w:val="24"/>
                <w:szCs w:val="24"/>
                <w:lang w:eastAsia="pt-BR"/>
              </w:rPr>
              <w:t>até</w:t>
            </w:r>
            <w:proofErr w:type="gramEnd"/>
            <w:r w:rsidRPr="00C031E1">
              <w:rPr>
                <w:rFonts w:eastAsia="Times New Roman" w:cstheme="minorHAnsi"/>
                <w:sz w:val="24"/>
                <w:szCs w:val="24"/>
                <w:lang w:eastAsia="pt-BR"/>
              </w:rPr>
              <w:t xml:space="preserve"> noventa dias após a conclusão do fato que motivou a nova avaliação atuarial, para as demonstrações atuariais por fato relevante.</w:t>
            </w:r>
          </w:p>
        </w:tc>
        <w:tc>
          <w:tcPr>
            <w:tcW w:w="4677" w:type="dxa"/>
            <w:noWrap/>
          </w:tcPr>
          <w:p w14:paraId="714CBC6D" w14:textId="77777777" w:rsidR="00E91EA6" w:rsidRPr="00C031E1" w:rsidRDefault="00E91EA6" w:rsidP="00E91EA6">
            <w:pPr>
              <w:jc w:val="both"/>
              <w:rPr>
                <w:rFonts w:eastAsia="Times New Roman" w:cstheme="minorHAnsi"/>
                <w:sz w:val="24"/>
                <w:szCs w:val="24"/>
                <w:lang w:eastAsia="pt-BR"/>
              </w:rPr>
            </w:pPr>
          </w:p>
        </w:tc>
      </w:tr>
      <w:tr w:rsidR="00E91EA6" w:rsidRPr="00C031E1" w14:paraId="41ECD62A" w14:textId="77777777" w:rsidTr="007B463C">
        <w:trPr>
          <w:trHeight w:val="60"/>
        </w:trPr>
        <w:tc>
          <w:tcPr>
            <w:tcW w:w="4957" w:type="dxa"/>
            <w:shd w:val="clear" w:color="auto" w:fill="E7E6E6" w:themeFill="background2"/>
            <w:vAlign w:val="center"/>
          </w:tcPr>
          <w:p w14:paraId="1922D27D" w14:textId="0CAE98EE" w:rsidR="00E91EA6" w:rsidRPr="00C031E1" w:rsidRDefault="00E91EA6" w:rsidP="00E91EA6">
            <w:pPr>
              <w:jc w:val="both"/>
              <w:rPr>
                <w:rFonts w:cstheme="minorHAnsi"/>
                <w:sz w:val="24"/>
                <w:szCs w:val="24"/>
              </w:rPr>
            </w:pPr>
            <w:r w:rsidRPr="00C031E1">
              <w:rPr>
                <w:rFonts w:cstheme="minorHAnsi"/>
                <w:b/>
                <w:sz w:val="24"/>
                <w:szCs w:val="24"/>
              </w:rPr>
              <w:t>Instrução Previc nº 33, 23 de outubro de 2018.</w:t>
            </w:r>
          </w:p>
        </w:tc>
        <w:tc>
          <w:tcPr>
            <w:tcW w:w="5103" w:type="dxa"/>
            <w:shd w:val="clear" w:color="auto" w:fill="E7E6E6" w:themeFill="background2"/>
            <w:noWrap/>
            <w:vAlign w:val="center"/>
          </w:tcPr>
          <w:p w14:paraId="67F1D2E2" w14:textId="77777777" w:rsidR="00E91EA6" w:rsidRPr="00C031E1" w:rsidRDefault="00E91EA6" w:rsidP="00E91EA6">
            <w:pPr>
              <w:jc w:val="both"/>
              <w:rPr>
                <w:rFonts w:eastAsia="Times New Roman" w:cstheme="minorHAnsi"/>
                <w:sz w:val="24"/>
                <w:szCs w:val="24"/>
                <w:lang w:eastAsia="pt-BR"/>
              </w:rPr>
            </w:pPr>
          </w:p>
        </w:tc>
        <w:tc>
          <w:tcPr>
            <w:tcW w:w="4677" w:type="dxa"/>
            <w:shd w:val="clear" w:color="auto" w:fill="E7E6E6" w:themeFill="background2"/>
            <w:noWrap/>
            <w:vAlign w:val="center"/>
          </w:tcPr>
          <w:p w14:paraId="43342143" w14:textId="6C14286B" w:rsidR="00E91EA6" w:rsidRPr="00C031E1" w:rsidRDefault="00E91EA6" w:rsidP="00E91EA6">
            <w:pPr>
              <w:jc w:val="both"/>
              <w:rPr>
                <w:rFonts w:eastAsia="Times New Roman" w:cstheme="minorHAnsi"/>
                <w:sz w:val="24"/>
                <w:szCs w:val="24"/>
                <w:lang w:eastAsia="pt-BR"/>
              </w:rPr>
            </w:pPr>
            <w:r w:rsidRPr="00C031E1">
              <w:rPr>
                <w:rFonts w:eastAsia="Times New Roman" w:cstheme="minorHAnsi"/>
                <w:sz w:val="24"/>
                <w:szCs w:val="24"/>
                <w:lang w:eastAsia="pt-BR"/>
              </w:rPr>
              <w:t>Sugestão não acatada.</w:t>
            </w:r>
          </w:p>
        </w:tc>
      </w:tr>
      <w:tr w:rsidR="00E91EA6" w:rsidRPr="00C031E1" w14:paraId="7DA353CC" w14:textId="77777777" w:rsidTr="00C72B3E">
        <w:trPr>
          <w:trHeight w:val="60"/>
        </w:trPr>
        <w:tc>
          <w:tcPr>
            <w:tcW w:w="4957" w:type="dxa"/>
            <w:vAlign w:val="center"/>
          </w:tcPr>
          <w:p w14:paraId="2882BA45" w14:textId="79DAC66F" w:rsidR="00E91EA6" w:rsidRPr="00C031E1" w:rsidRDefault="00E91EA6" w:rsidP="00E91EA6">
            <w:pPr>
              <w:jc w:val="both"/>
              <w:rPr>
                <w:rFonts w:cstheme="minorHAnsi"/>
                <w:sz w:val="24"/>
                <w:szCs w:val="24"/>
              </w:rPr>
            </w:pPr>
            <w:r w:rsidRPr="00C031E1">
              <w:rPr>
                <w:rFonts w:cstheme="minorHAnsi"/>
                <w:sz w:val="24"/>
                <w:szCs w:val="24"/>
              </w:rPr>
              <w:t>Art. 43. Os documentos elaborados para atendimento ao estabelecido nesta Instrução devem ser mantidos na EFPC à disposição da Previc.</w:t>
            </w:r>
          </w:p>
        </w:tc>
        <w:tc>
          <w:tcPr>
            <w:tcW w:w="5103" w:type="dxa"/>
            <w:noWrap/>
            <w:vAlign w:val="center"/>
          </w:tcPr>
          <w:p w14:paraId="3A30AB14" w14:textId="58FB862F" w:rsidR="00E91EA6" w:rsidRPr="000A6F79" w:rsidRDefault="00E91EA6" w:rsidP="00E91EA6">
            <w:pPr>
              <w:jc w:val="both"/>
              <w:rPr>
                <w:rFonts w:eastAsia="Times New Roman" w:cstheme="minorHAnsi"/>
                <w:strike/>
                <w:sz w:val="24"/>
                <w:szCs w:val="24"/>
                <w:lang w:eastAsia="pt-BR"/>
              </w:rPr>
            </w:pPr>
            <w:r w:rsidRPr="000A6F79">
              <w:rPr>
                <w:rFonts w:eastAsia="Times New Roman" w:cstheme="minorHAnsi"/>
                <w:strike/>
                <w:sz w:val="24"/>
                <w:szCs w:val="24"/>
                <w:lang w:eastAsia="pt-BR"/>
              </w:rPr>
              <w:t>Art. 18.  Os documentos elaborados para atendimento ao estabelecido neste Capítulo devem ser mantidos na EFPC à disposição da Previc.</w:t>
            </w:r>
          </w:p>
        </w:tc>
        <w:tc>
          <w:tcPr>
            <w:tcW w:w="4677" w:type="dxa"/>
            <w:noWrap/>
            <w:vAlign w:val="center"/>
          </w:tcPr>
          <w:p w14:paraId="58E3D15E" w14:textId="1C2B30F5" w:rsidR="00E91EA6" w:rsidRPr="00C031E1" w:rsidRDefault="00077609" w:rsidP="00E91EA6">
            <w:pPr>
              <w:jc w:val="both"/>
              <w:rPr>
                <w:rFonts w:eastAsia="Times New Roman" w:cstheme="minorHAnsi"/>
                <w:sz w:val="24"/>
                <w:szCs w:val="24"/>
                <w:lang w:eastAsia="pt-BR"/>
              </w:rPr>
            </w:pPr>
            <w:r>
              <w:rPr>
                <w:rFonts w:eastAsia="Times New Roman" w:cstheme="minorHAnsi"/>
                <w:sz w:val="24"/>
                <w:szCs w:val="24"/>
                <w:lang w:eastAsia="pt-BR"/>
              </w:rPr>
              <w:t xml:space="preserve">Levado </w:t>
            </w:r>
            <w:r w:rsidR="00E91EA6" w:rsidRPr="00C031E1">
              <w:rPr>
                <w:rFonts w:eastAsia="Times New Roman" w:cstheme="minorHAnsi"/>
                <w:sz w:val="24"/>
                <w:szCs w:val="24"/>
                <w:lang w:eastAsia="pt-BR"/>
              </w:rPr>
              <w:t xml:space="preserve">para o final da Resolução, uma vez que trata de todos os documentos de forma genérica.  </w:t>
            </w:r>
          </w:p>
          <w:p w14:paraId="781FF913" w14:textId="2ED32D4B" w:rsidR="00E91EA6" w:rsidRPr="00C031E1" w:rsidRDefault="00E91EA6" w:rsidP="00E91EA6">
            <w:pPr>
              <w:jc w:val="both"/>
              <w:rPr>
                <w:rFonts w:eastAsia="Times New Roman" w:cstheme="minorHAnsi"/>
                <w:sz w:val="24"/>
                <w:szCs w:val="24"/>
                <w:lang w:eastAsia="pt-BR"/>
              </w:rPr>
            </w:pPr>
            <w:r w:rsidRPr="001D7D70">
              <w:rPr>
                <w:rFonts w:eastAsia="Times New Roman" w:cstheme="minorHAnsi"/>
                <w:sz w:val="24"/>
                <w:szCs w:val="24"/>
                <w:lang w:eastAsia="pt-BR"/>
              </w:rPr>
              <w:lastRenderedPageBreak/>
              <w:t>Em resposta a sugestão apresentada, será necessário, caso seja mantido o artigo, fazer referência aos documentos que são produzidos em decorrência do disposto na Instrução Previc 33/2018. Sugestão de exclusão do texto com a manutenção do artigo no art.43 da consolidação.</w:t>
            </w:r>
          </w:p>
        </w:tc>
      </w:tr>
      <w:tr w:rsidR="000D0F8E" w:rsidRPr="00C031E1" w14:paraId="7B4E0F01" w14:textId="77777777" w:rsidTr="00077609">
        <w:trPr>
          <w:trHeight w:val="60"/>
        </w:trPr>
        <w:tc>
          <w:tcPr>
            <w:tcW w:w="4957" w:type="dxa"/>
            <w:shd w:val="clear" w:color="auto" w:fill="E7E6E6" w:themeFill="background2"/>
          </w:tcPr>
          <w:p w14:paraId="04CD2C73" w14:textId="6F82AA53" w:rsidR="000D0F8E" w:rsidRPr="00C031E1" w:rsidRDefault="000D0F8E" w:rsidP="00E91EA6">
            <w:pPr>
              <w:jc w:val="both"/>
              <w:rPr>
                <w:rFonts w:cstheme="minorHAnsi"/>
                <w:sz w:val="24"/>
                <w:szCs w:val="24"/>
              </w:rPr>
            </w:pPr>
            <w:r>
              <w:rPr>
                <w:rFonts w:cstheme="minorHAnsi"/>
                <w:sz w:val="24"/>
                <w:szCs w:val="24"/>
              </w:rPr>
              <w:lastRenderedPageBreak/>
              <w:t>Resolução Previc nº 21</w:t>
            </w:r>
            <w:r w:rsidR="001D2993">
              <w:rPr>
                <w:rFonts w:cstheme="minorHAnsi"/>
                <w:sz w:val="24"/>
                <w:szCs w:val="24"/>
              </w:rPr>
              <w:t>, de 21 de março de 2023</w:t>
            </w:r>
          </w:p>
        </w:tc>
        <w:tc>
          <w:tcPr>
            <w:tcW w:w="5103" w:type="dxa"/>
            <w:shd w:val="clear" w:color="auto" w:fill="E7E6E6" w:themeFill="background2"/>
            <w:noWrap/>
          </w:tcPr>
          <w:p w14:paraId="4E2EF418" w14:textId="77777777" w:rsidR="000D0F8E" w:rsidRPr="00C031E1" w:rsidRDefault="000D0F8E" w:rsidP="00E91EA6">
            <w:pPr>
              <w:jc w:val="center"/>
              <w:rPr>
                <w:rFonts w:eastAsia="Times New Roman" w:cstheme="minorHAnsi"/>
                <w:b/>
                <w:bCs/>
                <w:sz w:val="24"/>
                <w:szCs w:val="24"/>
                <w:lang w:eastAsia="pt-BR"/>
              </w:rPr>
            </w:pPr>
          </w:p>
        </w:tc>
        <w:tc>
          <w:tcPr>
            <w:tcW w:w="4677" w:type="dxa"/>
            <w:shd w:val="clear" w:color="auto" w:fill="E7E6E6" w:themeFill="background2"/>
            <w:noWrap/>
          </w:tcPr>
          <w:p w14:paraId="7A571F05" w14:textId="77777777" w:rsidR="000D0F8E" w:rsidRPr="00C031E1" w:rsidRDefault="000D0F8E" w:rsidP="00E91EA6">
            <w:pPr>
              <w:jc w:val="both"/>
              <w:rPr>
                <w:rFonts w:eastAsia="Times New Roman" w:cstheme="minorHAnsi"/>
                <w:sz w:val="24"/>
                <w:szCs w:val="24"/>
                <w:lang w:eastAsia="pt-BR"/>
              </w:rPr>
            </w:pPr>
          </w:p>
        </w:tc>
      </w:tr>
      <w:tr w:rsidR="00077609" w:rsidRPr="00C031E1" w14:paraId="7475C080" w14:textId="77777777" w:rsidTr="001B566D">
        <w:trPr>
          <w:trHeight w:val="60"/>
        </w:trPr>
        <w:tc>
          <w:tcPr>
            <w:tcW w:w="4957" w:type="dxa"/>
          </w:tcPr>
          <w:p w14:paraId="30E39BCA" w14:textId="3A1DD7A4" w:rsidR="00077609" w:rsidRPr="00077609" w:rsidRDefault="00077609" w:rsidP="00E91EA6">
            <w:pPr>
              <w:jc w:val="both"/>
              <w:rPr>
                <w:rFonts w:cstheme="minorHAnsi"/>
                <w:sz w:val="24"/>
                <w:szCs w:val="24"/>
              </w:rPr>
            </w:pPr>
            <w:r w:rsidRPr="00077609">
              <w:rPr>
                <w:sz w:val="24"/>
                <w:szCs w:val="24"/>
              </w:rPr>
              <w:t>Dispõe sobre os procedimentos contábeis, o plano contábil padrão, a função e o funcionamento das contas e a forma, o meio e a periodicidade de envio das demonstrações contábeis das entidades fechadas de previdência complementar.</w:t>
            </w:r>
          </w:p>
        </w:tc>
        <w:tc>
          <w:tcPr>
            <w:tcW w:w="5103" w:type="dxa"/>
            <w:noWrap/>
          </w:tcPr>
          <w:p w14:paraId="26DC5187" w14:textId="77777777" w:rsidR="00077609" w:rsidRPr="00C031E1" w:rsidRDefault="00077609" w:rsidP="00E91EA6">
            <w:pPr>
              <w:jc w:val="center"/>
              <w:rPr>
                <w:rFonts w:eastAsia="Times New Roman" w:cstheme="minorHAnsi"/>
                <w:b/>
                <w:bCs/>
                <w:sz w:val="24"/>
                <w:szCs w:val="24"/>
                <w:lang w:eastAsia="pt-BR"/>
              </w:rPr>
            </w:pPr>
          </w:p>
        </w:tc>
        <w:tc>
          <w:tcPr>
            <w:tcW w:w="4677" w:type="dxa"/>
            <w:noWrap/>
          </w:tcPr>
          <w:p w14:paraId="6D3063E9" w14:textId="77777777" w:rsidR="00077609" w:rsidRPr="00C031E1" w:rsidRDefault="00077609" w:rsidP="00E91EA6">
            <w:pPr>
              <w:jc w:val="both"/>
              <w:rPr>
                <w:rFonts w:eastAsia="Times New Roman" w:cstheme="minorHAnsi"/>
                <w:sz w:val="24"/>
                <w:szCs w:val="24"/>
                <w:lang w:eastAsia="pt-BR"/>
              </w:rPr>
            </w:pPr>
          </w:p>
        </w:tc>
      </w:tr>
      <w:tr w:rsidR="00E91EA6" w:rsidRPr="00C031E1" w14:paraId="76A03127" w14:textId="77777777" w:rsidTr="001B566D">
        <w:trPr>
          <w:trHeight w:val="60"/>
        </w:trPr>
        <w:tc>
          <w:tcPr>
            <w:tcW w:w="4957" w:type="dxa"/>
          </w:tcPr>
          <w:p w14:paraId="6A26919D" w14:textId="77777777" w:rsidR="00E91EA6" w:rsidRPr="00C031E1" w:rsidRDefault="00E91EA6" w:rsidP="00E91EA6">
            <w:pPr>
              <w:jc w:val="both"/>
              <w:rPr>
                <w:rFonts w:cstheme="minorHAnsi"/>
                <w:sz w:val="24"/>
                <w:szCs w:val="24"/>
              </w:rPr>
            </w:pPr>
          </w:p>
        </w:tc>
        <w:tc>
          <w:tcPr>
            <w:tcW w:w="5103" w:type="dxa"/>
            <w:noWrap/>
          </w:tcPr>
          <w:p w14:paraId="23D57B08" w14:textId="037EF95B" w:rsidR="00E91EA6" w:rsidRPr="00C031E1" w:rsidRDefault="00E91EA6"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Seção II</w:t>
            </w:r>
          </w:p>
          <w:p w14:paraId="64AD1105" w14:textId="22624A04" w:rsidR="00E91EA6" w:rsidRPr="00C031E1" w:rsidRDefault="00E91EA6" w:rsidP="00E91EA6">
            <w:pPr>
              <w:jc w:val="center"/>
              <w:rPr>
                <w:rFonts w:eastAsia="Times New Roman" w:cstheme="minorHAnsi"/>
                <w:sz w:val="24"/>
                <w:szCs w:val="24"/>
                <w:lang w:eastAsia="pt-BR"/>
              </w:rPr>
            </w:pPr>
            <w:r w:rsidRPr="00C031E1">
              <w:rPr>
                <w:rFonts w:eastAsia="Times New Roman" w:cstheme="minorHAnsi"/>
                <w:b/>
                <w:bCs/>
                <w:sz w:val="24"/>
                <w:szCs w:val="24"/>
                <w:lang w:eastAsia="pt-BR"/>
              </w:rPr>
              <w:t>Informações Contábeis</w:t>
            </w:r>
          </w:p>
        </w:tc>
        <w:tc>
          <w:tcPr>
            <w:tcW w:w="4677" w:type="dxa"/>
            <w:noWrap/>
          </w:tcPr>
          <w:p w14:paraId="5E72D69D" w14:textId="77777777" w:rsidR="00E91EA6" w:rsidRPr="00C031E1" w:rsidRDefault="00E91EA6" w:rsidP="00E91EA6">
            <w:pPr>
              <w:jc w:val="both"/>
              <w:rPr>
                <w:rFonts w:eastAsia="Times New Roman" w:cstheme="minorHAnsi"/>
                <w:sz w:val="24"/>
                <w:szCs w:val="24"/>
                <w:lang w:eastAsia="pt-BR"/>
              </w:rPr>
            </w:pPr>
          </w:p>
        </w:tc>
      </w:tr>
      <w:tr w:rsidR="00E91EA6" w:rsidRPr="00C031E1" w14:paraId="3FFCF83F" w14:textId="77777777" w:rsidTr="001B566D">
        <w:tc>
          <w:tcPr>
            <w:tcW w:w="4957" w:type="dxa"/>
          </w:tcPr>
          <w:p w14:paraId="215A72E1" w14:textId="77777777" w:rsidR="00E91EA6" w:rsidRPr="00C031E1" w:rsidRDefault="00E91EA6" w:rsidP="00E91EA6">
            <w:pPr>
              <w:jc w:val="center"/>
              <w:rPr>
                <w:rFonts w:cstheme="minorHAnsi"/>
                <w:sz w:val="24"/>
                <w:szCs w:val="24"/>
              </w:rPr>
            </w:pPr>
            <w:r w:rsidRPr="00C031E1">
              <w:rPr>
                <w:rFonts w:cstheme="minorHAnsi"/>
                <w:sz w:val="24"/>
                <w:szCs w:val="24"/>
              </w:rPr>
              <w:t>CAPÍTULO VII</w:t>
            </w:r>
          </w:p>
          <w:p w14:paraId="25F5E494" w14:textId="77777777" w:rsidR="00E91EA6" w:rsidRPr="00C031E1" w:rsidRDefault="00E91EA6" w:rsidP="00E91EA6">
            <w:pPr>
              <w:jc w:val="center"/>
              <w:rPr>
                <w:rFonts w:cstheme="minorHAnsi"/>
                <w:sz w:val="24"/>
                <w:szCs w:val="24"/>
              </w:rPr>
            </w:pPr>
            <w:r w:rsidRPr="00C031E1">
              <w:rPr>
                <w:rFonts w:cstheme="minorHAnsi"/>
                <w:sz w:val="24"/>
                <w:szCs w:val="24"/>
              </w:rPr>
              <w:t>DA FORMA, DO PRAZO E DO MEIO DE ENVIO DAS DEMONSTRAÇÕES CONTÁBEIS</w:t>
            </w:r>
          </w:p>
        </w:tc>
        <w:tc>
          <w:tcPr>
            <w:tcW w:w="5103" w:type="dxa"/>
          </w:tcPr>
          <w:p w14:paraId="1FD40988" w14:textId="77777777" w:rsidR="00E91EA6" w:rsidRPr="00C031E1" w:rsidRDefault="00E91EA6" w:rsidP="00E91EA6">
            <w:pPr>
              <w:jc w:val="center"/>
              <w:rPr>
                <w:rFonts w:eastAsia="Times New Roman" w:cstheme="minorHAnsi"/>
                <w:b/>
                <w:bCs/>
                <w:sz w:val="24"/>
                <w:szCs w:val="24"/>
                <w:lang w:eastAsia="pt-BR"/>
              </w:rPr>
            </w:pPr>
            <w:r w:rsidRPr="00C031E1">
              <w:rPr>
                <w:rFonts w:eastAsia="Times New Roman" w:cstheme="minorHAnsi"/>
                <w:b/>
                <w:bCs/>
                <w:sz w:val="24"/>
                <w:szCs w:val="24"/>
                <w:lang w:eastAsia="pt-BR"/>
              </w:rPr>
              <w:t>Subseção I</w:t>
            </w:r>
          </w:p>
          <w:p w14:paraId="17AE5BA5" w14:textId="77777777" w:rsidR="00E91EA6" w:rsidRPr="00C031E1" w:rsidRDefault="00E91EA6" w:rsidP="00E91EA6">
            <w:pPr>
              <w:jc w:val="center"/>
              <w:rPr>
                <w:rFonts w:cstheme="minorHAnsi"/>
                <w:sz w:val="24"/>
                <w:szCs w:val="24"/>
              </w:rPr>
            </w:pPr>
            <w:r w:rsidRPr="00C031E1">
              <w:rPr>
                <w:rFonts w:cstheme="minorHAnsi"/>
                <w:b/>
                <w:bCs/>
                <w:sz w:val="24"/>
                <w:szCs w:val="24"/>
              </w:rPr>
              <w:t>Forma, prazo e meio de envio das demonstrações contábeis</w:t>
            </w:r>
          </w:p>
        </w:tc>
        <w:tc>
          <w:tcPr>
            <w:tcW w:w="4677" w:type="dxa"/>
          </w:tcPr>
          <w:p w14:paraId="16FE973F" w14:textId="77777777" w:rsidR="00E91EA6" w:rsidRPr="00C031E1" w:rsidRDefault="00E91EA6" w:rsidP="00E91EA6">
            <w:pPr>
              <w:rPr>
                <w:rFonts w:cstheme="minorHAnsi"/>
                <w:sz w:val="24"/>
                <w:szCs w:val="24"/>
              </w:rPr>
            </w:pPr>
            <w:r w:rsidRPr="00C031E1">
              <w:rPr>
                <w:rFonts w:cstheme="minorHAnsi"/>
                <w:sz w:val="24"/>
                <w:szCs w:val="24"/>
              </w:rPr>
              <w:t>Alterado para seção para adaptação à estrutura da consolidação de normas.</w:t>
            </w:r>
          </w:p>
        </w:tc>
      </w:tr>
      <w:tr w:rsidR="00E91EA6" w:rsidRPr="00C031E1" w14:paraId="050F4893" w14:textId="77777777" w:rsidTr="001B566D">
        <w:tc>
          <w:tcPr>
            <w:tcW w:w="4957" w:type="dxa"/>
          </w:tcPr>
          <w:p w14:paraId="66CC50BE" w14:textId="77777777" w:rsidR="00E91EA6" w:rsidRPr="00C031E1" w:rsidRDefault="00E91EA6" w:rsidP="00E91EA6">
            <w:pPr>
              <w:jc w:val="both"/>
              <w:rPr>
                <w:rFonts w:cstheme="minorHAnsi"/>
                <w:sz w:val="24"/>
                <w:szCs w:val="24"/>
              </w:rPr>
            </w:pPr>
            <w:r w:rsidRPr="00C031E1">
              <w:rPr>
                <w:rFonts w:cstheme="minorHAnsi"/>
                <w:sz w:val="24"/>
                <w:szCs w:val="24"/>
              </w:rPr>
              <w:t xml:space="preserve">Art. 33. As EFPC devem elaborar os seguintes documentos: </w:t>
            </w:r>
          </w:p>
        </w:tc>
        <w:tc>
          <w:tcPr>
            <w:tcW w:w="5103" w:type="dxa"/>
          </w:tcPr>
          <w:p w14:paraId="47426A48" w14:textId="2412406C" w:rsidR="00E91EA6" w:rsidRPr="00C031E1" w:rsidRDefault="00E91EA6" w:rsidP="00E91EA6">
            <w:pPr>
              <w:rPr>
                <w:rFonts w:cstheme="minorHAnsi"/>
                <w:sz w:val="24"/>
                <w:szCs w:val="24"/>
              </w:rPr>
            </w:pPr>
            <w:r w:rsidRPr="00C031E1">
              <w:rPr>
                <w:rFonts w:cstheme="minorHAnsi"/>
                <w:sz w:val="24"/>
                <w:szCs w:val="24"/>
              </w:rPr>
              <w:t>Art.</w:t>
            </w:r>
            <w:r w:rsidR="000D0F8E">
              <w:rPr>
                <w:rFonts w:cstheme="minorHAnsi"/>
                <w:sz w:val="24"/>
                <w:szCs w:val="24"/>
              </w:rPr>
              <w:t xml:space="preserve"> </w:t>
            </w:r>
            <w:r w:rsidRPr="00C031E1">
              <w:rPr>
                <w:rFonts w:cstheme="minorHAnsi"/>
                <w:sz w:val="24"/>
                <w:szCs w:val="24"/>
              </w:rPr>
              <w:t>9</w:t>
            </w:r>
            <w:r w:rsidR="002948B0">
              <w:rPr>
                <w:rFonts w:cstheme="minorHAnsi"/>
                <w:sz w:val="24"/>
                <w:szCs w:val="24"/>
              </w:rPr>
              <w:t>1</w:t>
            </w:r>
            <w:r w:rsidR="006B2F52">
              <w:rPr>
                <w:rFonts w:cstheme="minorHAnsi"/>
                <w:sz w:val="24"/>
                <w:szCs w:val="24"/>
              </w:rPr>
              <w:t>4</w:t>
            </w:r>
            <w:r w:rsidRPr="00C031E1">
              <w:rPr>
                <w:rFonts w:cstheme="minorHAnsi"/>
                <w:sz w:val="24"/>
                <w:szCs w:val="24"/>
              </w:rPr>
              <w:t xml:space="preserve">. As EFPC devem elaborar os seguintes documentos: </w:t>
            </w:r>
          </w:p>
        </w:tc>
        <w:tc>
          <w:tcPr>
            <w:tcW w:w="4677" w:type="dxa"/>
          </w:tcPr>
          <w:p w14:paraId="59F41D27"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23798F1F" w14:textId="77777777" w:rsidTr="001B566D">
        <w:tc>
          <w:tcPr>
            <w:tcW w:w="4957" w:type="dxa"/>
          </w:tcPr>
          <w:p w14:paraId="365FD5FE" w14:textId="77777777" w:rsidR="00E91EA6" w:rsidRPr="00C031E1" w:rsidRDefault="00E91EA6" w:rsidP="00E91EA6">
            <w:pPr>
              <w:jc w:val="both"/>
              <w:rPr>
                <w:rFonts w:cstheme="minorHAnsi"/>
                <w:sz w:val="24"/>
                <w:szCs w:val="24"/>
              </w:rPr>
            </w:pPr>
            <w:r w:rsidRPr="00C031E1">
              <w:rPr>
                <w:rFonts w:cstheme="minorHAnsi"/>
                <w:sz w:val="24"/>
                <w:szCs w:val="24"/>
              </w:rPr>
              <w:t xml:space="preserve">I - Balancetes mensais do Plano de Benefícios, do Plano de Gestão Administrativa, do Consolidado e as informações extracontábeis do anexo IV; </w:t>
            </w:r>
          </w:p>
        </w:tc>
        <w:tc>
          <w:tcPr>
            <w:tcW w:w="5103" w:type="dxa"/>
          </w:tcPr>
          <w:p w14:paraId="15A139A8" w14:textId="523DFA97" w:rsidR="00E91EA6" w:rsidRPr="00C031E1" w:rsidRDefault="00E91EA6" w:rsidP="00E91EA6">
            <w:pPr>
              <w:jc w:val="both"/>
              <w:rPr>
                <w:rFonts w:cstheme="minorHAnsi"/>
                <w:sz w:val="24"/>
                <w:szCs w:val="24"/>
              </w:rPr>
            </w:pPr>
            <w:r w:rsidRPr="00C031E1">
              <w:rPr>
                <w:rFonts w:cstheme="minorHAnsi"/>
                <w:sz w:val="24"/>
                <w:szCs w:val="24"/>
              </w:rPr>
              <w:t xml:space="preserve">I - Balancetes mensais do Plano de Benefícios, do Plano de Gestão </w:t>
            </w:r>
            <w:r w:rsidRPr="00350E4E">
              <w:rPr>
                <w:rFonts w:cstheme="minorHAnsi"/>
                <w:sz w:val="24"/>
                <w:szCs w:val="24"/>
                <w:shd w:val="clear" w:color="auto" w:fill="FFFFFF" w:themeFill="background1"/>
              </w:rPr>
              <w:t xml:space="preserve">Administrativa </w:t>
            </w:r>
            <w:r w:rsidRPr="00350E4E">
              <w:rPr>
                <w:rFonts w:cstheme="minorHAnsi"/>
                <w:color w:val="0070C0"/>
                <w:sz w:val="24"/>
                <w:szCs w:val="24"/>
                <w:shd w:val="clear" w:color="auto" w:fill="FFFFFF" w:themeFill="background1"/>
              </w:rPr>
              <w:t>e</w:t>
            </w:r>
            <w:r w:rsidRPr="00C031E1">
              <w:rPr>
                <w:rFonts w:cstheme="minorHAnsi"/>
                <w:sz w:val="24"/>
                <w:szCs w:val="24"/>
              </w:rPr>
              <w:t xml:space="preserve"> do Consolidado;</w:t>
            </w:r>
          </w:p>
        </w:tc>
        <w:tc>
          <w:tcPr>
            <w:tcW w:w="4677" w:type="dxa"/>
          </w:tcPr>
          <w:p w14:paraId="652DA757" w14:textId="00240C9F" w:rsidR="00E91EA6" w:rsidRPr="00C031E1" w:rsidRDefault="00E91EA6" w:rsidP="00E91EA6">
            <w:pPr>
              <w:jc w:val="both"/>
              <w:rPr>
                <w:rFonts w:cstheme="minorHAnsi"/>
                <w:sz w:val="24"/>
                <w:szCs w:val="24"/>
              </w:rPr>
            </w:pPr>
            <w:r w:rsidRPr="00C031E1">
              <w:rPr>
                <w:rFonts w:cstheme="minorHAnsi"/>
                <w:sz w:val="24"/>
                <w:szCs w:val="24"/>
              </w:rPr>
              <w:t>Exclusão da referência ao anexo IV considerando a inclusão no inciso XII para tratar especificamente do referido anexo e ajuste redacional.</w:t>
            </w:r>
          </w:p>
        </w:tc>
      </w:tr>
      <w:tr w:rsidR="00E91EA6" w:rsidRPr="00C031E1" w14:paraId="71C90A16" w14:textId="77777777" w:rsidTr="001B566D">
        <w:tc>
          <w:tcPr>
            <w:tcW w:w="4957" w:type="dxa"/>
          </w:tcPr>
          <w:p w14:paraId="09745BED" w14:textId="77777777" w:rsidR="00E91EA6" w:rsidRPr="00C031E1" w:rsidRDefault="00E91EA6" w:rsidP="00E91EA6">
            <w:pPr>
              <w:jc w:val="both"/>
              <w:rPr>
                <w:rFonts w:cstheme="minorHAnsi"/>
                <w:sz w:val="24"/>
                <w:szCs w:val="24"/>
              </w:rPr>
            </w:pPr>
            <w:r w:rsidRPr="00C031E1">
              <w:rPr>
                <w:rFonts w:cstheme="minorHAnsi"/>
                <w:sz w:val="24"/>
                <w:szCs w:val="24"/>
              </w:rPr>
              <w:t xml:space="preserve">II - Balanço Patrimonial Consolidado, comparativo com o exercício anterior; </w:t>
            </w:r>
          </w:p>
        </w:tc>
        <w:tc>
          <w:tcPr>
            <w:tcW w:w="5103" w:type="dxa"/>
          </w:tcPr>
          <w:p w14:paraId="4FF74766" w14:textId="77777777" w:rsidR="00E91EA6" w:rsidRPr="00C031E1" w:rsidRDefault="00E91EA6" w:rsidP="00E91EA6">
            <w:pPr>
              <w:jc w:val="both"/>
              <w:rPr>
                <w:rFonts w:cstheme="minorHAnsi"/>
                <w:sz w:val="24"/>
                <w:szCs w:val="24"/>
              </w:rPr>
            </w:pPr>
            <w:r w:rsidRPr="00C031E1">
              <w:rPr>
                <w:rFonts w:cstheme="minorHAnsi"/>
                <w:sz w:val="24"/>
                <w:szCs w:val="24"/>
              </w:rPr>
              <w:t xml:space="preserve">II - Balanço Patrimonial Consolidado, comparativo com o exercício anterior; </w:t>
            </w:r>
          </w:p>
        </w:tc>
        <w:tc>
          <w:tcPr>
            <w:tcW w:w="4677" w:type="dxa"/>
          </w:tcPr>
          <w:p w14:paraId="5C7AE5A6"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6ADA0830" w14:textId="77777777" w:rsidTr="001B566D">
        <w:tc>
          <w:tcPr>
            <w:tcW w:w="4957" w:type="dxa"/>
          </w:tcPr>
          <w:p w14:paraId="4894E6B4" w14:textId="77777777" w:rsidR="00E91EA6" w:rsidRPr="00C031E1" w:rsidRDefault="00E91EA6" w:rsidP="00E91EA6">
            <w:pPr>
              <w:jc w:val="both"/>
              <w:rPr>
                <w:rFonts w:cstheme="minorHAnsi"/>
                <w:sz w:val="24"/>
                <w:szCs w:val="24"/>
              </w:rPr>
            </w:pPr>
            <w:r w:rsidRPr="00C031E1">
              <w:rPr>
                <w:rFonts w:cstheme="minorHAnsi"/>
                <w:sz w:val="24"/>
                <w:szCs w:val="24"/>
              </w:rPr>
              <w:t xml:space="preserve">III - Demonstração da Mutação do Patrimônio Social (DMPS), de forma consolidada, comparativa com exercício anterior; </w:t>
            </w:r>
          </w:p>
        </w:tc>
        <w:tc>
          <w:tcPr>
            <w:tcW w:w="5103" w:type="dxa"/>
          </w:tcPr>
          <w:p w14:paraId="136352D9" w14:textId="77777777" w:rsidR="00E91EA6" w:rsidRPr="00C031E1" w:rsidRDefault="00E91EA6" w:rsidP="00E91EA6">
            <w:pPr>
              <w:jc w:val="both"/>
              <w:rPr>
                <w:rFonts w:cstheme="minorHAnsi"/>
                <w:sz w:val="24"/>
                <w:szCs w:val="24"/>
              </w:rPr>
            </w:pPr>
            <w:r w:rsidRPr="00C031E1">
              <w:rPr>
                <w:rFonts w:cstheme="minorHAnsi"/>
                <w:sz w:val="24"/>
                <w:szCs w:val="24"/>
              </w:rPr>
              <w:t xml:space="preserve">III - Demonstração da Mutação do Patrimônio Social (DMPS), de forma consolidada, comparativa com exercício anterior; </w:t>
            </w:r>
          </w:p>
        </w:tc>
        <w:tc>
          <w:tcPr>
            <w:tcW w:w="4677" w:type="dxa"/>
          </w:tcPr>
          <w:p w14:paraId="646DFEEF"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079E595B" w14:textId="77777777" w:rsidTr="001B566D">
        <w:tc>
          <w:tcPr>
            <w:tcW w:w="4957" w:type="dxa"/>
          </w:tcPr>
          <w:p w14:paraId="497912D2" w14:textId="77777777" w:rsidR="00E91EA6" w:rsidRPr="00C031E1" w:rsidRDefault="00E91EA6" w:rsidP="00E91EA6">
            <w:pPr>
              <w:jc w:val="both"/>
              <w:rPr>
                <w:rFonts w:cstheme="minorHAnsi"/>
                <w:sz w:val="24"/>
                <w:szCs w:val="24"/>
              </w:rPr>
            </w:pPr>
            <w:r w:rsidRPr="00C031E1">
              <w:rPr>
                <w:rFonts w:cstheme="minorHAnsi"/>
                <w:sz w:val="24"/>
                <w:szCs w:val="24"/>
              </w:rPr>
              <w:lastRenderedPageBreak/>
              <w:t xml:space="preserve">IV - Demonstração do PGA (DPGA), de forma consolidada, comparativa com o exercício anterior; </w:t>
            </w:r>
          </w:p>
        </w:tc>
        <w:tc>
          <w:tcPr>
            <w:tcW w:w="5103" w:type="dxa"/>
          </w:tcPr>
          <w:p w14:paraId="44D3E605" w14:textId="77777777" w:rsidR="00E91EA6" w:rsidRPr="00C031E1" w:rsidRDefault="00E91EA6" w:rsidP="00E91EA6">
            <w:pPr>
              <w:jc w:val="both"/>
              <w:rPr>
                <w:rFonts w:cstheme="minorHAnsi"/>
                <w:sz w:val="24"/>
                <w:szCs w:val="24"/>
              </w:rPr>
            </w:pPr>
            <w:r w:rsidRPr="00C031E1">
              <w:rPr>
                <w:rFonts w:cstheme="minorHAnsi"/>
                <w:sz w:val="24"/>
                <w:szCs w:val="24"/>
              </w:rPr>
              <w:t xml:space="preserve">IV - Demonstração do PGA (DPGA), de forma consolidada, comparativa com o exercício anterior; </w:t>
            </w:r>
          </w:p>
        </w:tc>
        <w:tc>
          <w:tcPr>
            <w:tcW w:w="4677" w:type="dxa"/>
          </w:tcPr>
          <w:p w14:paraId="102C1E98"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27366BDC" w14:textId="77777777" w:rsidTr="001B566D">
        <w:tc>
          <w:tcPr>
            <w:tcW w:w="4957" w:type="dxa"/>
          </w:tcPr>
          <w:p w14:paraId="60D6AB02" w14:textId="77777777" w:rsidR="00E91EA6" w:rsidRPr="00C031E1" w:rsidRDefault="00E91EA6" w:rsidP="00E91EA6">
            <w:pPr>
              <w:jc w:val="both"/>
              <w:rPr>
                <w:rFonts w:cstheme="minorHAnsi"/>
                <w:sz w:val="24"/>
                <w:szCs w:val="24"/>
              </w:rPr>
            </w:pPr>
            <w:r w:rsidRPr="00C031E1">
              <w:rPr>
                <w:rFonts w:cstheme="minorHAnsi"/>
                <w:sz w:val="24"/>
                <w:szCs w:val="24"/>
              </w:rPr>
              <w:t xml:space="preserve">V - Demonstração do Ativo Líquido (DAL),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comparativa com o exercício anterior; </w:t>
            </w:r>
          </w:p>
        </w:tc>
        <w:tc>
          <w:tcPr>
            <w:tcW w:w="5103" w:type="dxa"/>
          </w:tcPr>
          <w:p w14:paraId="266B5959" w14:textId="77777777" w:rsidR="00E91EA6" w:rsidRPr="00C031E1" w:rsidRDefault="00E91EA6" w:rsidP="00E91EA6">
            <w:pPr>
              <w:jc w:val="both"/>
              <w:rPr>
                <w:rFonts w:cstheme="minorHAnsi"/>
                <w:sz w:val="24"/>
                <w:szCs w:val="24"/>
              </w:rPr>
            </w:pPr>
            <w:r w:rsidRPr="00C031E1">
              <w:rPr>
                <w:rFonts w:cstheme="minorHAnsi"/>
                <w:sz w:val="24"/>
                <w:szCs w:val="24"/>
              </w:rPr>
              <w:t xml:space="preserve">V - Demonstração do Ativo Líquido (DAL),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comparativa com o exercício anterior; </w:t>
            </w:r>
          </w:p>
        </w:tc>
        <w:tc>
          <w:tcPr>
            <w:tcW w:w="4677" w:type="dxa"/>
          </w:tcPr>
          <w:p w14:paraId="7F4F7B34"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35DA1C63" w14:textId="77777777" w:rsidTr="001B566D">
        <w:tc>
          <w:tcPr>
            <w:tcW w:w="4957" w:type="dxa"/>
          </w:tcPr>
          <w:p w14:paraId="6DD49509" w14:textId="77777777" w:rsidR="00E91EA6" w:rsidRPr="00C031E1" w:rsidRDefault="00E91EA6" w:rsidP="00E91EA6">
            <w:pPr>
              <w:jc w:val="both"/>
              <w:rPr>
                <w:rFonts w:cstheme="minorHAnsi"/>
                <w:sz w:val="24"/>
                <w:szCs w:val="24"/>
              </w:rPr>
            </w:pPr>
            <w:r w:rsidRPr="00C031E1">
              <w:rPr>
                <w:rFonts w:cstheme="minorHAnsi"/>
                <w:sz w:val="24"/>
                <w:szCs w:val="24"/>
              </w:rPr>
              <w:t xml:space="preserve">VI - Demonstração da Mutação do Ativo Líquido (DMAL),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comparativa com o exercício anterior; </w:t>
            </w:r>
          </w:p>
        </w:tc>
        <w:tc>
          <w:tcPr>
            <w:tcW w:w="5103" w:type="dxa"/>
          </w:tcPr>
          <w:p w14:paraId="0F666A5E" w14:textId="77777777" w:rsidR="00E91EA6" w:rsidRPr="00C031E1" w:rsidRDefault="00E91EA6" w:rsidP="00E91EA6">
            <w:pPr>
              <w:jc w:val="both"/>
              <w:rPr>
                <w:rFonts w:cstheme="minorHAnsi"/>
                <w:sz w:val="24"/>
                <w:szCs w:val="24"/>
              </w:rPr>
            </w:pPr>
            <w:r w:rsidRPr="00C031E1">
              <w:rPr>
                <w:rFonts w:cstheme="minorHAnsi"/>
                <w:sz w:val="24"/>
                <w:szCs w:val="24"/>
              </w:rPr>
              <w:t xml:space="preserve">VI - Demonstração da Mutação do Ativo Líquido (DMAL),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comparativa com o exercício anterior; </w:t>
            </w:r>
          </w:p>
        </w:tc>
        <w:tc>
          <w:tcPr>
            <w:tcW w:w="4677" w:type="dxa"/>
          </w:tcPr>
          <w:p w14:paraId="670B416F"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1EC6ECDB" w14:textId="77777777" w:rsidTr="001B566D">
        <w:tc>
          <w:tcPr>
            <w:tcW w:w="4957" w:type="dxa"/>
          </w:tcPr>
          <w:p w14:paraId="0B7FCC5F" w14:textId="77777777" w:rsidR="00E91EA6" w:rsidRPr="00C031E1" w:rsidRDefault="00E91EA6" w:rsidP="00E91EA6">
            <w:pPr>
              <w:jc w:val="both"/>
              <w:rPr>
                <w:rFonts w:cstheme="minorHAnsi"/>
                <w:sz w:val="24"/>
                <w:szCs w:val="24"/>
              </w:rPr>
            </w:pPr>
            <w:r w:rsidRPr="00C031E1">
              <w:rPr>
                <w:rFonts w:cstheme="minorHAnsi"/>
                <w:sz w:val="24"/>
                <w:szCs w:val="24"/>
              </w:rPr>
              <w:t xml:space="preserve">VII - Demonstração das Provisões Técnicas do Plano de Benefícios (DPT),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comparativa com o exercício anterior; </w:t>
            </w:r>
          </w:p>
        </w:tc>
        <w:tc>
          <w:tcPr>
            <w:tcW w:w="5103" w:type="dxa"/>
          </w:tcPr>
          <w:p w14:paraId="40D01A26" w14:textId="77777777" w:rsidR="00E91EA6" w:rsidRPr="00C031E1" w:rsidRDefault="00E91EA6" w:rsidP="00E91EA6">
            <w:pPr>
              <w:jc w:val="both"/>
              <w:rPr>
                <w:rFonts w:cstheme="minorHAnsi"/>
                <w:sz w:val="24"/>
                <w:szCs w:val="24"/>
              </w:rPr>
            </w:pPr>
            <w:r w:rsidRPr="00C031E1">
              <w:rPr>
                <w:rFonts w:cstheme="minorHAnsi"/>
                <w:sz w:val="24"/>
                <w:szCs w:val="24"/>
              </w:rPr>
              <w:t xml:space="preserve">VII - Demonstração das Provisões Técnicas do Plano de Benefícios (DPT),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comparativa com o exercício anterior; </w:t>
            </w:r>
          </w:p>
        </w:tc>
        <w:tc>
          <w:tcPr>
            <w:tcW w:w="4677" w:type="dxa"/>
          </w:tcPr>
          <w:p w14:paraId="0A880225"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3EA4A125" w14:textId="77777777" w:rsidTr="001B566D">
        <w:tc>
          <w:tcPr>
            <w:tcW w:w="4957" w:type="dxa"/>
          </w:tcPr>
          <w:p w14:paraId="507955DD" w14:textId="77777777" w:rsidR="00E91EA6" w:rsidRPr="00C031E1" w:rsidRDefault="00E91EA6" w:rsidP="00E91EA6">
            <w:pPr>
              <w:jc w:val="both"/>
              <w:rPr>
                <w:rFonts w:cstheme="minorHAnsi"/>
                <w:sz w:val="24"/>
                <w:szCs w:val="24"/>
              </w:rPr>
            </w:pPr>
            <w:r w:rsidRPr="00C031E1">
              <w:rPr>
                <w:rFonts w:cstheme="minorHAnsi"/>
                <w:sz w:val="24"/>
                <w:szCs w:val="24"/>
              </w:rPr>
              <w:t xml:space="preserve">VIII - Notas Explicativas às Demonstrações Contábeis consolidadas; </w:t>
            </w:r>
          </w:p>
        </w:tc>
        <w:tc>
          <w:tcPr>
            <w:tcW w:w="5103" w:type="dxa"/>
          </w:tcPr>
          <w:p w14:paraId="59DFE3FD" w14:textId="77777777" w:rsidR="00E91EA6" w:rsidRPr="00C031E1" w:rsidRDefault="00E91EA6" w:rsidP="00E91EA6">
            <w:pPr>
              <w:jc w:val="both"/>
              <w:rPr>
                <w:rFonts w:cstheme="minorHAnsi"/>
                <w:sz w:val="24"/>
                <w:szCs w:val="24"/>
              </w:rPr>
            </w:pPr>
            <w:r w:rsidRPr="00C031E1">
              <w:rPr>
                <w:rFonts w:cstheme="minorHAnsi"/>
                <w:sz w:val="24"/>
                <w:szCs w:val="24"/>
              </w:rPr>
              <w:t xml:space="preserve">VIII - Notas Explicativas às Demonstrações Contábeis consolidadas; </w:t>
            </w:r>
          </w:p>
        </w:tc>
        <w:tc>
          <w:tcPr>
            <w:tcW w:w="4677" w:type="dxa"/>
          </w:tcPr>
          <w:p w14:paraId="7D3A3F8B"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5E12B32C" w14:textId="77777777" w:rsidTr="001B566D">
        <w:tc>
          <w:tcPr>
            <w:tcW w:w="4957" w:type="dxa"/>
          </w:tcPr>
          <w:p w14:paraId="4CC6E6C7" w14:textId="77777777" w:rsidR="00E91EA6" w:rsidRPr="00C031E1" w:rsidRDefault="00E91EA6" w:rsidP="00E91EA6">
            <w:pPr>
              <w:jc w:val="both"/>
              <w:rPr>
                <w:rFonts w:cstheme="minorHAnsi"/>
                <w:sz w:val="24"/>
                <w:szCs w:val="24"/>
              </w:rPr>
            </w:pPr>
            <w:r w:rsidRPr="00C031E1">
              <w:rPr>
                <w:rFonts w:cstheme="minorHAnsi"/>
                <w:sz w:val="24"/>
                <w:szCs w:val="24"/>
              </w:rPr>
              <w:t xml:space="preserve">IX - Parecer do Conselho Fiscal, com opinião sobre as Demonstrações Contábeis; </w:t>
            </w:r>
          </w:p>
        </w:tc>
        <w:tc>
          <w:tcPr>
            <w:tcW w:w="5103" w:type="dxa"/>
          </w:tcPr>
          <w:p w14:paraId="05902E13" w14:textId="77777777" w:rsidR="00E91EA6" w:rsidRPr="00C031E1" w:rsidRDefault="00E91EA6" w:rsidP="00E91EA6">
            <w:pPr>
              <w:jc w:val="both"/>
              <w:rPr>
                <w:rFonts w:cstheme="minorHAnsi"/>
                <w:sz w:val="24"/>
                <w:szCs w:val="24"/>
              </w:rPr>
            </w:pPr>
            <w:r w:rsidRPr="00C031E1">
              <w:rPr>
                <w:rFonts w:cstheme="minorHAnsi"/>
                <w:sz w:val="24"/>
                <w:szCs w:val="24"/>
              </w:rPr>
              <w:t xml:space="preserve">IX - Parecer do Conselho Fiscal, com opinião sobre as Demonstrações Contábeis; </w:t>
            </w:r>
          </w:p>
        </w:tc>
        <w:tc>
          <w:tcPr>
            <w:tcW w:w="4677" w:type="dxa"/>
          </w:tcPr>
          <w:p w14:paraId="074430D9"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49C17CB3" w14:textId="77777777" w:rsidTr="001B566D">
        <w:tc>
          <w:tcPr>
            <w:tcW w:w="4957" w:type="dxa"/>
          </w:tcPr>
          <w:p w14:paraId="0E707D9F" w14:textId="77777777" w:rsidR="00E91EA6" w:rsidRPr="00C031E1" w:rsidRDefault="00E91EA6" w:rsidP="00E91EA6">
            <w:pPr>
              <w:jc w:val="both"/>
              <w:rPr>
                <w:rFonts w:cstheme="minorHAnsi"/>
                <w:sz w:val="24"/>
                <w:szCs w:val="24"/>
              </w:rPr>
            </w:pPr>
            <w:r w:rsidRPr="00C031E1">
              <w:rPr>
                <w:rFonts w:cstheme="minorHAnsi"/>
                <w:sz w:val="24"/>
                <w:szCs w:val="24"/>
              </w:rPr>
              <w:t xml:space="preserve">X - Manifestação do Conselho Deliberativo relativa à aprovação das Demonstrações Contábeis; e </w:t>
            </w:r>
          </w:p>
        </w:tc>
        <w:tc>
          <w:tcPr>
            <w:tcW w:w="5103" w:type="dxa"/>
          </w:tcPr>
          <w:p w14:paraId="0C90000D" w14:textId="77777777" w:rsidR="00E91EA6" w:rsidRPr="00C031E1" w:rsidRDefault="00E91EA6" w:rsidP="00E91EA6">
            <w:pPr>
              <w:jc w:val="both"/>
              <w:rPr>
                <w:rFonts w:cstheme="minorHAnsi"/>
                <w:sz w:val="24"/>
                <w:szCs w:val="24"/>
              </w:rPr>
            </w:pPr>
            <w:r w:rsidRPr="00C031E1">
              <w:rPr>
                <w:rFonts w:cstheme="minorHAnsi"/>
                <w:sz w:val="24"/>
                <w:szCs w:val="24"/>
              </w:rPr>
              <w:t xml:space="preserve">X - Manifestação do Conselho Deliberativo relativa à aprovação das Demonstrações Contábeis; e </w:t>
            </w:r>
          </w:p>
        </w:tc>
        <w:tc>
          <w:tcPr>
            <w:tcW w:w="4677" w:type="dxa"/>
          </w:tcPr>
          <w:p w14:paraId="0B5EAA8C"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33411727" w14:textId="77777777" w:rsidTr="001B566D">
        <w:tc>
          <w:tcPr>
            <w:tcW w:w="4957" w:type="dxa"/>
          </w:tcPr>
          <w:p w14:paraId="1ED9AF94" w14:textId="77777777" w:rsidR="00E91EA6" w:rsidRPr="00C031E1" w:rsidRDefault="00E91EA6" w:rsidP="00E91EA6">
            <w:pPr>
              <w:jc w:val="both"/>
              <w:rPr>
                <w:rFonts w:cstheme="minorHAnsi"/>
                <w:sz w:val="24"/>
                <w:szCs w:val="24"/>
              </w:rPr>
            </w:pPr>
            <w:r w:rsidRPr="00C031E1">
              <w:rPr>
                <w:rFonts w:cstheme="minorHAnsi"/>
                <w:sz w:val="24"/>
                <w:szCs w:val="24"/>
              </w:rPr>
              <w:t xml:space="preserve">XI - Relatórios de Auditor Independente, descritos a seguir: a) relatório do auditor independente sobre as demonstrações contábeis; </w:t>
            </w:r>
          </w:p>
          <w:p w14:paraId="20317E5C" w14:textId="77777777" w:rsidR="00E91EA6" w:rsidRPr="00C031E1" w:rsidRDefault="00E91EA6" w:rsidP="00E91EA6">
            <w:pPr>
              <w:jc w:val="both"/>
              <w:rPr>
                <w:rFonts w:cstheme="minorHAnsi"/>
                <w:sz w:val="24"/>
                <w:szCs w:val="24"/>
              </w:rPr>
            </w:pPr>
            <w:r w:rsidRPr="00C031E1">
              <w:rPr>
                <w:rFonts w:cstheme="minorHAnsi"/>
                <w:sz w:val="24"/>
                <w:szCs w:val="24"/>
              </w:rPr>
              <w:t xml:space="preserve">b) relatório circunstanciado sobre controles internos; e </w:t>
            </w:r>
          </w:p>
          <w:p w14:paraId="25C94EBD" w14:textId="77777777" w:rsidR="00E91EA6" w:rsidRPr="00C031E1" w:rsidRDefault="00E91EA6" w:rsidP="00E91EA6">
            <w:pPr>
              <w:jc w:val="both"/>
              <w:rPr>
                <w:rFonts w:cstheme="minorHAnsi"/>
                <w:sz w:val="24"/>
                <w:szCs w:val="24"/>
              </w:rPr>
            </w:pPr>
            <w:r w:rsidRPr="00C031E1">
              <w:rPr>
                <w:rFonts w:cstheme="minorHAnsi"/>
                <w:sz w:val="24"/>
                <w:szCs w:val="24"/>
              </w:rPr>
              <w:t xml:space="preserve">c) relatório para propósito específico, exigido das EFPC classificadas pela Previc como Entidade Sistemicamente Importante (ESI). </w:t>
            </w:r>
          </w:p>
        </w:tc>
        <w:tc>
          <w:tcPr>
            <w:tcW w:w="5103" w:type="dxa"/>
          </w:tcPr>
          <w:p w14:paraId="3CF0648B" w14:textId="77777777" w:rsidR="00B55648" w:rsidRDefault="00E91EA6" w:rsidP="00E91EA6">
            <w:pPr>
              <w:jc w:val="both"/>
              <w:rPr>
                <w:rFonts w:cstheme="minorHAnsi"/>
                <w:sz w:val="24"/>
                <w:szCs w:val="24"/>
              </w:rPr>
            </w:pPr>
            <w:r w:rsidRPr="00C031E1">
              <w:rPr>
                <w:rFonts w:cstheme="minorHAnsi"/>
                <w:sz w:val="24"/>
                <w:szCs w:val="24"/>
              </w:rPr>
              <w:t xml:space="preserve">XI </w:t>
            </w:r>
            <w:r w:rsidR="00B55648">
              <w:rPr>
                <w:rFonts w:cstheme="minorHAnsi"/>
                <w:sz w:val="24"/>
                <w:szCs w:val="24"/>
              </w:rPr>
              <w:t>-</w:t>
            </w:r>
            <w:r w:rsidRPr="00C031E1">
              <w:rPr>
                <w:rFonts w:cstheme="minorHAnsi"/>
                <w:sz w:val="24"/>
                <w:szCs w:val="24"/>
              </w:rPr>
              <w:t xml:space="preserve"> </w:t>
            </w:r>
            <w:r w:rsidR="00B55648" w:rsidRPr="00C031E1">
              <w:rPr>
                <w:rFonts w:cstheme="minorHAnsi"/>
                <w:sz w:val="24"/>
                <w:szCs w:val="24"/>
              </w:rPr>
              <w:t>Relatórios de Auditor Independente, descritos a seguir:</w:t>
            </w:r>
          </w:p>
          <w:p w14:paraId="36DE6ECB" w14:textId="614B9D34" w:rsidR="00E91EA6" w:rsidRPr="00C031E1" w:rsidRDefault="00B55648" w:rsidP="00E91EA6">
            <w:pPr>
              <w:jc w:val="both"/>
              <w:rPr>
                <w:rFonts w:cstheme="minorHAnsi"/>
                <w:sz w:val="24"/>
                <w:szCs w:val="24"/>
              </w:rPr>
            </w:pPr>
            <w:bookmarkStart w:id="5" w:name="_Hlk139296507"/>
            <w:r>
              <w:rPr>
                <w:rFonts w:cstheme="minorHAnsi"/>
                <w:sz w:val="24"/>
                <w:szCs w:val="24"/>
              </w:rPr>
              <w:t>a) r</w:t>
            </w:r>
            <w:r w:rsidR="00E91EA6" w:rsidRPr="00C031E1">
              <w:rPr>
                <w:rFonts w:cstheme="minorHAnsi"/>
                <w:sz w:val="24"/>
                <w:szCs w:val="24"/>
              </w:rPr>
              <w:t xml:space="preserve">elatório do auditor independente sobre as demonstrações contábeis; </w:t>
            </w:r>
          </w:p>
          <w:p w14:paraId="0E4D3C30" w14:textId="77777777" w:rsidR="00E91EA6" w:rsidRPr="00350E4E" w:rsidRDefault="00E91EA6" w:rsidP="00E91EA6">
            <w:pPr>
              <w:jc w:val="both"/>
              <w:rPr>
                <w:rFonts w:cstheme="minorHAnsi"/>
                <w:sz w:val="24"/>
                <w:szCs w:val="24"/>
              </w:rPr>
            </w:pPr>
            <w:r w:rsidRPr="00C031E1">
              <w:rPr>
                <w:rFonts w:cstheme="minorHAnsi"/>
                <w:sz w:val="24"/>
                <w:szCs w:val="24"/>
              </w:rPr>
              <w:t xml:space="preserve">b) </w:t>
            </w:r>
            <w:r w:rsidRPr="00350E4E">
              <w:rPr>
                <w:rFonts w:cstheme="minorHAnsi"/>
                <w:sz w:val="24"/>
                <w:szCs w:val="24"/>
              </w:rPr>
              <w:t xml:space="preserve">relatório circunstanciado sobre controles internos; e </w:t>
            </w:r>
          </w:p>
          <w:p w14:paraId="440ABA21" w14:textId="62425AEB" w:rsidR="00E91EA6" w:rsidRPr="00C031E1" w:rsidRDefault="00E91EA6" w:rsidP="00E91EA6">
            <w:pPr>
              <w:jc w:val="both"/>
              <w:rPr>
                <w:rFonts w:cstheme="minorHAnsi"/>
                <w:sz w:val="24"/>
                <w:szCs w:val="24"/>
              </w:rPr>
            </w:pPr>
            <w:r w:rsidRPr="00350E4E">
              <w:rPr>
                <w:rFonts w:cstheme="minorHAnsi"/>
                <w:sz w:val="24"/>
                <w:szCs w:val="24"/>
              </w:rPr>
              <w:t xml:space="preserve">c) relatório para propósito específico, exigido das EFPC classificadas pela Previc </w:t>
            </w:r>
            <w:r w:rsidR="00136727" w:rsidRPr="00136727">
              <w:rPr>
                <w:rFonts w:cstheme="minorHAnsi"/>
                <w:color w:val="4472C4" w:themeColor="accent1"/>
                <w:sz w:val="24"/>
                <w:szCs w:val="24"/>
              </w:rPr>
              <w:t>com base em critérios objetivos que leve em consideração porte e relevância</w:t>
            </w:r>
            <w:r w:rsidRPr="00136727">
              <w:rPr>
                <w:rFonts w:cstheme="minorHAnsi"/>
                <w:sz w:val="24"/>
                <w:szCs w:val="24"/>
              </w:rPr>
              <w:t>.</w:t>
            </w:r>
            <w:r w:rsidRPr="00C031E1">
              <w:rPr>
                <w:rFonts w:cstheme="minorHAnsi"/>
                <w:sz w:val="24"/>
                <w:szCs w:val="24"/>
              </w:rPr>
              <w:t xml:space="preserve"> </w:t>
            </w:r>
            <w:bookmarkEnd w:id="5"/>
          </w:p>
        </w:tc>
        <w:tc>
          <w:tcPr>
            <w:tcW w:w="4677" w:type="dxa"/>
          </w:tcPr>
          <w:p w14:paraId="6A9362C5" w14:textId="289E9ADB" w:rsidR="00E91EA6" w:rsidRPr="00C031E1" w:rsidRDefault="00136727" w:rsidP="00E91EA6">
            <w:pPr>
              <w:rPr>
                <w:rFonts w:cstheme="minorHAnsi"/>
                <w:sz w:val="24"/>
                <w:szCs w:val="24"/>
              </w:rPr>
            </w:pPr>
            <w:r>
              <w:rPr>
                <w:rFonts w:cstheme="minorHAnsi"/>
                <w:sz w:val="24"/>
                <w:szCs w:val="24"/>
              </w:rPr>
              <w:t>Texto alterado para retirar a expressão ESI</w:t>
            </w:r>
          </w:p>
        </w:tc>
      </w:tr>
      <w:tr w:rsidR="00E91EA6" w:rsidRPr="00C031E1" w14:paraId="0526C219" w14:textId="77777777" w:rsidTr="001B566D">
        <w:tc>
          <w:tcPr>
            <w:tcW w:w="4957" w:type="dxa"/>
          </w:tcPr>
          <w:p w14:paraId="6322091C" w14:textId="77777777" w:rsidR="00E91EA6" w:rsidRPr="00C031E1" w:rsidRDefault="00E91EA6" w:rsidP="00E91EA6">
            <w:pPr>
              <w:jc w:val="both"/>
              <w:rPr>
                <w:rFonts w:cstheme="minorHAnsi"/>
                <w:sz w:val="24"/>
                <w:szCs w:val="24"/>
              </w:rPr>
            </w:pPr>
            <w:bookmarkStart w:id="6" w:name="_Hlk137824181"/>
          </w:p>
        </w:tc>
        <w:tc>
          <w:tcPr>
            <w:tcW w:w="5103" w:type="dxa"/>
          </w:tcPr>
          <w:p w14:paraId="2BC45E20" w14:textId="1CFD52E2" w:rsidR="00E91EA6" w:rsidRPr="00C031E1" w:rsidRDefault="00E91EA6" w:rsidP="00E91EA6">
            <w:pPr>
              <w:jc w:val="both"/>
              <w:rPr>
                <w:rFonts w:cstheme="minorHAnsi"/>
                <w:color w:val="0070C0"/>
                <w:sz w:val="24"/>
                <w:szCs w:val="24"/>
                <w:highlight w:val="yellow"/>
              </w:rPr>
            </w:pPr>
            <w:r w:rsidRPr="00C031E1">
              <w:rPr>
                <w:rFonts w:cstheme="minorHAnsi"/>
                <w:color w:val="0070C0"/>
                <w:sz w:val="24"/>
                <w:szCs w:val="24"/>
              </w:rPr>
              <w:t xml:space="preserve">XII – </w:t>
            </w:r>
            <w:bookmarkStart w:id="7" w:name="_Hlk139296541"/>
            <w:r w:rsidR="001D2993" w:rsidRPr="001D2993">
              <w:rPr>
                <w:rFonts w:cstheme="minorHAnsi"/>
                <w:color w:val="0070C0"/>
                <w:sz w:val="24"/>
                <w:szCs w:val="24"/>
              </w:rPr>
              <w:t xml:space="preserve">Informações extracontábeis conforme o </w:t>
            </w:r>
            <w:r w:rsidR="001D2993" w:rsidRPr="001D7D70">
              <w:rPr>
                <w:rFonts w:cstheme="minorHAnsi"/>
                <w:color w:val="0070C0"/>
                <w:sz w:val="24"/>
                <w:szCs w:val="24"/>
                <w:highlight w:val="yellow"/>
              </w:rPr>
              <w:t>anexo IV</w:t>
            </w:r>
            <w:r w:rsidRPr="00C031E1">
              <w:rPr>
                <w:rFonts w:cstheme="minorHAnsi"/>
                <w:color w:val="0070C0"/>
                <w:sz w:val="24"/>
                <w:szCs w:val="24"/>
              </w:rPr>
              <w:t>.</w:t>
            </w:r>
            <w:bookmarkEnd w:id="7"/>
          </w:p>
        </w:tc>
        <w:tc>
          <w:tcPr>
            <w:tcW w:w="4677" w:type="dxa"/>
          </w:tcPr>
          <w:p w14:paraId="275BBB22" w14:textId="5D6C06D5" w:rsidR="00E91EA6" w:rsidRPr="00C031E1" w:rsidRDefault="005A71F8" w:rsidP="00E91EA6">
            <w:pPr>
              <w:jc w:val="both"/>
              <w:rPr>
                <w:rFonts w:cstheme="minorHAnsi"/>
                <w:sz w:val="24"/>
                <w:szCs w:val="24"/>
              </w:rPr>
            </w:pPr>
            <w:r>
              <w:rPr>
                <w:rFonts w:cstheme="minorHAnsi"/>
                <w:sz w:val="24"/>
                <w:szCs w:val="24"/>
              </w:rPr>
              <w:t>I</w:t>
            </w:r>
            <w:r w:rsidR="00E91EA6" w:rsidRPr="00C031E1">
              <w:rPr>
                <w:rFonts w:cstheme="minorHAnsi"/>
                <w:sz w:val="24"/>
                <w:szCs w:val="24"/>
              </w:rPr>
              <w:t xml:space="preserve">nclusão </w:t>
            </w:r>
            <w:r>
              <w:rPr>
                <w:rFonts w:cstheme="minorHAnsi"/>
                <w:sz w:val="24"/>
                <w:szCs w:val="24"/>
              </w:rPr>
              <w:t>de inciso</w:t>
            </w:r>
            <w:r w:rsidR="00E91EA6" w:rsidRPr="00C031E1">
              <w:rPr>
                <w:rFonts w:cstheme="minorHAnsi"/>
                <w:sz w:val="24"/>
                <w:szCs w:val="24"/>
              </w:rPr>
              <w:t xml:space="preserve"> para tratar especificamente do anexo IV.</w:t>
            </w:r>
          </w:p>
        </w:tc>
      </w:tr>
      <w:bookmarkEnd w:id="6"/>
      <w:tr w:rsidR="00E91EA6" w:rsidRPr="00C031E1" w14:paraId="118FBC92" w14:textId="77777777" w:rsidTr="001B566D">
        <w:tc>
          <w:tcPr>
            <w:tcW w:w="4957" w:type="dxa"/>
          </w:tcPr>
          <w:p w14:paraId="3AF0FC25" w14:textId="77777777" w:rsidR="00E91EA6" w:rsidRPr="00C031E1" w:rsidRDefault="00E91EA6" w:rsidP="00E91EA6">
            <w:pPr>
              <w:jc w:val="both"/>
              <w:rPr>
                <w:rFonts w:cstheme="minorHAnsi"/>
                <w:sz w:val="24"/>
                <w:szCs w:val="24"/>
              </w:rPr>
            </w:pPr>
            <w:r w:rsidRPr="00C031E1">
              <w:rPr>
                <w:rFonts w:cstheme="minorHAnsi"/>
                <w:sz w:val="24"/>
                <w:szCs w:val="24"/>
              </w:rPr>
              <w:t xml:space="preserve">§ 1º Os documentos elencados nos incisos II a X e na alínea “a” do inciso XI do </w:t>
            </w:r>
            <w:r w:rsidRPr="00C031E1">
              <w:rPr>
                <w:rFonts w:cstheme="minorHAnsi"/>
                <w:b/>
                <w:bCs/>
                <w:sz w:val="24"/>
                <w:szCs w:val="24"/>
              </w:rPr>
              <w:t>caput</w:t>
            </w:r>
            <w:r w:rsidRPr="00C031E1">
              <w:rPr>
                <w:rFonts w:cstheme="minorHAnsi"/>
                <w:sz w:val="24"/>
                <w:szCs w:val="24"/>
              </w:rPr>
              <w:t xml:space="preserve"> devem ser elaborados e aprovados até 31 de março do exercício social subsequente ao de referência. </w:t>
            </w:r>
          </w:p>
        </w:tc>
        <w:tc>
          <w:tcPr>
            <w:tcW w:w="5103" w:type="dxa"/>
          </w:tcPr>
          <w:p w14:paraId="4A05E0B9" w14:textId="77777777" w:rsidR="00E91EA6" w:rsidRPr="00C031E1" w:rsidRDefault="00E91EA6" w:rsidP="00E91EA6">
            <w:pPr>
              <w:jc w:val="both"/>
              <w:rPr>
                <w:rFonts w:cstheme="minorHAnsi"/>
                <w:sz w:val="24"/>
                <w:szCs w:val="24"/>
              </w:rPr>
            </w:pPr>
            <w:r w:rsidRPr="00C031E1">
              <w:rPr>
                <w:rFonts w:cstheme="minorHAnsi"/>
                <w:sz w:val="24"/>
                <w:szCs w:val="24"/>
              </w:rPr>
              <w:t xml:space="preserve">§ 1º Os documentos elencados nos incisos II a X e na alínea “a” do inciso XI do </w:t>
            </w:r>
            <w:r w:rsidRPr="00C031E1">
              <w:rPr>
                <w:rFonts w:cstheme="minorHAnsi"/>
                <w:b/>
                <w:bCs/>
                <w:sz w:val="24"/>
                <w:szCs w:val="24"/>
              </w:rPr>
              <w:t>caput</w:t>
            </w:r>
            <w:r w:rsidRPr="00C031E1">
              <w:rPr>
                <w:rFonts w:cstheme="minorHAnsi"/>
                <w:sz w:val="24"/>
                <w:szCs w:val="24"/>
              </w:rPr>
              <w:t xml:space="preserve"> devem ser elaborados e aprovados até 31 de março do exercício social subsequente ao de referência. </w:t>
            </w:r>
          </w:p>
        </w:tc>
        <w:tc>
          <w:tcPr>
            <w:tcW w:w="4677" w:type="dxa"/>
          </w:tcPr>
          <w:p w14:paraId="5E8AE568"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33F03625" w14:textId="77777777" w:rsidTr="001B566D">
        <w:tc>
          <w:tcPr>
            <w:tcW w:w="4957" w:type="dxa"/>
          </w:tcPr>
          <w:p w14:paraId="5241F532" w14:textId="77777777" w:rsidR="00E91EA6" w:rsidRPr="00C031E1" w:rsidRDefault="00E91EA6" w:rsidP="00E91EA6">
            <w:pPr>
              <w:jc w:val="both"/>
              <w:rPr>
                <w:rFonts w:cstheme="minorHAnsi"/>
                <w:sz w:val="24"/>
                <w:szCs w:val="24"/>
              </w:rPr>
            </w:pPr>
            <w:r w:rsidRPr="00C031E1">
              <w:rPr>
                <w:rFonts w:cstheme="minorHAns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5103" w:type="dxa"/>
          </w:tcPr>
          <w:p w14:paraId="476855EE" w14:textId="77777777" w:rsidR="00E91EA6" w:rsidRPr="00C031E1" w:rsidRDefault="00E91EA6" w:rsidP="00E91EA6">
            <w:pPr>
              <w:jc w:val="both"/>
              <w:rPr>
                <w:rFonts w:cstheme="minorHAnsi"/>
                <w:sz w:val="24"/>
                <w:szCs w:val="24"/>
              </w:rPr>
            </w:pPr>
            <w:r w:rsidRPr="00C031E1">
              <w:rPr>
                <w:rFonts w:cstheme="minorHAns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4677" w:type="dxa"/>
          </w:tcPr>
          <w:p w14:paraId="08B57257"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4086C303" w14:textId="77777777" w:rsidTr="001B566D">
        <w:tc>
          <w:tcPr>
            <w:tcW w:w="4957" w:type="dxa"/>
          </w:tcPr>
          <w:p w14:paraId="2159E84F" w14:textId="77777777" w:rsidR="00E91EA6" w:rsidRPr="00C031E1" w:rsidRDefault="00E91EA6" w:rsidP="00E91EA6">
            <w:pPr>
              <w:jc w:val="both"/>
              <w:rPr>
                <w:rFonts w:cstheme="minorHAnsi"/>
                <w:sz w:val="24"/>
                <w:szCs w:val="24"/>
              </w:rPr>
            </w:pPr>
            <w:r w:rsidRPr="00C031E1">
              <w:rPr>
                <w:rFonts w:cstheme="minorHAnsi"/>
                <w:sz w:val="24"/>
                <w:szCs w:val="24"/>
              </w:rPr>
              <w:t xml:space="preserve">§ 3° Os documentos referidos nas alíneas “b” e “c” do inciso XI devem ser elaborados até 31 de maio do exercício social subsequente e permanecer à disposição da Previc. </w:t>
            </w:r>
          </w:p>
        </w:tc>
        <w:tc>
          <w:tcPr>
            <w:tcW w:w="5103" w:type="dxa"/>
          </w:tcPr>
          <w:p w14:paraId="1131E163" w14:textId="3B6C8E97" w:rsidR="00E91EA6" w:rsidRPr="00C031E1" w:rsidRDefault="00E91EA6" w:rsidP="00E91EA6">
            <w:pPr>
              <w:jc w:val="both"/>
              <w:rPr>
                <w:rFonts w:cstheme="minorHAnsi"/>
                <w:sz w:val="24"/>
                <w:szCs w:val="24"/>
              </w:rPr>
            </w:pPr>
            <w:r w:rsidRPr="00C031E1">
              <w:rPr>
                <w:rFonts w:cstheme="minorHAnsi"/>
                <w:sz w:val="24"/>
                <w:szCs w:val="24"/>
              </w:rPr>
              <w:t xml:space="preserve">§ 3º Os documentos referidos nas alíneas “b” e “c” do inciso XI devem ser elaborados até 31 de maio do exercício social subsequente e permanecer à disposição da Previc. </w:t>
            </w:r>
          </w:p>
        </w:tc>
        <w:tc>
          <w:tcPr>
            <w:tcW w:w="4677" w:type="dxa"/>
          </w:tcPr>
          <w:p w14:paraId="41A05FC4"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7B4A7DFE" w14:textId="77777777" w:rsidTr="001B566D">
        <w:tc>
          <w:tcPr>
            <w:tcW w:w="4957" w:type="dxa"/>
          </w:tcPr>
          <w:p w14:paraId="0CF417A5" w14:textId="77777777" w:rsidR="00E91EA6" w:rsidRPr="00C031E1" w:rsidRDefault="00E91EA6" w:rsidP="00E91EA6">
            <w:pPr>
              <w:jc w:val="both"/>
              <w:rPr>
                <w:rFonts w:cstheme="minorHAnsi"/>
                <w:sz w:val="24"/>
                <w:szCs w:val="24"/>
              </w:rPr>
            </w:pPr>
            <w:r w:rsidRPr="00C031E1">
              <w:rPr>
                <w:rFonts w:cstheme="minorHAnsi"/>
                <w:sz w:val="24"/>
                <w:szCs w:val="24"/>
              </w:rPr>
              <w:t xml:space="preserve">§ 4° A EFPC pode, facultativamente, elaborar Demonstração do Plano de Gestão Administrativa (DPGA),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comparativo com o exercício anterior. </w:t>
            </w:r>
          </w:p>
        </w:tc>
        <w:tc>
          <w:tcPr>
            <w:tcW w:w="5103" w:type="dxa"/>
          </w:tcPr>
          <w:p w14:paraId="0B3BC859" w14:textId="76BD366D" w:rsidR="00E91EA6" w:rsidRPr="00C031E1" w:rsidRDefault="00E91EA6" w:rsidP="00E91EA6">
            <w:pPr>
              <w:jc w:val="both"/>
              <w:rPr>
                <w:rFonts w:cstheme="minorHAnsi"/>
                <w:sz w:val="24"/>
                <w:szCs w:val="24"/>
              </w:rPr>
            </w:pPr>
            <w:r w:rsidRPr="00C031E1">
              <w:rPr>
                <w:rFonts w:cstheme="minorHAnsi"/>
                <w:sz w:val="24"/>
                <w:szCs w:val="24"/>
              </w:rPr>
              <w:t xml:space="preserve">§ 4º A EFPC pode, facultativamente, elaborar Demonstração do Plano de Gestão Administrativa (DPGA), por plano de benefícios de caráter </w:t>
            </w:r>
            <w:proofErr w:type="spellStart"/>
            <w:r w:rsidRPr="00C031E1">
              <w:rPr>
                <w:rFonts w:cstheme="minorHAnsi"/>
                <w:sz w:val="24"/>
                <w:szCs w:val="24"/>
              </w:rPr>
              <w:t>previdencial</w:t>
            </w:r>
            <w:proofErr w:type="spellEnd"/>
            <w:r w:rsidRPr="00C031E1">
              <w:rPr>
                <w:rFonts w:cstheme="minorHAnsi"/>
                <w:sz w:val="24"/>
                <w:szCs w:val="24"/>
              </w:rPr>
              <w:t xml:space="preserve">, comparativo com o exercício anterior. </w:t>
            </w:r>
          </w:p>
        </w:tc>
        <w:tc>
          <w:tcPr>
            <w:tcW w:w="4677" w:type="dxa"/>
          </w:tcPr>
          <w:p w14:paraId="0F81A2AD"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2E4C144E" w14:textId="77777777" w:rsidTr="001B566D">
        <w:tc>
          <w:tcPr>
            <w:tcW w:w="4957" w:type="dxa"/>
          </w:tcPr>
          <w:p w14:paraId="73D06D7C" w14:textId="77777777" w:rsidR="00E91EA6" w:rsidRPr="00C031E1" w:rsidRDefault="00E91EA6" w:rsidP="00E91EA6">
            <w:pPr>
              <w:jc w:val="both"/>
              <w:rPr>
                <w:rFonts w:cstheme="minorHAnsi"/>
                <w:sz w:val="24"/>
                <w:szCs w:val="24"/>
              </w:rPr>
            </w:pPr>
            <w:r w:rsidRPr="00C031E1">
              <w:rPr>
                <w:rFonts w:cstheme="minorHAnsi"/>
                <w:sz w:val="24"/>
                <w:szCs w:val="24"/>
              </w:rPr>
              <w:t xml:space="preserve">Art. 34. As EFPC devem enviar à Previc as informações previstas no art. 33, por meio de sistema disponibilizado pela autarquia em seu sítio eletrônico na internet, nos seguintes prazos: </w:t>
            </w:r>
          </w:p>
        </w:tc>
        <w:tc>
          <w:tcPr>
            <w:tcW w:w="5103" w:type="dxa"/>
          </w:tcPr>
          <w:p w14:paraId="1E0523C3" w14:textId="250C77CB" w:rsidR="00E91EA6" w:rsidRPr="00C031E1" w:rsidRDefault="00E91EA6" w:rsidP="00E91EA6">
            <w:pPr>
              <w:jc w:val="both"/>
              <w:rPr>
                <w:rFonts w:cstheme="minorHAnsi"/>
                <w:sz w:val="24"/>
                <w:szCs w:val="24"/>
              </w:rPr>
            </w:pPr>
            <w:r w:rsidRPr="00C031E1">
              <w:rPr>
                <w:rFonts w:cstheme="minorHAnsi"/>
                <w:sz w:val="24"/>
                <w:szCs w:val="24"/>
              </w:rPr>
              <w:t>Art. 9</w:t>
            </w:r>
            <w:r w:rsidR="002948B0">
              <w:rPr>
                <w:rFonts w:cstheme="minorHAnsi"/>
                <w:sz w:val="24"/>
                <w:szCs w:val="24"/>
              </w:rPr>
              <w:t>1</w:t>
            </w:r>
            <w:r w:rsidR="006B2F52">
              <w:rPr>
                <w:rFonts w:cstheme="minorHAnsi"/>
                <w:sz w:val="24"/>
                <w:szCs w:val="24"/>
              </w:rPr>
              <w:t>5</w:t>
            </w:r>
            <w:r w:rsidRPr="00C031E1">
              <w:rPr>
                <w:rFonts w:cstheme="minorHAnsi"/>
                <w:sz w:val="24"/>
                <w:szCs w:val="24"/>
              </w:rPr>
              <w:t xml:space="preserve">. As EFPC devem enviar à Previc as informações previstas no </w:t>
            </w:r>
            <w:r w:rsidRPr="001D2993">
              <w:rPr>
                <w:rFonts w:cstheme="minorHAnsi"/>
                <w:sz w:val="24"/>
                <w:szCs w:val="24"/>
                <w:highlight w:val="yellow"/>
              </w:rPr>
              <w:t xml:space="preserve">art. </w:t>
            </w:r>
            <w:r w:rsidRPr="001D2993">
              <w:rPr>
                <w:rFonts w:cstheme="minorHAnsi"/>
                <w:color w:val="0070C0"/>
                <w:sz w:val="24"/>
                <w:szCs w:val="24"/>
                <w:highlight w:val="yellow"/>
              </w:rPr>
              <w:t>9</w:t>
            </w:r>
            <w:r w:rsidR="002948B0" w:rsidRPr="001D2993">
              <w:rPr>
                <w:rFonts w:cstheme="minorHAnsi"/>
                <w:color w:val="0070C0"/>
                <w:sz w:val="24"/>
                <w:szCs w:val="24"/>
                <w:highlight w:val="yellow"/>
              </w:rPr>
              <w:t>1</w:t>
            </w:r>
            <w:r w:rsidR="006B2F52">
              <w:rPr>
                <w:rFonts w:cstheme="minorHAnsi"/>
                <w:color w:val="0070C0"/>
                <w:sz w:val="24"/>
                <w:szCs w:val="24"/>
                <w:highlight w:val="yellow"/>
              </w:rPr>
              <w:t>4</w:t>
            </w:r>
            <w:r w:rsidRPr="00C031E1">
              <w:rPr>
                <w:rFonts w:cstheme="minorHAnsi"/>
                <w:sz w:val="24"/>
                <w:szCs w:val="24"/>
              </w:rPr>
              <w:t xml:space="preserve">, por meio de sistema disponibilizado pela autarquia em seu sítio eletrônico na internet, nos seguintes prazos: </w:t>
            </w:r>
          </w:p>
        </w:tc>
        <w:tc>
          <w:tcPr>
            <w:tcW w:w="4677" w:type="dxa"/>
          </w:tcPr>
          <w:p w14:paraId="4639B11A"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5035B9C7" w14:textId="77777777" w:rsidTr="001B566D">
        <w:tc>
          <w:tcPr>
            <w:tcW w:w="4957" w:type="dxa"/>
          </w:tcPr>
          <w:p w14:paraId="37B3B05B" w14:textId="77777777" w:rsidR="00E91EA6" w:rsidRPr="00C031E1" w:rsidRDefault="00E91EA6" w:rsidP="00E91EA6">
            <w:pPr>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até</w:t>
            </w:r>
            <w:proofErr w:type="gramEnd"/>
            <w:r w:rsidRPr="00C031E1">
              <w:rPr>
                <w:rFonts w:cstheme="minorHAnsi"/>
                <w:sz w:val="24"/>
                <w:szCs w:val="24"/>
              </w:rPr>
              <w:t xml:space="preserve"> o último dia do mês subsequente ao mês de referência: as informações elencadas no inciso I do art. 33; e </w:t>
            </w:r>
          </w:p>
        </w:tc>
        <w:tc>
          <w:tcPr>
            <w:tcW w:w="5103" w:type="dxa"/>
          </w:tcPr>
          <w:p w14:paraId="0381597F" w14:textId="76A46FDB" w:rsidR="00E91EA6" w:rsidRPr="00C031E1" w:rsidRDefault="00E91EA6" w:rsidP="00E91EA6">
            <w:pPr>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até</w:t>
            </w:r>
            <w:proofErr w:type="gramEnd"/>
            <w:r w:rsidRPr="00C031E1">
              <w:rPr>
                <w:rFonts w:cstheme="minorHAnsi"/>
                <w:sz w:val="24"/>
                <w:szCs w:val="24"/>
              </w:rPr>
              <w:t xml:space="preserve"> o último dia do mês subsequente ao mês de referência: as informações elencadas no inciso I do </w:t>
            </w:r>
            <w:r w:rsidRPr="001D2993">
              <w:rPr>
                <w:rFonts w:cstheme="minorHAnsi"/>
                <w:sz w:val="24"/>
                <w:szCs w:val="24"/>
                <w:highlight w:val="yellow"/>
              </w:rPr>
              <w:t xml:space="preserve">art. </w:t>
            </w:r>
            <w:r w:rsidRPr="001D2993">
              <w:rPr>
                <w:rFonts w:cstheme="minorHAnsi"/>
                <w:color w:val="0070C0"/>
                <w:sz w:val="24"/>
                <w:szCs w:val="24"/>
                <w:highlight w:val="yellow"/>
              </w:rPr>
              <w:t>9</w:t>
            </w:r>
            <w:r w:rsidR="002948B0" w:rsidRPr="001D2993">
              <w:rPr>
                <w:rFonts w:cstheme="minorHAnsi"/>
                <w:color w:val="0070C0"/>
                <w:sz w:val="24"/>
                <w:szCs w:val="24"/>
                <w:highlight w:val="yellow"/>
              </w:rPr>
              <w:t>1</w:t>
            </w:r>
            <w:r w:rsidR="006B2F52">
              <w:rPr>
                <w:rFonts w:cstheme="minorHAnsi"/>
                <w:color w:val="0070C0"/>
                <w:sz w:val="24"/>
                <w:szCs w:val="24"/>
                <w:highlight w:val="yellow"/>
              </w:rPr>
              <w:t>4</w:t>
            </w:r>
            <w:r w:rsidRPr="00C031E1">
              <w:rPr>
                <w:rFonts w:cstheme="minorHAnsi"/>
                <w:sz w:val="24"/>
                <w:szCs w:val="24"/>
              </w:rPr>
              <w:t xml:space="preserve">; </w:t>
            </w:r>
          </w:p>
        </w:tc>
        <w:tc>
          <w:tcPr>
            <w:tcW w:w="4677" w:type="dxa"/>
          </w:tcPr>
          <w:p w14:paraId="145306BA"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017122C8" w14:textId="77777777" w:rsidTr="001B566D">
        <w:tc>
          <w:tcPr>
            <w:tcW w:w="4957" w:type="dxa"/>
          </w:tcPr>
          <w:p w14:paraId="3824E794" w14:textId="77777777" w:rsidR="00E91EA6" w:rsidRPr="00C031E1" w:rsidRDefault="00E91EA6" w:rsidP="00E91EA6">
            <w:pPr>
              <w:jc w:val="both"/>
              <w:rPr>
                <w:rFonts w:cstheme="minorHAnsi"/>
                <w:sz w:val="24"/>
                <w:szCs w:val="24"/>
              </w:rPr>
            </w:pPr>
            <w:r w:rsidRPr="00C031E1">
              <w:rPr>
                <w:rFonts w:cstheme="minorHAnsi"/>
                <w:sz w:val="24"/>
                <w:szCs w:val="24"/>
              </w:rPr>
              <w:t xml:space="preserve">II - </w:t>
            </w:r>
            <w:proofErr w:type="gramStart"/>
            <w:r w:rsidRPr="00C031E1">
              <w:rPr>
                <w:rFonts w:cstheme="minorHAnsi"/>
                <w:sz w:val="24"/>
                <w:szCs w:val="24"/>
              </w:rPr>
              <w:t>até</w:t>
            </w:r>
            <w:proofErr w:type="gramEnd"/>
            <w:r w:rsidRPr="00C031E1">
              <w:rPr>
                <w:rFonts w:cstheme="minorHAnsi"/>
                <w:sz w:val="24"/>
                <w:szCs w:val="24"/>
              </w:rPr>
              <w:t xml:space="preserve"> 31 de março do exercício social subsequente ao de referência: as demonstrações </w:t>
            </w:r>
            <w:r w:rsidRPr="00C031E1">
              <w:rPr>
                <w:rFonts w:cstheme="minorHAnsi"/>
                <w:sz w:val="24"/>
                <w:szCs w:val="24"/>
              </w:rPr>
              <w:lastRenderedPageBreak/>
              <w:t xml:space="preserve">contábeis elencadas nos incisos II, V, VIII, IX e X e na alínea “a” do inciso XI do art. 33. </w:t>
            </w:r>
          </w:p>
        </w:tc>
        <w:tc>
          <w:tcPr>
            <w:tcW w:w="5103" w:type="dxa"/>
          </w:tcPr>
          <w:p w14:paraId="7AD4DBE6" w14:textId="23CC76A5" w:rsidR="00E91EA6" w:rsidRPr="00C031E1" w:rsidRDefault="00E91EA6" w:rsidP="00E91EA6">
            <w:pPr>
              <w:jc w:val="both"/>
              <w:rPr>
                <w:rFonts w:cstheme="minorHAnsi"/>
                <w:sz w:val="24"/>
                <w:szCs w:val="24"/>
              </w:rPr>
            </w:pPr>
            <w:r w:rsidRPr="00C031E1">
              <w:rPr>
                <w:rFonts w:cstheme="minorHAnsi"/>
                <w:sz w:val="24"/>
                <w:szCs w:val="24"/>
              </w:rPr>
              <w:lastRenderedPageBreak/>
              <w:t xml:space="preserve">II - </w:t>
            </w:r>
            <w:proofErr w:type="gramStart"/>
            <w:r w:rsidRPr="00C031E1">
              <w:rPr>
                <w:rFonts w:cstheme="minorHAnsi"/>
                <w:sz w:val="24"/>
                <w:szCs w:val="24"/>
              </w:rPr>
              <w:t>até</w:t>
            </w:r>
            <w:proofErr w:type="gramEnd"/>
            <w:r w:rsidRPr="00C031E1">
              <w:rPr>
                <w:rFonts w:cstheme="minorHAnsi"/>
                <w:sz w:val="24"/>
                <w:szCs w:val="24"/>
              </w:rPr>
              <w:t xml:space="preserve"> 31 de março do exercício social subsequente ao de referência: as demonstrações </w:t>
            </w:r>
            <w:r w:rsidRPr="00C031E1">
              <w:rPr>
                <w:rFonts w:cstheme="minorHAnsi"/>
                <w:sz w:val="24"/>
                <w:szCs w:val="24"/>
              </w:rPr>
              <w:lastRenderedPageBreak/>
              <w:t xml:space="preserve">contábeis elencadas nos incisos II, V, VIII, IX e X e na alínea “a” do inciso XI do art. </w:t>
            </w:r>
            <w:r w:rsidRPr="00742295">
              <w:rPr>
                <w:rFonts w:cstheme="minorHAnsi"/>
                <w:color w:val="0070C0"/>
                <w:sz w:val="24"/>
                <w:szCs w:val="24"/>
                <w:highlight w:val="yellow"/>
              </w:rPr>
              <w:t>9</w:t>
            </w:r>
            <w:r w:rsidR="007A4014" w:rsidRPr="00742295">
              <w:rPr>
                <w:rFonts w:cstheme="minorHAnsi"/>
                <w:color w:val="0070C0"/>
                <w:sz w:val="24"/>
                <w:szCs w:val="24"/>
                <w:highlight w:val="yellow"/>
              </w:rPr>
              <w:t>1</w:t>
            </w:r>
            <w:r w:rsidR="006B2F52">
              <w:rPr>
                <w:rFonts w:cstheme="minorHAnsi"/>
                <w:color w:val="0070C0"/>
                <w:sz w:val="24"/>
                <w:szCs w:val="24"/>
                <w:highlight w:val="yellow"/>
              </w:rPr>
              <w:t>4</w:t>
            </w:r>
            <w:r w:rsidR="00136727" w:rsidRPr="00136727">
              <w:rPr>
                <w:rFonts w:cstheme="minorHAnsi"/>
                <w:color w:val="0070C0"/>
                <w:sz w:val="24"/>
                <w:szCs w:val="24"/>
              </w:rPr>
              <w:t>; e</w:t>
            </w:r>
            <w:r w:rsidRPr="00C031E1">
              <w:rPr>
                <w:rFonts w:cstheme="minorHAnsi"/>
                <w:sz w:val="24"/>
                <w:szCs w:val="24"/>
              </w:rPr>
              <w:t xml:space="preserve"> </w:t>
            </w:r>
          </w:p>
        </w:tc>
        <w:tc>
          <w:tcPr>
            <w:tcW w:w="4677" w:type="dxa"/>
          </w:tcPr>
          <w:p w14:paraId="5304FD2A" w14:textId="77777777" w:rsidR="00E91EA6" w:rsidRPr="00C031E1" w:rsidRDefault="00E91EA6" w:rsidP="00E91EA6">
            <w:pPr>
              <w:rPr>
                <w:rFonts w:cstheme="minorHAnsi"/>
                <w:sz w:val="24"/>
                <w:szCs w:val="24"/>
              </w:rPr>
            </w:pPr>
            <w:r w:rsidRPr="00C031E1">
              <w:rPr>
                <w:rFonts w:cstheme="minorHAnsi"/>
                <w:sz w:val="24"/>
                <w:szCs w:val="24"/>
              </w:rPr>
              <w:lastRenderedPageBreak/>
              <w:t>Texto original mantido.</w:t>
            </w:r>
          </w:p>
        </w:tc>
      </w:tr>
      <w:tr w:rsidR="00E91EA6" w:rsidRPr="00C031E1" w14:paraId="19129DE8" w14:textId="77777777" w:rsidTr="001B566D">
        <w:tc>
          <w:tcPr>
            <w:tcW w:w="4957" w:type="dxa"/>
          </w:tcPr>
          <w:p w14:paraId="6C50030F" w14:textId="77777777" w:rsidR="00E91EA6" w:rsidRPr="00C031E1" w:rsidRDefault="00E91EA6" w:rsidP="00E91EA6">
            <w:pPr>
              <w:jc w:val="both"/>
              <w:rPr>
                <w:rFonts w:cstheme="minorHAnsi"/>
                <w:sz w:val="24"/>
                <w:szCs w:val="24"/>
              </w:rPr>
            </w:pPr>
            <w:bookmarkStart w:id="8" w:name="_Hlk137824407"/>
          </w:p>
        </w:tc>
        <w:tc>
          <w:tcPr>
            <w:tcW w:w="5103" w:type="dxa"/>
          </w:tcPr>
          <w:p w14:paraId="54923D53" w14:textId="77777777" w:rsidR="00E91EA6" w:rsidRPr="00C031E1" w:rsidRDefault="00E91EA6" w:rsidP="00E91EA6">
            <w:pPr>
              <w:jc w:val="both"/>
              <w:rPr>
                <w:rFonts w:cstheme="minorHAnsi"/>
                <w:color w:val="0070C0"/>
                <w:sz w:val="24"/>
                <w:szCs w:val="24"/>
                <w:highlight w:val="yellow"/>
              </w:rPr>
            </w:pPr>
            <w:r w:rsidRPr="00C031E1">
              <w:rPr>
                <w:rFonts w:cstheme="minorHAnsi"/>
                <w:color w:val="0070C0"/>
                <w:sz w:val="24"/>
                <w:szCs w:val="24"/>
              </w:rPr>
              <w:t>III –</w:t>
            </w:r>
            <w:r w:rsidRPr="00C031E1">
              <w:rPr>
                <w:rFonts w:cstheme="minorHAnsi"/>
                <w:sz w:val="24"/>
                <w:szCs w:val="24"/>
              </w:rPr>
              <w:t xml:space="preserve"> </w:t>
            </w:r>
            <w:r w:rsidRPr="00C031E1">
              <w:rPr>
                <w:rFonts w:cstheme="minorHAnsi"/>
                <w:color w:val="0070C0"/>
                <w:sz w:val="24"/>
                <w:szCs w:val="24"/>
              </w:rPr>
              <w:t xml:space="preserve">até 31 de julho o </w:t>
            </w:r>
            <w:r w:rsidRPr="001D7D70">
              <w:rPr>
                <w:rFonts w:cstheme="minorHAnsi"/>
                <w:color w:val="0070C0"/>
                <w:sz w:val="24"/>
                <w:szCs w:val="24"/>
                <w:highlight w:val="yellow"/>
              </w:rPr>
              <w:t>anexo IV</w:t>
            </w:r>
            <w:r w:rsidRPr="00C031E1">
              <w:rPr>
                <w:rFonts w:cstheme="minorHAnsi"/>
                <w:color w:val="0070C0"/>
                <w:sz w:val="24"/>
                <w:szCs w:val="24"/>
              </w:rPr>
              <w:t>, com informações referentes a competência de junho de cada exercício.</w:t>
            </w:r>
          </w:p>
        </w:tc>
        <w:tc>
          <w:tcPr>
            <w:tcW w:w="4677" w:type="dxa"/>
          </w:tcPr>
          <w:p w14:paraId="09478DAB" w14:textId="5D0E36E6" w:rsidR="00E91EA6" w:rsidRPr="00C031E1" w:rsidRDefault="001D2993" w:rsidP="00E91EA6">
            <w:pPr>
              <w:rPr>
                <w:rFonts w:cstheme="minorHAnsi"/>
                <w:sz w:val="24"/>
                <w:szCs w:val="24"/>
                <w:highlight w:val="yellow"/>
              </w:rPr>
            </w:pPr>
            <w:r w:rsidRPr="001D7D70">
              <w:rPr>
                <w:rFonts w:cstheme="minorHAnsi"/>
                <w:sz w:val="24"/>
                <w:szCs w:val="24"/>
              </w:rPr>
              <w:t>Incluído para estabelecer o prazo de envio das informações extracontábeis.</w:t>
            </w:r>
          </w:p>
        </w:tc>
      </w:tr>
      <w:bookmarkEnd w:id="8"/>
      <w:tr w:rsidR="00E91EA6" w:rsidRPr="00C031E1" w14:paraId="41CCFCD9" w14:textId="77777777" w:rsidTr="001B566D">
        <w:tc>
          <w:tcPr>
            <w:tcW w:w="4957" w:type="dxa"/>
          </w:tcPr>
          <w:p w14:paraId="7A409D60" w14:textId="77777777" w:rsidR="00E91EA6" w:rsidRPr="00C031E1" w:rsidRDefault="00E91EA6" w:rsidP="00E91EA6">
            <w:pPr>
              <w:jc w:val="both"/>
              <w:rPr>
                <w:rFonts w:cstheme="minorHAnsi"/>
                <w:sz w:val="24"/>
                <w:szCs w:val="24"/>
              </w:rPr>
            </w:pPr>
            <w:r w:rsidRPr="00C031E1">
              <w:rPr>
                <w:rFonts w:cstheme="minorHAnsi"/>
                <w:sz w:val="24"/>
                <w:szCs w:val="24"/>
              </w:rPr>
              <w:t xml:space="preserve">§ 1º Os balancetes mensais e as informações extracontábeis referentes ao mês de dezembro devem ser enviados até o último dia do mês de fevereiro do exercício subsequente. </w:t>
            </w:r>
          </w:p>
        </w:tc>
        <w:tc>
          <w:tcPr>
            <w:tcW w:w="5103" w:type="dxa"/>
          </w:tcPr>
          <w:p w14:paraId="1BE272C0" w14:textId="77777777" w:rsidR="00E91EA6" w:rsidRPr="00C031E1" w:rsidRDefault="00E91EA6" w:rsidP="00E91EA6">
            <w:pPr>
              <w:jc w:val="both"/>
              <w:rPr>
                <w:rFonts w:cstheme="minorHAnsi"/>
                <w:sz w:val="24"/>
                <w:szCs w:val="24"/>
              </w:rPr>
            </w:pPr>
            <w:r w:rsidRPr="00C031E1">
              <w:rPr>
                <w:rFonts w:cstheme="minorHAnsi"/>
                <w:sz w:val="24"/>
                <w:szCs w:val="24"/>
              </w:rPr>
              <w:t xml:space="preserve">§ 1º Os balancetes mensais e as informações extracontábeis referentes ao mês de dezembro devem ser enviados até o último dia do mês de fevereiro do exercício subsequente. </w:t>
            </w:r>
          </w:p>
        </w:tc>
        <w:tc>
          <w:tcPr>
            <w:tcW w:w="4677" w:type="dxa"/>
          </w:tcPr>
          <w:p w14:paraId="5958E16D"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3D5AA3F2" w14:textId="77777777" w:rsidTr="001B566D">
        <w:tc>
          <w:tcPr>
            <w:tcW w:w="4957" w:type="dxa"/>
          </w:tcPr>
          <w:p w14:paraId="700CDA09" w14:textId="77777777" w:rsidR="00E91EA6" w:rsidRPr="00C031E1" w:rsidRDefault="00E91EA6" w:rsidP="00E91EA6">
            <w:pPr>
              <w:jc w:val="both"/>
              <w:rPr>
                <w:rFonts w:cstheme="minorHAnsi"/>
                <w:sz w:val="24"/>
                <w:szCs w:val="24"/>
              </w:rPr>
            </w:pPr>
            <w:r w:rsidRPr="00C031E1">
              <w:rPr>
                <w:rFonts w:cstheme="minorHAnsi"/>
                <w:sz w:val="24"/>
                <w:szCs w:val="24"/>
              </w:rPr>
              <w:t>§ 2º Os documentos listados nos incisos II, V, VIII, IX e X e na alínea “a” do inciso XI do art. 33, enviados por meio eletrônico à Previc, devem conter:</w:t>
            </w:r>
          </w:p>
        </w:tc>
        <w:tc>
          <w:tcPr>
            <w:tcW w:w="5103" w:type="dxa"/>
          </w:tcPr>
          <w:p w14:paraId="381576DE" w14:textId="1F676F96" w:rsidR="00E91EA6" w:rsidRPr="00C031E1" w:rsidRDefault="00E91EA6" w:rsidP="00E91EA6">
            <w:pPr>
              <w:rPr>
                <w:rFonts w:cstheme="minorHAnsi"/>
                <w:sz w:val="24"/>
                <w:szCs w:val="24"/>
              </w:rPr>
            </w:pPr>
            <w:r w:rsidRPr="00C031E1">
              <w:rPr>
                <w:rFonts w:cstheme="minorHAnsi"/>
                <w:sz w:val="24"/>
                <w:szCs w:val="24"/>
              </w:rPr>
              <w:t xml:space="preserve">§ 2º Os documentos listados nos incisos II, V, VIII, IX e X e na alínea “a” do inciso XI do art. </w:t>
            </w:r>
            <w:r w:rsidRPr="00806D62">
              <w:rPr>
                <w:rFonts w:cstheme="minorHAnsi"/>
                <w:color w:val="0070C0"/>
                <w:sz w:val="24"/>
                <w:szCs w:val="24"/>
                <w:highlight w:val="yellow"/>
              </w:rPr>
              <w:t>9</w:t>
            </w:r>
            <w:r w:rsidR="007A4014" w:rsidRPr="00806D62">
              <w:rPr>
                <w:rFonts w:cstheme="minorHAnsi"/>
                <w:color w:val="0070C0"/>
                <w:sz w:val="24"/>
                <w:szCs w:val="24"/>
                <w:highlight w:val="yellow"/>
              </w:rPr>
              <w:t>1</w:t>
            </w:r>
            <w:r w:rsidR="006B2F52">
              <w:rPr>
                <w:rFonts w:cstheme="minorHAnsi"/>
                <w:color w:val="0070C0"/>
                <w:sz w:val="24"/>
                <w:szCs w:val="24"/>
                <w:highlight w:val="yellow"/>
              </w:rPr>
              <w:t>4</w:t>
            </w:r>
            <w:r w:rsidRPr="00806D62">
              <w:rPr>
                <w:rFonts w:cstheme="minorHAnsi"/>
                <w:sz w:val="24"/>
                <w:szCs w:val="24"/>
                <w:highlight w:val="yellow"/>
              </w:rPr>
              <w:t>,</w:t>
            </w:r>
            <w:r w:rsidRPr="00C031E1">
              <w:rPr>
                <w:rFonts w:cstheme="minorHAnsi"/>
                <w:sz w:val="24"/>
                <w:szCs w:val="24"/>
              </w:rPr>
              <w:t xml:space="preserve"> enviados por meio eletrônico à Previc, devem conter:</w:t>
            </w:r>
          </w:p>
        </w:tc>
        <w:tc>
          <w:tcPr>
            <w:tcW w:w="4677" w:type="dxa"/>
          </w:tcPr>
          <w:p w14:paraId="2A7DF632"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51D28CA9" w14:textId="77777777" w:rsidTr="001B566D">
        <w:tc>
          <w:tcPr>
            <w:tcW w:w="4957" w:type="dxa"/>
          </w:tcPr>
          <w:p w14:paraId="59505534" w14:textId="77777777" w:rsidR="00E91EA6" w:rsidRPr="00C031E1" w:rsidRDefault="00E91EA6" w:rsidP="00E91EA6">
            <w:pPr>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o</w:t>
            </w:r>
            <w:proofErr w:type="gramEnd"/>
            <w:r w:rsidRPr="00C031E1">
              <w:rPr>
                <w:rFonts w:cstheme="minorHAnsi"/>
                <w:sz w:val="24"/>
                <w:szCs w:val="24"/>
              </w:rPr>
              <w:t xml:space="preserve"> nome e o CPF dos dirigentes responsáveis pelas informações; e </w:t>
            </w:r>
          </w:p>
        </w:tc>
        <w:tc>
          <w:tcPr>
            <w:tcW w:w="5103" w:type="dxa"/>
          </w:tcPr>
          <w:p w14:paraId="79E18102" w14:textId="77777777" w:rsidR="00E91EA6" w:rsidRPr="00C031E1" w:rsidRDefault="00E91EA6" w:rsidP="00E91EA6">
            <w:pPr>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o</w:t>
            </w:r>
            <w:proofErr w:type="gramEnd"/>
            <w:r w:rsidRPr="00C031E1">
              <w:rPr>
                <w:rFonts w:cstheme="minorHAnsi"/>
                <w:sz w:val="24"/>
                <w:szCs w:val="24"/>
              </w:rPr>
              <w:t xml:space="preserve"> nome e o CPF dos dirigentes responsáveis pelas informações; e </w:t>
            </w:r>
          </w:p>
        </w:tc>
        <w:tc>
          <w:tcPr>
            <w:tcW w:w="4677" w:type="dxa"/>
          </w:tcPr>
          <w:p w14:paraId="5B1F10C0"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0A2D9526" w14:textId="77777777" w:rsidTr="001B566D">
        <w:tc>
          <w:tcPr>
            <w:tcW w:w="4957" w:type="dxa"/>
          </w:tcPr>
          <w:p w14:paraId="156B135A" w14:textId="77777777" w:rsidR="00E91EA6" w:rsidRPr="00C031E1" w:rsidRDefault="00E91EA6" w:rsidP="00E91EA6">
            <w:pPr>
              <w:jc w:val="both"/>
              <w:rPr>
                <w:rFonts w:cstheme="minorHAnsi"/>
                <w:sz w:val="24"/>
                <w:szCs w:val="24"/>
              </w:rPr>
            </w:pPr>
            <w:r w:rsidRPr="00C031E1">
              <w:rPr>
                <w:rFonts w:cstheme="minorHAnsi"/>
                <w:sz w:val="24"/>
                <w:szCs w:val="24"/>
              </w:rPr>
              <w:t xml:space="preserve">II - </w:t>
            </w:r>
            <w:proofErr w:type="gramStart"/>
            <w:r w:rsidRPr="00C031E1">
              <w:rPr>
                <w:rFonts w:cstheme="minorHAnsi"/>
                <w:sz w:val="24"/>
                <w:szCs w:val="24"/>
              </w:rPr>
              <w:t>o</w:t>
            </w:r>
            <w:proofErr w:type="gramEnd"/>
            <w:r w:rsidRPr="00C031E1">
              <w:rPr>
                <w:rFonts w:cstheme="minorHAnsi"/>
                <w:sz w:val="24"/>
                <w:szCs w:val="24"/>
              </w:rPr>
              <w:t xml:space="preserve"> nome, o CPF e o CRC do profissional de contabilidade responsável. </w:t>
            </w:r>
          </w:p>
        </w:tc>
        <w:tc>
          <w:tcPr>
            <w:tcW w:w="5103" w:type="dxa"/>
          </w:tcPr>
          <w:p w14:paraId="47D22302" w14:textId="77777777" w:rsidR="00E91EA6" w:rsidRPr="00C031E1" w:rsidRDefault="00E91EA6" w:rsidP="00E91EA6">
            <w:pPr>
              <w:jc w:val="both"/>
              <w:rPr>
                <w:rFonts w:cstheme="minorHAnsi"/>
                <w:sz w:val="24"/>
                <w:szCs w:val="24"/>
              </w:rPr>
            </w:pPr>
            <w:r w:rsidRPr="00C031E1">
              <w:rPr>
                <w:rFonts w:cstheme="minorHAnsi"/>
                <w:sz w:val="24"/>
                <w:szCs w:val="24"/>
              </w:rPr>
              <w:t xml:space="preserve">II - </w:t>
            </w:r>
            <w:proofErr w:type="gramStart"/>
            <w:r w:rsidRPr="00C031E1">
              <w:rPr>
                <w:rFonts w:cstheme="minorHAnsi"/>
                <w:sz w:val="24"/>
                <w:szCs w:val="24"/>
              </w:rPr>
              <w:t>o</w:t>
            </w:r>
            <w:proofErr w:type="gramEnd"/>
            <w:r w:rsidRPr="00C031E1">
              <w:rPr>
                <w:rFonts w:cstheme="minorHAnsi"/>
                <w:sz w:val="24"/>
                <w:szCs w:val="24"/>
              </w:rPr>
              <w:t xml:space="preserve"> nome, o CPF e o CRC do profissional de contabilidade responsável. </w:t>
            </w:r>
          </w:p>
        </w:tc>
        <w:tc>
          <w:tcPr>
            <w:tcW w:w="4677" w:type="dxa"/>
          </w:tcPr>
          <w:p w14:paraId="6395F039"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72D5A3F2" w14:textId="77777777" w:rsidTr="001B566D">
        <w:tc>
          <w:tcPr>
            <w:tcW w:w="4957" w:type="dxa"/>
          </w:tcPr>
          <w:p w14:paraId="11BF8F80" w14:textId="77777777" w:rsidR="00E91EA6" w:rsidRPr="00C031E1" w:rsidRDefault="00E91EA6" w:rsidP="00E91EA6">
            <w:pPr>
              <w:jc w:val="both"/>
              <w:rPr>
                <w:rFonts w:cstheme="minorHAnsi"/>
                <w:sz w:val="24"/>
                <w:szCs w:val="24"/>
              </w:rPr>
            </w:pPr>
            <w:r w:rsidRPr="00C031E1">
              <w:rPr>
                <w:rFonts w:cstheme="minorHAnsi"/>
                <w:sz w:val="24"/>
                <w:szCs w:val="24"/>
              </w:rPr>
              <w:t xml:space="preserve">§ 3º A justificativa de eventual substituição das demonstrações contábeis e dos balancetes devem ser mantidas na EFPC à disposição do Conselho Fiscal e da Previc. </w:t>
            </w:r>
          </w:p>
        </w:tc>
        <w:tc>
          <w:tcPr>
            <w:tcW w:w="5103" w:type="dxa"/>
          </w:tcPr>
          <w:p w14:paraId="7CF0D9EB" w14:textId="77777777" w:rsidR="00E91EA6" w:rsidRPr="00C031E1" w:rsidRDefault="00E91EA6" w:rsidP="00E91EA6">
            <w:pPr>
              <w:jc w:val="both"/>
              <w:rPr>
                <w:rFonts w:cstheme="minorHAnsi"/>
                <w:sz w:val="24"/>
                <w:szCs w:val="24"/>
              </w:rPr>
            </w:pPr>
            <w:r w:rsidRPr="00C031E1">
              <w:rPr>
                <w:rFonts w:cstheme="minorHAnsi"/>
                <w:sz w:val="24"/>
                <w:szCs w:val="24"/>
              </w:rPr>
              <w:t xml:space="preserve">§ 3º A justificativa de eventual substituição das demonstrações contábeis e dos balancetes devem ser mantidas na EFPC à disposição do Conselho Fiscal e da Previc. </w:t>
            </w:r>
          </w:p>
        </w:tc>
        <w:tc>
          <w:tcPr>
            <w:tcW w:w="4677" w:type="dxa"/>
          </w:tcPr>
          <w:p w14:paraId="3EE503F5" w14:textId="77777777" w:rsidR="00E91EA6" w:rsidRPr="00C031E1" w:rsidRDefault="00E91EA6" w:rsidP="00E91EA6">
            <w:pPr>
              <w:rPr>
                <w:rFonts w:cstheme="minorHAnsi"/>
                <w:sz w:val="24"/>
                <w:szCs w:val="24"/>
              </w:rPr>
            </w:pPr>
            <w:r w:rsidRPr="00C031E1">
              <w:rPr>
                <w:rFonts w:cstheme="minorHAnsi"/>
                <w:sz w:val="24"/>
                <w:szCs w:val="24"/>
              </w:rPr>
              <w:t>Texto original mantido.</w:t>
            </w:r>
          </w:p>
        </w:tc>
      </w:tr>
      <w:tr w:rsidR="00E91EA6" w:rsidRPr="00C031E1" w14:paraId="022B52A4" w14:textId="77777777" w:rsidTr="001B566D">
        <w:tc>
          <w:tcPr>
            <w:tcW w:w="4957" w:type="dxa"/>
          </w:tcPr>
          <w:p w14:paraId="08FF61DF" w14:textId="77777777" w:rsidR="00E91EA6" w:rsidRPr="00C031E1" w:rsidRDefault="00E91EA6" w:rsidP="00E91EA6">
            <w:pPr>
              <w:jc w:val="both"/>
              <w:rPr>
                <w:rFonts w:cstheme="minorHAnsi"/>
                <w:sz w:val="24"/>
                <w:szCs w:val="24"/>
              </w:rPr>
            </w:pPr>
            <w:r w:rsidRPr="00C031E1">
              <w:rPr>
                <w:rFonts w:cstheme="minorHAnsi"/>
                <w:sz w:val="24"/>
                <w:szCs w:val="24"/>
              </w:rPr>
              <w:t xml:space="preserve">§ 4º A operacionalização do envio das informações de que trata o </w:t>
            </w:r>
            <w:r w:rsidRPr="00C031E1">
              <w:rPr>
                <w:rFonts w:cstheme="minorHAnsi"/>
                <w:b/>
                <w:bCs/>
                <w:sz w:val="24"/>
                <w:szCs w:val="24"/>
              </w:rPr>
              <w:t>caput</w:t>
            </w:r>
            <w:r w:rsidRPr="00C031E1">
              <w:rPr>
                <w:rFonts w:cstheme="minorHAnsi"/>
                <w:sz w:val="24"/>
                <w:szCs w:val="24"/>
              </w:rPr>
              <w:t xml:space="preserve"> deve ser realizada nos termos de Portaria editada pela Diretoria de Fiscalização e Monitoramento.</w:t>
            </w:r>
          </w:p>
        </w:tc>
        <w:tc>
          <w:tcPr>
            <w:tcW w:w="5103" w:type="dxa"/>
          </w:tcPr>
          <w:p w14:paraId="485A4B4E" w14:textId="7955F2A3" w:rsidR="00E91EA6" w:rsidRPr="00C031E1" w:rsidRDefault="00E91EA6" w:rsidP="00E91EA6">
            <w:pPr>
              <w:jc w:val="both"/>
              <w:rPr>
                <w:rFonts w:cstheme="minorHAnsi"/>
                <w:sz w:val="24"/>
                <w:szCs w:val="24"/>
              </w:rPr>
            </w:pPr>
          </w:p>
        </w:tc>
        <w:tc>
          <w:tcPr>
            <w:tcW w:w="4677" w:type="dxa"/>
          </w:tcPr>
          <w:p w14:paraId="4B07B804" w14:textId="49B20AB8" w:rsidR="00E91EA6" w:rsidRPr="00C031E1" w:rsidRDefault="005A71F8" w:rsidP="00E91EA6">
            <w:pPr>
              <w:rPr>
                <w:rFonts w:cstheme="minorHAnsi"/>
                <w:sz w:val="24"/>
                <w:szCs w:val="24"/>
              </w:rPr>
            </w:pPr>
            <w:r>
              <w:rPr>
                <w:rFonts w:cstheme="minorHAnsi"/>
                <w:sz w:val="24"/>
                <w:szCs w:val="24"/>
              </w:rPr>
              <w:t>Realocado para o art. 93</w:t>
            </w:r>
            <w:r w:rsidR="00F34410">
              <w:rPr>
                <w:rFonts w:cstheme="minorHAnsi"/>
                <w:sz w:val="24"/>
                <w:szCs w:val="24"/>
              </w:rPr>
              <w:t>1</w:t>
            </w:r>
          </w:p>
        </w:tc>
      </w:tr>
      <w:tr w:rsidR="00E91EA6" w:rsidRPr="00C031E1" w14:paraId="6F754C6C" w14:textId="77777777" w:rsidTr="006801FB">
        <w:tc>
          <w:tcPr>
            <w:tcW w:w="4957" w:type="dxa"/>
            <w:shd w:val="clear" w:color="auto" w:fill="E7E6E6" w:themeFill="background2"/>
          </w:tcPr>
          <w:p w14:paraId="32B33182" w14:textId="1BCBCE6E" w:rsidR="00E91EA6" w:rsidRPr="00C031E1" w:rsidRDefault="00E91EA6" w:rsidP="00E91EA6">
            <w:pPr>
              <w:jc w:val="both"/>
              <w:rPr>
                <w:rFonts w:cstheme="minorHAnsi"/>
                <w:sz w:val="24"/>
                <w:szCs w:val="24"/>
              </w:rPr>
            </w:pPr>
            <w:r w:rsidRPr="00C031E1">
              <w:rPr>
                <w:rFonts w:cstheme="minorHAnsi"/>
                <w:b/>
                <w:bCs/>
                <w:color w:val="000000"/>
                <w:sz w:val="24"/>
                <w:szCs w:val="24"/>
              </w:rPr>
              <w:t>Instrução Previc nº 35, de 11 de novembro de 2020.</w:t>
            </w:r>
          </w:p>
        </w:tc>
        <w:tc>
          <w:tcPr>
            <w:tcW w:w="5103" w:type="dxa"/>
            <w:shd w:val="clear" w:color="auto" w:fill="E7E6E6" w:themeFill="background2"/>
          </w:tcPr>
          <w:p w14:paraId="1F7F213E" w14:textId="77777777" w:rsidR="00E91EA6" w:rsidRPr="00C031E1" w:rsidRDefault="00E91EA6" w:rsidP="00E91EA6">
            <w:pPr>
              <w:jc w:val="both"/>
              <w:rPr>
                <w:rFonts w:cstheme="minorHAnsi"/>
                <w:sz w:val="24"/>
                <w:szCs w:val="24"/>
              </w:rPr>
            </w:pPr>
          </w:p>
        </w:tc>
        <w:tc>
          <w:tcPr>
            <w:tcW w:w="4677" w:type="dxa"/>
            <w:shd w:val="clear" w:color="auto" w:fill="E7E6E6" w:themeFill="background2"/>
          </w:tcPr>
          <w:p w14:paraId="6B2B1945" w14:textId="77777777" w:rsidR="00E91EA6" w:rsidRPr="00C031E1" w:rsidRDefault="00E91EA6" w:rsidP="00E91EA6">
            <w:pPr>
              <w:rPr>
                <w:rFonts w:cstheme="minorHAnsi"/>
                <w:sz w:val="24"/>
                <w:szCs w:val="24"/>
              </w:rPr>
            </w:pPr>
          </w:p>
        </w:tc>
      </w:tr>
      <w:tr w:rsidR="00136727" w:rsidRPr="00C031E1" w14:paraId="55AD023C" w14:textId="77777777" w:rsidTr="0012549D">
        <w:trPr>
          <w:trHeight w:val="1076"/>
        </w:trPr>
        <w:tc>
          <w:tcPr>
            <w:tcW w:w="4957" w:type="dxa"/>
          </w:tcPr>
          <w:p w14:paraId="437B110C" w14:textId="5B2758E0" w:rsidR="00136727" w:rsidRPr="00C031E1" w:rsidRDefault="006B2F52" w:rsidP="006B2F52">
            <w:pPr>
              <w:spacing w:before="120" w:after="120"/>
              <w:jc w:val="both"/>
              <w:rPr>
                <w:rFonts w:eastAsia="Times New Roman" w:cstheme="minorHAnsi"/>
                <w:b/>
                <w:sz w:val="24"/>
                <w:szCs w:val="24"/>
                <w:lang w:eastAsia="pt-BR"/>
              </w:rPr>
            </w:pPr>
            <w:r w:rsidRPr="006B2F52">
              <w:rPr>
                <w:sz w:val="24"/>
                <w:szCs w:val="24"/>
              </w:rPr>
              <w:t xml:space="preserve">Dispõe sobre a operacionalização de procedimentos previstos na Resolução do Conselho Monetário Nacional que trata das diretrizes de aplicação dos recursos garantidores </w:t>
            </w:r>
            <w:r w:rsidRPr="006B2F52">
              <w:rPr>
                <w:sz w:val="24"/>
                <w:szCs w:val="24"/>
              </w:rPr>
              <w:lastRenderedPageBreak/>
              <w:t>dos planos administrados pelas entidades fechadas de previdência complementar e sobre a forma de cumprimento das obrigações em matéria de investimentos junto à Previc</w:t>
            </w:r>
          </w:p>
        </w:tc>
        <w:tc>
          <w:tcPr>
            <w:tcW w:w="5103" w:type="dxa"/>
          </w:tcPr>
          <w:p w14:paraId="6349DBE3" w14:textId="77777777" w:rsidR="00136727" w:rsidRPr="00C031E1" w:rsidRDefault="00136727" w:rsidP="00E91EA6">
            <w:pPr>
              <w:spacing w:before="120" w:after="120"/>
              <w:jc w:val="center"/>
              <w:rPr>
                <w:rFonts w:eastAsia="Times New Roman" w:cstheme="minorHAnsi"/>
                <w:b/>
                <w:sz w:val="24"/>
                <w:szCs w:val="24"/>
                <w:lang w:eastAsia="pt-BR"/>
              </w:rPr>
            </w:pPr>
          </w:p>
        </w:tc>
        <w:tc>
          <w:tcPr>
            <w:tcW w:w="4677" w:type="dxa"/>
          </w:tcPr>
          <w:p w14:paraId="23858E33" w14:textId="77777777" w:rsidR="00136727" w:rsidRPr="00C031E1" w:rsidRDefault="00136727" w:rsidP="00E91EA6">
            <w:pPr>
              <w:spacing w:before="120" w:after="120"/>
              <w:jc w:val="center"/>
              <w:rPr>
                <w:rFonts w:eastAsia="Times New Roman" w:cstheme="minorHAnsi"/>
                <w:color w:val="000000"/>
                <w:sz w:val="24"/>
                <w:szCs w:val="24"/>
                <w:lang w:eastAsia="pt-BR"/>
              </w:rPr>
            </w:pPr>
          </w:p>
        </w:tc>
      </w:tr>
      <w:bookmarkEnd w:id="1"/>
      <w:tr w:rsidR="00E91EA6" w:rsidRPr="00C031E1" w14:paraId="4CD3F682" w14:textId="77777777" w:rsidTr="0012549D">
        <w:trPr>
          <w:trHeight w:val="1076"/>
        </w:trPr>
        <w:tc>
          <w:tcPr>
            <w:tcW w:w="4957" w:type="dxa"/>
          </w:tcPr>
          <w:p w14:paraId="008C1716" w14:textId="77777777" w:rsidR="00E91EA6" w:rsidRPr="00C031E1" w:rsidRDefault="00E91EA6" w:rsidP="00E91EA6">
            <w:pPr>
              <w:spacing w:before="120" w:after="120"/>
              <w:jc w:val="center"/>
              <w:rPr>
                <w:rFonts w:eastAsia="Times New Roman" w:cstheme="minorHAnsi"/>
                <w:b/>
                <w:sz w:val="24"/>
                <w:szCs w:val="24"/>
                <w:lang w:eastAsia="pt-BR"/>
              </w:rPr>
            </w:pPr>
            <w:r w:rsidRPr="00C031E1">
              <w:rPr>
                <w:rFonts w:eastAsia="Times New Roman" w:cstheme="minorHAnsi"/>
                <w:b/>
                <w:sz w:val="24"/>
                <w:szCs w:val="24"/>
                <w:lang w:eastAsia="pt-BR"/>
              </w:rPr>
              <w:t>Seção I</w:t>
            </w:r>
          </w:p>
          <w:p w14:paraId="30F7D57E" w14:textId="195E5DEB" w:rsidR="00E91EA6" w:rsidRPr="00C031E1" w:rsidRDefault="00E91EA6" w:rsidP="00E91EA6">
            <w:pPr>
              <w:spacing w:before="120" w:after="120"/>
              <w:jc w:val="center"/>
              <w:rPr>
                <w:rFonts w:eastAsia="Times New Roman" w:cstheme="minorHAnsi"/>
                <w:color w:val="000000"/>
                <w:sz w:val="24"/>
                <w:szCs w:val="24"/>
                <w:lang w:eastAsia="pt-BR"/>
              </w:rPr>
            </w:pPr>
            <w:r w:rsidRPr="00C031E1">
              <w:rPr>
                <w:rFonts w:eastAsia="Times New Roman" w:cstheme="minorHAnsi"/>
                <w:b/>
                <w:color w:val="000000"/>
                <w:sz w:val="24"/>
                <w:szCs w:val="24"/>
                <w:lang w:eastAsia="pt-BR"/>
              </w:rPr>
              <w:t>Informações de Investimentos</w:t>
            </w:r>
          </w:p>
        </w:tc>
        <w:tc>
          <w:tcPr>
            <w:tcW w:w="5103" w:type="dxa"/>
          </w:tcPr>
          <w:p w14:paraId="6A6E089C" w14:textId="032B68F9" w:rsidR="00E91EA6" w:rsidRPr="00C031E1" w:rsidRDefault="00E91EA6" w:rsidP="00E91EA6">
            <w:pPr>
              <w:spacing w:before="120" w:after="120"/>
              <w:jc w:val="center"/>
              <w:rPr>
                <w:rFonts w:cstheme="minorHAnsi"/>
                <w:color w:val="000000"/>
                <w:sz w:val="24"/>
                <w:szCs w:val="24"/>
              </w:rPr>
            </w:pPr>
            <w:r w:rsidRPr="00C031E1">
              <w:rPr>
                <w:rFonts w:eastAsia="Times New Roman" w:cstheme="minorHAnsi"/>
                <w:b/>
                <w:sz w:val="24"/>
                <w:szCs w:val="24"/>
                <w:lang w:eastAsia="pt-BR"/>
              </w:rPr>
              <w:t>Seção III</w:t>
            </w:r>
          </w:p>
          <w:p w14:paraId="2EC60B3B" w14:textId="0696C4F0" w:rsidR="00E91EA6" w:rsidRPr="00C031E1" w:rsidRDefault="00E91EA6" w:rsidP="00E91EA6">
            <w:pPr>
              <w:spacing w:before="120" w:after="120"/>
              <w:jc w:val="center"/>
              <w:rPr>
                <w:rFonts w:cstheme="minorHAnsi"/>
                <w:color w:val="000000"/>
                <w:sz w:val="24"/>
                <w:szCs w:val="24"/>
              </w:rPr>
            </w:pPr>
            <w:r w:rsidRPr="00C031E1">
              <w:rPr>
                <w:rFonts w:eastAsia="Times New Roman" w:cstheme="minorHAnsi"/>
                <w:b/>
                <w:color w:val="000000"/>
                <w:sz w:val="24"/>
                <w:szCs w:val="24"/>
                <w:lang w:eastAsia="pt-BR"/>
              </w:rPr>
              <w:t xml:space="preserve">Informações de Investimentos </w:t>
            </w:r>
          </w:p>
        </w:tc>
        <w:tc>
          <w:tcPr>
            <w:tcW w:w="4677" w:type="dxa"/>
          </w:tcPr>
          <w:p w14:paraId="7EA9A2B5" w14:textId="055D002E" w:rsidR="00E91EA6" w:rsidRPr="00C031E1" w:rsidRDefault="00E91EA6" w:rsidP="00E91EA6">
            <w:pPr>
              <w:spacing w:before="120" w:after="120"/>
              <w:jc w:val="center"/>
              <w:rPr>
                <w:rFonts w:eastAsia="Times New Roman" w:cstheme="minorHAnsi"/>
                <w:color w:val="000000"/>
                <w:sz w:val="24"/>
                <w:szCs w:val="24"/>
                <w:lang w:eastAsia="pt-BR"/>
              </w:rPr>
            </w:pPr>
          </w:p>
        </w:tc>
      </w:tr>
      <w:tr w:rsidR="00E91EA6" w:rsidRPr="00C031E1" w14:paraId="15CD11BB" w14:textId="77777777" w:rsidTr="001B566D">
        <w:tc>
          <w:tcPr>
            <w:tcW w:w="4957" w:type="dxa"/>
          </w:tcPr>
          <w:p w14:paraId="46F11A7E" w14:textId="6A0B3D89" w:rsidR="00E91EA6" w:rsidRPr="00C031E1" w:rsidRDefault="00E91EA6" w:rsidP="00E91EA6">
            <w:pPr>
              <w:spacing w:before="120" w:after="120"/>
              <w:jc w:val="center"/>
              <w:rPr>
                <w:rFonts w:eastAsia="Times New Roman" w:cstheme="minorHAnsi"/>
                <w:color w:val="000000"/>
                <w:sz w:val="24"/>
                <w:szCs w:val="24"/>
                <w:lang w:eastAsia="pt-BR"/>
              </w:rPr>
            </w:pPr>
            <w:r w:rsidRPr="00C031E1">
              <w:rPr>
                <w:rFonts w:eastAsia="Times New Roman" w:cstheme="minorHAnsi"/>
                <w:b/>
                <w:sz w:val="24"/>
                <w:szCs w:val="24"/>
                <w:lang w:eastAsia="pt-BR"/>
              </w:rPr>
              <w:t>Subseção I</w:t>
            </w:r>
          </w:p>
        </w:tc>
        <w:tc>
          <w:tcPr>
            <w:tcW w:w="5103" w:type="dxa"/>
          </w:tcPr>
          <w:p w14:paraId="2A923CF9" w14:textId="77777777" w:rsidR="00E91EA6" w:rsidRPr="00C031E1" w:rsidRDefault="00E91EA6" w:rsidP="00E91EA6">
            <w:pPr>
              <w:adjustRightInd w:val="0"/>
              <w:spacing w:before="120" w:after="120"/>
              <w:jc w:val="center"/>
              <w:rPr>
                <w:rFonts w:eastAsia="Times New Roman" w:cstheme="minorHAnsi"/>
                <w:b/>
                <w:sz w:val="24"/>
                <w:szCs w:val="24"/>
                <w:lang w:eastAsia="pt-BR"/>
              </w:rPr>
            </w:pPr>
            <w:r w:rsidRPr="00C031E1">
              <w:rPr>
                <w:rFonts w:eastAsia="Times New Roman" w:cstheme="minorHAnsi"/>
                <w:b/>
                <w:sz w:val="24"/>
                <w:szCs w:val="24"/>
                <w:lang w:eastAsia="pt-BR"/>
              </w:rPr>
              <w:t>Subseção I</w:t>
            </w:r>
          </w:p>
        </w:tc>
        <w:tc>
          <w:tcPr>
            <w:tcW w:w="4677" w:type="dxa"/>
          </w:tcPr>
          <w:p w14:paraId="4739F732" w14:textId="77777777" w:rsidR="00E91EA6" w:rsidRPr="00C031E1" w:rsidRDefault="00E91EA6" w:rsidP="00E91EA6">
            <w:pPr>
              <w:spacing w:before="120" w:after="120"/>
              <w:jc w:val="center"/>
              <w:rPr>
                <w:rFonts w:eastAsia="Times New Roman" w:cstheme="minorHAnsi"/>
                <w:color w:val="000000"/>
                <w:sz w:val="24"/>
                <w:szCs w:val="24"/>
                <w:lang w:eastAsia="pt-BR"/>
              </w:rPr>
            </w:pPr>
          </w:p>
        </w:tc>
      </w:tr>
      <w:tr w:rsidR="00E91EA6" w:rsidRPr="00C031E1" w14:paraId="7757EC3D" w14:textId="77777777" w:rsidTr="001B566D">
        <w:tc>
          <w:tcPr>
            <w:tcW w:w="4957" w:type="dxa"/>
          </w:tcPr>
          <w:p w14:paraId="772E013B" w14:textId="67E313CA" w:rsidR="00E91EA6" w:rsidRPr="00C031E1" w:rsidRDefault="00E91EA6" w:rsidP="00E91EA6">
            <w:pPr>
              <w:spacing w:before="120" w:after="120"/>
              <w:jc w:val="center"/>
              <w:rPr>
                <w:rFonts w:eastAsia="Times New Roman" w:cstheme="minorHAnsi"/>
                <w:color w:val="000000"/>
                <w:sz w:val="24"/>
                <w:szCs w:val="24"/>
                <w:lang w:eastAsia="pt-BR"/>
              </w:rPr>
            </w:pPr>
            <w:r w:rsidRPr="00C031E1">
              <w:rPr>
                <w:rFonts w:eastAsia="Times New Roman" w:cstheme="minorHAnsi"/>
                <w:b/>
                <w:sz w:val="24"/>
                <w:szCs w:val="24"/>
                <w:lang w:eastAsia="pt-BR"/>
              </w:rPr>
              <w:t>Demonstrativo de investimentos, cadastro de fundos de investimento e política de investimentos</w:t>
            </w:r>
          </w:p>
        </w:tc>
        <w:tc>
          <w:tcPr>
            <w:tcW w:w="5103" w:type="dxa"/>
          </w:tcPr>
          <w:p w14:paraId="3AF22D85" w14:textId="77777777" w:rsidR="00E91EA6" w:rsidRPr="00C031E1" w:rsidRDefault="00E91EA6" w:rsidP="00E91EA6">
            <w:pPr>
              <w:spacing w:before="120" w:after="120"/>
              <w:jc w:val="center"/>
              <w:rPr>
                <w:rFonts w:eastAsia="Times New Roman" w:cstheme="minorHAnsi"/>
                <w:b/>
                <w:color w:val="000000"/>
                <w:sz w:val="24"/>
                <w:szCs w:val="24"/>
                <w:lang w:eastAsia="pt-BR"/>
              </w:rPr>
            </w:pPr>
            <w:r w:rsidRPr="00C031E1">
              <w:rPr>
                <w:rFonts w:eastAsia="Times New Roman" w:cstheme="minorHAnsi"/>
                <w:b/>
                <w:sz w:val="24"/>
                <w:szCs w:val="24"/>
                <w:lang w:eastAsia="pt-BR"/>
              </w:rPr>
              <w:t>Demonstrativo de investimentos, cadastro de fundos de investimento e política de investimentos</w:t>
            </w:r>
          </w:p>
        </w:tc>
        <w:tc>
          <w:tcPr>
            <w:tcW w:w="4677" w:type="dxa"/>
          </w:tcPr>
          <w:p w14:paraId="77C90F2B" w14:textId="5BDCAA65" w:rsidR="00E91EA6" w:rsidRPr="00C031E1" w:rsidRDefault="00E91EA6" w:rsidP="00E91EA6">
            <w:pPr>
              <w:spacing w:before="120" w:after="120"/>
              <w:jc w:val="center"/>
              <w:rPr>
                <w:rFonts w:eastAsia="Times New Roman" w:cstheme="minorHAnsi"/>
                <w:color w:val="000000"/>
                <w:sz w:val="24"/>
                <w:szCs w:val="24"/>
                <w:lang w:eastAsia="pt-BR"/>
              </w:rPr>
            </w:pPr>
          </w:p>
        </w:tc>
      </w:tr>
      <w:tr w:rsidR="00E91EA6" w:rsidRPr="00C031E1" w14:paraId="3D196EDD" w14:textId="77777777" w:rsidTr="001B566D">
        <w:tc>
          <w:tcPr>
            <w:tcW w:w="4957" w:type="dxa"/>
          </w:tcPr>
          <w:p w14:paraId="030ED7AD" w14:textId="3DBCD1B3" w:rsidR="00E91EA6" w:rsidRPr="00C031E1" w:rsidRDefault="00E91EA6" w:rsidP="00E91EA6">
            <w:pPr>
              <w:adjustRightInd w:val="0"/>
              <w:spacing w:before="120" w:after="120"/>
              <w:jc w:val="both"/>
              <w:rPr>
                <w:rFonts w:eastAsia="Times New Roman" w:cstheme="minorHAnsi"/>
                <w:b/>
                <w:sz w:val="24"/>
                <w:szCs w:val="24"/>
                <w:lang w:eastAsia="pt-BR"/>
              </w:rPr>
            </w:pPr>
            <w:r w:rsidRPr="00C031E1">
              <w:rPr>
                <w:rFonts w:cstheme="minorHAnsi"/>
                <w:sz w:val="24"/>
                <w:szCs w:val="24"/>
              </w:rPr>
              <w:t>Art. 2</w:t>
            </w:r>
            <w:proofErr w:type="gramStart"/>
            <w:r w:rsidRPr="00C031E1">
              <w:rPr>
                <w:rFonts w:cstheme="minorHAnsi"/>
                <w:sz w:val="24"/>
                <w:szCs w:val="24"/>
              </w:rPr>
              <w:t>º  A</w:t>
            </w:r>
            <w:proofErr w:type="gramEnd"/>
            <w:r w:rsidRPr="00C031E1">
              <w:rPr>
                <w:rFonts w:cstheme="minorHAnsi"/>
                <w:sz w:val="24"/>
                <w:szCs w:val="24"/>
              </w:rPr>
              <w:t xml:space="preserve">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Instrução.</w:t>
            </w:r>
          </w:p>
        </w:tc>
        <w:tc>
          <w:tcPr>
            <w:tcW w:w="5103" w:type="dxa"/>
          </w:tcPr>
          <w:p w14:paraId="6B74B088" w14:textId="78E46162" w:rsidR="00E91EA6" w:rsidRPr="00C031E1" w:rsidRDefault="00E91EA6" w:rsidP="00E91EA6">
            <w:pPr>
              <w:adjustRightInd w:val="0"/>
              <w:spacing w:before="120" w:after="120"/>
              <w:jc w:val="both"/>
              <w:rPr>
                <w:rFonts w:eastAsia="Times New Roman" w:cstheme="minorHAnsi"/>
                <w:b/>
                <w:sz w:val="24"/>
                <w:szCs w:val="24"/>
                <w:lang w:eastAsia="pt-BR"/>
              </w:rPr>
            </w:pPr>
            <w:r w:rsidRPr="00C031E1">
              <w:rPr>
                <w:rFonts w:cstheme="minorHAnsi"/>
                <w:sz w:val="24"/>
                <w:szCs w:val="24"/>
              </w:rPr>
              <w:t>Art. 9</w:t>
            </w:r>
            <w:r w:rsidR="002948B0">
              <w:rPr>
                <w:rFonts w:cstheme="minorHAnsi"/>
                <w:sz w:val="24"/>
                <w:szCs w:val="24"/>
              </w:rPr>
              <w:t>1</w:t>
            </w:r>
            <w:r w:rsidR="006B2F52">
              <w:rPr>
                <w:rFonts w:cstheme="minorHAnsi"/>
                <w:sz w:val="24"/>
                <w:szCs w:val="24"/>
              </w:rPr>
              <w:t>6</w:t>
            </w:r>
            <w:r w:rsidRPr="00C031E1">
              <w:rPr>
                <w:rFonts w:cstheme="minorHAnsi"/>
                <w:sz w:val="24"/>
                <w:szCs w:val="24"/>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tc>
        <w:tc>
          <w:tcPr>
            <w:tcW w:w="4677" w:type="dxa"/>
          </w:tcPr>
          <w:p w14:paraId="76A54372" w14:textId="7B09FDFD" w:rsidR="00E91EA6" w:rsidRPr="00C031E1" w:rsidRDefault="00E91EA6" w:rsidP="00E91EA6">
            <w:pPr>
              <w:adjustRightInd w:val="0"/>
              <w:spacing w:before="120" w:after="120"/>
              <w:jc w:val="center"/>
              <w:rPr>
                <w:rFonts w:eastAsia="Times New Roman" w:cstheme="minorHAnsi"/>
                <w:sz w:val="24"/>
                <w:szCs w:val="24"/>
                <w:lang w:eastAsia="pt-BR"/>
              </w:rPr>
            </w:pPr>
          </w:p>
        </w:tc>
      </w:tr>
      <w:tr w:rsidR="00E91EA6" w:rsidRPr="00C031E1" w14:paraId="39AF1AF7" w14:textId="77777777" w:rsidTr="001B566D">
        <w:tc>
          <w:tcPr>
            <w:tcW w:w="4957" w:type="dxa"/>
          </w:tcPr>
          <w:p w14:paraId="13BEF745" w14:textId="71C579FE" w:rsidR="00E91EA6" w:rsidRPr="00C031E1" w:rsidRDefault="00E91EA6" w:rsidP="00E91EA6">
            <w:pPr>
              <w:spacing w:before="120" w:after="120"/>
              <w:jc w:val="both"/>
              <w:rPr>
                <w:rFonts w:eastAsia="Times New Roman" w:cstheme="minorHAnsi"/>
                <w:b/>
                <w:color w:val="000000"/>
                <w:sz w:val="24"/>
                <w:szCs w:val="24"/>
                <w:lang w:eastAsia="pt-BR"/>
              </w:rPr>
            </w:pPr>
            <w:r w:rsidRPr="00C031E1">
              <w:rPr>
                <w:rFonts w:eastAsia="Times New Roman" w:cstheme="minorHAnsi"/>
                <w:color w:val="000000"/>
                <w:sz w:val="24"/>
                <w:szCs w:val="24"/>
                <w:lang w:eastAsia="pt-BR"/>
              </w:rPr>
              <w:t>§1</w:t>
            </w:r>
            <w:proofErr w:type="gramStart"/>
            <w:r w:rsidRPr="00C031E1">
              <w:rPr>
                <w:rFonts w:eastAsia="Times New Roman" w:cstheme="minorHAnsi"/>
                <w:color w:val="000000"/>
                <w:sz w:val="24"/>
                <w:szCs w:val="24"/>
                <w:lang w:eastAsia="pt-BR"/>
              </w:rPr>
              <w:t>º  O</w:t>
            </w:r>
            <w:proofErr w:type="gramEnd"/>
            <w:r w:rsidRPr="00C031E1">
              <w:rPr>
                <w:rFonts w:eastAsia="Times New Roman" w:cstheme="minorHAnsi"/>
                <w:color w:val="000000"/>
                <w:sz w:val="24"/>
                <w:szCs w:val="24"/>
                <w:lang w:eastAsia="pt-BR"/>
              </w:rPr>
              <w:t xml:space="preserve"> envio a que se refere o </w:t>
            </w:r>
            <w:r w:rsidRPr="00C031E1">
              <w:rPr>
                <w:rFonts w:eastAsia="Times New Roman" w:cstheme="minorHAnsi"/>
                <w:b/>
                <w:color w:val="000000"/>
                <w:sz w:val="24"/>
                <w:szCs w:val="24"/>
                <w:lang w:eastAsia="pt-BR"/>
              </w:rPr>
              <w:t>caput</w:t>
            </w:r>
            <w:r w:rsidRPr="00C031E1">
              <w:rPr>
                <w:rFonts w:eastAsia="Times New Roman" w:cstheme="minorHAnsi"/>
                <w:color w:val="000000"/>
                <w:sz w:val="24"/>
                <w:szCs w:val="24"/>
                <w:lang w:eastAsia="pt-BR"/>
              </w:rPr>
              <w:t xml:space="preserve"> inclui</w:t>
            </w:r>
            <w:r w:rsidRPr="00C031E1">
              <w:rPr>
                <w:rFonts w:cstheme="minorHAnsi"/>
                <w:sz w:val="24"/>
                <w:szCs w:val="24"/>
              </w:rPr>
              <w:t xml:space="preserve">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5103" w:type="dxa"/>
          </w:tcPr>
          <w:p w14:paraId="2020C385" w14:textId="77777777" w:rsidR="00E91EA6" w:rsidRPr="00C031E1" w:rsidRDefault="00E91EA6" w:rsidP="00E91EA6">
            <w:pPr>
              <w:spacing w:before="120" w:after="120"/>
              <w:jc w:val="both"/>
              <w:rPr>
                <w:rFonts w:eastAsia="Times New Roman" w:cstheme="minorHAnsi"/>
                <w:b/>
                <w:color w:val="000000"/>
                <w:sz w:val="24"/>
                <w:szCs w:val="24"/>
                <w:lang w:eastAsia="pt-BR"/>
              </w:rPr>
            </w:pPr>
            <w:r w:rsidRPr="00C031E1">
              <w:rPr>
                <w:rFonts w:eastAsia="Times New Roman" w:cstheme="minorHAnsi"/>
                <w:color w:val="000000"/>
                <w:sz w:val="24"/>
                <w:szCs w:val="24"/>
                <w:lang w:eastAsia="pt-BR"/>
              </w:rPr>
              <w:t>§1</w:t>
            </w:r>
            <w:proofErr w:type="gramStart"/>
            <w:r w:rsidRPr="00C031E1">
              <w:rPr>
                <w:rFonts w:eastAsia="Times New Roman" w:cstheme="minorHAnsi"/>
                <w:color w:val="000000"/>
                <w:sz w:val="24"/>
                <w:szCs w:val="24"/>
                <w:lang w:eastAsia="pt-BR"/>
              </w:rPr>
              <w:t>º  O</w:t>
            </w:r>
            <w:proofErr w:type="gramEnd"/>
            <w:r w:rsidRPr="00C031E1">
              <w:rPr>
                <w:rFonts w:eastAsia="Times New Roman" w:cstheme="minorHAnsi"/>
                <w:color w:val="000000"/>
                <w:sz w:val="24"/>
                <w:szCs w:val="24"/>
                <w:lang w:eastAsia="pt-BR"/>
              </w:rPr>
              <w:t xml:space="preserve"> envio a que se refere o </w:t>
            </w:r>
            <w:r w:rsidRPr="00C031E1">
              <w:rPr>
                <w:rFonts w:eastAsia="Times New Roman" w:cstheme="minorHAnsi"/>
                <w:b/>
                <w:color w:val="000000"/>
                <w:sz w:val="24"/>
                <w:szCs w:val="24"/>
                <w:lang w:eastAsia="pt-BR"/>
              </w:rPr>
              <w:t>caput</w:t>
            </w:r>
            <w:r w:rsidRPr="00C031E1">
              <w:rPr>
                <w:rFonts w:eastAsia="Times New Roman" w:cstheme="minorHAnsi"/>
                <w:color w:val="000000"/>
                <w:sz w:val="24"/>
                <w:szCs w:val="24"/>
                <w:lang w:eastAsia="pt-BR"/>
              </w:rPr>
              <w:t xml:space="preserve"> inclui</w:t>
            </w:r>
            <w:r w:rsidRPr="00C031E1">
              <w:rPr>
                <w:rFonts w:cstheme="minorHAnsi"/>
                <w:sz w:val="24"/>
                <w:szCs w:val="24"/>
              </w:rPr>
              <w:t xml:space="preserve">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4677" w:type="dxa"/>
          </w:tcPr>
          <w:p w14:paraId="23F99AA9" w14:textId="77777777" w:rsidR="00E91EA6" w:rsidRPr="00C031E1" w:rsidRDefault="00E91EA6" w:rsidP="00E91EA6">
            <w:pPr>
              <w:spacing w:before="120" w:after="120"/>
              <w:jc w:val="center"/>
              <w:rPr>
                <w:rFonts w:eastAsia="Times New Roman" w:cstheme="minorHAnsi"/>
                <w:b/>
                <w:sz w:val="24"/>
                <w:szCs w:val="24"/>
                <w:lang w:eastAsia="pt-BR"/>
              </w:rPr>
            </w:pPr>
          </w:p>
        </w:tc>
      </w:tr>
      <w:tr w:rsidR="00E91EA6" w:rsidRPr="00C031E1" w14:paraId="598DFEA6" w14:textId="77777777" w:rsidTr="001B566D">
        <w:tc>
          <w:tcPr>
            <w:tcW w:w="4957" w:type="dxa"/>
          </w:tcPr>
          <w:p w14:paraId="0DAA39D8" w14:textId="4F19650E" w:rsidR="00E91EA6" w:rsidRPr="00C031E1" w:rsidRDefault="00E91EA6" w:rsidP="00E91EA6">
            <w:pPr>
              <w:spacing w:before="120" w:after="120"/>
              <w:jc w:val="both"/>
              <w:rPr>
                <w:rFonts w:cstheme="minorHAnsi"/>
                <w:sz w:val="24"/>
                <w:szCs w:val="24"/>
              </w:rPr>
            </w:pPr>
            <w:r w:rsidRPr="00C031E1">
              <w:rPr>
                <w:rFonts w:cstheme="minorHAnsi"/>
                <w:sz w:val="24"/>
                <w:szCs w:val="24"/>
              </w:rPr>
              <w:lastRenderedPageBreak/>
              <w:t>§</w:t>
            </w:r>
            <w:r w:rsidR="00DC20FE">
              <w:rPr>
                <w:rFonts w:cstheme="minorHAnsi"/>
                <w:sz w:val="24"/>
                <w:szCs w:val="24"/>
              </w:rPr>
              <w:t xml:space="preserve"> </w:t>
            </w:r>
            <w:r w:rsidRPr="00C031E1">
              <w:rPr>
                <w:rFonts w:cstheme="minorHAnsi"/>
                <w:sz w:val="24"/>
                <w:szCs w:val="24"/>
              </w:rPr>
              <w:t>2</w:t>
            </w:r>
            <w:proofErr w:type="gramStart"/>
            <w:r w:rsidRPr="00C031E1">
              <w:rPr>
                <w:rFonts w:cstheme="minorHAnsi"/>
                <w:sz w:val="24"/>
                <w:szCs w:val="24"/>
              </w:rPr>
              <w:t>º  O</w:t>
            </w:r>
            <w:proofErr w:type="gramEnd"/>
            <w:r w:rsidRPr="00C031E1">
              <w:rPr>
                <w:rFonts w:cstheme="minorHAnsi"/>
                <w:sz w:val="24"/>
                <w:szCs w:val="24"/>
              </w:rPr>
              <w:t xml:space="preserve"> envio das informações relativas à política de investimentos deve observar os seguintes prazos:</w:t>
            </w:r>
          </w:p>
        </w:tc>
        <w:tc>
          <w:tcPr>
            <w:tcW w:w="5103" w:type="dxa"/>
          </w:tcPr>
          <w:p w14:paraId="5679CB37"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§2</w:t>
            </w:r>
            <w:proofErr w:type="gramStart"/>
            <w:r w:rsidRPr="00C031E1">
              <w:rPr>
                <w:rFonts w:cstheme="minorHAnsi"/>
                <w:sz w:val="24"/>
                <w:szCs w:val="24"/>
              </w:rPr>
              <w:t>º  O</w:t>
            </w:r>
            <w:proofErr w:type="gramEnd"/>
            <w:r w:rsidRPr="00C031E1">
              <w:rPr>
                <w:rFonts w:cstheme="minorHAnsi"/>
                <w:sz w:val="24"/>
                <w:szCs w:val="24"/>
              </w:rPr>
              <w:t xml:space="preserve"> envio das informações relativas à política de investimentos deve observar os seguintes prazos:</w:t>
            </w:r>
          </w:p>
        </w:tc>
        <w:tc>
          <w:tcPr>
            <w:tcW w:w="4677" w:type="dxa"/>
          </w:tcPr>
          <w:p w14:paraId="1975DC38" w14:textId="77777777" w:rsidR="00E91EA6" w:rsidRPr="00C031E1" w:rsidRDefault="00E91EA6" w:rsidP="00E91EA6">
            <w:pPr>
              <w:spacing w:before="120" w:after="120"/>
              <w:jc w:val="both"/>
              <w:rPr>
                <w:rFonts w:cstheme="minorHAnsi"/>
                <w:sz w:val="24"/>
                <w:szCs w:val="24"/>
              </w:rPr>
            </w:pPr>
          </w:p>
        </w:tc>
      </w:tr>
      <w:tr w:rsidR="00E91EA6" w:rsidRPr="00C031E1" w14:paraId="2AB4DEAF" w14:textId="77777777" w:rsidTr="001B566D">
        <w:tc>
          <w:tcPr>
            <w:tcW w:w="4957" w:type="dxa"/>
          </w:tcPr>
          <w:p w14:paraId="376F09E3" w14:textId="57841245"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 xml:space="preserve">I - </w:t>
            </w:r>
            <w:proofErr w:type="gramStart"/>
            <w:r w:rsidRPr="00C031E1">
              <w:rPr>
                <w:rFonts w:eastAsia="Times New Roman" w:cstheme="minorHAnsi"/>
                <w:color w:val="000000"/>
                <w:sz w:val="24"/>
                <w:szCs w:val="24"/>
                <w:lang w:eastAsia="pt-BR"/>
              </w:rPr>
              <w:t>até</w:t>
            </w:r>
            <w:proofErr w:type="gramEnd"/>
            <w:r w:rsidRPr="00C031E1">
              <w:rPr>
                <w:rFonts w:eastAsia="Times New Roman" w:cstheme="minorHAnsi"/>
                <w:color w:val="000000"/>
                <w:sz w:val="24"/>
                <w:szCs w:val="24"/>
                <w:lang w:eastAsia="pt-BR"/>
              </w:rPr>
              <w:t xml:space="preserve"> 1º de março do exercício de referência; e</w:t>
            </w:r>
          </w:p>
        </w:tc>
        <w:tc>
          <w:tcPr>
            <w:tcW w:w="5103" w:type="dxa"/>
          </w:tcPr>
          <w:p w14:paraId="39DB0C4D" w14:textId="77777777"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 xml:space="preserve">I - </w:t>
            </w:r>
            <w:proofErr w:type="gramStart"/>
            <w:r w:rsidRPr="00C031E1">
              <w:rPr>
                <w:rFonts w:eastAsia="Times New Roman" w:cstheme="minorHAnsi"/>
                <w:color w:val="000000"/>
                <w:sz w:val="24"/>
                <w:szCs w:val="24"/>
                <w:lang w:eastAsia="pt-BR"/>
              </w:rPr>
              <w:t>até</w:t>
            </w:r>
            <w:proofErr w:type="gramEnd"/>
            <w:r w:rsidRPr="00C031E1">
              <w:rPr>
                <w:rFonts w:eastAsia="Times New Roman" w:cstheme="minorHAnsi"/>
                <w:color w:val="000000"/>
                <w:sz w:val="24"/>
                <w:szCs w:val="24"/>
                <w:lang w:eastAsia="pt-BR"/>
              </w:rPr>
              <w:t xml:space="preserve"> 1º de março do exercício de referência; e</w:t>
            </w:r>
          </w:p>
        </w:tc>
        <w:tc>
          <w:tcPr>
            <w:tcW w:w="4677" w:type="dxa"/>
          </w:tcPr>
          <w:p w14:paraId="2373C0B6" w14:textId="77777777"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448C6B85" w14:textId="77777777" w:rsidTr="001B566D">
        <w:tc>
          <w:tcPr>
            <w:tcW w:w="4957" w:type="dxa"/>
          </w:tcPr>
          <w:p w14:paraId="77CFADDF" w14:textId="00BDD3DC"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 xml:space="preserve">II - </w:t>
            </w:r>
            <w:proofErr w:type="gramStart"/>
            <w:r w:rsidRPr="00C031E1">
              <w:rPr>
                <w:rFonts w:eastAsia="Times New Roman" w:cstheme="minorHAnsi"/>
                <w:color w:val="000000"/>
                <w:sz w:val="24"/>
                <w:szCs w:val="24"/>
                <w:lang w:eastAsia="pt-BR"/>
              </w:rPr>
              <w:t>até</w:t>
            </w:r>
            <w:proofErr w:type="gramEnd"/>
            <w:r w:rsidRPr="00C031E1">
              <w:rPr>
                <w:rFonts w:eastAsia="Times New Roman" w:cstheme="minorHAnsi"/>
                <w:color w:val="000000"/>
                <w:sz w:val="24"/>
                <w:szCs w:val="24"/>
                <w:lang w:eastAsia="pt-BR"/>
              </w:rPr>
              <w:t xml:space="preserve"> trinta dias contados da data da revisão aprovada pelo Conselho Deliberativo</w:t>
            </w:r>
            <w:r w:rsidRPr="00C031E1">
              <w:rPr>
                <w:rFonts w:cstheme="minorHAnsi"/>
                <w:sz w:val="24"/>
                <w:szCs w:val="24"/>
              </w:rPr>
              <w:t>.</w:t>
            </w:r>
          </w:p>
        </w:tc>
        <w:tc>
          <w:tcPr>
            <w:tcW w:w="5103" w:type="dxa"/>
          </w:tcPr>
          <w:p w14:paraId="754E3D18" w14:textId="77777777"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 xml:space="preserve">II - </w:t>
            </w:r>
            <w:proofErr w:type="gramStart"/>
            <w:r w:rsidRPr="00C031E1">
              <w:rPr>
                <w:rFonts w:eastAsia="Times New Roman" w:cstheme="minorHAnsi"/>
                <w:color w:val="000000"/>
                <w:sz w:val="24"/>
                <w:szCs w:val="24"/>
                <w:lang w:eastAsia="pt-BR"/>
              </w:rPr>
              <w:t>até</w:t>
            </w:r>
            <w:proofErr w:type="gramEnd"/>
            <w:r w:rsidRPr="00C031E1">
              <w:rPr>
                <w:rFonts w:eastAsia="Times New Roman" w:cstheme="minorHAnsi"/>
                <w:color w:val="000000"/>
                <w:sz w:val="24"/>
                <w:szCs w:val="24"/>
                <w:lang w:eastAsia="pt-BR"/>
              </w:rPr>
              <w:t xml:space="preserve"> trinta dias contados da data da revisão aprovada pelo conselho deliberativo</w:t>
            </w:r>
            <w:r w:rsidRPr="00C031E1">
              <w:rPr>
                <w:rFonts w:cstheme="minorHAnsi"/>
                <w:sz w:val="24"/>
                <w:szCs w:val="24"/>
              </w:rPr>
              <w:t>.</w:t>
            </w:r>
          </w:p>
        </w:tc>
        <w:tc>
          <w:tcPr>
            <w:tcW w:w="4677" w:type="dxa"/>
          </w:tcPr>
          <w:p w14:paraId="558AAFF0" w14:textId="77777777" w:rsidR="00E91EA6" w:rsidRPr="00C031E1" w:rsidRDefault="00E91EA6" w:rsidP="00E91EA6">
            <w:pPr>
              <w:spacing w:before="120" w:after="120"/>
              <w:jc w:val="both"/>
              <w:rPr>
                <w:rFonts w:cstheme="minorHAnsi"/>
                <w:sz w:val="24"/>
                <w:szCs w:val="24"/>
              </w:rPr>
            </w:pPr>
          </w:p>
        </w:tc>
      </w:tr>
      <w:tr w:rsidR="00E91EA6" w:rsidRPr="00C031E1" w14:paraId="787DD620" w14:textId="77777777" w:rsidTr="001B566D">
        <w:tc>
          <w:tcPr>
            <w:tcW w:w="4957" w:type="dxa"/>
          </w:tcPr>
          <w:p w14:paraId="5A05A548" w14:textId="1C46B41D"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cstheme="minorHAnsi"/>
                <w:sz w:val="24"/>
                <w:szCs w:val="24"/>
              </w:rPr>
              <w:t>§</w:t>
            </w:r>
            <w:r w:rsidR="00DC20FE">
              <w:rPr>
                <w:rFonts w:cstheme="minorHAnsi"/>
                <w:sz w:val="24"/>
                <w:szCs w:val="24"/>
              </w:rPr>
              <w:t xml:space="preserve"> </w:t>
            </w:r>
            <w:r w:rsidRPr="00C031E1">
              <w:rPr>
                <w:rFonts w:cstheme="minorHAnsi"/>
                <w:sz w:val="24"/>
                <w:szCs w:val="24"/>
              </w:rPr>
              <w:t>3</w:t>
            </w:r>
            <w:proofErr w:type="gramStart"/>
            <w:r w:rsidRPr="00C031E1">
              <w:rPr>
                <w:rFonts w:cstheme="minorHAnsi"/>
                <w:sz w:val="24"/>
                <w:szCs w:val="24"/>
              </w:rPr>
              <w:t>º  A</w:t>
            </w:r>
            <w:proofErr w:type="gramEnd"/>
            <w:r w:rsidRPr="00C031E1">
              <w:rPr>
                <w:rFonts w:cstheme="minorHAnsi"/>
                <w:sz w:val="24"/>
                <w:szCs w:val="24"/>
              </w:rPr>
              <w:t xml:space="preserve"> forma de envio das informações deve ser</w:t>
            </w:r>
            <w:r w:rsidRPr="00C031E1">
              <w:rPr>
                <w:rFonts w:cstheme="minorHAnsi"/>
                <w:b/>
                <w:sz w:val="24"/>
                <w:szCs w:val="24"/>
              </w:rPr>
              <w:t xml:space="preserve"> </w:t>
            </w:r>
            <w:r w:rsidRPr="00C031E1">
              <w:rPr>
                <w:rFonts w:cstheme="minorHAnsi"/>
                <w:sz w:val="24"/>
                <w:szCs w:val="24"/>
              </w:rPr>
              <w:t>realizada conforme Portaria da Diretoria de Fiscalização e Monitoramento (</w:t>
            </w:r>
            <w:proofErr w:type="spellStart"/>
            <w:r w:rsidRPr="00C031E1">
              <w:rPr>
                <w:rFonts w:cstheme="minorHAnsi"/>
                <w:sz w:val="24"/>
                <w:szCs w:val="24"/>
              </w:rPr>
              <w:t>Difis</w:t>
            </w:r>
            <w:proofErr w:type="spellEnd"/>
            <w:r w:rsidRPr="00C031E1">
              <w:rPr>
                <w:rFonts w:cstheme="minorHAnsi"/>
                <w:sz w:val="24"/>
                <w:szCs w:val="24"/>
              </w:rPr>
              <w:t>).</w:t>
            </w:r>
          </w:p>
        </w:tc>
        <w:tc>
          <w:tcPr>
            <w:tcW w:w="5103" w:type="dxa"/>
          </w:tcPr>
          <w:p w14:paraId="25A29E70" w14:textId="73EDB45B" w:rsidR="00E91EA6" w:rsidRPr="00C031E1" w:rsidRDefault="00E91EA6" w:rsidP="00E91EA6">
            <w:pPr>
              <w:spacing w:before="120" w:after="120"/>
              <w:jc w:val="both"/>
              <w:rPr>
                <w:rFonts w:eastAsia="Times New Roman" w:cstheme="minorHAnsi"/>
                <w:color w:val="000000"/>
                <w:sz w:val="24"/>
                <w:szCs w:val="24"/>
                <w:lang w:eastAsia="pt-BR"/>
              </w:rPr>
            </w:pPr>
          </w:p>
        </w:tc>
        <w:tc>
          <w:tcPr>
            <w:tcW w:w="4677" w:type="dxa"/>
          </w:tcPr>
          <w:p w14:paraId="23831CD0" w14:textId="3AAB9C89" w:rsidR="005A71F8" w:rsidRDefault="005A71F8" w:rsidP="00E91EA6">
            <w:pPr>
              <w:spacing w:before="120" w:after="120"/>
              <w:jc w:val="both"/>
              <w:rPr>
                <w:rFonts w:cstheme="minorHAnsi"/>
                <w:sz w:val="24"/>
                <w:szCs w:val="24"/>
              </w:rPr>
            </w:pPr>
            <w:r>
              <w:rPr>
                <w:rFonts w:cstheme="minorHAnsi"/>
                <w:sz w:val="24"/>
                <w:szCs w:val="24"/>
              </w:rPr>
              <w:t xml:space="preserve">Realocado para o </w:t>
            </w:r>
            <w:r w:rsidRPr="001D7D70">
              <w:rPr>
                <w:rFonts w:cstheme="minorHAnsi"/>
                <w:sz w:val="24"/>
                <w:szCs w:val="24"/>
                <w:highlight w:val="yellow"/>
              </w:rPr>
              <w:t>art. 93</w:t>
            </w:r>
            <w:r w:rsidR="00F34410">
              <w:rPr>
                <w:rFonts w:cstheme="minorHAnsi"/>
                <w:sz w:val="24"/>
                <w:szCs w:val="24"/>
                <w:highlight w:val="yellow"/>
              </w:rPr>
              <w:t>1</w:t>
            </w:r>
            <w:r>
              <w:rPr>
                <w:rFonts w:cstheme="minorHAnsi"/>
                <w:sz w:val="24"/>
                <w:szCs w:val="24"/>
              </w:rPr>
              <w:t xml:space="preserve"> da proposta de consolidação</w:t>
            </w:r>
          </w:p>
          <w:p w14:paraId="5664EA50" w14:textId="3683E884" w:rsidR="001D2993" w:rsidRPr="00C031E1" w:rsidRDefault="001D2993" w:rsidP="00E91EA6">
            <w:pPr>
              <w:spacing w:before="120" w:after="120"/>
              <w:jc w:val="both"/>
              <w:rPr>
                <w:rFonts w:cstheme="minorHAnsi"/>
                <w:sz w:val="24"/>
                <w:szCs w:val="24"/>
              </w:rPr>
            </w:pPr>
          </w:p>
        </w:tc>
      </w:tr>
      <w:tr w:rsidR="00E91EA6" w:rsidRPr="00C031E1" w14:paraId="52BE9D86" w14:textId="77777777" w:rsidTr="001B566D">
        <w:tc>
          <w:tcPr>
            <w:tcW w:w="4957" w:type="dxa"/>
          </w:tcPr>
          <w:p w14:paraId="0E8C8C61" w14:textId="67ACB74D"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Art. 3</w:t>
            </w:r>
            <w:proofErr w:type="gramStart"/>
            <w:r w:rsidRPr="00C031E1">
              <w:rPr>
                <w:rFonts w:eastAsia="Times New Roman" w:cstheme="minorHAnsi"/>
                <w:color w:val="000000"/>
                <w:sz w:val="24"/>
                <w:szCs w:val="24"/>
                <w:lang w:eastAsia="pt-BR"/>
              </w:rPr>
              <w:t>º  A</w:t>
            </w:r>
            <w:proofErr w:type="gramEnd"/>
            <w:r w:rsidRPr="00C031E1">
              <w:rPr>
                <w:rFonts w:eastAsia="Times New Roman" w:cstheme="minorHAnsi"/>
                <w:color w:val="000000"/>
                <w:sz w:val="24"/>
                <w:szCs w:val="24"/>
                <w:lang w:eastAsia="pt-BR"/>
              </w:rPr>
              <w:t xml:space="preserve"> EFPC deve enviar à Previc o demonstrativo de investimentos de todos os planos por ela administrados, inclusive do Plano de Gestão Administrativa (PGA), até o último dia do mês subsequente à data-base do demonstrativo.</w:t>
            </w:r>
          </w:p>
        </w:tc>
        <w:tc>
          <w:tcPr>
            <w:tcW w:w="5103" w:type="dxa"/>
          </w:tcPr>
          <w:p w14:paraId="40F2175E" w14:textId="234CF659"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Art. 9</w:t>
            </w:r>
            <w:r w:rsidR="002948B0">
              <w:rPr>
                <w:rFonts w:eastAsia="Times New Roman" w:cstheme="minorHAnsi"/>
                <w:color w:val="000000"/>
                <w:sz w:val="24"/>
                <w:szCs w:val="24"/>
                <w:lang w:eastAsia="pt-BR"/>
              </w:rPr>
              <w:t>1</w:t>
            </w:r>
            <w:r w:rsidR="006B2F52">
              <w:rPr>
                <w:rFonts w:eastAsia="Times New Roman" w:cstheme="minorHAnsi"/>
                <w:color w:val="000000"/>
                <w:sz w:val="24"/>
                <w:szCs w:val="24"/>
                <w:lang w:eastAsia="pt-BR"/>
              </w:rPr>
              <w:t>7</w:t>
            </w:r>
            <w:r w:rsidRPr="00C031E1">
              <w:rPr>
                <w:rFonts w:eastAsia="Times New Roman" w:cstheme="minorHAnsi"/>
                <w:color w:val="000000"/>
                <w:sz w:val="24"/>
                <w:szCs w:val="24"/>
                <w:lang w:eastAsia="pt-BR"/>
              </w:rPr>
              <w:t>.  A EFPC deve enviar à Previc o demonstrativo de investimentos de todos os planos por ela administrados, inclusive do PGA, até o último dia do mês subsequente à data-base do demonstrativo.</w:t>
            </w:r>
          </w:p>
        </w:tc>
        <w:tc>
          <w:tcPr>
            <w:tcW w:w="4677" w:type="dxa"/>
          </w:tcPr>
          <w:p w14:paraId="2277387B" w14:textId="334A7E8C"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3B2C7F35" w14:textId="77777777" w:rsidTr="001B566D">
        <w:tc>
          <w:tcPr>
            <w:tcW w:w="4957" w:type="dxa"/>
          </w:tcPr>
          <w:p w14:paraId="75AE0B86" w14:textId="0BD5C1D5"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§1</w:t>
            </w:r>
            <w:proofErr w:type="gramStart"/>
            <w:r w:rsidRPr="00C031E1">
              <w:rPr>
                <w:rFonts w:eastAsia="Times New Roman" w:cstheme="minorHAnsi"/>
                <w:color w:val="000000"/>
                <w:sz w:val="24"/>
                <w:szCs w:val="24"/>
                <w:lang w:eastAsia="pt-BR"/>
              </w:rPr>
              <w:t>º  O</w:t>
            </w:r>
            <w:proofErr w:type="gramEnd"/>
            <w:r w:rsidRPr="00C031E1">
              <w:rPr>
                <w:rFonts w:eastAsia="Times New Roman" w:cstheme="minorHAnsi"/>
                <w:color w:val="000000"/>
                <w:sz w:val="24"/>
                <w:szCs w:val="24"/>
                <w:lang w:eastAsia="pt-BR"/>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5103" w:type="dxa"/>
          </w:tcPr>
          <w:p w14:paraId="30FCF876" w14:textId="0DC67890" w:rsidR="00E91EA6" w:rsidRPr="00C031E1" w:rsidRDefault="00E91EA6" w:rsidP="00E91EA6">
            <w:pPr>
              <w:spacing w:before="120" w:after="120"/>
              <w:jc w:val="both"/>
              <w:rPr>
                <w:rFonts w:cstheme="minorHAnsi"/>
                <w:sz w:val="24"/>
                <w:szCs w:val="24"/>
              </w:rPr>
            </w:pPr>
            <w:r w:rsidRPr="00C031E1">
              <w:rPr>
                <w:rFonts w:eastAsia="Times New Roman" w:cstheme="minorHAnsi"/>
                <w:color w:val="000000"/>
                <w:sz w:val="24"/>
                <w:szCs w:val="24"/>
                <w:lang w:eastAsia="pt-BR"/>
              </w:rPr>
              <w:t>§</w:t>
            </w:r>
            <w:r w:rsidR="001D7D70">
              <w:rPr>
                <w:rFonts w:eastAsia="Times New Roman" w:cstheme="minorHAnsi"/>
                <w:color w:val="000000"/>
                <w:sz w:val="24"/>
                <w:szCs w:val="24"/>
                <w:lang w:eastAsia="pt-BR"/>
              </w:rPr>
              <w:t xml:space="preserve"> </w:t>
            </w:r>
            <w:r w:rsidRPr="00C031E1">
              <w:rPr>
                <w:rFonts w:eastAsia="Times New Roman" w:cstheme="minorHAnsi"/>
                <w:color w:val="000000"/>
                <w:sz w:val="24"/>
                <w:szCs w:val="24"/>
                <w:lang w:eastAsia="pt-BR"/>
              </w:rPr>
              <w:t>1</w:t>
            </w:r>
            <w:proofErr w:type="gramStart"/>
            <w:r w:rsidRPr="00C031E1">
              <w:rPr>
                <w:rFonts w:eastAsia="Times New Roman" w:cstheme="minorHAnsi"/>
                <w:color w:val="000000"/>
                <w:sz w:val="24"/>
                <w:szCs w:val="24"/>
                <w:lang w:eastAsia="pt-BR"/>
              </w:rPr>
              <w:t>º  O</w:t>
            </w:r>
            <w:proofErr w:type="gramEnd"/>
            <w:r w:rsidRPr="00C031E1">
              <w:rPr>
                <w:rFonts w:eastAsia="Times New Roman" w:cstheme="minorHAnsi"/>
                <w:color w:val="000000"/>
                <w:sz w:val="24"/>
                <w:szCs w:val="24"/>
                <w:lang w:eastAsia="pt-BR"/>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4677" w:type="dxa"/>
          </w:tcPr>
          <w:p w14:paraId="73D4862E" w14:textId="77777777" w:rsidR="00E91EA6" w:rsidRPr="00C031E1" w:rsidRDefault="00E91EA6" w:rsidP="00E91EA6">
            <w:pPr>
              <w:spacing w:before="120" w:after="120"/>
              <w:jc w:val="both"/>
              <w:rPr>
                <w:rFonts w:cstheme="minorHAnsi"/>
                <w:sz w:val="24"/>
                <w:szCs w:val="24"/>
              </w:rPr>
            </w:pPr>
          </w:p>
        </w:tc>
      </w:tr>
      <w:tr w:rsidR="00E91EA6" w:rsidRPr="00C031E1" w14:paraId="51D723B1" w14:textId="77777777" w:rsidTr="001B566D">
        <w:tc>
          <w:tcPr>
            <w:tcW w:w="4957" w:type="dxa"/>
          </w:tcPr>
          <w:p w14:paraId="3518EEB1" w14:textId="4D35F16A"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§2</w:t>
            </w:r>
            <w:proofErr w:type="gramStart"/>
            <w:r w:rsidRPr="00C031E1">
              <w:rPr>
                <w:rFonts w:eastAsia="Times New Roman" w:cstheme="minorHAnsi"/>
                <w:color w:val="000000"/>
                <w:sz w:val="24"/>
                <w:szCs w:val="24"/>
                <w:lang w:eastAsia="pt-BR"/>
              </w:rPr>
              <w:t>º  A</w:t>
            </w:r>
            <w:proofErr w:type="gramEnd"/>
            <w:r w:rsidRPr="00C031E1">
              <w:rPr>
                <w:rFonts w:eastAsia="Times New Roman" w:cstheme="minorHAnsi"/>
                <w:color w:val="000000"/>
                <w:sz w:val="24"/>
                <w:szCs w:val="24"/>
                <w:lang w:eastAsia="pt-BR"/>
              </w:rPr>
              <w:t xml:space="preserve"> eventual substituição de informações do demonstrativo de investimentos deve ser justificada pelo Administrador Estatutário Tecnicamente Qualificado (AETQ) e permanecer </w:t>
            </w:r>
            <w:r w:rsidRPr="00C031E1">
              <w:rPr>
                <w:rFonts w:eastAsia="Times New Roman" w:cstheme="minorHAnsi"/>
                <w:color w:val="000000"/>
                <w:sz w:val="24"/>
                <w:szCs w:val="24"/>
                <w:lang w:eastAsia="pt-BR"/>
              </w:rPr>
              <w:lastRenderedPageBreak/>
              <w:t>na EFPC à disposição do Conselho Fiscal e da Previc.</w:t>
            </w:r>
          </w:p>
        </w:tc>
        <w:tc>
          <w:tcPr>
            <w:tcW w:w="5103" w:type="dxa"/>
          </w:tcPr>
          <w:p w14:paraId="1889DF5C" w14:textId="120BD946"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lastRenderedPageBreak/>
              <w:t>§</w:t>
            </w:r>
            <w:r w:rsidR="001D7D70">
              <w:rPr>
                <w:rFonts w:eastAsia="Times New Roman" w:cstheme="minorHAnsi"/>
                <w:color w:val="000000"/>
                <w:sz w:val="24"/>
                <w:szCs w:val="24"/>
                <w:lang w:eastAsia="pt-BR"/>
              </w:rPr>
              <w:t xml:space="preserve"> </w:t>
            </w:r>
            <w:r w:rsidRPr="00C031E1">
              <w:rPr>
                <w:rFonts w:eastAsia="Times New Roman" w:cstheme="minorHAnsi"/>
                <w:color w:val="000000"/>
                <w:sz w:val="24"/>
                <w:szCs w:val="24"/>
                <w:lang w:eastAsia="pt-BR"/>
              </w:rPr>
              <w:t>2</w:t>
            </w:r>
            <w:proofErr w:type="gramStart"/>
            <w:r w:rsidRPr="00C031E1">
              <w:rPr>
                <w:rFonts w:eastAsia="Times New Roman" w:cstheme="minorHAnsi"/>
                <w:color w:val="000000"/>
                <w:sz w:val="24"/>
                <w:szCs w:val="24"/>
                <w:lang w:eastAsia="pt-BR"/>
              </w:rPr>
              <w:t>º  A</w:t>
            </w:r>
            <w:proofErr w:type="gramEnd"/>
            <w:r w:rsidRPr="00C031E1">
              <w:rPr>
                <w:rFonts w:eastAsia="Times New Roman" w:cstheme="minorHAnsi"/>
                <w:color w:val="000000"/>
                <w:sz w:val="24"/>
                <w:szCs w:val="24"/>
                <w:lang w:eastAsia="pt-BR"/>
              </w:rPr>
              <w:t xml:space="preserve"> eventual substituição de informações do demonstrativo de investimentos deve ser justificada pelo Administrador Estatutário </w:t>
            </w:r>
            <w:r w:rsidRPr="00C031E1">
              <w:rPr>
                <w:rFonts w:eastAsia="Times New Roman" w:cstheme="minorHAnsi"/>
                <w:color w:val="000000"/>
                <w:sz w:val="24"/>
                <w:szCs w:val="24"/>
                <w:lang w:eastAsia="pt-BR"/>
              </w:rPr>
              <w:lastRenderedPageBreak/>
              <w:t>Tecnicamente Qualificado (AETQ) e permanecer na EFPC à disposição do conselho fiscal e da Previc.</w:t>
            </w:r>
          </w:p>
        </w:tc>
        <w:tc>
          <w:tcPr>
            <w:tcW w:w="4677" w:type="dxa"/>
          </w:tcPr>
          <w:p w14:paraId="7C4A84D7" w14:textId="77777777"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22F284C3" w14:textId="77777777" w:rsidTr="001B566D">
        <w:tc>
          <w:tcPr>
            <w:tcW w:w="4957" w:type="dxa"/>
          </w:tcPr>
          <w:p w14:paraId="4581133E" w14:textId="43341E4B"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Art. 4</w:t>
            </w:r>
            <w:proofErr w:type="gramStart"/>
            <w:r w:rsidRPr="00C031E1">
              <w:rPr>
                <w:rFonts w:eastAsia="Times New Roman" w:cstheme="minorHAnsi"/>
                <w:color w:val="000000"/>
                <w:sz w:val="24"/>
                <w:szCs w:val="24"/>
                <w:lang w:eastAsia="pt-BR"/>
              </w:rPr>
              <w:t>º  A</w:t>
            </w:r>
            <w:proofErr w:type="gramEnd"/>
            <w:r w:rsidRPr="00C031E1">
              <w:rPr>
                <w:rFonts w:eastAsia="Times New Roman" w:cstheme="minorHAnsi"/>
                <w:color w:val="000000"/>
                <w:sz w:val="24"/>
                <w:szCs w:val="24"/>
                <w:lang w:eastAsia="pt-BR"/>
              </w:rPr>
              <w:t xml:space="preserve"> EFPC deve manter cadastro atualizado dos fundos de investimento e dos fundos de investimento em cotas de fundos de investimento constituídos no Brasil:</w:t>
            </w:r>
          </w:p>
        </w:tc>
        <w:tc>
          <w:tcPr>
            <w:tcW w:w="5103" w:type="dxa"/>
          </w:tcPr>
          <w:p w14:paraId="03CC187B" w14:textId="5DA986BA"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Art. 9</w:t>
            </w:r>
            <w:r w:rsidR="001D7D70">
              <w:rPr>
                <w:rFonts w:eastAsia="Times New Roman" w:cstheme="minorHAnsi"/>
                <w:color w:val="000000"/>
                <w:sz w:val="24"/>
                <w:szCs w:val="24"/>
                <w:lang w:eastAsia="pt-BR"/>
              </w:rPr>
              <w:t>1</w:t>
            </w:r>
            <w:r w:rsidR="00DC20FE">
              <w:rPr>
                <w:rFonts w:eastAsia="Times New Roman" w:cstheme="minorHAnsi"/>
                <w:color w:val="000000"/>
                <w:sz w:val="24"/>
                <w:szCs w:val="24"/>
                <w:lang w:eastAsia="pt-BR"/>
              </w:rPr>
              <w:t>8</w:t>
            </w:r>
            <w:r w:rsidRPr="00C031E1">
              <w:rPr>
                <w:rFonts w:eastAsia="Times New Roman" w:cstheme="minorHAnsi"/>
                <w:color w:val="000000"/>
                <w:sz w:val="24"/>
                <w:szCs w:val="24"/>
                <w:lang w:eastAsia="pt-BR"/>
              </w:rPr>
              <w:t>.  A EFPC deve manter cadastro atualizado dos fundos de investimento e dos fundos de investimento em cotas de fundos de investimento constituídos no Brasil:</w:t>
            </w:r>
          </w:p>
        </w:tc>
        <w:tc>
          <w:tcPr>
            <w:tcW w:w="4677" w:type="dxa"/>
          </w:tcPr>
          <w:p w14:paraId="47D3C9D3" w14:textId="409F3B75"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7A7C0F5B" w14:textId="77777777" w:rsidTr="001B566D">
        <w:tc>
          <w:tcPr>
            <w:tcW w:w="4957" w:type="dxa"/>
          </w:tcPr>
          <w:p w14:paraId="4CDBEFE6" w14:textId="0D4E7244"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 xml:space="preserve">I - </w:t>
            </w:r>
            <w:proofErr w:type="gramStart"/>
            <w:r w:rsidRPr="00C031E1">
              <w:rPr>
                <w:rFonts w:eastAsia="Times New Roman" w:cstheme="minorHAnsi"/>
                <w:color w:val="000000"/>
                <w:sz w:val="24"/>
                <w:szCs w:val="24"/>
                <w:lang w:eastAsia="pt-BR"/>
              </w:rPr>
              <w:t>em</w:t>
            </w:r>
            <w:proofErr w:type="gramEnd"/>
            <w:r w:rsidRPr="00C031E1">
              <w:rPr>
                <w:rFonts w:eastAsia="Times New Roman" w:cstheme="minorHAnsi"/>
                <w:color w:val="000000"/>
                <w:sz w:val="24"/>
                <w:szCs w:val="24"/>
                <w:lang w:eastAsia="pt-BR"/>
              </w:rPr>
              <w:t xml:space="preserve"> que a EFPC ou seus planos de benefícios sejam os únicos cotistas; ou</w:t>
            </w:r>
          </w:p>
        </w:tc>
        <w:tc>
          <w:tcPr>
            <w:tcW w:w="5103" w:type="dxa"/>
          </w:tcPr>
          <w:p w14:paraId="2C8F3A33" w14:textId="77777777"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 xml:space="preserve">I - </w:t>
            </w:r>
            <w:proofErr w:type="gramStart"/>
            <w:r w:rsidRPr="00C031E1">
              <w:rPr>
                <w:rFonts w:eastAsia="Times New Roman" w:cstheme="minorHAnsi"/>
                <w:color w:val="000000"/>
                <w:sz w:val="24"/>
                <w:szCs w:val="24"/>
                <w:lang w:eastAsia="pt-BR"/>
              </w:rPr>
              <w:t>em</w:t>
            </w:r>
            <w:proofErr w:type="gramEnd"/>
            <w:r w:rsidRPr="00C031E1">
              <w:rPr>
                <w:rFonts w:eastAsia="Times New Roman" w:cstheme="minorHAnsi"/>
                <w:color w:val="000000"/>
                <w:sz w:val="24"/>
                <w:szCs w:val="24"/>
                <w:lang w:eastAsia="pt-BR"/>
              </w:rPr>
              <w:t xml:space="preserve"> que a EFPC ou seus planos de benefícios sejam os únicos cotistas; ou</w:t>
            </w:r>
          </w:p>
        </w:tc>
        <w:tc>
          <w:tcPr>
            <w:tcW w:w="4677" w:type="dxa"/>
          </w:tcPr>
          <w:p w14:paraId="0DB882BC" w14:textId="77777777"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0EB57CF3" w14:textId="77777777" w:rsidTr="001B566D">
        <w:tc>
          <w:tcPr>
            <w:tcW w:w="4957" w:type="dxa"/>
          </w:tcPr>
          <w:p w14:paraId="04660495" w14:textId="15824C29"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 xml:space="preserve">II – </w:t>
            </w:r>
            <w:proofErr w:type="gramStart"/>
            <w:r w:rsidRPr="00C031E1">
              <w:rPr>
                <w:rFonts w:eastAsia="Times New Roman" w:cstheme="minorHAnsi"/>
                <w:color w:val="000000"/>
                <w:sz w:val="24"/>
                <w:szCs w:val="24"/>
                <w:lang w:eastAsia="pt-BR"/>
              </w:rPr>
              <w:t>em</w:t>
            </w:r>
            <w:proofErr w:type="gramEnd"/>
            <w:r w:rsidRPr="00C031E1">
              <w:rPr>
                <w:rFonts w:eastAsia="Times New Roman" w:cstheme="minorHAnsi"/>
                <w:color w:val="000000"/>
                <w:sz w:val="24"/>
                <w:szCs w:val="24"/>
                <w:lang w:eastAsia="pt-BR"/>
              </w:rPr>
              <w:t xml:space="preserve"> que a EFPC seja cotista e o fundo classificado como multimercado (FIM), no segmento estruturado.</w:t>
            </w:r>
          </w:p>
        </w:tc>
        <w:tc>
          <w:tcPr>
            <w:tcW w:w="5103" w:type="dxa"/>
          </w:tcPr>
          <w:p w14:paraId="58CA789B" w14:textId="77777777"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 xml:space="preserve">II – </w:t>
            </w:r>
            <w:proofErr w:type="gramStart"/>
            <w:r w:rsidRPr="00C031E1">
              <w:rPr>
                <w:rFonts w:eastAsia="Times New Roman" w:cstheme="minorHAnsi"/>
                <w:color w:val="000000"/>
                <w:sz w:val="24"/>
                <w:szCs w:val="24"/>
                <w:lang w:eastAsia="pt-BR"/>
              </w:rPr>
              <w:t>em</w:t>
            </w:r>
            <w:proofErr w:type="gramEnd"/>
            <w:r w:rsidRPr="00C031E1">
              <w:rPr>
                <w:rFonts w:eastAsia="Times New Roman" w:cstheme="minorHAnsi"/>
                <w:color w:val="000000"/>
                <w:sz w:val="24"/>
                <w:szCs w:val="24"/>
                <w:lang w:eastAsia="pt-BR"/>
              </w:rPr>
              <w:t xml:space="preserve"> que a EFPC seja cotista e o fundo classificado como multimercado (FIM), no segmento estruturado.</w:t>
            </w:r>
          </w:p>
        </w:tc>
        <w:tc>
          <w:tcPr>
            <w:tcW w:w="4677" w:type="dxa"/>
          </w:tcPr>
          <w:p w14:paraId="6A81C027" w14:textId="77777777"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5C500434" w14:textId="77777777" w:rsidTr="001B566D">
        <w:tc>
          <w:tcPr>
            <w:tcW w:w="4957" w:type="dxa"/>
          </w:tcPr>
          <w:p w14:paraId="63873584" w14:textId="05C0B9F2"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5103" w:type="dxa"/>
          </w:tcPr>
          <w:p w14:paraId="551CEE7B" w14:textId="77777777"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4677" w:type="dxa"/>
          </w:tcPr>
          <w:p w14:paraId="51F5C33E" w14:textId="77777777"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0C06362B" w14:textId="77777777" w:rsidTr="001B566D">
        <w:tc>
          <w:tcPr>
            <w:tcW w:w="4957" w:type="dxa"/>
          </w:tcPr>
          <w:p w14:paraId="04BE2133" w14:textId="1F050195" w:rsidR="00E91EA6" w:rsidRPr="00C031E1" w:rsidRDefault="00E91EA6" w:rsidP="00E91EA6">
            <w:pPr>
              <w:spacing w:before="120" w:after="120"/>
              <w:jc w:val="center"/>
              <w:rPr>
                <w:rFonts w:eastAsia="Times New Roman" w:cstheme="minorHAnsi"/>
                <w:color w:val="000000"/>
                <w:sz w:val="24"/>
                <w:szCs w:val="24"/>
                <w:lang w:eastAsia="pt-BR"/>
              </w:rPr>
            </w:pPr>
            <w:r w:rsidRPr="00C031E1">
              <w:rPr>
                <w:rFonts w:eastAsia="Times New Roman" w:cstheme="minorHAnsi"/>
                <w:b/>
                <w:sz w:val="24"/>
                <w:szCs w:val="24"/>
                <w:lang w:eastAsia="pt-BR"/>
              </w:rPr>
              <w:t>Seção II</w:t>
            </w:r>
          </w:p>
        </w:tc>
        <w:tc>
          <w:tcPr>
            <w:tcW w:w="5103" w:type="dxa"/>
          </w:tcPr>
          <w:p w14:paraId="0D0C60FF" w14:textId="77777777" w:rsidR="00E91EA6" w:rsidRPr="00C031E1" w:rsidRDefault="00E91EA6" w:rsidP="00E91EA6">
            <w:pPr>
              <w:spacing w:before="120" w:after="120"/>
              <w:jc w:val="center"/>
              <w:rPr>
                <w:rFonts w:eastAsia="Times New Roman" w:cstheme="minorHAnsi"/>
                <w:color w:val="000000"/>
                <w:sz w:val="24"/>
                <w:szCs w:val="24"/>
                <w:lang w:eastAsia="pt-BR"/>
              </w:rPr>
            </w:pPr>
            <w:r w:rsidRPr="00C031E1">
              <w:rPr>
                <w:rFonts w:eastAsia="Times New Roman" w:cstheme="minorHAnsi"/>
                <w:b/>
                <w:sz w:val="24"/>
                <w:szCs w:val="24"/>
                <w:lang w:eastAsia="pt-BR"/>
              </w:rPr>
              <w:t>Subseção II</w:t>
            </w:r>
          </w:p>
        </w:tc>
        <w:tc>
          <w:tcPr>
            <w:tcW w:w="4677" w:type="dxa"/>
          </w:tcPr>
          <w:p w14:paraId="2EF1C458" w14:textId="77777777"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59953E0E" w14:textId="77777777" w:rsidTr="001B566D">
        <w:tc>
          <w:tcPr>
            <w:tcW w:w="4957" w:type="dxa"/>
          </w:tcPr>
          <w:p w14:paraId="6558CD0F" w14:textId="1E1A620F" w:rsidR="00E91EA6" w:rsidRPr="00C031E1" w:rsidRDefault="00E91EA6" w:rsidP="00E91EA6">
            <w:pPr>
              <w:spacing w:before="120" w:after="120"/>
              <w:jc w:val="center"/>
              <w:rPr>
                <w:rFonts w:eastAsia="Times New Roman" w:cstheme="minorHAnsi"/>
                <w:color w:val="000000"/>
                <w:sz w:val="24"/>
                <w:szCs w:val="24"/>
                <w:lang w:eastAsia="pt-BR"/>
              </w:rPr>
            </w:pPr>
            <w:r w:rsidRPr="00C031E1">
              <w:rPr>
                <w:rFonts w:eastAsia="Times New Roman" w:cstheme="minorHAnsi"/>
                <w:b/>
                <w:sz w:val="24"/>
                <w:szCs w:val="24"/>
                <w:lang w:eastAsia="pt-BR"/>
              </w:rPr>
              <w:t>Autorização, da custódia e do extrato de movimentação e posição de títulos públicos federais</w:t>
            </w:r>
          </w:p>
        </w:tc>
        <w:tc>
          <w:tcPr>
            <w:tcW w:w="5103" w:type="dxa"/>
          </w:tcPr>
          <w:p w14:paraId="1ABFB68E" w14:textId="77777777" w:rsidR="00E91EA6" w:rsidRPr="00C031E1" w:rsidRDefault="00E91EA6" w:rsidP="00E91EA6">
            <w:pPr>
              <w:spacing w:before="120" w:after="120"/>
              <w:jc w:val="center"/>
              <w:rPr>
                <w:rFonts w:eastAsia="Times New Roman" w:cstheme="minorHAnsi"/>
                <w:color w:val="000000"/>
                <w:sz w:val="24"/>
                <w:szCs w:val="24"/>
                <w:lang w:eastAsia="pt-BR"/>
              </w:rPr>
            </w:pPr>
            <w:r w:rsidRPr="00C031E1">
              <w:rPr>
                <w:rFonts w:eastAsia="Times New Roman" w:cstheme="minorHAnsi"/>
                <w:b/>
                <w:sz w:val="24"/>
                <w:szCs w:val="24"/>
                <w:lang w:eastAsia="pt-BR"/>
              </w:rPr>
              <w:t>Autorização, da custódia e do extrato de movimentação e posição de títulos públicos federais</w:t>
            </w:r>
          </w:p>
        </w:tc>
        <w:tc>
          <w:tcPr>
            <w:tcW w:w="4677" w:type="dxa"/>
          </w:tcPr>
          <w:p w14:paraId="47CB33F6" w14:textId="77777777"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1B11BC62" w14:textId="77777777" w:rsidTr="001B566D">
        <w:tc>
          <w:tcPr>
            <w:tcW w:w="4957" w:type="dxa"/>
          </w:tcPr>
          <w:p w14:paraId="4D7A892F" w14:textId="5F9A8A34" w:rsidR="00E91EA6" w:rsidRPr="00C031E1" w:rsidRDefault="00E91EA6" w:rsidP="00E91EA6">
            <w:pPr>
              <w:adjustRightInd w:val="0"/>
              <w:spacing w:before="120" w:after="120"/>
              <w:jc w:val="both"/>
              <w:rPr>
                <w:rFonts w:eastAsia="Times New Roman" w:cstheme="minorHAnsi"/>
                <w:b/>
                <w:sz w:val="24"/>
                <w:szCs w:val="24"/>
                <w:lang w:eastAsia="pt-BR"/>
              </w:rPr>
            </w:pPr>
            <w:r w:rsidRPr="00C031E1">
              <w:rPr>
                <w:rFonts w:eastAsia="Times New Roman" w:cstheme="minorHAnsi"/>
                <w:color w:val="000000"/>
                <w:sz w:val="24"/>
                <w:szCs w:val="24"/>
                <w:lang w:eastAsia="pt-BR"/>
              </w:rPr>
              <w:t>Art</w:t>
            </w:r>
            <w:r w:rsidRPr="00C031E1">
              <w:rPr>
                <w:rFonts w:eastAsia="Times New Roman" w:cstheme="minorHAnsi"/>
                <w:sz w:val="24"/>
                <w:szCs w:val="24"/>
                <w:lang w:eastAsia="pt-BR"/>
              </w:rPr>
              <w:t>. 5º</w:t>
            </w:r>
            <w:r w:rsidRPr="00C031E1">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w:t>
            </w:r>
            <w:r w:rsidRPr="00C031E1">
              <w:rPr>
                <w:rFonts w:eastAsia="Times New Roman" w:cstheme="minorHAnsi"/>
                <w:color w:val="000000"/>
                <w:sz w:val="24"/>
                <w:szCs w:val="24"/>
                <w:lang w:eastAsia="pt-BR"/>
              </w:rPr>
              <w:lastRenderedPageBreak/>
              <w:t xml:space="preserve">à EFPC, aos planos de benefícios, aos fundos de investimento e aos fundos de investimento em cotas de fundos de investimento exclusivos, junto </w:t>
            </w:r>
            <w:proofErr w:type="spellStart"/>
            <w:r w:rsidRPr="00C031E1">
              <w:rPr>
                <w:rFonts w:eastAsia="Times New Roman" w:cstheme="minorHAnsi"/>
                <w:color w:val="000000"/>
                <w:sz w:val="24"/>
                <w:szCs w:val="24"/>
                <w:lang w:eastAsia="pt-BR"/>
              </w:rPr>
              <w:t>a</w:t>
            </w:r>
            <w:proofErr w:type="spellEnd"/>
            <w:r w:rsidRPr="00C031E1">
              <w:rPr>
                <w:rFonts w:eastAsia="Times New Roman" w:cstheme="minorHAnsi"/>
                <w:color w:val="000000"/>
                <w:sz w:val="24"/>
                <w:szCs w:val="24"/>
                <w:lang w:eastAsia="pt-BR"/>
              </w:rPr>
              <w:t xml:space="preserve"> sistema de registro e de liquidação financeira ou depositário central,</w:t>
            </w:r>
            <w:r w:rsidRPr="00C031E1" w:rsidDel="00A47A97">
              <w:rPr>
                <w:rFonts w:eastAsia="Times New Roman" w:cstheme="minorHAnsi"/>
                <w:color w:val="000000"/>
                <w:sz w:val="24"/>
                <w:szCs w:val="24"/>
                <w:lang w:eastAsia="pt-BR"/>
              </w:rPr>
              <w:t xml:space="preserve"> </w:t>
            </w:r>
            <w:r w:rsidRPr="00C031E1">
              <w:rPr>
                <w:rFonts w:eastAsia="Times New Roman" w:cstheme="minorHAnsi"/>
                <w:color w:val="000000"/>
                <w:sz w:val="24"/>
                <w:szCs w:val="24"/>
                <w:lang w:eastAsia="pt-BR"/>
              </w:rPr>
              <w:t>observada a regulamentação do Banco Central do Brasil ou da Comissão de Valores Mobiliários, nas suas respectivas áreas de competência.</w:t>
            </w:r>
          </w:p>
        </w:tc>
        <w:tc>
          <w:tcPr>
            <w:tcW w:w="5103" w:type="dxa"/>
          </w:tcPr>
          <w:p w14:paraId="70EDB1B4" w14:textId="6082CF97" w:rsidR="00E91EA6" w:rsidRPr="00C031E1" w:rsidRDefault="00E91EA6" w:rsidP="00E91EA6">
            <w:pPr>
              <w:adjustRightInd w:val="0"/>
              <w:spacing w:before="120" w:after="120"/>
              <w:jc w:val="both"/>
              <w:rPr>
                <w:rFonts w:eastAsia="Times New Roman" w:cstheme="minorHAnsi"/>
                <w:b/>
                <w:sz w:val="24"/>
                <w:szCs w:val="24"/>
                <w:lang w:eastAsia="pt-BR"/>
              </w:rPr>
            </w:pPr>
            <w:r w:rsidRPr="00C031E1">
              <w:rPr>
                <w:rFonts w:eastAsia="Times New Roman" w:cstheme="minorHAnsi"/>
                <w:color w:val="000000"/>
                <w:sz w:val="24"/>
                <w:szCs w:val="24"/>
                <w:lang w:eastAsia="pt-BR"/>
              </w:rPr>
              <w:lastRenderedPageBreak/>
              <w:t>Art</w:t>
            </w:r>
            <w:r w:rsidRPr="00C031E1">
              <w:rPr>
                <w:rFonts w:eastAsia="Times New Roman" w:cstheme="minorHAnsi"/>
                <w:sz w:val="24"/>
                <w:szCs w:val="24"/>
                <w:lang w:eastAsia="pt-BR"/>
              </w:rPr>
              <w:t>. 9</w:t>
            </w:r>
            <w:r w:rsidR="00DC20FE">
              <w:rPr>
                <w:rFonts w:eastAsia="Times New Roman" w:cstheme="minorHAnsi"/>
                <w:sz w:val="24"/>
                <w:szCs w:val="24"/>
                <w:lang w:eastAsia="pt-BR"/>
              </w:rPr>
              <w:t>19</w:t>
            </w:r>
            <w:r w:rsidRPr="00C031E1">
              <w:rPr>
                <w:rFonts w:eastAsia="Times New Roman" w:cstheme="minorHAnsi"/>
                <w:sz w:val="24"/>
                <w:szCs w:val="24"/>
                <w:lang w:eastAsia="pt-BR"/>
              </w:rPr>
              <w:t>.</w:t>
            </w:r>
            <w:r w:rsidRPr="00C031E1">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w:t>
            </w:r>
            <w:r w:rsidRPr="00C031E1">
              <w:rPr>
                <w:rFonts w:eastAsia="Times New Roman" w:cstheme="minorHAnsi"/>
                <w:color w:val="000000"/>
                <w:sz w:val="24"/>
                <w:szCs w:val="24"/>
                <w:lang w:eastAsia="pt-BR"/>
              </w:rPr>
              <w:lastRenderedPageBreak/>
              <w:t xml:space="preserve">financeiros pertencentes à EFPC, aos planos de benefícios, aos fundos de investimento e aos fundos de investimento em cotas de fundos de investimento exclusivos, junto </w:t>
            </w:r>
            <w:proofErr w:type="spellStart"/>
            <w:r w:rsidRPr="00C031E1">
              <w:rPr>
                <w:rFonts w:eastAsia="Times New Roman" w:cstheme="minorHAnsi"/>
                <w:color w:val="000000"/>
                <w:sz w:val="24"/>
                <w:szCs w:val="24"/>
                <w:lang w:eastAsia="pt-BR"/>
              </w:rPr>
              <w:t>a</w:t>
            </w:r>
            <w:proofErr w:type="spellEnd"/>
            <w:r w:rsidRPr="00C031E1">
              <w:rPr>
                <w:rFonts w:eastAsia="Times New Roman" w:cstheme="minorHAnsi"/>
                <w:color w:val="000000"/>
                <w:sz w:val="24"/>
                <w:szCs w:val="24"/>
                <w:lang w:eastAsia="pt-BR"/>
              </w:rPr>
              <w:t xml:space="preserve"> sistema de registro e de liquidação financeira ou depositário central,</w:t>
            </w:r>
            <w:r w:rsidRPr="00C031E1" w:rsidDel="00A47A97">
              <w:rPr>
                <w:rFonts w:eastAsia="Times New Roman" w:cstheme="minorHAnsi"/>
                <w:color w:val="000000"/>
                <w:sz w:val="24"/>
                <w:szCs w:val="24"/>
                <w:lang w:eastAsia="pt-BR"/>
              </w:rPr>
              <w:t xml:space="preserve"> </w:t>
            </w:r>
            <w:r w:rsidRPr="00C031E1">
              <w:rPr>
                <w:rFonts w:eastAsia="Times New Roman" w:cstheme="minorHAnsi"/>
                <w:color w:val="000000"/>
                <w:sz w:val="24"/>
                <w:szCs w:val="24"/>
                <w:lang w:eastAsia="pt-BR"/>
              </w:rPr>
              <w:t>observada a regulamentação do Banco Central do Brasil ou da Comissão de Valores Mobiliários, nas suas respectivas áreas de competência.</w:t>
            </w:r>
          </w:p>
        </w:tc>
        <w:tc>
          <w:tcPr>
            <w:tcW w:w="4677" w:type="dxa"/>
          </w:tcPr>
          <w:p w14:paraId="69C73A3A" w14:textId="46B4609E" w:rsidR="00E91EA6" w:rsidRPr="00C031E1" w:rsidRDefault="00E91EA6" w:rsidP="00E91EA6">
            <w:pPr>
              <w:adjustRightInd w:val="0"/>
              <w:spacing w:before="120" w:after="120"/>
              <w:jc w:val="center"/>
              <w:rPr>
                <w:rFonts w:eastAsia="Times New Roman" w:cstheme="minorHAnsi"/>
                <w:b/>
                <w:sz w:val="24"/>
                <w:szCs w:val="24"/>
                <w:lang w:eastAsia="pt-BR"/>
              </w:rPr>
            </w:pPr>
          </w:p>
        </w:tc>
      </w:tr>
      <w:tr w:rsidR="00E91EA6" w:rsidRPr="00C031E1" w14:paraId="19587EE7" w14:textId="77777777" w:rsidTr="001B566D">
        <w:tc>
          <w:tcPr>
            <w:tcW w:w="4957" w:type="dxa"/>
          </w:tcPr>
          <w:p w14:paraId="1274B201" w14:textId="36F28212" w:rsidR="00E91EA6" w:rsidRPr="00C031E1" w:rsidRDefault="00E91EA6" w:rsidP="00E91EA6">
            <w:pPr>
              <w:spacing w:before="120" w:after="120"/>
              <w:jc w:val="both"/>
              <w:rPr>
                <w:rFonts w:eastAsia="Times New Roman" w:cstheme="minorHAnsi"/>
                <w:b/>
                <w:color w:val="000000"/>
                <w:sz w:val="24"/>
                <w:szCs w:val="24"/>
                <w:lang w:eastAsia="pt-BR"/>
              </w:rPr>
            </w:pPr>
            <w:r w:rsidRPr="00C031E1">
              <w:rPr>
                <w:rFonts w:eastAsia="Times New Roman" w:cstheme="minorHAnsi"/>
                <w:color w:val="000000"/>
                <w:sz w:val="24"/>
                <w:szCs w:val="24"/>
                <w:lang w:eastAsia="pt-BR"/>
              </w:rPr>
              <w:t>Art. 6</w:t>
            </w:r>
            <w:proofErr w:type="gramStart"/>
            <w:r w:rsidRPr="00C031E1">
              <w:rPr>
                <w:rFonts w:eastAsia="Times New Roman" w:cstheme="minorHAnsi"/>
                <w:color w:val="000000"/>
                <w:sz w:val="24"/>
                <w:szCs w:val="24"/>
                <w:lang w:eastAsia="pt-BR"/>
              </w:rPr>
              <w:t>º  O</w:t>
            </w:r>
            <w:proofErr w:type="gramEnd"/>
            <w:r w:rsidRPr="00C031E1">
              <w:rPr>
                <w:rFonts w:eastAsia="Times New Roman" w:cstheme="minorHAnsi"/>
                <w:color w:val="000000"/>
                <w:sz w:val="24"/>
                <w:szCs w:val="24"/>
                <w:lang w:eastAsia="pt-BR"/>
              </w:rPr>
              <w:t xml:space="preserve">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§3º do art. 2º desta Instrução.</w:t>
            </w:r>
          </w:p>
        </w:tc>
        <w:tc>
          <w:tcPr>
            <w:tcW w:w="5103" w:type="dxa"/>
          </w:tcPr>
          <w:p w14:paraId="21DD7EE5" w14:textId="0F97223D" w:rsidR="00E91EA6" w:rsidRPr="00C031E1" w:rsidRDefault="00E91EA6" w:rsidP="00E91EA6">
            <w:pPr>
              <w:spacing w:before="120" w:after="120"/>
              <w:jc w:val="both"/>
              <w:rPr>
                <w:rFonts w:eastAsia="Times New Roman" w:cstheme="minorHAnsi"/>
                <w:b/>
                <w:color w:val="000000"/>
                <w:sz w:val="24"/>
                <w:szCs w:val="24"/>
                <w:lang w:eastAsia="pt-BR"/>
              </w:rPr>
            </w:pPr>
            <w:r w:rsidRPr="00C031E1">
              <w:rPr>
                <w:rFonts w:eastAsia="Times New Roman" w:cstheme="minorHAnsi"/>
                <w:color w:val="000000"/>
                <w:sz w:val="24"/>
                <w:szCs w:val="24"/>
                <w:lang w:eastAsia="pt-BR"/>
              </w:rPr>
              <w:t>Art. 9</w:t>
            </w:r>
            <w:r w:rsidR="002948B0">
              <w:rPr>
                <w:rFonts w:eastAsia="Times New Roman" w:cstheme="minorHAnsi"/>
                <w:color w:val="000000"/>
                <w:sz w:val="24"/>
                <w:szCs w:val="24"/>
                <w:lang w:eastAsia="pt-BR"/>
              </w:rPr>
              <w:t>2</w:t>
            </w:r>
            <w:r w:rsidR="00DC20FE">
              <w:rPr>
                <w:rFonts w:eastAsia="Times New Roman" w:cstheme="minorHAnsi"/>
                <w:color w:val="000000"/>
                <w:sz w:val="24"/>
                <w:szCs w:val="24"/>
                <w:lang w:eastAsia="pt-BR"/>
              </w:rPr>
              <w:t>0</w:t>
            </w:r>
            <w:r w:rsidRPr="00C031E1">
              <w:rPr>
                <w:rFonts w:eastAsia="Times New Roman" w:cstheme="minorHAnsi"/>
                <w:color w:val="000000"/>
                <w:sz w:val="24"/>
                <w:szCs w:val="24"/>
                <w:lang w:eastAsia="pt-BR"/>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w:t>
            </w:r>
            <w:r w:rsidR="00DC20FE">
              <w:rPr>
                <w:rFonts w:eastAsia="Times New Roman" w:cstheme="minorHAnsi"/>
                <w:color w:val="000000"/>
                <w:sz w:val="24"/>
                <w:szCs w:val="24"/>
                <w:lang w:eastAsia="pt-BR"/>
              </w:rPr>
              <w:t>no</w:t>
            </w:r>
            <w:r w:rsidRPr="00C031E1">
              <w:rPr>
                <w:rFonts w:eastAsia="Times New Roman" w:cstheme="minorHAnsi"/>
                <w:color w:val="000000"/>
                <w:sz w:val="24"/>
                <w:szCs w:val="24"/>
                <w:lang w:eastAsia="pt-BR"/>
              </w:rPr>
              <w:t xml:space="preserve"> </w:t>
            </w:r>
            <w:r w:rsidRPr="00DC20FE">
              <w:rPr>
                <w:rFonts w:eastAsia="Times New Roman" w:cstheme="minorHAnsi"/>
                <w:color w:val="0070C0"/>
                <w:sz w:val="24"/>
                <w:szCs w:val="24"/>
                <w:highlight w:val="yellow"/>
                <w:lang w:eastAsia="pt-BR"/>
              </w:rPr>
              <w:t>art. 9</w:t>
            </w:r>
            <w:r w:rsidR="00DC20FE" w:rsidRPr="00DC20FE">
              <w:rPr>
                <w:rFonts w:eastAsia="Times New Roman" w:cstheme="minorHAnsi"/>
                <w:color w:val="0070C0"/>
                <w:sz w:val="24"/>
                <w:szCs w:val="24"/>
                <w:highlight w:val="yellow"/>
                <w:lang w:eastAsia="pt-BR"/>
              </w:rPr>
              <w:t>3</w:t>
            </w:r>
            <w:r w:rsidR="00F34410">
              <w:rPr>
                <w:rFonts w:eastAsia="Times New Roman" w:cstheme="minorHAnsi"/>
                <w:color w:val="0070C0"/>
                <w:sz w:val="24"/>
                <w:szCs w:val="24"/>
                <w:highlight w:val="yellow"/>
                <w:lang w:eastAsia="pt-BR"/>
              </w:rPr>
              <w:t>1</w:t>
            </w:r>
            <w:r w:rsidRPr="00C031E1">
              <w:rPr>
                <w:rFonts w:eastAsia="Times New Roman" w:cstheme="minorHAnsi"/>
                <w:color w:val="000000"/>
                <w:sz w:val="24"/>
                <w:szCs w:val="24"/>
                <w:lang w:eastAsia="pt-BR"/>
              </w:rPr>
              <w:t>.</w:t>
            </w:r>
          </w:p>
        </w:tc>
        <w:tc>
          <w:tcPr>
            <w:tcW w:w="4677" w:type="dxa"/>
          </w:tcPr>
          <w:p w14:paraId="4959E950" w14:textId="316E8623" w:rsidR="00E91EA6" w:rsidRPr="00C031E1" w:rsidRDefault="00E91EA6" w:rsidP="00E91EA6">
            <w:pPr>
              <w:spacing w:before="120" w:after="120"/>
              <w:jc w:val="center"/>
              <w:rPr>
                <w:rFonts w:eastAsia="Times New Roman" w:cstheme="minorHAnsi"/>
                <w:b/>
                <w:sz w:val="24"/>
                <w:szCs w:val="24"/>
                <w:lang w:eastAsia="pt-BR"/>
              </w:rPr>
            </w:pPr>
          </w:p>
        </w:tc>
      </w:tr>
      <w:tr w:rsidR="00E91EA6" w:rsidRPr="00C031E1" w14:paraId="0CEFEDEC" w14:textId="77777777" w:rsidTr="001B566D">
        <w:tc>
          <w:tcPr>
            <w:tcW w:w="4957" w:type="dxa"/>
          </w:tcPr>
          <w:p w14:paraId="7309196A" w14:textId="5D538AEA"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§1</w:t>
            </w:r>
            <w:proofErr w:type="gramStart"/>
            <w:r w:rsidRPr="00C031E1">
              <w:rPr>
                <w:rFonts w:eastAsia="Times New Roman" w:cstheme="minorHAnsi"/>
                <w:color w:val="000000"/>
                <w:sz w:val="24"/>
                <w:szCs w:val="24"/>
                <w:lang w:eastAsia="pt-BR"/>
              </w:rPr>
              <w:t>º  A</w:t>
            </w:r>
            <w:proofErr w:type="gramEnd"/>
            <w:r w:rsidRPr="00C031E1">
              <w:rPr>
                <w:rFonts w:eastAsia="Times New Roman" w:cstheme="minorHAnsi"/>
                <w:color w:val="000000"/>
                <w:sz w:val="24"/>
                <w:szCs w:val="24"/>
                <w:lang w:eastAsia="pt-BR"/>
              </w:rPr>
              <w:t xml:space="preserve"> individualização e a identificação mencionadas no </w:t>
            </w:r>
            <w:r w:rsidRPr="00C031E1">
              <w:rPr>
                <w:rFonts w:eastAsia="Times New Roman" w:cstheme="minorHAnsi"/>
                <w:b/>
                <w:color w:val="000000"/>
                <w:sz w:val="24"/>
                <w:szCs w:val="24"/>
                <w:lang w:eastAsia="pt-BR"/>
              </w:rPr>
              <w:t>caput</w:t>
            </w:r>
            <w:r w:rsidRPr="00C031E1">
              <w:rPr>
                <w:rFonts w:eastAsia="Times New Roman" w:cstheme="minorHAnsi"/>
                <w:color w:val="000000"/>
                <w:sz w:val="24"/>
                <w:szCs w:val="24"/>
                <w:lang w:eastAsia="pt-BR"/>
              </w:rPr>
              <w:t xml:space="preserve"> devem atender ao disposto no §2º do art. 16 da </w:t>
            </w:r>
            <w:r w:rsidRPr="00C031E1">
              <w:rPr>
                <w:rFonts w:cstheme="minorHAnsi"/>
                <w:sz w:val="24"/>
                <w:szCs w:val="24"/>
              </w:rPr>
              <w:t>Resolução CMN nº 4.661, de 2018</w:t>
            </w:r>
            <w:r w:rsidRPr="00C031E1">
              <w:rPr>
                <w:rFonts w:eastAsia="Times New Roman" w:cstheme="minorHAnsi"/>
                <w:color w:val="000000"/>
                <w:sz w:val="24"/>
                <w:szCs w:val="24"/>
                <w:lang w:eastAsia="pt-BR"/>
              </w:rPr>
              <w:t>.</w:t>
            </w:r>
          </w:p>
        </w:tc>
        <w:tc>
          <w:tcPr>
            <w:tcW w:w="5103" w:type="dxa"/>
          </w:tcPr>
          <w:p w14:paraId="3F20EBDF" w14:textId="15FD654D"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color w:val="000000"/>
                <w:sz w:val="24"/>
                <w:szCs w:val="24"/>
                <w:lang w:eastAsia="pt-BR"/>
              </w:rPr>
              <w:t>§</w:t>
            </w:r>
            <w:r w:rsidR="001D7D70">
              <w:rPr>
                <w:rFonts w:eastAsia="Times New Roman" w:cstheme="minorHAnsi"/>
                <w:color w:val="000000"/>
                <w:sz w:val="24"/>
                <w:szCs w:val="24"/>
                <w:lang w:eastAsia="pt-BR"/>
              </w:rPr>
              <w:t xml:space="preserve"> </w:t>
            </w:r>
            <w:r w:rsidRPr="00C031E1">
              <w:rPr>
                <w:rFonts w:eastAsia="Times New Roman" w:cstheme="minorHAnsi"/>
                <w:color w:val="000000"/>
                <w:sz w:val="24"/>
                <w:szCs w:val="24"/>
                <w:lang w:eastAsia="pt-BR"/>
              </w:rPr>
              <w:t>1</w:t>
            </w:r>
            <w:proofErr w:type="gramStart"/>
            <w:r w:rsidRPr="00C031E1">
              <w:rPr>
                <w:rFonts w:eastAsia="Times New Roman" w:cstheme="minorHAnsi"/>
                <w:color w:val="000000"/>
                <w:sz w:val="24"/>
                <w:szCs w:val="24"/>
                <w:lang w:eastAsia="pt-BR"/>
              </w:rPr>
              <w:t>º  A</w:t>
            </w:r>
            <w:proofErr w:type="gramEnd"/>
            <w:r w:rsidRPr="00C031E1">
              <w:rPr>
                <w:rFonts w:eastAsia="Times New Roman" w:cstheme="minorHAnsi"/>
                <w:color w:val="000000"/>
                <w:sz w:val="24"/>
                <w:szCs w:val="24"/>
                <w:lang w:eastAsia="pt-BR"/>
              </w:rPr>
              <w:t xml:space="preserve"> individualização e a identificação mencionadas no </w:t>
            </w:r>
            <w:r w:rsidRPr="00C031E1">
              <w:rPr>
                <w:rFonts w:eastAsia="Times New Roman" w:cstheme="minorHAnsi"/>
                <w:b/>
                <w:color w:val="000000"/>
                <w:sz w:val="24"/>
                <w:szCs w:val="24"/>
                <w:lang w:eastAsia="pt-BR"/>
              </w:rPr>
              <w:t>caput</w:t>
            </w:r>
            <w:r w:rsidRPr="00C031E1">
              <w:rPr>
                <w:rFonts w:eastAsia="Times New Roman" w:cstheme="minorHAnsi"/>
                <w:color w:val="000000"/>
                <w:sz w:val="24"/>
                <w:szCs w:val="24"/>
                <w:lang w:eastAsia="pt-BR"/>
              </w:rPr>
              <w:t xml:space="preserve"> devem atender ao disposto no §2º do art. 16 da </w:t>
            </w:r>
            <w:r w:rsidRPr="00C031E1">
              <w:rPr>
                <w:rFonts w:cstheme="minorHAnsi"/>
                <w:sz w:val="24"/>
                <w:szCs w:val="24"/>
              </w:rPr>
              <w:t xml:space="preserve">Resolução </w:t>
            </w:r>
            <w:r w:rsidRPr="001D7D70">
              <w:rPr>
                <w:rFonts w:cstheme="minorHAnsi"/>
                <w:color w:val="0070C0"/>
                <w:sz w:val="24"/>
                <w:szCs w:val="24"/>
              </w:rPr>
              <w:t>CMN nº 4.994, de 2022</w:t>
            </w:r>
            <w:r w:rsidRPr="001D7D70">
              <w:rPr>
                <w:rFonts w:eastAsia="Times New Roman" w:cstheme="minorHAnsi"/>
                <w:color w:val="0070C0"/>
                <w:sz w:val="24"/>
                <w:szCs w:val="24"/>
                <w:lang w:eastAsia="pt-BR"/>
              </w:rPr>
              <w:t>.</w:t>
            </w:r>
          </w:p>
        </w:tc>
        <w:tc>
          <w:tcPr>
            <w:tcW w:w="4677" w:type="dxa"/>
          </w:tcPr>
          <w:p w14:paraId="6D05A74C" w14:textId="781CAF40" w:rsidR="00E91EA6" w:rsidRPr="00C031E1" w:rsidRDefault="00E91EA6" w:rsidP="00E91EA6">
            <w:pPr>
              <w:spacing w:before="120" w:after="120"/>
              <w:jc w:val="both"/>
              <w:rPr>
                <w:rFonts w:eastAsia="Times New Roman" w:cstheme="minorHAnsi"/>
                <w:color w:val="000000"/>
                <w:sz w:val="24"/>
                <w:szCs w:val="24"/>
                <w:lang w:eastAsia="pt-BR"/>
              </w:rPr>
            </w:pPr>
          </w:p>
        </w:tc>
      </w:tr>
      <w:tr w:rsidR="00E91EA6" w:rsidRPr="00C031E1" w14:paraId="2A7A8344" w14:textId="77777777" w:rsidTr="001B566D">
        <w:tc>
          <w:tcPr>
            <w:tcW w:w="4957" w:type="dxa"/>
          </w:tcPr>
          <w:p w14:paraId="6B872C02" w14:textId="69050A39"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sz w:val="24"/>
                <w:szCs w:val="24"/>
                <w:lang w:eastAsia="pt-BR"/>
              </w:rPr>
              <w:t>§2</w:t>
            </w:r>
            <w:proofErr w:type="gramStart"/>
            <w:r w:rsidRPr="00C031E1">
              <w:rPr>
                <w:rFonts w:eastAsia="Times New Roman" w:cstheme="minorHAnsi"/>
                <w:sz w:val="24"/>
                <w:szCs w:val="24"/>
                <w:lang w:eastAsia="pt-BR"/>
              </w:rPr>
              <w:t>º</w:t>
            </w:r>
            <w:r w:rsidRPr="00C031E1" w:rsidDel="00CE5273">
              <w:rPr>
                <w:rFonts w:eastAsia="Times New Roman" w:cstheme="minorHAnsi"/>
                <w:color w:val="000000"/>
                <w:sz w:val="24"/>
                <w:szCs w:val="24"/>
                <w:lang w:eastAsia="pt-BR"/>
              </w:rPr>
              <w:t xml:space="preserve"> </w:t>
            </w:r>
            <w:r w:rsidRPr="00C031E1">
              <w:rPr>
                <w:rFonts w:eastAsia="Times New Roman" w:cstheme="minorHAnsi"/>
                <w:color w:val="000000"/>
                <w:sz w:val="24"/>
                <w:szCs w:val="24"/>
                <w:lang w:eastAsia="pt-BR"/>
              </w:rPr>
              <w:t xml:space="preserve"> É</w:t>
            </w:r>
            <w:proofErr w:type="gramEnd"/>
            <w:r w:rsidRPr="00C031E1">
              <w:rPr>
                <w:rFonts w:eastAsia="Times New Roman" w:cstheme="minorHAnsi"/>
                <w:color w:val="000000"/>
                <w:sz w:val="24"/>
                <w:szCs w:val="24"/>
                <w:lang w:eastAsia="pt-BR"/>
              </w:rPr>
              <w:t xml:space="preserve"> vedado às EFPC incluir informações no sistema informatizado com restrição de acesso à Previc, em relação às informações sobre os títulos mencionados no </w:t>
            </w:r>
            <w:r w:rsidRPr="00C031E1">
              <w:rPr>
                <w:rFonts w:eastAsia="Times New Roman" w:cstheme="minorHAnsi"/>
                <w:b/>
                <w:color w:val="000000"/>
                <w:sz w:val="24"/>
                <w:szCs w:val="24"/>
                <w:lang w:eastAsia="pt-BR"/>
              </w:rPr>
              <w:t>caput</w:t>
            </w:r>
            <w:r w:rsidRPr="00C031E1">
              <w:rPr>
                <w:rFonts w:eastAsia="Times New Roman" w:cstheme="minorHAnsi"/>
                <w:color w:val="000000"/>
                <w:sz w:val="24"/>
                <w:szCs w:val="24"/>
                <w:lang w:eastAsia="pt-BR"/>
              </w:rPr>
              <w:t>.</w:t>
            </w:r>
          </w:p>
        </w:tc>
        <w:tc>
          <w:tcPr>
            <w:tcW w:w="5103" w:type="dxa"/>
          </w:tcPr>
          <w:p w14:paraId="3BB02830" w14:textId="77777777" w:rsidR="00E91EA6" w:rsidRPr="00C031E1" w:rsidRDefault="00E91EA6" w:rsidP="00E91EA6">
            <w:pPr>
              <w:spacing w:before="120" w:after="120"/>
              <w:jc w:val="both"/>
              <w:rPr>
                <w:rFonts w:eastAsia="Times New Roman" w:cstheme="minorHAnsi"/>
                <w:color w:val="000000"/>
                <w:sz w:val="24"/>
                <w:szCs w:val="24"/>
                <w:lang w:eastAsia="pt-BR"/>
              </w:rPr>
            </w:pPr>
            <w:r w:rsidRPr="00C031E1">
              <w:rPr>
                <w:rFonts w:eastAsia="Times New Roman" w:cstheme="minorHAnsi"/>
                <w:sz w:val="24"/>
                <w:szCs w:val="24"/>
                <w:lang w:eastAsia="pt-BR"/>
              </w:rPr>
              <w:t>§2</w:t>
            </w:r>
            <w:proofErr w:type="gramStart"/>
            <w:r w:rsidRPr="00C031E1">
              <w:rPr>
                <w:rFonts w:eastAsia="Times New Roman" w:cstheme="minorHAnsi"/>
                <w:sz w:val="24"/>
                <w:szCs w:val="24"/>
                <w:lang w:eastAsia="pt-BR"/>
              </w:rPr>
              <w:t>º</w:t>
            </w:r>
            <w:r w:rsidRPr="00C031E1" w:rsidDel="00CE5273">
              <w:rPr>
                <w:rFonts w:eastAsia="Times New Roman" w:cstheme="minorHAnsi"/>
                <w:color w:val="000000"/>
                <w:sz w:val="24"/>
                <w:szCs w:val="24"/>
                <w:lang w:eastAsia="pt-BR"/>
              </w:rPr>
              <w:t xml:space="preserve"> </w:t>
            </w:r>
            <w:r w:rsidRPr="00C031E1">
              <w:rPr>
                <w:rFonts w:eastAsia="Times New Roman" w:cstheme="minorHAnsi"/>
                <w:color w:val="000000"/>
                <w:sz w:val="24"/>
                <w:szCs w:val="24"/>
                <w:lang w:eastAsia="pt-BR"/>
              </w:rPr>
              <w:t xml:space="preserve"> É</w:t>
            </w:r>
            <w:proofErr w:type="gramEnd"/>
            <w:r w:rsidRPr="00C031E1">
              <w:rPr>
                <w:rFonts w:eastAsia="Times New Roman" w:cstheme="minorHAnsi"/>
                <w:color w:val="000000"/>
                <w:sz w:val="24"/>
                <w:szCs w:val="24"/>
                <w:lang w:eastAsia="pt-BR"/>
              </w:rPr>
              <w:t xml:space="preserve"> vedado às EFPC incluir informações no sistema informatizado com restrição de acesso à Previc, em relação às informações sobre os títulos mencionados no </w:t>
            </w:r>
            <w:r w:rsidRPr="00C031E1">
              <w:rPr>
                <w:rFonts w:eastAsia="Times New Roman" w:cstheme="minorHAnsi"/>
                <w:b/>
                <w:color w:val="000000"/>
                <w:sz w:val="24"/>
                <w:szCs w:val="24"/>
                <w:lang w:eastAsia="pt-BR"/>
              </w:rPr>
              <w:t>caput</w:t>
            </w:r>
            <w:r w:rsidRPr="00C031E1">
              <w:rPr>
                <w:rFonts w:eastAsia="Times New Roman" w:cstheme="minorHAnsi"/>
                <w:color w:val="000000"/>
                <w:sz w:val="24"/>
                <w:szCs w:val="24"/>
                <w:lang w:eastAsia="pt-BR"/>
              </w:rPr>
              <w:t>.</w:t>
            </w:r>
          </w:p>
        </w:tc>
        <w:tc>
          <w:tcPr>
            <w:tcW w:w="4677" w:type="dxa"/>
          </w:tcPr>
          <w:p w14:paraId="70027CCC" w14:textId="77777777" w:rsidR="00E91EA6" w:rsidRPr="00C031E1" w:rsidRDefault="00E91EA6" w:rsidP="00E91EA6">
            <w:pPr>
              <w:spacing w:before="120" w:after="120"/>
              <w:jc w:val="both"/>
              <w:rPr>
                <w:rFonts w:eastAsia="Times New Roman" w:cstheme="minorHAnsi"/>
                <w:color w:val="000000"/>
                <w:sz w:val="24"/>
                <w:szCs w:val="24"/>
                <w:lang w:eastAsia="pt-BR"/>
              </w:rPr>
            </w:pPr>
          </w:p>
        </w:tc>
      </w:tr>
      <w:bookmarkEnd w:id="4"/>
      <w:tr w:rsidR="00E91EA6" w:rsidRPr="00C031E1" w14:paraId="5924C6A4" w14:textId="77777777" w:rsidTr="00634067">
        <w:tc>
          <w:tcPr>
            <w:tcW w:w="4957" w:type="dxa"/>
            <w:shd w:val="clear" w:color="auto" w:fill="E7E6E6" w:themeFill="background2"/>
          </w:tcPr>
          <w:p w14:paraId="6A12CBD2" w14:textId="2E94FAC7" w:rsidR="00E91EA6" w:rsidRPr="00C031E1" w:rsidRDefault="00D756F0" w:rsidP="00E91EA6">
            <w:pPr>
              <w:tabs>
                <w:tab w:val="left" w:pos="3000"/>
              </w:tabs>
              <w:spacing w:before="120" w:after="120"/>
              <w:jc w:val="both"/>
              <w:rPr>
                <w:rFonts w:cstheme="minorHAnsi"/>
                <w:b/>
                <w:bCs/>
                <w:sz w:val="24"/>
                <w:szCs w:val="24"/>
              </w:rPr>
            </w:pPr>
            <w:r>
              <w:rPr>
                <w:rFonts w:cstheme="minorHAnsi"/>
                <w:b/>
                <w:bCs/>
                <w:sz w:val="24"/>
                <w:szCs w:val="24"/>
              </w:rPr>
              <w:t>Instrução Normativa Previc</w:t>
            </w:r>
            <w:r w:rsidR="00E91EA6" w:rsidRPr="00C031E1">
              <w:rPr>
                <w:rFonts w:cstheme="minorHAnsi"/>
                <w:b/>
                <w:bCs/>
                <w:sz w:val="24"/>
                <w:szCs w:val="24"/>
              </w:rPr>
              <w:t xml:space="preserve"> </w:t>
            </w:r>
            <w:r>
              <w:rPr>
                <w:rFonts w:cstheme="minorHAnsi"/>
                <w:b/>
                <w:bCs/>
                <w:sz w:val="24"/>
                <w:szCs w:val="24"/>
              </w:rPr>
              <w:t xml:space="preserve">nº </w:t>
            </w:r>
            <w:r w:rsidR="00E91EA6" w:rsidRPr="00C031E1">
              <w:rPr>
                <w:rFonts w:cstheme="minorHAnsi"/>
                <w:b/>
                <w:bCs/>
                <w:sz w:val="24"/>
                <w:szCs w:val="24"/>
              </w:rPr>
              <w:t xml:space="preserve">39, </w:t>
            </w:r>
            <w:r w:rsidR="00286F29">
              <w:rPr>
                <w:rFonts w:cstheme="minorHAnsi"/>
                <w:b/>
                <w:bCs/>
                <w:sz w:val="24"/>
                <w:szCs w:val="24"/>
              </w:rPr>
              <w:t>de</w:t>
            </w:r>
            <w:r w:rsidR="00E91EA6" w:rsidRPr="00C031E1">
              <w:rPr>
                <w:rFonts w:cstheme="minorHAnsi"/>
                <w:b/>
                <w:bCs/>
                <w:sz w:val="24"/>
                <w:szCs w:val="24"/>
              </w:rPr>
              <w:t xml:space="preserve"> 20 </w:t>
            </w:r>
            <w:r w:rsidR="00286F29">
              <w:rPr>
                <w:rFonts w:cstheme="minorHAnsi"/>
                <w:b/>
                <w:bCs/>
                <w:sz w:val="24"/>
                <w:szCs w:val="24"/>
              </w:rPr>
              <w:t>de abril</w:t>
            </w:r>
            <w:r w:rsidR="00E91EA6" w:rsidRPr="00C031E1">
              <w:rPr>
                <w:rFonts w:cstheme="minorHAnsi"/>
                <w:b/>
                <w:bCs/>
                <w:sz w:val="24"/>
                <w:szCs w:val="24"/>
              </w:rPr>
              <w:t xml:space="preserve"> </w:t>
            </w:r>
            <w:r w:rsidR="00286F29">
              <w:rPr>
                <w:rFonts w:cstheme="minorHAnsi"/>
                <w:b/>
                <w:bCs/>
                <w:sz w:val="24"/>
                <w:szCs w:val="24"/>
              </w:rPr>
              <w:t>de</w:t>
            </w:r>
            <w:r w:rsidR="00E91EA6" w:rsidRPr="00C031E1">
              <w:rPr>
                <w:rFonts w:cstheme="minorHAnsi"/>
                <w:b/>
                <w:bCs/>
                <w:sz w:val="24"/>
                <w:szCs w:val="24"/>
              </w:rPr>
              <w:t xml:space="preserve"> 2021</w:t>
            </w:r>
          </w:p>
        </w:tc>
        <w:tc>
          <w:tcPr>
            <w:tcW w:w="5103" w:type="dxa"/>
            <w:shd w:val="clear" w:color="auto" w:fill="E7E6E6" w:themeFill="background2"/>
          </w:tcPr>
          <w:p w14:paraId="6E22322B" w14:textId="77777777" w:rsidR="00E91EA6" w:rsidRPr="00C031E1" w:rsidRDefault="00E91EA6" w:rsidP="00E91EA6">
            <w:pPr>
              <w:spacing w:before="120" w:after="120"/>
              <w:jc w:val="center"/>
              <w:rPr>
                <w:rFonts w:cstheme="minorHAnsi"/>
                <w:sz w:val="24"/>
                <w:szCs w:val="24"/>
              </w:rPr>
            </w:pPr>
          </w:p>
        </w:tc>
        <w:tc>
          <w:tcPr>
            <w:tcW w:w="4677" w:type="dxa"/>
            <w:shd w:val="clear" w:color="auto" w:fill="E7E6E6" w:themeFill="background2"/>
          </w:tcPr>
          <w:p w14:paraId="30EB97A1" w14:textId="77777777" w:rsidR="00E91EA6" w:rsidRPr="00C031E1" w:rsidRDefault="00E91EA6" w:rsidP="00E91EA6">
            <w:pPr>
              <w:spacing w:before="120" w:after="120"/>
              <w:jc w:val="both"/>
              <w:rPr>
                <w:rFonts w:cstheme="minorHAnsi"/>
                <w:sz w:val="24"/>
                <w:szCs w:val="24"/>
              </w:rPr>
            </w:pPr>
          </w:p>
        </w:tc>
      </w:tr>
      <w:tr w:rsidR="00E91EA6" w:rsidRPr="00C031E1" w14:paraId="5A993FD2" w14:textId="77777777" w:rsidTr="00E57A43">
        <w:tc>
          <w:tcPr>
            <w:tcW w:w="4957" w:type="dxa"/>
          </w:tcPr>
          <w:p w14:paraId="72E56288"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lastRenderedPageBreak/>
              <w:t>Dispõe</w:t>
            </w:r>
            <w:r w:rsidRPr="00C031E1">
              <w:rPr>
                <w:rFonts w:cstheme="minorHAnsi"/>
                <w:sz w:val="24"/>
                <w:szCs w:val="24"/>
              </w:rPr>
              <w:tab/>
              <w:t>sobre normas</w:t>
            </w:r>
            <w:r w:rsidRPr="00C031E1">
              <w:rPr>
                <w:rFonts w:cstheme="minorHAnsi"/>
                <w:sz w:val="24"/>
                <w:szCs w:val="24"/>
              </w:rPr>
              <w:tab/>
              <w:t>procedimentais para o envio das estatísticas de população e de benefícios.</w:t>
            </w:r>
          </w:p>
        </w:tc>
        <w:tc>
          <w:tcPr>
            <w:tcW w:w="5103" w:type="dxa"/>
          </w:tcPr>
          <w:p w14:paraId="6501FD41" w14:textId="77777777" w:rsidR="00E91EA6" w:rsidRPr="00C031E1" w:rsidRDefault="00E91EA6" w:rsidP="00E91EA6">
            <w:pPr>
              <w:spacing w:before="120" w:after="120"/>
              <w:jc w:val="center"/>
              <w:rPr>
                <w:rFonts w:cstheme="minorHAnsi"/>
                <w:color w:val="4472C4" w:themeColor="accent1"/>
                <w:sz w:val="24"/>
                <w:szCs w:val="24"/>
              </w:rPr>
            </w:pPr>
          </w:p>
        </w:tc>
        <w:tc>
          <w:tcPr>
            <w:tcW w:w="4677" w:type="dxa"/>
          </w:tcPr>
          <w:p w14:paraId="185D9E94" w14:textId="556AA472" w:rsidR="00E91EA6" w:rsidRPr="00C031E1" w:rsidRDefault="00E91EA6" w:rsidP="00E91EA6">
            <w:pPr>
              <w:spacing w:before="120" w:after="120"/>
              <w:jc w:val="both"/>
              <w:rPr>
                <w:rFonts w:cstheme="minorHAnsi"/>
                <w:sz w:val="24"/>
                <w:szCs w:val="24"/>
              </w:rPr>
            </w:pPr>
          </w:p>
        </w:tc>
      </w:tr>
      <w:tr w:rsidR="00E91EA6" w:rsidRPr="00C031E1" w14:paraId="09AE20CA" w14:textId="77777777" w:rsidTr="00E57A43">
        <w:tc>
          <w:tcPr>
            <w:tcW w:w="4957" w:type="dxa"/>
          </w:tcPr>
          <w:p w14:paraId="44325400" w14:textId="0D5930A2" w:rsidR="00E91EA6" w:rsidRPr="00C031E1" w:rsidRDefault="00E91EA6" w:rsidP="00E91EA6">
            <w:pPr>
              <w:spacing w:before="120" w:after="120"/>
              <w:jc w:val="both"/>
              <w:rPr>
                <w:rFonts w:cstheme="minorHAnsi"/>
                <w:sz w:val="24"/>
                <w:szCs w:val="24"/>
              </w:rPr>
            </w:pPr>
            <w:r w:rsidRPr="00C031E1">
              <w:rPr>
                <w:rFonts w:cstheme="minorHAnsi"/>
                <w:sz w:val="24"/>
                <w:szCs w:val="24"/>
              </w:rPr>
              <w:t xml:space="preserve">A DIRETORIA COLEGIADA DA SUPERINTENDÊNCIA NACIONAL DE </w:t>
            </w:r>
            <w:proofErr w:type="gramStart"/>
            <w:r w:rsidRPr="00C031E1">
              <w:rPr>
                <w:rFonts w:cstheme="minorHAnsi"/>
                <w:sz w:val="24"/>
                <w:szCs w:val="24"/>
              </w:rPr>
              <w:t>PREVIDÊNCIA  COMPLEMENTAR</w:t>
            </w:r>
            <w:proofErr w:type="gramEnd"/>
            <w:r w:rsidRPr="00C031E1">
              <w:rPr>
                <w:rFonts w:cstheme="minorHAnsi"/>
                <w:sz w:val="24"/>
                <w:szCs w:val="24"/>
              </w:rPr>
              <w:t xml:space="preserve"> - PREVIC, na sessão 536ª, realizada em 20 de abril de 2021, com fundamento no inciso III do art. 2º da Lei nº 12.154, de 23 de dezembro de 2009, inciso III do art. 2º e inciso VIII do art. 10 do Anexo I do Decreto nº 8.992, de 20 de fevereiro de 2017, em conformidade com o Inciso III do art. 2º do Decreto nº 10.139, de 28 de novembro de 2019</w:t>
            </w:r>
            <w:r w:rsidR="00EA0BCA">
              <w:rPr>
                <w:rFonts w:cstheme="minorHAnsi"/>
                <w:sz w:val="24"/>
                <w:szCs w:val="24"/>
              </w:rPr>
              <w:t>.</w:t>
            </w:r>
            <w:r w:rsidRPr="00C031E1">
              <w:rPr>
                <w:rFonts w:cstheme="minorHAnsi"/>
                <w:sz w:val="24"/>
                <w:szCs w:val="24"/>
              </w:rPr>
              <w:t xml:space="preserve"> </w:t>
            </w:r>
          </w:p>
        </w:tc>
        <w:tc>
          <w:tcPr>
            <w:tcW w:w="5103" w:type="dxa"/>
          </w:tcPr>
          <w:p w14:paraId="59CD4F60" w14:textId="77777777" w:rsidR="00E91EA6" w:rsidRPr="00C031E1" w:rsidRDefault="00E91EA6" w:rsidP="00E91EA6">
            <w:pPr>
              <w:spacing w:before="120" w:after="120"/>
              <w:jc w:val="center"/>
              <w:rPr>
                <w:rFonts w:cstheme="minorHAnsi"/>
                <w:sz w:val="24"/>
                <w:szCs w:val="24"/>
              </w:rPr>
            </w:pPr>
          </w:p>
        </w:tc>
        <w:tc>
          <w:tcPr>
            <w:tcW w:w="4677" w:type="dxa"/>
          </w:tcPr>
          <w:p w14:paraId="346B0BBD"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Excluído considerando o processo de consolidação normativa.</w:t>
            </w:r>
          </w:p>
        </w:tc>
      </w:tr>
      <w:tr w:rsidR="00E91EA6" w:rsidRPr="00C031E1" w14:paraId="7F3830D5" w14:textId="77777777" w:rsidTr="00E57A43">
        <w:tc>
          <w:tcPr>
            <w:tcW w:w="4957" w:type="dxa"/>
          </w:tcPr>
          <w:p w14:paraId="2715046A" w14:textId="33E085CB" w:rsidR="00E91EA6" w:rsidRPr="00C031E1" w:rsidRDefault="00EA0BCA" w:rsidP="00E91EA6">
            <w:pPr>
              <w:spacing w:before="120" w:after="120"/>
              <w:jc w:val="both"/>
              <w:rPr>
                <w:rFonts w:cstheme="minorHAnsi"/>
                <w:sz w:val="24"/>
                <w:szCs w:val="24"/>
              </w:rPr>
            </w:pPr>
            <w:bookmarkStart w:id="9" w:name="_Hlk138923931"/>
            <w:r w:rsidRPr="001D7D70">
              <w:rPr>
                <w:rFonts w:cstheme="minorHAnsi"/>
                <w:b/>
                <w:bCs/>
                <w:sz w:val="24"/>
                <w:szCs w:val="24"/>
              </w:rPr>
              <w:t>Normas procedimentais para o envio das estatísticas de população e de benefícios</w:t>
            </w:r>
          </w:p>
        </w:tc>
        <w:tc>
          <w:tcPr>
            <w:tcW w:w="5103" w:type="dxa"/>
          </w:tcPr>
          <w:p w14:paraId="1AD18EA5" w14:textId="77777777" w:rsidR="00E91EA6" w:rsidRPr="00C031E1" w:rsidRDefault="00E91EA6" w:rsidP="00E91EA6">
            <w:pPr>
              <w:spacing w:before="120" w:after="120"/>
              <w:jc w:val="center"/>
              <w:rPr>
                <w:rFonts w:cstheme="minorHAnsi"/>
                <w:b/>
                <w:color w:val="0070C0"/>
                <w:sz w:val="24"/>
                <w:szCs w:val="24"/>
              </w:rPr>
            </w:pPr>
            <w:r w:rsidRPr="00C031E1">
              <w:rPr>
                <w:rFonts w:eastAsia="Times New Roman" w:cstheme="minorHAnsi"/>
                <w:b/>
                <w:color w:val="0070C0"/>
                <w:sz w:val="24"/>
                <w:szCs w:val="24"/>
                <w:lang w:eastAsia="pt-BR"/>
              </w:rPr>
              <w:t>Seção IV</w:t>
            </w:r>
          </w:p>
          <w:p w14:paraId="533BB152" w14:textId="6165ADA5" w:rsidR="00EA0BCA" w:rsidRDefault="00EA0BCA" w:rsidP="00E91EA6">
            <w:pPr>
              <w:spacing w:before="120" w:after="120"/>
              <w:jc w:val="center"/>
              <w:rPr>
                <w:rFonts w:cstheme="minorHAnsi"/>
                <w:b/>
                <w:bCs/>
                <w:color w:val="0070C0"/>
                <w:sz w:val="24"/>
                <w:szCs w:val="24"/>
              </w:rPr>
            </w:pPr>
            <w:r>
              <w:rPr>
                <w:rFonts w:cstheme="minorHAnsi"/>
                <w:b/>
                <w:bCs/>
                <w:color w:val="0070C0"/>
                <w:sz w:val="24"/>
                <w:szCs w:val="24"/>
              </w:rPr>
              <w:t>Informações de população e benefícios</w:t>
            </w:r>
          </w:p>
          <w:p w14:paraId="6C571C6A" w14:textId="31AB80CF" w:rsidR="00E91EA6" w:rsidRPr="00C031E1" w:rsidRDefault="00E91EA6" w:rsidP="00E91EA6">
            <w:pPr>
              <w:spacing w:before="120" w:after="120"/>
              <w:jc w:val="center"/>
              <w:rPr>
                <w:rFonts w:cstheme="minorHAnsi"/>
                <w:sz w:val="24"/>
                <w:szCs w:val="24"/>
              </w:rPr>
            </w:pPr>
          </w:p>
        </w:tc>
        <w:tc>
          <w:tcPr>
            <w:tcW w:w="4677" w:type="dxa"/>
          </w:tcPr>
          <w:p w14:paraId="64E9FA67" w14:textId="77777777" w:rsidR="00E91EA6" w:rsidRPr="00C031E1" w:rsidRDefault="00E91EA6" w:rsidP="00E91EA6">
            <w:pPr>
              <w:spacing w:before="120" w:after="120"/>
              <w:jc w:val="both"/>
              <w:rPr>
                <w:rFonts w:cstheme="minorHAnsi"/>
                <w:sz w:val="24"/>
                <w:szCs w:val="24"/>
              </w:rPr>
            </w:pPr>
          </w:p>
        </w:tc>
      </w:tr>
      <w:tr w:rsidR="00E91EA6" w:rsidRPr="00C031E1" w14:paraId="3EDFE5F7" w14:textId="77777777" w:rsidTr="00E57A43">
        <w:tc>
          <w:tcPr>
            <w:tcW w:w="4957" w:type="dxa"/>
          </w:tcPr>
          <w:p w14:paraId="00AE9211" w14:textId="51EF83CF" w:rsidR="00E91EA6" w:rsidRPr="00C031E1" w:rsidRDefault="00E91EA6" w:rsidP="00E91EA6">
            <w:pPr>
              <w:spacing w:before="120" w:after="120"/>
              <w:jc w:val="both"/>
              <w:rPr>
                <w:rFonts w:cstheme="minorHAnsi"/>
                <w:sz w:val="24"/>
                <w:szCs w:val="24"/>
              </w:rPr>
            </w:pPr>
            <w:r w:rsidRPr="00C031E1">
              <w:rPr>
                <w:rFonts w:cstheme="minorHAnsi"/>
                <w:sz w:val="24"/>
                <w:szCs w:val="24"/>
              </w:rPr>
              <w:t>Art. 1º As entidades fechadas de previdência complementar (EFPC) deverão observar o disposto nesta Instrução para o envio das estatísticas populacionais e de benefícios dos planos administrados para esta Superintendência Nacional de Previdência Complementar (Previc).</w:t>
            </w:r>
          </w:p>
        </w:tc>
        <w:tc>
          <w:tcPr>
            <w:tcW w:w="5103" w:type="dxa"/>
          </w:tcPr>
          <w:p w14:paraId="442655A4" w14:textId="4848099F" w:rsidR="00E91EA6" w:rsidRPr="00C031E1" w:rsidRDefault="00E91EA6" w:rsidP="00E91EA6">
            <w:pPr>
              <w:spacing w:before="120" w:after="120"/>
              <w:jc w:val="both"/>
              <w:rPr>
                <w:rFonts w:cstheme="minorHAnsi"/>
                <w:sz w:val="24"/>
                <w:szCs w:val="24"/>
              </w:rPr>
            </w:pPr>
            <w:r w:rsidRPr="00C031E1">
              <w:rPr>
                <w:rFonts w:cstheme="minorHAnsi"/>
                <w:sz w:val="24"/>
                <w:szCs w:val="24"/>
              </w:rPr>
              <w:t>Art. 9</w:t>
            </w:r>
            <w:r w:rsidR="002948B0">
              <w:rPr>
                <w:rFonts w:cstheme="minorHAnsi"/>
                <w:sz w:val="24"/>
                <w:szCs w:val="24"/>
              </w:rPr>
              <w:t>2</w:t>
            </w:r>
            <w:r w:rsidR="00DC20FE">
              <w:rPr>
                <w:rFonts w:cstheme="minorHAnsi"/>
                <w:sz w:val="24"/>
                <w:szCs w:val="24"/>
              </w:rPr>
              <w:t>1</w:t>
            </w:r>
            <w:r w:rsidRPr="00C031E1">
              <w:rPr>
                <w:rFonts w:cstheme="minorHAnsi"/>
                <w:sz w:val="24"/>
                <w:szCs w:val="24"/>
              </w:rPr>
              <w:t xml:space="preserve">. As EFPC </w:t>
            </w:r>
            <w:r w:rsidRPr="00C031E1">
              <w:rPr>
                <w:rFonts w:cstheme="minorHAnsi"/>
                <w:color w:val="0070C0"/>
                <w:sz w:val="24"/>
                <w:szCs w:val="24"/>
              </w:rPr>
              <w:t>devem</w:t>
            </w:r>
            <w:r w:rsidRPr="00C031E1">
              <w:rPr>
                <w:rFonts w:cstheme="minorHAnsi"/>
                <w:color w:val="00B0F0"/>
                <w:sz w:val="24"/>
                <w:szCs w:val="24"/>
              </w:rPr>
              <w:t xml:space="preserve"> </w:t>
            </w:r>
            <w:r w:rsidRPr="00C031E1">
              <w:rPr>
                <w:rFonts w:cstheme="minorHAnsi"/>
                <w:sz w:val="24"/>
                <w:szCs w:val="24"/>
              </w:rPr>
              <w:t xml:space="preserve">observar o </w:t>
            </w:r>
            <w:r w:rsidRPr="00C031E1">
              <w:rPr>
                <w:rFonts w:cstheme="minorHAnsi"/>
                <w:color w:val="0070C0"/>
                <w:sz w:val="24"/>
                <w:szCs w:val="24"/>
              </w:rPr>
              <w:t>disposto</w:t>
            </w:r>
            <w:r w:rsidRPr="00C031E1">
              <w:rPr>
                <w:rFonts w:cstheme="minorHAnsi"/>
                <w:color w:val="00B0F0"/>
                <w:sz w:val="24"/>
                <w:szCs w:val="24"/>
              </w:rPr>
              <w:t xml:space="preserve"> </w:t>
            </w:r>
            <w:r w:rsidRPr="00C031E1">
              <w:rPr>
                <w:rFonts w:cstheme="minorHAnsi"/>
                <w:color w:val="0070C0"/>
                <w:sz w:val="24"/>
                <w:szCs w:val="24"/>
              </w:rPr>
              <w:t xml:space="preserve">nesta Seção </w:t>
            </w:r>
            <w:r w:rsidRPr="00C031E1">
              <w:rPr>
                <w:rFonts w:cstheme="minorHAnsi"/>
                <w:sz w:val="24"/>
                <w:szCs w:val="24"/>
              </w:rPr>
              <w:t xml:space="preserve">para o envio das estatísticas populacionais e de benefícios dos planos </w:t>
            </w:r>
            <w:r w:rsidR="00EA0BCA">
              <w:rPr>
                <w:rFonts w:cstheme="minorHAnsi"/>
                <w:sz w:val="24"/>
                <w:szCs w:val="24"/>
              </w:rPr>
              <w:t>de benefícios de caráter previdenciário. .</w:t>
            </w:r>
          </w:p>
        </w:tc>
        <w:tc>
          <w:tcPr>
            <w:tcW w:w="4677" w:type="dxa"/>
          </w:tcPr>
          <w:p w14:paraId="0DB048A7"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Melhoria redacional a fim de promover a consolidação normativa.</w:t>
            </w:r>
          </w:p>
        </w:tc>
      </w:tr>
      <w:tr w:rsidR="00E91EA6" w:rsidRPr="00C031E1" w14:paraId="2A43B9BA" w14:textId="77777777" w:rsidTr="00E57A43">
        <w:tc>
          <w:tcPr>
            <w:tcW w:w="4957" w:type="dxa"/>
          </w:tcPr>
          <w:p w14:paraId="2E861085"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 xml:space="preserve">Art. 2º A EFPC, ao encaminhar o Demonstrativo Estatístico (DE) e o Demonstrativo de Sexo e Idade (DSI), deverá submeter as informações de </w:t>
            </w:r>
            <w:r w:rsidRPr="00C031E1">
              <w:rPr>
                <w:rFonts w:cstheme="minorHAnsi"/>
                <w:sz w:val="24"/>
                <w:szCs w:val="24"/>
              </w:rPr>
              <w:lastRenderedPageBreak/>
              <w:t>forma consolidada, segregada pelos planos de benefícios de caráter previdenciário.</w:t>
            </w:r>
          </w:p>
        </w:tc>
        <w:tc>
          <w:tcPr>
            <w:tcW w:w="5103" w:type="dxa"/>
          </w:tcPr>
          <w:p w14:paraId="68348559" w14:textId="0E619ABE" w:rsidR="00E91EA6" w:rsidRPr="00C031E1" w:rsidRDefault="00E91EA6" w:rsidP="00E91EA6">
            <w:pPr>
              <w:spacing w:before="120" w:after="120"/>
              <w:jc w:val="both"/>
              <w:rPr>
                <w:rFonts w:cstheme="minorHAnsi"/>
                <w:sz w:val="24"/>
                <w:szCs w:val="24"/>
              </w:rPr>
            </w:pPr>
            <w:r w:rsidRPr="00C031E1">
              <w:rPr>
                <w:rFonts w:cstheme="minorHAnsi"/>
                <w:sz w:val="24"/>
                <w:szCs w:val="24"/>
              </w:rPr>
              <w:lastRenderedPageBreak/>
              <w:t>Art. 9</w:t>
            </w:r>
            <w:r w:rsidR="002948B0">
              <w:rPr>
                <w:rFonts w:cstheme="minorHAnsi"/>
                <w:sz w:val="24"/>
                <w:szCs w:val="24"/>
              </w:rPr>
              <w:t>2</w:t>
            </w:r>
            <w:r w:rsidR="00DC20FE">
              <w:rPr>
                <w:rFonts w:cstheme="minorHAnsi"/>
                <w:sz w:val="24"/>
                <w:szCs w:val="24"/>
              </w:rPr>
              <w:t>2</w:t>
            </w:r>
            <w:r w:rsidRPr="00C031E1">
              <w:rPr>
                <w:rFonts w:cstheme="minorHAnsi"/>
                <w:sz w:val="24"/>
                <w:szCs w:val="24"/>
              </w:rPr>
              <w:t>.</w:t>
            </w:r>
            <w:r w:rsidR="001D7D70">
              <w:rPr>
                <w:rFonts w:cstheme="minorHAnsi"/>
                <w:sz w:val="24"/>
                <w:szCs w:val="24"/>
              </w:rPr>
              <w:t xml:space="preserve">  </w:t>
            </w:r>
            <w:r w:rsidR="00EA0BCA">
              <w:rPr>
                <w:rFonts w:cstheme="minorHAnsi"/>
                <w:sz w:val="24"/>
                <w:szCs w:val="24"/>
              </w:rPr>
              <w:t>O</w:t>
            </w:r>
            <w:r w:rsidRPr="00C031E1">
              <w:rPr>
                <w:rFonts w:cstheme="minorHAnsi"/>
                <w:sz w:val="24"/>
                <w:szCs w:val="24"/>
              </w:rPr>
              <w:t xml:space="preserve"> Demonstrativo Estatístico (DE) e o Demonstrativo de Sexo e Idade (DSI), </w:t>
            </w:r>
            <w:r w:rsidRPr="00C031E1">
              <w:rPr>
                <w:rFonts w:cstheme="minorHAnsi"/>
                <w:color w:val="0070C0"/>
                <w:sz w:val="24"/>
                <w:szCs w:val="24"/>
              </w:rPr>
              <w:t>deve</w:t>
            </w:r>
            <w:r w:rsidRPr="00C031E1">
              <w:rPr>
                <w:rFonts w:cstheme="minorHAnsi"/>
                <w:color w:val="00B0F0"/>
                <w:sz w:val="24"/>
                <w:szCs w:val="24"/>
              </w:rPr>
              <w:t xml:space="preserve"> </w:t>
            </w:r>
            <w:r w:rsidR="00EA0BCA">
              <w:rPr>
                <w:rFonts w:cstheme="minorHAnsi"/>
                <w:sz w:val="24"/>
                <w:szCs w:val="24"/>
              </w:rPr>
              <w:t xml:space="preserve">ser elaborado </w:t>
            </w:r>
            <w:r w:rsidRPr="00C031E1">
              <w:rPr>
                <w:rFonts w:cstheme="minorHAnsi"/>
                <w:sz w:val="24"/>
                <w:szCs w:val="24"/>
              </w:rPr>
              <w:t>de forma consolidada</w:t>
            </w:r>
            <w:r w:rsidR="00E46C10">
              <w:rPr>
                <w:rFonts w:cstheme="minorHAnsi"/>
                <w:sz w:val="24"/>
                <w:szCs w:val="24"/>
              </w:rPr>
              <w:t xml:space="preserve"> e</w:t>
            </w:r>
            <w:r w:rsidRPr="00C031E1">
              <w:rPr>
                <w:rFonts w:cstheme="minorHAnsi"/>
                <w:sz w:val="24"/>
                <w:szCs w:val="24"/>
              </w:rPr>
              <w:t xml:space="preserve"> segregada </w:t>
            </w:r>
            <w:r w:rsidR="00E46C10">
              <w:rPr>
                <w:rFonts w:cstheme="minorHAnsi"/>
                <w:sz w:val="24"/>
                <w:szCs w:val="24"/>
              </w:rPr>
              <w:t xml:space="preserve">por </w:t>
            </w:r>
            <w:r w:rsidRPr="00C031E1">
              <w:rPr>
                <w:rFonts w:cstheme="minorHAnsi"/>
                <w:sz w:val="24"/>
                <w:szCs w:val="24"/>
              </w:rPr>
              <w:t>plano de benefícios de caráter previdenciário.</w:t>
            </w:r>
          </w:p>
        </w:tc>
        <w:tc>
          <w:tcPr>
            <w:tcW w:w="4677" w:type="dxa"/>
          </w:tcPr>
          <w:p w14:paraId="41EC88AA" w14:textId="77777777" w:rsidR="00E91EA6" w:rsidRPr="00C031E1" w:rsidRDefault="00E91EA6" w:rsidP="00E91EA6">
            <w:pPr>
              <w:spacing w:before="120" w:after="120"/>
              <w:jc w:val="both"/>
              <w:rPr>
                <w:rFonts w:cstheme="minorHAnsi"/>
                <w:sz w:val="24"/>
                <w:szCs w:val="24"/>
              </w:rPr>
            </w:pPr>
          </w:p>
        </w:tc>
      </w:tr>
      <w:tr w:rsidR="00E91EA6" w:rsidRPr="00C031E1" w14:paraId="54061463" w14:textId="77777777" w:rsidTr="00E57A43">
        <w:tc>
          <w:tcPr>
            <w:tcW w:w="4957" w:type="dxa"/>
          </w:tcPr>
          <w:p w14:paraId="0338D17E"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Parágrafo único. Para as informações consolidadas, cada participante deverá ser contabilizado uma única vez, independentemente de participar de mais de um plano de benefícios da entidade.</w:t>
            </w:r>
          </w:p>
        </w:tc>
        <w:tc>
          <w:tcPr>
            <w:tcW w:w="5103" w:type="dxa"/>
          </w:tcPr>
          <w:p w14:paraId="35C975BD"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 xml:space="preserve">Parágrafo único. Para as informações consolidadas, cada participante </w:t>
            </w:r>
            <w:r w:rsidRPr="00C031E1">
              <w:rPr>
                <w:rFonts w:cstheme="minorHAnsi"/>
                <w:color w:val="0070C0"/>
                <w:sz w:val="24"/>
                <w:szCs w:val="24"/>
              </w:rPr>
              <w:t>deve</w:t>
            </w:r>
            <w:r w:rsidRPr="00C031E1">
              <w:rPr>
                <w:rFonts w:cstheme="minorHAnsi"/>
                <w:sz w:val="24"/>
                <w:szCs w:val="24"/>
              </w:rPr>
              <w:t xml:space="preserve"> ser contabilizado uma única vez, independentemente de participar de mais de um plano de benefícios da entidade.</w:t>
            </w:r>
          </w:p>
        </w:tc>
        <w:tc>
          <w:tcPr>
            <w:tcW w:w="4677" w:type="dxa"/>
          </w:tcPr>
          <w:p w14:paraId="0CB69886"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Ajuste tempo verbal.</w:t>
            </w:r>
          </w:p>
        </w:tc>
      </w:tr>
      <w:tr w:rsidR="00E91EA6" w:rsidRPr="00C031E1" w14:paraId="79EDAD21" w14:textId="77777777" w:rsidTr="00E57A43">
        <w:tc>
          <w:tcPr>
            <w:tcW w:w="4957" w:type="dxa"/>
          </w:tcPr>
          <w:p w14:paraId="0848ED4A"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Art. 3º O Demonstrativo Estatístico (DE) terá periodicidade semestral e deverá:</w:t>
            </w:r>
          </w:p>
        </w:tc>
        <w:tc>
          <w:tcPr>
            <w:tcW w:w="5103" w:type="dxa"/>
          </w:tcPr>
          <w:p w14:paraId="70C3E2C2" w14:textId="72072FFD" w:rsidR="00E91EA6" w:rsidRPr="00C031E1" w:rsidRDefault="00E91EA6" w:rsidP="00E91EA6">
            <w:pPr>
              <w:spacing w:before="120" w:after="120"/>
              <w:jc w:val="both"/>
              <w:rPr>
                <w:rFonts w:cstheme="minorHAnsi"/>
                <w:sz w:val="24"/>
                <w:szCs w:val="24"/>
              </w:rPr>
            </w:pPr>
            <w:r w:rsidRPr="00C031E1">
              <w:rPr>
                <w:rFonts w:cstheme="minorHAnsi"/>
                <w:sz w:val="24"/>
                <w:szCs w:val="24"/>
              </w:rPr>
              <w:t>Art. 9</w:t>
            </w:r>
            <w:r w:rsidR="002948B0">
              <w:rPr>
                <w:rFonts w:cstheme="minorHAnsi"/>
                <w:sz w:val="24"/>
                <w:szCs w:val="24"/>
              </w:rPr>
              <w:t>2</w:t>
            </w:r>
            <w:r w:rsidR="00DC20FE">
              <w:rPr>
                <w:rFonts w:cstheme="minorHAnsi"/>
                <w:sz w:val="24"/>
                <w:szCs w:val="24"/>
              </w:rPr>
              <w:t>3</w:t>
            </w:r>
            <w:r w:rsidRPr="00C031E1">
              <w:rPr>
                <w:rFonts w:cstheme="minorHAnsi"/>
                <w:color w:val="4472C4" w:themeColor="accent1"/>
                <w:sz w:val="24"/>
                <w:szCs w:val="24"/>
              </w:rPr>
              <w:t xml:space="preserve">. </w:t>
            </w:r>
            <w:r w:rsidRPr="00C031E1">
              <w:rPr>
                <w:rFonts w:cstheme="minorHAnsi"/>
                <w:sz w:val="24"/>
                <w:szCs w:val="24"/>
              </w:rPr>
              <w:t xml:space="preserve">O Demonstrativo Estatístico (DE) </w:t>
            </w:r>
            <w:r w:rsidRPr="00C031E1">
              <w:rPr>
                <w:rFonts w:cstheme="minorHAnsi"/>
                <w:color w:val="0070C0"/>
                <w:sz w:val="24"/>
                <w:szCs w:val="24"/>
              </w:rPr>
              <w:t>tem</w:t>
            </w:r>
            <w:r w:rsidRPr="00C031E1">
              <w:rPr>
                <w:rFonts w:cstheme="minorHAnsi"/>
                <w:sz w:val="24"/>
                <w:szCs w:val="24"/>
              </w:rPr>
              <w:t xml:space="preserve"> periodicidade semestral e </w:t>
            </w:r>
            <w:r w:rsidRPr="00C031E1">
              <w:rPr>
                <w:rFonts w:cstheme="minorHAnsi"/>
                <w:color w:val="0070C0"/>
                <w:sz w:val="24"/>
                <w:szCs w:val="24"/>
              </w:rPr>
              <w:t>deve</w:t>
            </w:r>
            <w:r w:rsidRPr="00C031E1">
              <w:rPr>
                <w:rFonts w:cstheme="minorHAnsi"/>
                <w:sz w:val="24"/>
                <w:szCs w:val="24"/>
              </w:rPr>
              <w:t>:</w:t>
            </w:r>
          </w:p>
        </w:tc>
        <w:tc>
          <w:tcPr>
            <w:tcW w:w="4677" w:type="dxa"/>
          </w:tcPr>
          <w:p w14:paraId="25DF1321"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Ajuste tempo verbal.</w:t>
            </w:r>
          </w:p>
        </w:tc>
      </w:tr>
      <w:tr w:rsidR="00D866BF" w:rsidRPr="00C031E1" w14:paraId="57A37D83" w14:textId="77777777" w:rsidTr="00E57A43">
        <w:tc>
          <w:tcPr>
            <w:tcW w:w="4957" w:type="dxa"/>
          </w:tcPr>
          <w:p w14:paraId="2E17CA85" w14:textId="77777777" w:rsidR="00D866BF" w:rsidRPr="00C031E1" w:rsidRDefault="00D866BF" w:rsidP="00D866BF">
            <w:pPr>
              <w:spacing w:before="120" w:after="120"/>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consolidar</w:t>
            </w:r>
            <w:proofErr w:type="gramEnd"/>
            <w:r w:rsidRPr="00C031E1">
              <w:rPr>
                <w:rFonts w:cstheme="minorHAnsi"/>
                <w:sz w:val="24"/>
                <w:szCs w:val="24"/>
              </w:rPr>
              <w:t xml:space="preserve"> as informações de população e de benefícios relativas aos meses do semestre de referência;</w:t>
            </w:r>
          </w:p>
        </w:tc>
        <w:tc>
          <w:tcPr>
            <w:tcW w:w="5103" w:type="dxa"/>
          </w:tcPr>
          <w:p w14:paraId="61C109C9" w14:textId="2FDD58DE" w:rsidR="00D866BF" w:rsidRPr="00C031E1" w:rsidRDefault="00D866BF" w:rsidP="00D866BF">
            <w:pPr>
              <w:spacing w:before="120" w:after="120"/>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consolidar</w:t>
            </w:r>
            <w:proofErr w:type="gramEnd"/>
            <w:r w:rsidRPr="00C031E1">
              <w:rPr>
                <w:rFonts w:cstheme="minorHAnsi"/>
                <w:sz w:val="24"/>
                <w:szCs w:val="24"/>
              </w:rPr>
              <w:t xml:space="preserve"> as informações de população e de benefícios relativas aos meses do semestre de referência;</w:t>
            </w:r>
          </w:p>
        </w:tc>
        <w:tc>
          <w:tcPr>
            <w:tcW w:w="4677" w:type="dxa"/>
          </w:tcPr>
          <w:p w14:paraId="45A14A12" w14:textId="7ED76D28" w:rsidR="00D866BF" w:rsidRPr="00C031E1" w:rsidRDefault="00D866BF" w:rsidP="00D866BF">
            <w:pPr>
              <w:spacing w:before="120" w:after="120"/>
              <w:jc w:val="both"/>
              <w:rPr>
                <w:rFonts w:cstheme="minorHAnsi"/>
                <w:sz w:val="24"/>
                <w:szCs w:val="24"/>
              </w:rPr>
            </w:pPr>
          </w:p>
        </w:tc>
      </w:tr>
      <w:tr w:rsidR="00D866BF" w:rsidRPr="00C031E1" w14:paraId="3DB4636D" w14:textId="77777777" w:rsidTr="00E57A43">
        <w:tc>
          <w:tcPr>
            <w:tcW w:w="4957" w:type="dxa"/>
          </w:tcPr>
          <w:p w14:paraId="3612F6CA" w14:textId="77777777" w:rsidR="00D866BF" w:rsidRPr="00C031E1" w:rsidRDefault="00D866BF" w:rsidP="00D866BF">
            <w:pPr>
              <w:spacing w:before="120" w:after="120"/>
              <w:jc w:val="both"/>
              <w:rPr>
                <w:rFonts w:cstheme="minorHAnsi"/>
                <w:sz w:val="24"/>
                <w:szCs w:val="24"/>
              </w:rPr>
            </w:pPr>
            <w:r w:rsidRPr="00C031E1">
              <w:rPr>
                <w:rFonts w:cstheme="minorHAnsi"/>
                <w:sz w:val="24"/>
                <w:szCs w:val="24"/>
              </w:rPr>
              <w:t xml:space="preserve">II - </w:t>
            </w:r>
            <w:proofErr w:type="gramStart"/>
            <w:r w:rsidRPr="00C031E1">
              <w:rPr>
                <w:rFonts w:cstheme="minorHAnsi"/>
                <w:sz w:val="24"/>
                <w:szCs w:val="24"/>
              </w:rPr>
              <w:t>ser</w:t>
            </w:r>
            <w:proofErr w:type="gramEnd"/>
            <w:r w:rsidRPr="00C031E1">
              <w:rPr>
                <w:rFonts w:cstheme="minorHAnsi"/>
                <w:sz w:val="24"/>
                <w:szCs w:val="24"/>
              </w:rPr>
              <w:t xml:space="preserve"> enviado até o último dia do mês de agosto do ano corrente, com dados relativos aos meses do primeiro semestre;</w:t>
            </w:r>
          </w:p>
        </w:tc>
        <w:tc>
          <w:tcPr>
            <w:tcW w:w="5103" w:type="dxa"/>
          </w:tcPr>
          <w:p w14:paraId="109261F3" w14:textId="59A6F7D7" w:rsidR="00D866BF" w:rsidRPr="00C031E1" w:rsidRDefault="00D866BF" w:rsidP="00D866BF">
            <w:pPr>
              <w:spacing w:before="120" w:after="120"/>
              <w:jc w:val="both"/>
              <w:rPr>
                <w:rFonts w:cstheme="minorHAnsi"/>
                <w:sz w:val="24"/>
                <w:szCs w:val="24"/>
              </w:rPr>
            </w:pPr>
            <w:r w:rsidRPr="00C031E1">
              <w:rPr>
                <w:rFonts w:cstheme="minorHAnsi"/>
                <w:sz w:val="24"/>
                <w:szCs w:val="24"/>
              </w:rPr>
              <w:t xml:space="preserve">II - </w:t>
            </w:r>
            <w:proofErr w:type="gramStart"/>
            <w:r w:rsidRPr="00C031E1">
              <w:rPr>
                <w:rFonts w:cstheme="minorHAnsi"/>
                <w:sz w:val="24"/>
                <w:szCs w:val="24"/>
              </w:rPr>
              <w:t>ser</w:t>
            </w:r>
            <w:proofErr w:type="gramEnd"/>
            <w:r w:rsidRPr="00C031E1">
              <w:rPr>
                <w:rFonts w:cstheme="minorHAnsi"/>
                <w:sz w:val="24"/>
                <w:szCs w:val="24"/>
              </w:rPr>
              <w:t xml:space="preserve"> enviado até o último dia do mês de agosto do ano corrente, com dados relativos aos meses do primeiro semestre;</w:t>
            </w:r>
          </w:p>
        </w:tc>
        <w:tc>
          <w:tcPr>
            <w:tcW w:w="4677" w:type="dxa"/>
          </w:tcPr>
          <w:p w14:paraId="5AC47474" w14:textId="29838142" w:rsidR="00D866BF" w:rsidRPr="00C031E1" w:rsidRDefault="00D866BF" w:rsidP="00D866BF">
            <w:pPr>
              <w:spacing w:before="120" w:after="120"/>
              <w:jc w:val="both"/>
              <w:rPr>
                <w:rFonts w:cstheme="minorHAnsi"/>
                <w:sz w:val="24"/>
                <w:szCs w:val="24"/>
              </w:rPr>
            </w:pPr>
          </w:p>
        </w:tc>
      </w:tr>
      <w:tr w:rsidR="00D866BF" w:rsidRPr="00C031E1" w14:paraId="48FB5A97" w14:textId="77777777" w:rsidTr="00E57A43">
        <w:tc>
          <w:tcPr>
            <w:tcW w:w="4957" w:type="dxa"/>
          </w:tcPr>
          <w:p w14:paraId="4C572BE8" w14:textId="77777777" w:rsidR="00D866BF" w:rsidRPr="00C031E1" w:rsidRDefault="00D866BF" w:rsidP="00D866BF">
            <w:pPr>
              <w:spacing w:before="120" w:after="120"/>
              <w:jc w:val="both"/>
              <w:rPr>
                <w:rFonts w:cstheme="minorHAnsi"/>
                <w:sz w:val="24"/>
                <w:szCs w:val="24"/>
              </w:rPr>
            </w:pPr>
            <w:r w:rsidRPr="00C031E1">
              <w:rPr>
                <w:rFonts w:cstheme="minorHAnsi"/>
                <w:sz w:val="24"/>
                <w:szCs w:val="24"/>
              </w:rPr>
              <w:t>III - ser enviado até o último dia do mês de fevereiro do ano subsequente, com dados relativos aos meses do segundo semestre.</w:t>
            </w:r>
          </w:p>
        </w:tc>
        <w:tc>
          <w:tcPr>
            <w:tcW w:w="5103" w:type="dxa"/>
          </w:tcPr>
          <w:p w14:paraId="473C3EEB" w14:textId="757EDFF9" w:rsidR="00D866BF" w:rsidRPr="00C031E1" w:rsidRDefault="00D866BF" w:rsidP="00D866BF">
            <w:pPr>
              <w:spacing w:before="120" w:after="120"/>
              <w:jc w:val="both"/>
              <w:rPr>
                <w:rFonts w:cstheme="minorHAnsi"/>
                <w:sz w:val="24"/>
                <w:szCs w:val="24"/>
              </w:rPr>
            </w:pPr>
            <w:r w:rsidRPr="00C031E1">
              <w:rPr>
                <w:rFonts w:cstheme="minorHAnsi"/>
                <w:sz w:val="24"/>
                <w:szCs w:val="24"/>
              </w:rPr>
              <w:t>III - ser enviado até o último dia do mês de fevereiro do ano subsequente, com dados relativos aos meses do segundo semestre.</w:t>
            </w:r>
          </w:p>
        </w:tc>
        <w:tc>
          <w:tcPr>
            <w:tcW w:w="4677" w:type="dxa"/>
          </w:tcPr>
          <w:p w14:paraId="6D469CD4" w14:textId="35027FD8" w:rsidR="00D866BF" w:rsidRPr="00C031E1" w:rsidRDefault="00D866BF" w:rsidP="00D866BF">
            <w:pPr>
              <w:spacing w:before="120" w:after="120"/>
              <w:jc w:val="both"/>
              <w:rPr>
                <w:rFonts w:cstheme="minorHAnsi"/>
                <w:sz w:val="24"/>
                <w:szCs w:val="24"/>
              </w:rPr>
            </w:pPr>
          </w:p>
        </w:tc>
      </w:tr>
      <w:tr w:rsidR="00E91EA6" w:rsidRPr="00C031E1" w14:paraId="7CE1B2B1" w14:textId="77777777" w:rsidTr="00E57A43">
        <w:tc>
          <w:tcPr>
            <w:tcW w:w="4957" w:type="dxa"/>
          </w:tcPr>
          <w:p w14:paraId="26978B65"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Art. 4º O Demonstrativo de Sexo e Idade (DSI) terá periodicidade anual, sendo o mês de dezembro a data de referência, e deverá:</w:t>
            </w:r>
          </w:p>
        </w:tc>
        <w:tc>
          <w:tcPr>
            <w:tcW w:w="5103" w:type="dxa"/>
          </w:tcPr>
          <w:p w14:paraId="1ECB6F2B" w14:textId="1336A80D" w:rsidR="00E91EA6" w:rsidRPr="00C031E1" w:rsidRDefault="00E91EA6" w:rsidP="00E91EA6">
            <w:pPr>
              <w:spacing w:before="120" w:after="120"/>
              <w:jc w:val="both"/>
              <w:rPr>
                <w:rFonts w:cstheme="minorHAnsi"/>
                <w:sz w:val="24"/>
                <w:szCs w:val="24"/>
              </w:rPr>
            </w:pPr>
            <w:r w:rsidRPr="00C031E1">
              <w:rPr>
                <w:rFonts w:cstheme="minorHAnsi"/>
                <w:sz w:val="24"/>
                <w:szCs w:val="24"/>
              </w:rPr>
              <w:t>Art. 9</w:t>
            </w:r>
            <w:r w:rsidR="002948B0">
              <w:rPr>
                <w:rFonts w:cstheme="minorHAnsi"/>
                <w:sz w:val="24"/>
                <w:szCs w:val="24"/>
              </w:rPr>
              <w:t>2</w:t>
            </w:r>
            <w:r w:rsidR="00DC20FE">
              <w:rPr>
                <w:rFonts w:cstheme="minorHAnsi"/>
                <w:sz w:val="24"/>
                <w:szCs w:val="24"/>
              </w:rPr>
              <w:t>4</w:t>
            </w:r>
            <w:r w:rsidRPr="00C031E1">
              <w:rPr>
                <w:rFonts w:cstheme="minorHAnsi"/>
                <w:sz w:val="24"/>
                <w:szCs w:val="24"/>
              </w:rPr>
              <w:t xml:space="preserve">. O Demonstrativo de Sexo e Idade (DSI) </w:t>
            </w:r>
            <w:r w:rsidRPr="00C031E1">
              <w:rPr>
                <w:rFonts w:cstheme="minorHAnsi"/>
                <w:color w:val="0070C0"/>
                <w:sz w:val="24"/>
                <w:szCs w:val="24"/>
              </w:rPr>
              <w:t>tem</w:t>
            </w:r>
            <w:r w:rsidRPr="00C031E1">
              <w:rPr>
                <w:rFonts w:cstheme="minorHAnsi"/>
                <w:sz w:val="24"/>
                <w:szCs w:val="24"/>
              </w:rPr>
              <w:t xml:space="preserve"> periodicidade anual, sendo o mês de dezembro a data de referência, e </w:t>
            </w:r>
            <w:r w:rsidRPr="00C031E1">
              <w:rPr>
                <w:rFonts w:cstheme="minorHAnsi"/>
                <w:color w:val="0070C0"/>
                <w:sz w:val="24"/>
                <w:szCs w:val="24"/>
              </w:rPr>
              <w:t>deve</w:t>
            </w:r>
            <w:r w:rsidRPr="00C031E1">
              <w:rPr>
                <w:rFonts w:cstheme="minorHAnsi"/>
                <w:sz w:val="24"/>
                <w:szCs w:val="24"/>
              </w:rPr>
              <w:t>:</w:t>
            </w:r>
          </w:p>
        </w:tc>
        <w:tc>
          <w:tcPr>
            <w:tcW w:w="4677" w:type="dxa"/>
          </w:tcPr>
          <w:p w14:paraId="7D74976A" w14:textId="77777777" w:rsidR="00E91EA6" w:rsidRPr="00C031E1" w:rsidRDefault="00E91EA6" w:rsidP="00E91EA6">
            <w:pPr>
              <w:spacing w:before="120" w:after="120"/>
              <w:jc w:val="both"/>
              <w:rPr>
                <w:rFonts w:cstheme="minorHAnsi"/>
                <w:sz w:val="24"/>
                <w:szCs w:val="24"/>
              </w:rPr>
            </w:pPr>
          </w:p>
        </w:tc>
      </w:tr>
      <w:tr w:rsidR="00E91EA6" w:rsidRPr="00C031E1" w14:paraId="29A208CE" w14:textId="77777777" w:rsidTr="00E57A43">
        <w:tc>
          <w:tcPr>
            <w:tcW w:w="4957" w:type="dxa"/>
          </w:tcPr>
          <w:p w14:paraId="799133CC"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I</w:t>
            </w:r>
            <w:r w:rsidRPr="00C031E1">
              <w:rPr>
                <w:rFonts w:cstheme="minorHAnsi"/>
                <w:sz w:val="24"/>
                <w:szCs w:val="24"/>
              </w:rPr>
              <w:tab/>
              <w:t xml:space="preserve">- </w:t>
            </w:r>
            <w:proofErr w:type="gramStart"/>
            <w:r w:rsidRPr="00C031E1">
              <w:rPr>
                <w:rFonts w:cstheme="minorHAnsi"/>
                <w:sz w:val="24"/>
                <w:szCs w:val="24"/>
              </w:rPr>
              <w:t>conter</w:t>
            </w:r>
            <w:proofErr w:type="gramEnd"/>
            <w:r w:rsidRPr="00C031E1">
              <w:rPr>
                <w:rFonts w:cstheme="minorHAnsi"/>
                <w:sz w:val="24"/>
                <w:szCs w:val="24"/>
              </w:rPr>
              <w:t xml:space="preserve"> informações populacionais consistentes com aquelas constantes no Demonstrativo Estatístico (DE) referente ao segundo semestre;</w:t>
            </w:r>
          </w:p>
        </w:tc>
        <w:tc>
          <w:tcPr>
            <w:tcW w:w="5103" w:type="dxa"/>
          </w:tcPr>
          <w:p w14:paraId="527D10EB"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conter</w:t>
            </w:r>
            <w:proofErr w:type="gramEnd"/>
            <w:r w:rsidRPr="00C031E1">
              <w:rPr>
                <w:rFonts w:cstheme="minorHAnsi"/>
                <w:sz w:val="24"/>
                <w:szCs w:val="24"/>
              </w:rPr>
              <w:t xml:space="preserve"> informações populacionais consistentes com aquelas constantes no Demonstrativo Estatístico (DE) referente ao segundo semestre;</w:t>
            </w:r>
          </w:p>
        </w:tc>
        <w:tc>
          <w:tcPr>
            <w:tcW w:w="4677" w:type="dxa"/>
          </w:tcPr>
          <w:p w14:paraId="22FEF24C" w14:textId="77777777" w:rsidR="00E91EA6" w:rsidRPr="00C031E1" w:rsidRDefault="00E91EA6" w:rsidP="00E91EA6">
            <w:pPr>
              <w:spacing w:before="120" w:after="120"/>
              <w:jc w:val="both"/>
              <w:rPr>
                <w:rFonts w:cstheme="minorHAnsi"/>
                <w:sz w:val="24"/>
                <w:szCs w:val="24"/>
              </w:rPr>
            </w:pPr>
          </w:p>
        </w:tc>
      </w:tr>
      <w:tr w:rsidR="00E91EA6" w:rsidRPr="00C031E1" w14:paraId="347DB2AB" w14:textId="77777777" w:rsidTr="00E57A43">
        <w:tc>
          <w:tcPr>
            <w:tcW w:w="4957" w:type="dxa"/>
          </w:tcPr>
          <w:p w14:paraId="48388D58"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lastRenderedPageBreak/>
              <w:t>II</w:t>
            </w:r>
            <w:r w:rsidRPr="00C031E1">
              <w:rPr>
                <w:rFonts w:cstheme="minorHAnsi"/>
                <w:sz w:val="24"/>
                <w:szCs w:val="24"/>
              </w:rPr>
              <w:tab/>
              <w:t xml:space="preserve">- </w:t>
            </w:r>
            <w:proofErr w:type="gramStart"/>
            <w:r w:rsidRPr="00C031E1">
              <w:rPr>
                <w:rFonts w:cstheme="minorHAnsi"/>
                <w:sz w:val="24"/>
                <w:szCs w:val="24"/>
              </w:rPr>
              <w:t>ser</w:t>
            </w:r>
            <w:proofErr w:type="gramEnd"/>
            <w:r w:rsidRPr="00C031E1">
              <w:rPr>
                <w:rFonts w:cstheme="minorHAnsi"/>
                <w:sz w:val="24"/>
                <w:szCs w:val="24"/>
              </w:rPr>
              <w:t xml:space="preserve"> enviado até o último dia do mês de fevereiro do ano subsequente.</w:t>
            </w:r>
          </w:p>
        </w:tc>
        <w:tc>
          <w:tcPr>
            <w:tcW w:w="5103" w:type="dxa"/>
          </w:tcPr>
          <w:p w14:paraId="3C933FE3"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 xml:space="preserve">II - </w:t>
            </w:r>
            <w:proofErr w:type="gramStart"/>
            <w:r w:rsidRPr="00C031E1">
              <w:rPr>
                <w:rFonts w:cstheme="minorHAnsi"/>
                <w:sz w:val="24"/>
                <w:szCs w:val="24"/>
              </w:rPr>
              <w:t>ser</w:t>
            </w:r>
            <w:proofErr w:type="gramEnd"/>
            <w:r w:rsidRPr="00C031E1">
              <w:rPr>
                <w:rFonts w:cstheme="minorHAnsi"/>
                <w:sz w:val="24"/>
                <w:szCs w:val="24"/>
              </w:rPr>
              <w:t xml:space="preserve"> enviado até o último dia do mês de fevereiro do ano subsequente.</w:t>
            </w:r>
          </w:p>
        </w:tc>
        <w:tc>
          <w:tcPr>
            <w:tcW w:w="4677" w:type="dxa"/>
          </w:tcPr>
          <w:p w14:paraId="7806B5E9" w14:textId="77777777" w:rsidR="00E91EA6" w:rsidRPr="00C031E1" w:rsidRDefault="00E91EA6" w:rsidP="00E91EA6">
            <w:pPr>
              <w:spacing w:before="120" w:after="120"/>
              <w:jc w:val="both"/>
              <w:rPr>
                <w:rFonts w:cstheme="minorHAnsi"/>
                <w:sz w:val="24"/>
                <w:szCs w:val="24"/>
              </w:rPr>
            </w:pPr>
          </w:p>
        </w:tc>
      </w:tr>
      <w:tr w:rsidR="00E91EA6" w:rsidRPr="00C031E1" w14:paraId="7003BFFE" w14:textId="77777777" w:rsidTr="00E57A43">
        <w:tc>
          <w:tcPr>
            <w:tcW w:w="4957" w:type="dxa"/>
          </w:tcPr>
          <w:p w14:paraId="553C09E2"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 xml:space="preserve">Art. 5º A EFPC deverá manter base de dados cadastrais própria com informações atualizadas, </w:t>
            </w:r>
            <w:proofErr w:type="spellStart"/>
            <w:r w:rsidRPr="00C031E1">
              <w:rPr>
                <w:rFonts w:cstheme="minorHAnsi"/>
                <w:sz w:val="24"/>
                <w:szCs w:val="24"/>
              </w:rPr>
              <w:t>conﬁáveis</w:t>
            </w:r>
            <w:proofErr w:type="spellEnd"/>
            <w:r w:rsidRPr="00C031E1">
              <w:rPr>
                <w:rFonts w:cstheme="minorHAnsi"/>
                <w:sz w:val="24"/>
                <w:szCs w:val="24"/>
              </w:rPr>
              <w:t xml:space="preserve">, seguras e segregadas por plano de benefícios, independentemente da </w:t>
            </w:r>
          </w:p>
          <w:p w14:paraId="7B54130B"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obrigatoriedade de envio de dados à PREVIC.</w:t>
            </w:r>
          </w:p>
        </w:tc>
        <w:tc>
          <w:tcPr>
            <w:tcW w:w="5103" w:type="dxa"/>
          </w:tcPr>
          <w:p w14:paraId="636B7512" w14:textId="659A9993" w:rsidR="00E91EA6" w:rsidRPr="00C031E1" w:rsidRDefault="00E91EA6" w:rsidP="00E91EA6">
            <w:pPr>
              <w:spacing w:before="120" w:after="120"/>
              <w:jc w:val="both"/>
              <w:rPr>
                <w:rFonts w:cstheme="minorHAnsi"/>
                <w:sz w:val="24"/>
                <w:szCs w:val="24"/>
              </w:rPr>
            </w:pPr>
            <w:r w:rsidRPr="00C031E1">
              <w:rPr>
                <w:rFonts w:cstheme="minorHAnsi"/>
                <w:sz w:val="24"/>
                <w:szCs w:val="24"/>
              </w:rPr>
              <w:t>Art. 9</w:t>
            </w:r>
            <w:r w:rsidR="002948B0">
              <w:rPr>
                <w:rFonts w:cstheme="minorHAnsi"/>
                <w:sz w:val="24"/>
                <w:szCs w:val="24"/>
              </w:rPr>
              <w:t>2</w:t>
            </w:r>
            <w:r w:rsidR="00DC20FE">
              <w:rPr>
                <w:rFonts w:cstheme="minorHAnsi"/>
                <w:sz w:val="24"/>
                <w:szCs w:val="24"/>
              </w:rPr>
              <w:t>5</w:t>
            </w:r>
            <w:r w:rsidRPr="00C031E1">
              <w:rPr>
                <w:rFonts w:cstheme="minorHAnsi"/>
                <w:sz w:val="24"/>
                <w:szCs w:val="24"/>
              </w:rPr>
              <w:t xml:space="preserve">. A EFPC </w:t>
            </w:r>
            <w:r w:rsidRPr="00C031E1">
              <w:rPr>
                <w:rFonts w:cstheme="minorHAnsi"/>
                <w:color w:val="0070C0"/>
                <w:sz w:val="24"/>
                <w:szCs w:val="24"/>
              </w:rPr>
              <w:t>deve</w:t>
            </w:r>
            <w:r w:rsidRPr="00C031E1">
              <w:rPr>
                <w:rFonts w:cstheme="minorHAnsi"/>
                <w:sz w:val="24"/>
                <w:szCs w:val="24"/>
              </w:rPr>
              <w:t xml:space="preserve"> manter base de dados cadastrais própria com informações atualizadas, </w:t>
            </w:r>
            <w:proofErr w:type="spellStart"/>
            <w:r w:rsidRPr="00C031E1">
              <w:rPr>
                <w:rFonts w:cstheme="minorHAnsi"/>
                <w:sz w:val="24"/>
                <w:szCs w:val="24"/>
              </w:rPr>
              <w:t>conﬁáveis</w:t>
            </w:r>
            <w:proofErr w:type="spellEnd"/>
            <w:r w:rsidRPr="00C031E1">
              <w:rPr>
                <w:rFonts w:cstheme="minorHAnsi"/>
                <w:sz w:val="24"/>
                <w:szCs w:val="24"/>
              </w:rPr>
              <w:t>, seguras e segregadas por plano de benefícios, independentemente da obrigatoriedade de envio de dados à PREVIC.</w:t>
            </w:r>
          </w:p>
        </w:tc>
        <w:tc>
          <w:tcPr>
            <w:tcW w:w="4677" w:type="dxa"/>
          </w:tcPr>
          <w:p w14:paraId="2C7718EB"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Ajuste redacional.</w:t>
            </w:r>
          </w:p>
        </w:tc>
      </w:tr>
      <w:tr w:rsidR="00E91EA6" w:rsidRPr="00C031E1" w14:paraId="2A1F3D4A" w14:textId="77777777" w:rsidTr="00E57A43">
        <w:tc>
          <w:tcPr>
            <w:tcW w:w="4957" w:type="dxa"/>
          </w:tcPr>
          <w:p w14:paraId="5AE95E32"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 xml:space="preserve">Art. 6º As EFPC que se encontrem sob administração especial com poderes de liquidação extrajudicial, sem atividades ou com pendência para cancelamento </w:t>
            </w:r>
            <w:proofErr w:type="spellStart"/>
            <w:r w:rsidRPr="00C031E1">
              <w:rPr>
                <w:rFonts w:cstheme="minorHAnsi"/>
                <w:sz w:val="24"/>
                <w:szCs w:val="24"/>
              </w:rPr>
              <w:t>ﬁcarão</w:t>
            </w:r>
            <w:proofErr w:type="spellEnd"/>
            <w:r w:rsidRPr="00C031E1">
              <w:rPr>
                <w:rFonts w:cstheme="minorHAnsi"/>
                <w:sz w:val="24"/>
                <w:szCs w:val="24"/>
              </w:rPr>
              <w:t xml:space="preserve"> dispensadas de encaminhar o DE e o DSI.</w:t>
            </w:r>
          </w:p>
        </w:tc>
        <w:tc>
          <w:tcPr>
            <w:tcW w:w="5103" w:type="dxa"/>
          </w:tcPr>
          <w:p w14:paraId="45CF85CC" w14:textId="2E8CB948" w:rsidR="00E91EA6" w:rsidRPr="00C031E1" w:rsidRDefault="00E91EA6" w:rsidP="00E91EA6">
            <w:pPr>
              <w:spacing w:before="120" w:after="120"/>
              <w:jc w:val="both"/>
              <w:rPr>
                <w:rFonts w:cstheme="minorHAnsi"/>
                <w:sz w:val="24"/>
                <w:szCs w:val="24"/>
              </w:rPr>
            </w:pPr>
            <w:r w:rsidRPr="00C031E1">
              <w:rPr>
                <w:rFonts w:cstheme="minorHAnsi"/>
                <w:sz w:val="24"/>
                <w:szCs w:val="24"/>
              </w:rPr>
              <w:t>Art. 9</w:t>
            </w:r>
            <w:r w:rsidR="007A4014">
              <w:rPr>
                <w:rFonts w:cstheme="minorHAnsi"/>
                <w:sz w:val="24"/>
                <w:szCs w:val="24"/>
              </w:rPr>
              <w:t>2</w:t>
            </w:r>
            <w:r w:rsidR="00F34410">
              <w:rPr>
                <w:rFonts w:cstheme="minorHAnsi"/>
                <w:sz w:val="24"/>
                <w:szCs w:val="24"/>
              </w:rPr>
              <w:t>6</w:t>
            </w:r>
            <w:r w:rsidRPr="00C031E1">
              <w:rPr>
                <w:rFonts w:cstheme="minorHAnsi"/>
                <w:sz w:val="24"/>
                <w:szCs w:val="24"/>
              </w:rPr>
              <w:t xml:space="preserve">. As EFPC que se encontrem sob administração especial com poderes de liquidação extrajudicial, sem atividades ou com pendência para cancelamento </w:t>
            </w:r>
            <w:r w:rsidRPr="00C031E1">
              <w:rPr>
                <w:rFonts w:cstheme="minorHAnsi"/>
                <w:color w:val="0070C0"/>
                <w:sz w:val="24"/>
                <w:szCs w:val="24"/>
              </w:rPr>
              <w:t>ficam</w:t>
            </w:r>
            <w:r w:rsidRPr="00C031E1">
              <w:rPr>
                <w:rFonts w:cstheme="minorHAnsi"/>
                <w:sz w:val="24"/>
                <w:szCs w:val="24"/>
              </w:rPr>
              <w:t xml:space="preserve"> dispensadas de encaminhar o DE e o DSI.</w:t>
            </w:r>
          </w:p>
        </w:tc>
        <w:tc>
          <w:tcPr>
            <w:tcW w:w="4677" w:type="dxa"/>
          </w:tcPr>
          <w:p w14:paraId="454CB096" w14:textId="77777777" w:rsidR="00E91EA6" w:rsidRPr="00C031E1" w:rsidRDefault="00E91EA6" w:rsidP="00E91EA6">
            <w:pPr>
              <w:spacing w:before="120" w:after="120"/>
              <w:jc w:val="both"/>
              <w:rPr>
                <w:rFonts w:cstheme="minorHAnsi"/>
                <w:sz w:val="24"/>
                <w:szCs w:val="24"/>
              </w:rPr>
            </w:pPr>
          </w:p>
        </w:tc>
      </w:tr>
      <w:tr w:rsidR="00E91EA6" w:rsidRPr="00C031E1" w14:paraId="566A3668" w14:textId="77777777" w:rsidTr="00E57A43">
        <w:tc>
          <w:tcPr>
            <w:tcW w:w="4957" w:type="dxa"/>
          </w:tcPr>
          <w:p w14:paraId="0B7F0EB6"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Art. 7º A Diretoria de Licenciamento (</w:t>
            </w:r>
            <w:proofErr w:type="spellStart"/>
            <w:r w:rsidRPr="00C031E1">
              <w:rPr>
                <w:rFonts w:cstheme="minorHAnsi"/>
                <w:sz w:val="24"/>
                <w:szCs w:val="24"/>
              </w:rPr>
              <w:t>Dilic</w:t>
            </w:r>
            <w:proofErr w:type="spellEnd"/>
            <w:r w:rsidRPr="00C031E1">
              <w:rPr>
                <w:rFonts w:cstheme="minorHAnsi"/>
                <w:sz w:val="24"/>
                <w:szCs w:val="24"/>
              </w:rPr>
              <w:t>) editará Portaria com as instruções para o preenchimento das estatísticas populacionais e de benefícios, para a execução do disposto nesta Instrução.</w:t>
            </w:r>
          </w:p>
        </w:tc>
        <w:tc>
          <w:tcPr>
            <w:tcW w:w="5103" w:type="dxa"/>
          </w:tcPr>
          <w:p w14:paraId="246412E4" w14:textId="249C5071" w:rsidR="00E91EA6" w:rsidRPr="00C031E1" w:rsidRDefault="00E91EA6" w:rsidP="00E91EA6">
            <w:pPr>
              <w:spacing w:before="120" w:after="120"/>
              <w:jc w:val="both"/>
              <w:rPr>
                <w:rFonts w:cstheme="minorHAnsi"/>
                <w:sz w:val="24"/>
                <w:szCs w:val="24"/>
              </w:rPr>
            </w:pPr>
          </w:p>
        </w:tc>
        <w:tc>
          <w:tcPr>
            <w:tcW w:w="4677" w:type="dxa"/>
          </w:tcPr>
          <w:p w14:paraId="7D296DCB" w14:textId="4D40130D" w:rsidR="005A71F8" w:rsidRDefault="005A71F8" w:rsidP="00E91EA6">
            <w:pPr>
              <w:spacing w:before="120" w:after="120"/>
              <w:jc w:val="both"/>
              <w:rPr>
                <w:rFonts w:cstheme="minorHAnsi"/>
                <w:sz w:val="24"/>
                <w:szCs w:val="24"/>
              </w:rPr>
            </w:pPr>
            <w:r>
              <w:rPr>
                <w:rFonts w:cstheme="minorHAnsi"/>
                <w:sz w:val="24"/>
                <w:szCs w:val="24"/>
              </w:rPr>
              <w:t>Realocado art. 93</w:t>
            </w:r>
            <w:r w:rsidR="00F34410">
              <w:rPr>
                <w:rFonts w:cstheme="minorHAnsi"/>
                <w:sz w:val="24"/>
                <w:szCs w:val="24"/>
              </w:rPr>
              <w:t>1</w:t>
            </w:r>
            <w:r>
              <w:rPr>
                <w:rFonts w:cstheme="minorHAnsi"/>
                <w:sz w:val="24"/>
                <w:szCs w:val="24"/>
              </w:rPr>
              <w:t xml:space="preserve"> d</w:t>
            </w:r>
            <w:r w:rsidR="00B35E70">
              <w:rPr>
                <w:rFonts w:cstheme="minorHAnsi"/>
                <w:sz w:val="24"/>
                <w:szCs w:val="24"/>
              </w:rPr>
              <w:t>a proposta de consolidação</w:t>
            </w:r>
          </w:p>
          <w:p w14:paraId="2E358634" w14:textId="4FD9530D" w:rsidR="00E46C10" w:rsidRPr="00C031E1" w:rsidRDefault="00E46C10" w:rsidP="00E46C10">
            <w:pPr>
              <w:spacing w:before="120" w:after="120"/>
              <w:jc w:val="both"/>
              <w:rPr>
                <w:rFonts w:cstheme="minorHAnsi"/>
                <w:sz w:val="24"/>
                <w:szCs w:val="24"/>
              </w:rPr>
            </w:pPr>
          </w:p>
        </w:tc>
      </w:tr>
      <w:bookmarkEnd w:id="2"/>
      <w:tr w:rsidR="00E91EA6" w:rsidRPr="00C031E1" w14:paraId="67CD14E2" w14:textId="77777777" w:rsidTr="00E57A43">
        <w:tc>
          <w:tcPr>
            <w:tcW w:w="4957" w:type="dxa"/>
          </w:tcPr>
          <w:p w14:paraId="43B6127E"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Art. 8º Fica revogada a Instrução Normativa nº 24, de 5 de junho de 2008.</w:t>
            </w:r>
          </w:p>
        </w:tc>
        <w:tc>
          <w:tcPr>
            <w:tcW w:w="5103" w:type="dxa"/>
          </w:tcPr>
          <w:p w14:paraId="3AF03607" w14:textId="77777777" w:rsidR="00E91EA6" w:rsidRPr="00C031E1" w:rsidRDefault="00E91EA6" w:rsidP="00E91EA6">
            <w:pPr>
              <w:spacing w:before="120" w:after="120"/>
              <w:jc w:val="center"/>
              <w:rPr>
                <w:rFonts w:cstheme="minorHAnsi"/>
                <w:sz w:val="24"/>
                <w:szCs w:val="24"/>
              </w:rPr>
            </w:pPr>
          </w:p>
        </w:tc>
        <w:tc>
          <w:tcPr>
            <w:tcW w:w="4677" w:type="dxa"/>
          </w:tcPr>
          <w:p w14:paraId="2C55849C"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Excluído considerando o processo de consolidação normativa.</w:t>
            </w:r>
          </w:p>
        </w:tc>
      </w:tr>
      <w:tr w:rsidR="00E91EA6" w:rsidRPr="00C031E1" w14:paraId="6B8E4473" w14:textId="77777777" w:rsidTr="00E57A43">
        <w:tc>
          <w:tcPr>
            <w:tcW w:w="4957" w:type="dxa"/>
          </w:tcPr>
          <w:p w14:paraId="41A7157E"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Art. 9º Esta Instrução entra em vigor a partir de primeiro dia útil de maio de 2021.</w:t>
            </w:r>
          </w:p>
        </w:tc>
        <w:tc>
          <w:tcPr>
            <w:tcW w:w="5103" w:type="dxa"/>
          </w:tcPr>
          <w:p w14:paraId="41F0521F" w14:textId="5F1D1DCC" w:rsidR="00E91EA6" w:rsidRPr="00C031E1" w:rsidRDefault="00E91EA6" w:rsidP="00E91EA6">
            <w:pPr>
              <w:tabs>
                <w:tab w:val="left" w:pos="1215"/>
              </w:tabs>
              <w:spacing w:before="120" w:after="120"/>
              <w:rPr>
                <w:rFonts w:cstheme="minorHAnsi"/>
                <w:sz w:val="24"/>
                <w:szCs w:val="24"/>
              </w:rPr>
            </w:pPr>
            <w:r w:rsidRPr="00C031E1">
              <w:rPr>
                <w:rFonts w:cstheme="minorHAnsi"/>
                <w:sz w:val="24"/>
                <w:szCs w:val="24"/>
              </w:rPr>
              <w:tab/>
            </w:r>
          </w:p>
        </w:tc>
        <w:tc>
          <w:tcPr>
            <w:tcW w:w="4677" w:type="dxa"/>
          </w:tcPr>
          <w:p w14:paraId="3B8B56D0"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Excluído considerando o processo de consolidação normativa.</w:t>
            </w:r>
          </w:p>
        </w:tc>
      </w:tr>
      <w:tr w:rsidR="00E91EA6" w:rsidRPr="00C031E1" w14:paraId="5629A80D" w14:textId="77777777" w:rsidTr="00E57A43">
        <w:tc>
          <w:tcPr>
            <w:tcW w:w="4957" w:type="dxa"/>
          </w:tcPr>
          <w:p w14:paraId="4BE4D647" w14:textId="77777777" w:rsidR="00E91EA6" w:rsidRPr="00C031E1" w:rsidRDefault="00E91EA6" w:rsidP="00E91EA6">
            <w:pPr>
              <w:spacing w:before="120" w:after="120"/>
              <w:jc w:val="center"/>
              <w:rPr>
                <w:rFonts w:cstheme="minorHAnsi"/>
                <w:sz w:val="24"/>
                <w:szCs w:val="24"/>
              </w:rPr>
            </w:pPr>
            <w:r w:rsidRPr="00C031E1">
              <w:rPr>
                <w:rFonts w:cstheme="minorHAnsi"/>
                <w:sz w:val="24"/>
                <w:szCs w:val="24"/>
              </w:rPr>
              <w:t>LUCIO RODRIGUES CAPELLETTO</w:t>
            </w:r>
          </w:p>
          <w:p w14:paraId="24FD4E37" w14:textId="77777777" w:rsidR="00E91EA6" w:rsidRPr="00C031E1" w:rsidRDefault="00E91EA6" w:rsidP="00E91EA6">
            <w:pPr>
              <w:spacing w:before="120" w:after="120"/>
              <w:jc w:val="center"/>
              <w:rPr>
                <w:rFonts w:cstheme="minorHAnsi"/>
                <w:sz w:val="24"/>
                <w:szCs w:val="24"/>
              </w:rPr>
            </w:pPr>
            <w:r w:rsidRPr="00C031E1">
              <w:rPr>
                <w:rFonts w:cstheme="minorHAnsi"/>
                <w:sz w:val="24"/>
                <w:szCs w:val="24"/>
              </w:rPr>
              <w:t>Diretor Superintendente</w:t>
            </w:r>
          </w:p>
        </w:tc>
        <w:tc>
          <w:tcPr>
            <w:tcW w:w="5103" w:type="dxa"/>
          </w:tcPr>
          <w:p w14:paraId="24AE6774" w14:textId="77777777" w:rsidR="00E91EA6" w:rsidRPr="00C031E1" w:rsidRDefault="00E91EA6" w:rsidP="00E91EA6">
            <w:pPr>
              <w:spacing w:before="120" w:after="120"/>
              <w:jc w:val="center"/>
              <w:rPr>
                <w:rFonts w:cstheme="minorHAnsi"/>
                <w:sz w:val="24"/>
                <w:szCs w:val="24"/>
              </w:rPr>
            </w:pPr>
          </w:p>
        </w:tc>
        <w:tc>
          <w:tcPr>
            <w:tcW w:w="4677" w:type="dxa"/>
          </w:tcPr>
          <w:p w14:paraId="51C38DF4" w14:textId="77777777" w:rsidR="00E91EA6" w:rsidRPr="00C031E1" w:rsidRDefault="00E91EA6" w:rsidP="00E91EA6">
            <w:pPr>
              <w:spacing w:before="120" w:after="120"/>
              <w:jc w:val="both"/>
              <w:rPr>
                <w:rFonts w:cstheme="minorHAnsi"/>
                <w:sz w:val="24"/>
                <w:szCs w:val="24"/>
              </w:rPr>
            </w:pPr>
            <w:r w:rsidRPr="00C031E1">
              <w:rPr>
                <w:rFonts w:cstheme="minorHAnsi"/>
                <w:sz w:val="24"/>
                <w:szCs w:val="24"/>
              </w:rPr>
              <w:t>Excluído considerando o processo de consolidação normativa.</w:t>
            </w:r>
          </w:p>
        </w:tc>
      </w:tr>
      <w:tr w:rsidR="00E91EA6" w:rsidRPr="00C031E1" w14:paraId="4EEE932B" w14:textId="77777777" w:rsidTr="007A4014">
        <w:tc>
          <w:tcPr>
            <w:tcW w:w="4957" w:type="dxa"/>
            <w:shd w:val="clear" w:color="auto" w:fill="E7E6E6" w:themeFill="background2"/>
          </w:tcPr>
          <w:p w14:paraId="1720CF78" w14:textId="77777777" w:rsidR="00E91EA6" w:rsidRPr="00C031E1" w:rsidRDefault="00E91EA6" w:rsidP="00E91EA6">
            <w:pPr>
              <w:pBdr>
                <w:top w:val="nil"/>
                <w:left w:val="nil"/>
                <w:bottom w:val="nil"/>
                <w:right w:val="nil"/>
                <w:between w:val="nil"/>
              </w:pBdr>
              <w:tabs>
                <w:tab w:val="left" w:pos="4830"/>
              </w:tabs>
              <w:rPr>
                <w:rFonts w:eastAsia="Calibri" w:cstheme="minorHAnsi"/>
                <w:b/>
                <w:color w:val="000000"/>
                <w:sz w:val="24"/>
                <w:szCs w:val="24"/>
              </w:rPr>
            </w:pPr>
            <w:r w:rsidRPr="00C031E1">
              <w:rPr>
                <w:rFonts w:eastAsia="Calibri" w:cstheme="minorHAnsi"/>
                <w:b/>
                <w:color w:val="000000"/>
                <w:sz w:val="24"/>
                <w:szCs w:val="24"/>
              </w:rPr>
              <w:t>Instrução SPC nº 17, de 18 de abril de 2017</w:t>
            </w:r>
          </w:p>
          <w:p w14:paraId="60C3F2C7" w14:textId="77777777" w:rsidR="00E91EA6" w:rsidRPr="00C031E1" w:rsidRDefault="00E91EA6" w:rsidP="00E91EA6">
            <w:pPr>
              <w:pBdr>
                <w:top w:val="nil"/>
                <w:left w:val="nil"/>
                <w:bottom w:val="nil"/>
                <w:right w:val="nil"/>
                <w:between w:val="nil"/>
              </w:pBdr>
              <w:jc w:val="both"/>
              <w:rPr>
                <w:rFonts w:eastAsia="Calibri" w:cstheme="minorHAnsi"/>
                <w:b/>
                <w:color w:val="000000"/>
                <w:sz w:val="24"/>
                <w:szCs w:val="24"/>
              </w:rPr>
            </w:pPr>
          </w:p>
        </w:tc>
        <w:tc>
          <w:tcPr>
            <w:tcW w:w="5103" w:type="dxa"/>
            <w:shd w:val="clear" w:color="auto" w:fill="E7E6E6" w:themeFill="background2"/>
          </w:tcPr>
          <w:p w14:paraId="5845A15F" w14:textId="77777777" w:rsidR="00E91EA6" w:rsidRPr="00C031E1" w:rsidRDefault="00E91EA6" w:rsidP="00E91EA6">
            <w:pPr>
              <w:pBdr>
                <w:top w:val="nil"/>
                <w:left w:val="nil"/>
                <w:bottom w:val="nil"/>
                <w:right w:val="nil"/>
                <w:between w:val="nil"/>
              </w:pBdr>
              <w:jc w:val="both"/>
              <w:rPr>
                <w:rFonts w:eastAsia="Calibri" w:cstheme="minorHAnsi"/>
                <w:b/>
                <w:color w:val="FF0000"/>
                <w:sz w:val="24"/>
                <w:szCs w:val="24"/>
              </w:rPr>
            </w:pPr>
          </w:p>
        </w:tc>
        <w:tc>
          <w:tcPr>
            <w:tcW w:w="4677" w:type="dxa"/>
            <w:shd w:val="clear" w:color="auto" w:fill="E7E6E6" w:themeFill="background2"/>
          </w:tcPr>
          <w:p w14:paraId="024C94A1" w14:textId="77777777" w:rsidR="00E91EA6" w:rsidRPr="00C031E1" w:rsidRDefault="00E91EA6" w:rsidP="00E91EA6">
            <w:pPr>
              <w:pBdr>
                <w:top w:val="nil"/>
                <w:left w:val="nil"/>
                <w:bottom w:val="nil"/>
                <w:right w:val="nil"/>
                <w:between w:val="nil"/>
              </w:pBdr>
              <w:jc w:val="both"/>
              <w:rPr>
                <w:rFonts w:eastAsia="Calibri" w:cstheme="minorHAnsi"/>
                <w:color w:val="000000"/>
                <w:sz w:val="24"/>
                <w:szCs w:val="24"/>
              </w:rPr>
            </w:pPr>
          </w:p>
        </w:tc>
      </w:tr>
      <w:tr w:rsidR="00E91EA6" w:rsidRPr="00C031E1" w14:paraId="6F8F713F" w14:textId="77777777" w:rsidTr="00E57A43">
        <w:tc>
          <w:tcPr>
            <w:tcW w:w="4957" w:type="dxa"/>
          </w:tcPr>
          <w:p w14:paraId="319DCBC4" w14:textId="77777777" w:rsidR="00E91EA6" w:rsidRPr="00C031E1" w:rsidRDefault="00E91EA6" w:rsidP="00E91EA6">
            <w:pPr>
              <w:autoSpaceDE w:val="0"/>
              <w:autoSpaceDN w:val="0"/>
              <w:adjustRightInd w:val="0"/>
              <w:jc w:val="both"/>
              <w:rPr>
                <w:rFonts w:eastAsia="Calibri" w:cstheme="minorHAnsi"/>
                <w:b/>
                <w:color w:val="000000"/>
                <w:sz w:val="24"/>
                <w:szCs w:val="24"/>
              </w:rPr>
            </w:pPr>
            <w:r w:rsidRPr="00C031E1">
              <w:rPr>
                <w:rFonts w:cstheme="minorHAnsi"/>
                <w:sz w:val="24"/>
                <w:szCs w:val="24"/>
              </w:rPr>
              <w:lastRenderedPageBreak/>
              <w:t>Cria o Relatório Mensal de Informações do administrador especial, interventor ou liquidante, fixa o prazo para o seu encaminhamento à Secretaria de Previdência Complementar e dá outras providências.</w:t>
            </w:r>
          </w:p>
        </w:tc>
        <w:tc>
          <w:tcPr>
            <w:tcW w:w="5103" w:type="dxa"/>
          </w:tcPr>
          <w:p w14:paraId="0D9EDEDF" w14:textId="77777777" w:rsidR="00E91EA6" w:rsidRPr="00C031E1" w:rsidRDefault="00E91EA6" w:rsidP="00E91EA6">
            <w:pPr>
              <w:autoSpaceDE w:val="0"/>
              <w:autoSpaceDN w:val="0"/>
              <w:adjustRightInd w:val="0"/>
              <w:jc w:val="both"/>
              <w:rPr>
                <w:rFonts w:cstheme="minorHAnsi"/>
                <w:color w:val="FF0000"/>
                <w:sz w:val="24"/>
                <w:szCs w:val="24"/>
              </w:rPr>
            </w:pPr>
          </w:p>
        </w:tc>
        <w:tc>
          <w:tcPr>
            <w:tcW w:w="4677" w:type="dxa"/>
          </w:tcPr>
          <w:p w14:paraId="22D8BB20" w14:textId="77777777" w:rsidR="00E91EA6" w:rsidRPr="00C031E1"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rPr>
              <w:t>Excluído</w:t>
            </w:r>
          </w:p>
        </w:tc>
      </w:tr>
      <w:tr w:rsidR="00E91EA6" w:rsidRPr="00C031E1" w14:paraId="405FDD4B" w14:textId="77777777" w:rsidTr="00E57A43">
        <w:tc>
          <w:tcPr>
            <w:tcW w:w="4957" w:type="dxa"/>
          </w:tcPr>
          <w:p w14:paraId="6CF867AF" w14:textId="77777777" w:rsidR="00E91EA6" w:rsidRPr="00C031E1" w:rsidRDefault="00E91EA6" w:rsidP="00E91EA6">
            <w:pPr>
              <w:autoSpaceDE w:val="0"/>
              <w:autoSpaceDN w:val="0"/>
              <w:adjustRightInd w:val="0"/>
              <w:jc w:val="both"/>
              <w:rPr>
                <w:rFonts w:cstheme="minorHAnsi"/>
                <w:i/>
                <w:sz w:val="24"/>
                <w:szCs w:val="24"/>
              </w:rPr>
            </w:pPr>
            <w:r w:rsidRPr="00C031E1">
              <w:rPr>
                <w:rFonts w:cstheme="minorHAnsi"/>
                <w:sz w:val="24"/>
                <w:szCs w:val="24"/>
              </w:rPr>
              <w:t xml:space="preserve">O SECRETÁRIO DE PREVIDÊNCIA COMPLEMENTAR DO MINISTÉRIO DA PREVIDÊNCIA SOCIAL, no uso das atribuições que lhe conferem os </w:t>
            </w:r>
            <w:proofErr w:type="spellStart"/>
            <w:r w:rsidRPr="00C031E1">
              <w:rPr>
                <w:rFonts w:cstheme="minorHAnsi"/>
                <w:sz w:val="24"/>
                <w:szCs w:val="24"/>
              </w:rPr>
              <w:t>arts</w:t>
            </w:r>
            <w:proofErr w:type="spellEnd"/>
            <w:r w:rsidRPr="00C031E1">
              <w:rPr>
                <w:rFonts w:cstheme="minorHAnsi"/>
                <w:sz w:val="24"/>
                <w:szCs w:val="24"/>
              </w:rPr>
              <w:t>. 5º e 74 da Lei Complementar no 109, de 29 de maio de 2001, e tendo em vista o disposto no art. 6o da Resolução CGPC n° 24, de 26 de fevereiro de 2007, resolve:</w:t>
            </w:r>
          </w:p>
        </w:tc>
        <w:tc>
          <w:tcPr>
            <w:tcW w:w="5103" w:type="dxa"/>
          </w:tcPr>
          <w:p w14:paraId="10AE90B3" w14:textId="77777777" w:rsidR="00E91EA6" w:rsidRPr="00C031E1" w:rsidRDefault="00E91EA6" w:rsidP="00E91EA6">
            <w:pPr>
              <w:pBdr>
                <w:top w:val="nil"/>
                <w:left w:val="nil"/>
                <w:bottom w:val="nil"/>
                <w:right w:val="nil"/>
                <w:between w:val="nil"/>
              </w:pBdr>
              <w:jc w:val="both"/>
              <w:rPr>
                <w:rFonts w:eastAsia="Calibri" w:cstheme="minorHAnsi"/>
                <w:i/>
                <w:color w:val="FF0000"/>
                <w:sz w:val="24"/>
                <w:szCs w:val="24"/>
                <w:highlight w:val="white"/>
              </w:rPr>
            </w:pPr>
          </w:p>
        </w:tc>
        <w:tc>
          <w:tcPr>
            <w:tcW w:w="4677" w:type="dxa"/>
          </w:tcPr>
          <w:p w14:paraId="13F1DAB4" w14:textId="77777777" w:rsidR="00E91EA6" w:rsidRPr="00C031E1"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rPr>
              <w:t xml:space="preserve">Excluído </w:t>
            </w:r>
          </w:p>
        </w:tc>
      </w:tr>
      <w:tr w:rsidR="00E91EA6" w:rsidRPr="00C031E1" w14:paraId="4B3FBDD7" w14:textId="77777777" w:rsidTr="00E57A43">
        <w:tc>
          <w:tcPr>
            <w:tcW w:w="4957" w:type="dxa"/>
          </w:tcPr>
          <w:p w14:paraId="132D279A" w14:textId="77777777" w:rsidR="00E91EA6" w:rsidRPr="00C031E1" w:rsidRDefault="00E91EA6" w:rsidP="00E91EA6">
            <w:pPr>
              <w:autoSpaceDE w:val="0"/>
              <w:autoSpaceDN w:val="0"/>
              <w:adjustRightInd w:val="0"/>
              <w:jc w:val="both"/>
              <w:rPr>
                <w:rFonts w:cstheme="minorHAnsi"/>
                <w:sz w:val="24"/>
                <w:szCs w:val="24"/>
              </w:rPr>
            </w:pPr>
            <w:bookmarkStart w:id="10" w:name="_Hlk138926253"/>
          </w:p>
        </w:tc>
        <w:tc>
          <w:tcPr>
            <w:tcW w:w="5103" w:type="dxa"/>
          </w:tcPr>
          <w:p w14:paraId="6762BDDD" w14:textId="77777777" w:rsidR="00E91EA6" w:rsidRPr="00C031E1" w:rsidRDefault="00E91EA6" w:rsidP="00E91EA6">
            <w:pPr>
              <w:jc w:val="center"/>
              <w:rPr>
                <w:rFonts w:cstheme="minorHAnsi"/>
                <w:b/>
                <w:bCs/>
                <w:color w:val="0070C0"/>
                <w:sz w:val="24"/>
                <w:szCs w:val="24"/>
              </w:rPr>
            </w:pPr>
            <w:r w:rsidRPr="00C031E1">
              <w:rPr>
                <w:rFonts w:cstheme="minorHAnsi"/>
                <w:b/>
                <w:bCs/>
                <w:color w:val="0070C0"/>
                <w:sz w:val="24"/>
                <w:szCs w:val="24"/>
              </w:rPr>
              <w:t>Seção V</w:t>
            </w:r>
          </w:p>
          <w:p w14:paraId="46550C59" w14:textId="521AC28B" w:rsidR="00E91EA6" w:rsidRPr="00C031E1" w:rsidRDefault="00E91EA6" w:rsidP="00E91EA6">
            <w:pPr>
              <w:pBdr>
                <w:top w:val="nil"/>
                <w:left w:val="nil"/>
                <w:bottom w:val="nil"/>
                <w:right w:val="nil"/>
                <w:between w:val="nil"/>
              </w:pBdr>
              <w:jc w:val="both"/>
              <w:rPr>
                <w:rFonts w:eastAsia="Calibri" w:cstheme="minorHAnsi"/>
                <w:i/>
                <w:color w:val="FF0000"/>
                <w:sz w:val="24"/>
                <w:szCs w:val="24"/>
                <w:highlight w:val="white"/>
              </w:rPr>
            </w:pPr>
            <w:r w:rsidRPr="00C031E1">
              <w:rPr>
                <w:rFonts w:cstheme="minorHAnsi"/>
                <w:b/>
                <w:bCs/>
                <w:color w:val="0070C0"/>
                <w:sz w:val="24"/>
                <w:szCs w:val="24"/>
              </w:rPr>
              <w:t>Relatório Mensal de Informações do administrador especial, interventor ou liquidante</w:t>
            </w:r>
          </w:p>
        </w:tc>
        <w:tc>
          <w:tcPr>
            <w:tcW w:w="4677" w:type="dxa"/>
          </w:tcPr>
          <w:p w14:paraId="47C77E29" w14:textId="77777777" w:rsidR="00E91EA6" w:rsidRPr="00C031E1" w:rsidRDefault="00E91EA6" w:rsidP="00E91EA6">
            <w:pPr>
              <w:pBdr>
                <w:top w:val="nil"/>
                <w:left w:val="nil"/>
                <w:bottom w:val="nil"/>
                <w:right w:val="nil"/>
                <w:between w:val="nil"/>
              </w:pBdr>
              <w:jc w:val="both"/>
              <w:rPr>
                <w:rFonts w:eastAsia="Calibri" w:cstheme="minorHAnsi"/>
                <w:color w:val="000000"/>
                <w:sz w:val="24"/>
                <w:szCs w:val="24"/>
              </w:rPr>
            </w:pPr>
          </w:p>
        </w:tc>
      </w:tr>
      <w:tr w:rsidR="00E91EA6" w:rsidRPr="00C031E1" w14:paraId="4648D37E" w14:textId="77777777" w:rsidTr="00E57A43">
        <w:tc>
          <w:tcPr>
            <w:tcW w:w="4957" w:type="dxa"/>
          </w:tcPr>
          <w:p w14:paraId="38B95F09" w14:textId="55D006DB" w:rsidR="00E91EA6" w:rsidRPr="00C031E1" w:rsidRDefault="00E91EA6" w:rsidP="00E91EA6">
            <w:pPr>
              <w:autoSpaceDE w:val="0"/>
              <w:autoSpaceDN w:val="0"/>
              <w:adjustRightInd w:val="0"/>
              <w:jc w:val="both"/>
              <w:rPr>
                <w:rFonts w:cstheme="minorHAnsi"/>
                <w:i/>
                <w:sz w:val="24"/>
                <w:szCs w:val="24"/>
              </w:rPr>
            </w:pPr>
            <w:r w:rsidRPr="00C031E1">
              <w:rPr>
                <w:rFonts w:cstheme="minorHAnsi"/>
                <w:sz w:val="24"/>
                <w:szCs w:val="24"/>
              </w:rPr>
              <w:t>Art. 1º O administrador especial, interventor ou liquidante deverá elaborar Relatório Mensal de Informações, na forma da presente Instrução</w:t>
            </w:r>
            <w:r w:rsidR="00282B3D">
              <w:rPr>
                <w:rFonts w:cstheme="minorHAnsi"/>
                <w:sz w:val="24"/>
                <w:szCs w:val="24"/>
              </w:rPr>
              <w:t>.</w:t>
            </w:r>
          </w:p>
        </w:tc>
        <w:tc>
          <w:tcPr>
            <w:tcW w:w="5103" w:type="dxa"/>
          </w:tcPr>
          <w:p w14:paraId="3A7FBF7A" w14:textId="41A3A79F" w:rsidR="00E91EA6" w:rsidRPr="00C031E1" w:rsidRDefault="00E91EA6" w:rsidP="00E91EA6">
            <w:pPr>
              <w:jc w:val="both"/>
              <w:rPr>
                <w:rFonts w:cstheme="minorHAnsi"/>
                <w:sz w:val="24"/>
                <w:szCs w:val="24"/>
              </w:rPr>
            </w:pPr>
            <w:r w:rsidRPr="00C031E1">
              <w:rPr>
                <w:rFonts w:cstheme="minorHAnsi"/>
                <w:sz w:val="24"/>
                <w:szCs w:val="24"/>
              </w:rPr>
              <w:t>Art. 9</w:t>
            </w:r>
            <w:r w:rsidR="001D7D70">
              <w:rPr>
                <w:rFonts w:cstheme="minorHAnsi"/>
                <w:sz w:val="24"/>
                <w:szCs w:val="24"/>
              </w:rPr>
              <w:t>2</w:t>
            </w:r>
            <w:r w:rsidR="00F34410">
              <w:rPr>
                <w:rFonts w:cstheme="minorHAnsi"/>
                <w:sz w:val="24"/>
                <w:szCs w:val="24"/>
              </w:rPr>
              <w:t>7</w:t>
            </w:r>
            <w:r w:rsidRPr="00C031E1">
              <w:rPr>
                <w:rFonts w:cstheme="minorHAnsi"/>
                <w:sz w:val="24"/>
                <w:szCs w:val="24"/>
              </w:rPr>
              <w:t xml:space="preserve">.  O Relatório Mensal de Informações previsto no artigo 6º da Resolução CNPC nº 52, de 2022, dever ser elaborado pelo administrador especial, interventor ou liquidante, na forma da </w:t>
            </w:r>
            <w:r w:rsidR="00E46C10">
              <w:rPr>
                <w:rFonts w:cstheme="minorHAnsi"/>
                <w:sz w:val="24"/>
                <w:szCs w:val="24"/>
              </w:rPr>
              <w:t>desta</w:t>
            </w:r>
            <w:r w:rsidR="001D7D70">
              <w:rPr>
                <w:rFonts w:cstheme="minorHAnsi"/>
                <w:sz w:val="24"/>
                <w:szCs w:val="24"/>
              </w:rPr>
              <w:t xml:space="preserve"> </w:t>
            </w:r>
            <w:r w:rsidR="00E46C10">
              <w:rPr>
                <w:rFonts w:cstheme="minorHAnsi"/>
                <w:sz w:val="24"/>
                <w:szCs w:val="24"/>
              </w:rPr>
              <w:t>Seção</w:t>
            </w:r>
            <w:r w:rsidRPr="00C031E1">
              <w:rPr>
                <w:rFonts w:cstheme="minorHAnsi"/>
                <w:sz w:val="24"/>
                <w:szCs w:val="24"/>
              </w:rPr>
              <w:t>.</w:t>
            </w:r>
          </w:p>
          <w:p w14:paraId="51E171AD" w14:textId="77777777" w:rsidR="00E91EA6" w:rsidRPr="00C031E1" w:rsidRDefault="00E91EA6" w:rsidP="00E91EA6">
            <w:pPr>
              <w:jc w:val="both"/>
              <w:rPr>
                <w:rFonts w:cstheme="minorHAnsi"/>
                <w:color w:val="FF0000"/>
                <w:sz w:val="24"/>
                <w:szCs w:val="24"/>
              </w:rPr>
            </w:pPr>
          </w:p>
        </w:tc>
        <w:tc>
          <w:tcPr>
            <w:tcW w:w="4677" w:type="dxa"/>
          </w:tcPr>
          <w:p w14:paraId="50D2E931" w14:textId="77777777" w:rsidR="00E91EA6" w:rsidRPr="00C031E1"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rPr>
              <w:t xml:space="preserve">Ajuste de redação </w:t>
            </w:r>
          </w:p>
        </w:tc>
      </w:tr>
      <w:tr w:rsidR="00E91EA6" w:rsidRPr="00C031E1" w14:paraId="57B2247A" w14:textId="77777777" w:rsidTr="00E57A43">
        <w:tc>
          <w:tcPr>
            <w:tcW w:w="4957" w:type="dxa"/>
          </w:tcPr>
          <w:p w14:paraId="72E668AE"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Art. 2º Deverão constar do relatório de que trata o art. 1º, as informações a seguir especificadas:</w:t>
            </w:r>
          </w:p>
          <w:p w14:paraId="0C4AC83C"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introdução</w:t>
            </w:r>
            <w:proofErr w:type="gramEnd"/>
            <w:r w:rsidRPr="00C031E1">
              <w:rPr>
                <w:rFonts w:cstheme="minorHAnsi"/>
                <w:sz w:val="24"/>
                <w:szCs w:val="24"/>
              </w:rPr>
              <w:t>, onde conste, no mínimo:</w:t>
            </w:r>
          </w:p>
          <w:p w14:paraId="2BF0645D"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a) o resumo das atividades desenvolvidas no mês;</w:t>
            </w:r>
          </w:p>
          <w:p w14:paraId="404710F6"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b) as medidas que vêm sendo adotadas para encerrar o regime especial; e</w:t>
            </w:r>
          </w:p>
          <w:p w14:paraId="01628AA8"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 xml:space="preserve">c) o prazo estimado para o encerramento do regime especial. II – </w:t>
            </w:r>
            <w:proofErr w:type="gramStart"/>
            <w:r w:rsidRPr="00C031E1">
              <w:rPr>
                <w:rFonts w:cstheme="minorHAnsi"/>
                <w:sz w:val="24"/>
                <w:szCs w:val="24"/>
              </w:rPr>
              <w:t>despesas</w:t>
            </w:r>
            <w:proofErr w:type="gramEnd"/>
            <w:r w:rsidRPr="00C031E1">
              <w:rPr>
                <w:rFonts w:cstheme="minorHAnsi"/>
                <w:sz w:val="24"/>
                <w:szCs w:val="24"/>
              </w:rPr>
              <w:t xml:space="preserve"> administrativas, identificadas na forma do Anexo Único desta Instrução, com detalhamento das medidas que </w:t>
            </w:r>
            <w:r w:rsidRPr="00C031E1">
              <w:rPr>
                <w:rFonts w:cstheme="minorHAnsi"/>
                <w:sz w:val="24"/>
                <w:szCs w:val="24"/>
              </w:rPr>
              <w:lastRenderedPageBreak/>
              <w:t>vêm sendo adotadas para sua redução, com os esclarecimentos adicionais porventura necessários.</w:t>
            </w:r>
          </w:p>
          <w:p w14:paraId="3C6E07FA"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III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6434DD75"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 xml:space="preserve">IV – </w:t>
            </w:r>
            <w:proofErr w:type="gramStart"/>
            <w:r w:rsidRPr="00C031E1">
              <w:rPr>
                <w:rFonts w:cstheme="minorHAnsi"/>
                <w:sz w:val="24"/>
                <w:szCs w:val="24"/>
              </w:rPr>
              <w:t>considerações</w:t>
            </w:r>
            <w:proofErr w:type="gramEnd"/>
            <w:r w:rsidRPr="00C031E1">
              <w:rPr>
                <w:rFonts w:cstheme="minorHAnsi"/>
                <w:sz w:val="24"/>
                <w:szCs w:val="24"/>
              </w:rPr>
              <w:t xml:space="preserve"> gerais julgadas pertinentes.</w:t>
            </w:r>
          </w:p>
        </w:tc>
        <w:tc>
          <w:tcPr>
            <w:tcW w:w="5103" w:type="dxa"/>
          </w:tcPr>
          <w:p w14:paraId="5B20BC6D" w14:textId="5FED8698" w:rsidR="00E91EA6" w:rsidRPr="00C031E1" w:rsidRDefault="00E91EA6" w:rsidP="00E91EA6">
            <w:pPr>
              <w:jc w:val="both"/>
              <w:rPr>
                <w:rFonts w:cstheme="minorHAnsi"/>
                <w:sz w:val="24"/>
                <w:szCs w:val="24"/>
              </w:rPr>
            </w:pPr>
            <w:r w:rsidRPr="00C031E1">
              <w:rPr>
                <w:rFonts w:cstheme="minorHAnsi"/>
                <w:sz w:val="24"/>
                <w:szCs w:val="24"/>
              </w:rPr>
              <w:lastRenderedPageBreak/>
              <w:t>Art. 9</w:t>
            </w:r>
            <w:r w:rsidR="001D7D70">
              <w:rPr>
                <w:rFonts w:cstheme="minorHAnsi"/>
                <w:sz w:val="24"/>
                <w:szCs w:val="24"/>
              </w:rPr>
              <w:t>2</w:t>
            </w:r>
            <w:r w:rsidR="00F34410">
              <w:rPr>
                <w:rFonts w:cstheme="minorHAnsi"/>
                <w:sz w:val="24"/>
                <w:szCs w:val="24"/>
              </w:rPr>
              <w:t>8</w:t>
            </w:r>
            <w:r w:rsidRPr="00C031E1">
              <w:rPr>
                <w:rFonts w:cstheme="minorHAnsi"/>
                <w:sz w:val="24"/>
                <w:szCs w:val="24"/>
              </w:rPr>
              <w:t>.  O Relatório Mensal de Informações de que trata o art. 9</w:t>
            </w:r>
            <w:r w:rsidR="001D7D70">
              <w:rPr>
                <w:rFonts w:cstheme="minorHAnsi"/>
                <w:sz w:val="24"/>
                <w:szCs w:val="24"/>
              </w:rPr>
              <w:t>28</w:t>
            </w:r>
            <w:r w:rsidRPr="00C031E1">
              <w:rPr>
                <w:rFonts w:cstheme="minorHAnsi"/>
                <w:sz w:val="24"/>
                <w:szCs w:val="24"/>
              </w:rPr>
              <w:t xml:space="preserve">, deve conter </w:t>
            </w:r>
            <w:r w:rsidRPr="00C031E1">
              <w:rPr>
                <w:rFonts w:cstheme="minorHAnsi"/>
                <w:color w:val="0070C0"/>
                <w:sz w:val="24"/>
                <w:szCs w:val="24"/>
              </w:rPr>
              <w:t xml:space="preserve">no mínimo </w:t>
            </w:r>
            <w:r w:rsidRPr="00C031E1">
              <w:rPr>
                <w:rFonts w:cstheme="minorHAnsi"/>
                <w:sz w:val="24"/>
                <w:szCs w:val="24"/>
              </w:rPr>
              <w:t>as seguintes informações:</w:t>
            </w:r>
          </w:p>
          <w:p w14:paraId="11E98328" w14:textId="77777777" w:rsidR="00E91EA6" w:rsidRPr="00C031E1" w:rsidRDefault="00E91EA6" w:rsidP="00E91EA6">
            <w:pPr>
              <w:jc w:val="both"/>
              <w:rPr>
                <w:rFonts w:cstheme="minorHAnsi"/>
                <w:sz w:val="24"/>
                <w:szCs w:val="24"/>
              </w:rPr>
            </w:pPr>
            <w:r w:rsidRPr="00C031E1">
              <w:rPr>
                <w:rFonts w:cstheme="minorHAnsi"/>
                <w:sz w:val="24"/>
                <w:szCs w:val="24"/>
              </w:rPr>
              <w:t xml:space="preserve">I - </w:t>
            </w:r>
            <w:proofErr w:type="gramStart"/>
            <w:r w:rsidRPr="00C031E1">
              <w:rPr>
                <w:rFonts w:cstheme="minorHAnsi"/>
                <w:sz w:val="24"/>
                <w:szCs w:val="24"/>
              </w:rPr>
              <w:t>o</w:t>
            </w:r>
            <w:proofErr w:type="gramEnd"/>
            <w:r w:rsidRPr="00C031E1">
              <w:rPr>
                <w:rFonts w:cstheme="minorHAnsi"/>
                <w:sz w:val="24"/>
                <w:szCs w:val="24"/>
              </w:rPr>
              <w:t xml:space="preserve"> resumo das atividades desenvolvidas no mês;</w:t>
            </w:r>
          </w:p>
          <w:p w14:paraId="46595C0A" w14:textId="77777777" w:rsidR="00E91EA6" w:rsidRPr="00C031E1" w:rsidRDefault="00E91EA6" w:rsidP="00E91EA6">
            <w:pPr>
              <w:jc w:val="both"/>
              <w:rPr>
                <w:rFonts w:cstheme="minorHAnsi"/>
                <w:sz w:val="24"/>
                <w:szCs w:val="24"/>
              </w:rPr>
            </w:pPr>
            <w:r w:rsidRPr="00C031E1">
              <w:rPr>
                <w:rFonts w:cstheme="minorHAnsi"/>
                <w:sz w:val="24"/>
                <w:szCs w:val="24"/>
              </w:rPr>
              <w:t xml:space="preserve">II - </w:t>
            </w:r>
            <w:proofErr w:type="gramStart"/>
            <w:r w:rsidRPr="00C031E1">
              <w:rPr>
                <w:rFonts w:cstheme="minorHAnsi"/>
                <w:sz w:val="24"/>
                <w:szCs w:val="24"/>
              </w:rPr>
              <w:t>as</w:t>
            </w:r>
            <w:proofErr w:type="gramEnd"/>
            <w:r w:rsidRPr="00C031E1">
              <w:rPr>
                <w:rFonts w:cstheme="minorHAnsi"/>
                <w:sz w:val="24"/>
                <w:szCs w:val="24"/>
              </w:rPr>
              <w:t xml:space="preserve"> medidas que vêm sendo adotadas para encerrar o regime especial;</w:t>
            </w:r>
          </w:p>
          <w:p w14:paraId="6D2CC28C" w14:textId="77777777" w:rsidR="00E91EA6" w:rsidRPr="00C031E1" w:rsidRDefault="00E91EA6" w:rsidP="00E91EA6">
            <w:pPr>
              <w:jc w:val="both"/>
              <w:rPr>
                <w:rFonts w:cstheme="minorHAnsi"/>
                <w:sz w:val="24"/>
                <w:szCs w:val="24"/>
              </w:rPr>
            </w:pPr>
            <w:r w:rsidRPr="00C031E1">
              <w:rPr>
                <w:rFonts w:cstheme="minorHAnsi"/>
                <w:sz w:val="24"/>
                <w:szCs w:val="24"/>
              </w:rPr>
              <w:t>III - o prazo estimado para o encerramento do regime especial;</w:t>
            </w:r>
          </w:p>
          <w:p w14:paraId="693069AC" w14:textId="573125BD" w:rsidR="00E91EA6" w:rsidRPr="00C031E1" w:rsidRDefault="00E91EA6" w:rsidP="00E91EA6">
            <w:pPr>
              <w:jc w:val="both"/>
              <w:rPr>
                <w:rFonts w:cstheme="minorHAnsi"/>
                <w:sz w:val="24"/>
                <w:szCs w:val="24"/>
              </w:rPr>
            </w:pPr>
            <w:r w:rsidRPr="00C031E1">
              <w:rPr>
                <w:rFonts w:cstheme="minorHAnsi"/>
                <w:sz w:val="24"/>
                <w:szCs w:val="24"/>
              </w:rPr>
              <w:t xml:space="preserve">IV - </w:t>
            </w:r>
            <w:proofErr w:type="gramStart"/>
            <w:r w:rsidRPr="00C031E1">
              <w:rPr>
                <w:rFonts w:cstheme="minorHAnsi"/>
                <w:sz w:val="24"/>
                <w:szCs w:val="24"/>
              </w:rPr>
              <w:t>as</w:t>
            </w:r>
            <w:proofErr w:type="gramEnd"/>
            <w:r w:rsidRPr="00C031E1">
              <w:rPr>
                <w:rFonts w:cstheme="minorHAnsi"/>
                <w:sz w:val="24"/>
                <w:szCs w:val="24"/>
              </w:rPr>
              <w:t xml:space="preserve"> despesas administrativas, identificadas na forma do </w:t>
            </w:r>
            <w:r w:rsidRPr="001D7D70">
              <w:rPr>
                <w:rFonts w:cstheme="minorHAnsi"/>
                <w:color w:val="0070C0"/>
                <w:sz w:val="24"/>
                <w:szCs w:val="24"/>
                <w:highlight w:val="yellow"/>
              </w:rPr>
              <w:t xml:space="preserve">Anexo </w:t>
            </w:r>
            <w:r w:rsidR="00F34410">
              <w:rPr>
                <w:rFonts w:cstheme="minorHAnsi"/>
                <w:color w:val="0070C0"/>
                <w:sz w:val="24"/>
                <w:szCs w:val="24"/>
              </w:rPr>
              <w:t>VI</w:t>
            </w:r>
            <w:r w:rsidRPr="00C031E1">
              <w:rPr>
                <w:rFonts w:cstheme="minorHAnsi"/>
                <w:sz w:val="24"/>
                <w:szCs w:val="24"/>
              </w:rPr>
              <w:t xml:space="preserve"> desta Resolução;</w:t>
            </w:r>
          </w:p>
          <w:p w14:paraId="0152CC39" w14:textId="77777777" w:rsidR="00E91EA6" w:rsidRPr="00C031E1" w:rsidRDefault="00E91EA6" w:rsidP="00E91EA6">
            <w:pPr>
              <w:jc w:val="both"/>
              <w:rPr>
                <w:rFonts w:cstheme="minorHAnsi"/>
                <w:sz w:val="24"/>
                <w:szCs w:val="24"/>
              </w:rPr>
            </w:pPr>
            <w:r w:rsidRPr="00C031E1">
              <w:rPr>
                <w:rFonts w:cstheme="minorHAnsi"/>
                <w:sz w:val="24"/>
                <w:szCs w:val="24"/>
              </w:rPr>
              <w:lastRenderedPageBreak/>
              <w:t xml:space="preserve">V - </w:t>
            </w:r>
            <w:proofErr w:type="gramStart"/>
            <w:r w:rsidRPr="00C031E1">
              <w:rPr>
                <w:rFonts w:cstheme="minorHAnsi"/>
                <w:sz w:val="24"/>
                <w:szCs w:val="24"/>
              </w:rPr>
              <w:t>as</w:t>
            </w:r>
            <w:proofErr w:type="gramEnd"/>
            <w:r w:rsidRPr="00C031E1">
              <w:rPr>
                <w:rFonts w:cstheme="minorHAnsi"/>
                <w:sz w:val="24"/>
                <w:szCs w:val="24"/>
              </w:rPr>
              <w:t xml:space="preserve">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607146ED" w14:textId="77777777" w:rsidR="00E91EA6" w:rsidRPr="00C031E1" w:rsidRDefault="00E91EA6" w:rsidP="00E91EA6">
            <w:pPr>
              <w:jc w:val="both"/>
              <w:rPr>
                <w:rFonts w:cstheme="minorHAnsi"/>
                <w:sz w:val="24"/>
                <w:szCs w:val="24"/>
              </w:rPr>
            </w:pPr>
            <w:r w:rsidRPr="00C031E1">
              <w:rPr>
                <w:rFonts w:cstheme="minorHAnsi"/>
                <w:sz w:val="24"/>
                <w:szCs w:val="24"/>
              </w:rPr>
              <w:t xml:space="preserve">VI - </w:t>
            </w:r>
            <w:proofErr w:type="gramStart"/>
            <w:r w:rsidRPr="00C031E1">
              <w:rPr>
                <w:rFonts w:cstheme="minorHAnsi"/>
                <w:sz w:val="24"/>
                <w:szCs w:val="24"/>
              </w:rPr>
              <w:t>a</w:t>
            </w:r>
            <w:proofErr w:type="gramEnd"/>
            <w:r w:rsidRPr="00C031E1">
              <w:rPr>
                <w:rFonts w:cstheme="minorHAnsi"/>
                <w:sz w:val="24"/>
                <w:szCs w:val="24"/>
              </w:rPr>
              <w:t xml:space="preserve"> movimentação financeira;</w:t>
            </w:r>
          </w:p>
          <w:p w14:paraId="74BACFFB" w14:textId="77777777" w:rsidR="00E91EA6" w:rsidRPr="00C031E1" w:rsidRDefault="00E91EA6" w:rsidP="00E91EA6">
            <w:pPr>
              <w:jc w:val="both"/>
              <w:rPr>
                <w:rFonts w:cstheme="minorHAnsi"/>
                <w:sz w:val="24"/>
                <w:szCs w:val="24"/>
              </w:rPr>
            </w:pPr>
            <w:r w:rsidRPr="00C031E1">
              <w:rPr>
                <w:rFonts w:cstheme="minorHAnsi"/>
                <w:sz w:val="24"/>
                <w:szCs w:val="24"/>
              </w:rPr>
              <w:t>VII – as informações sobre o Quadro Gerais de Credores; e</w:t>
            </w:r>
          </w:p>
          <w:p w14:paraId="3DC9CC57" w14:textId="77777777" w:rsidR="00E91EA6" w:rsidRPr="00C031E1" w:rsidRDefault="00E91EA6" w:rsidP="00E91EA6">
            <w:pPr>
              <w:jc w:val="both"/>
              <w:rPr>
                <w:rFonts w:cstheme="minorHAnsi"/>
                <w:sz w:val="24"/>
                <w:szCs w:val="24"/>
              </w:rPr>
            </w:pPr>
            <w:r w:rsidRPr="00C031E1">
              <w:rPr>
                <w:rFonts w:cstheme="minorHAnsi"/>
                <w:sz w:val="24"/>
                <w:szCs w:val="24"/>
              </w:rPr>
              <w:t>VIII - outras considerações gerais julgadas pertinentes.</w:t>
            </w:r>
          </w:p>
          <w:p w14:paraId="01B0FEB3" w14:textId="77777777" w:rsidR="00E91EA6" w:rsidRPr="00C031E1" w:rsidRDefault="00E91EA6" w:rsidP="00E91EA6">
            <w:pPr>
              <w:jc w:val="both"/>
              <w:rPr>
                <w:rFonts w:cstheme="minorHAnsi"/>
                <w:color w:val="FF0000"/>
                <w:sz w:val="24"/>
                <w:szCs w:val="24"/>
              </w:rPr>
            </w:pPr>
          </w:p>
        </w:tc>
        <w:tc>
          <w:tcPr>
            <w:tcW w:w="4677" w:type="dxa"/>
          </w:tcPr>
          <w:p w14:paraId="66DC4188" w14:textId="77777777" w:rsidR="00E91EA6" w:rsidRPr="00C031E1"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rPr>
              <w:lastRenderedPageBreak/>
              <w:t>Ajuste de redação.</w:t>
            </w:r>
          </w:p>
          <w:p w14:paraId="7E27CB60" w14:textId="207941C1" w:rsidR="00E91EA6" w:rsidRPr="00C031E1"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highlight w:val="yellow"/>
              </w:rPr>
              <w:t xml:space="preserve">Falta o anexo desta Resolução. Melhoria redacional da sugestão apresentada: Substituição de “Minimamente” </w:t>
            </w:r>
            <w:proofErr w:type="gramStart"/>
            <w:r w:rsidRPr="00C031E1">
              <w:rPr>
                <w:rFonts w:eastAsia="Calibri" w:cstheme="minorHAnsi"/>
                <w:color w:val="000000"/>
                <w:sz w:val="24"/>
                <w:szCs w:val="24"/>
                <w:highlight w:val="yellow"/>
              </w:rPr>
              <w:t>por  “</w:t>
            </w:r>
            <w:proofErr w:type="gramEnd"/>
            <w:r w:rsidRPr="00C031E1">
              <w:rPr>
                <w:rFonts w:eastAsia="Calibri" w:cstheme="minorHAnsi"/>
                <w:color w:val="000000"/>
                <w:sz w:val="24"/>
                <w:szCs w:val="24"/>
                <w:highlight w:val="yellow"/>
              </w:rPr>
              <w:t>no mínimo”.</w:t>
            </w:r>
          </w:p>
        </w:tc>
      </w:tr>
      <w:tr w:rsidR="00E91EA6" w:rsidRPr="00C031E1" w14:paraId="3DE93201" w14:textId="77777777" w:rsidTr="00E57A43">
        <w:tc>
          <w:tcPr>
            <w:tcW w:w="4957" w:type="dxa"/>
          </w:tcPr>
          <w:p w14:paraId="682E3DCD" w14:textId="77777777" w:rsidR="00E91EA6" w:rsidRPr="00C031E1" w:rsidRDefault="00E91EA6" w:rsidP="00E91EA6">
            <w:pPr>
              <w:jc w:val="both"/>
              <w:rPr>
                <w:rFonts w:cstheme="minorHAnsi"/>
                <w:sz w:val="24"/>
                <w:szCs w:val="24"/>
              </w:rPr>
            </w:pPr>
            <w:r w:rsidRPr="00C031E1">
              <w:rPr>
                <w:rFonts w:cstheme="minorHAnsi"/>
                <w:sz w:val="24"/>
                <w:szCs w:val="24"/>
              </w:rPr>
              <w:t>Parágrafo único. Além das informações de que trata o caput, no caso dos regimes especiais de intervenção e de liquidação extrajudicial, o relatório conterá a movimentação financeira, por plano de benefícios discriminando:</w:t>
            </w:r>
          </w:p>
          <w:p w14:paraId="5105C760" w14:textId="77777777" w:rsidR="00E91EA6" w:rsidRPr="00C031E1" w:rsidRDefault="00E91EA6" w:rsidP="00E91EA6">
            <w:pPr>
              <w:jc w:val="both"/>
              <w:rPr>
                <w:rFonts w:cstheme="minorHAnsi"/>
                <w:sz w:val="24"/>
                <w:szCs w:val="24"/>
              </w:rPr>
            </w:pPr>
            <w:r w:rsidRPr="00C031E1">
              <w:rPr>
                <w:rFonts w:cstheme="minorHAnsi"/>
                <w:sz w:val="24"/>
                <w:szCs w:val="24"/>
              </w:rPr>
              <w:t>a) os recursos aplicados no mês, contendo, no mínimo, data, valor, origem, tipo de aplicação e seu destinatário;</w:t>
            </w:r>
          </w:p>
          <w:p w14:paraId="65BE88E9" w14:textId="77777777" w:rsidR="00E91EA6" w:rsidRPr="00C031E1" w:rsidRDefault="00E91EA6" w:rsidP="00E91EA6">
            <w:pPr>
              <w:jc w:val="both"/>
              <w:rPr>
                <w:rFonts w:cstheme="minorHAnsi"/>
                <w:sz w:val="24"/>
                <w:szCs w:val="24"/>
              </w:rPr>
            </w:pPr>
            <w:r w:rsidRPr="00C031E1">
              <w:rPr>
                <w:rFonts w:cstheme="minorHAnsi"/>
                <w:sz w:val="24"/>
                <w:szCs w:val="24"/>
              </w:rPr>
              <w:t>b) os recursos resgatados no mês, contendo, no mínimo, data, valor, origem e detentor da aplicação; e</w:t>
            </w:r>
          </w:p>
          <w:p w14:paraId="59974715" w14:textId="77777777" w:rsidR="00E91EA6" w:rsidRPr="00C031E1" w:rsidRDefault="00E91EA6" w:rsidP="00E91EA6">
            <w:pPr>
              <w:jc w:val="both"/>
              <w:rPr>
                <w:rFonts w:eastAsia="Calibri" w:cstheme="minorHAnsi"/>
                <w:sz w:val="24"/>
                <w:szCs w:val="24"/>
              </w:rPr>
            </w:pPr>
            <w:r w:rsidRPr="00C031E1">
              <w:rPr>
                <w:rFonts w:cstheme="minorHAnsi"/>
                <w:sz w:val="24"/>
                <w:szCs w:val="24"/>
              </w:rPr>
              <w:t>c) esclarecimentos adicionais porventura necessários</w:t>
            </w:r>
          </w:p>
        </w:tc>
        <w:tc>
          <w:tcPr>
            <w:tcW w:w="5103" w:type="dxa"/>
          </w:tcPr>
          <w:p w14:paraId="1B8ED4D0" w14:textId="77777777" w:rsidR="00E91EA6" w:rsidRPr="00C031E1" w:rsidRDefault="00E91EA6" w:rsidP="00E91EA6">
            <w:pPr>
              <w:autoSpaceDE w:val="0"/>
              <w:autoSpaceDN w:val="0"/>
              <w:adjustRightInd w:val="0"/>
              <w:rPr>
                <w:rFonts w:cstheme="minorHAnsi"/>
                <w:color w:val="FF0000"/>
                <w:sz w:val="24"/>
                <w:szCs w:val="24"/>
              </w:rPr>
            </w:pPr>
          </w:p>
        </w:tc>
        <w:tc>
          <w:tcPr>
            <w:tcW w:w="4677" w:type="dxa"/>
          </w:tcPr>
          <w:p w14:paraId="5186DD6B" w14:textId="7087DE37" w:rsidR="00E91EA6" w:rsidRPr="00C031E1"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rPr>
              <w:t xml:space="preserve">Excluído por estar abrangido pelo “caput” </w:t>
            </w:r>
            <w:r w:rsidR="00E46C10">
              <w:rPr>
                <w:rFonts w:eastAsia="Calibri" w:cstheme="minorHAnsi"/>
                <w:color w:val="000000"/>
                <w:sz w:val="24"/>
                <w:szCs w:val="24"/>
              </w:rPr>
              <w:t xml:space="preserve">do </w:t>
            </w:r>
            <w:r w:rsidR="00E46C10" w:rsidRPr="001D7D70">
              <w:rPr>
                <w:rFonts w:eastAsia="Calibri" w:cstheme="minorHAnsi"/>
                <w:color w:val="000000"/>
                <w:sz w:val="24"/>
                <w:szCs w:val="24"/>
                <w:highlight w:val="yellow"/>
              </w:rPr>
              <w:t>art. 9</w:t>
            </w:r>
            <w:r w:rsidR="001D7D70">
              <w:rPr>
                <w:rFonts w:eastAsia="Calibri" w:cstheme="minorHAnsi"/>
                <w:color w:val="000000"/>
                <w:sz w:val="24"/>
                <w:szCs w:val="24"/>
                <w:highlight w:val="yellow"/>
              </w:rPr>
              <w:t>29</w:t>
            </w:r>
            <w:r w:rsidR="00E46C10">
              <w:rPr>
                <w:rFonts w:eastAsia="Calibri" w:cstheme="minorHAnsi"/>
                <w:color w:val="000000"/>
                <w:sz w:val="24"/>
                <w:szCs w:val="24"/>
              </w:rPr>
              <w:t xml:space="preserve"> da consolidação</w:t>
            </w:r>
            <w:r w:rsidRPr="00C031E1">
              <w:rPr>
                <w:rFonts w:eastAsia="Calibri" w:cstheme="minorHAnsi"/>
                <w:color w:val="000000"/>
                <w:sz w:val="24"/>
                <w:szCs w:val="24"/>
              </w:rPr>
              <w:t>.</w:t>
            </w:r>
          </w:p>
        </w:tc>
      </w:tr>
      <w:tr w:rsidR="00E91EA6" w:rsidRPr="00C031E1" w14:paraId="179508A4" w14:textId="77777777" w:rsidTr="00E57A43">
        <w:tc>
          <w:tcPr>
            <w:tcW w:w="4957" w:type="dxa"/>
          </w:tcPr>
          <w:p w14:paraId="36302BED" w14:textId="77777777" w:rsidR="00E91EA6" w:rsidRPr="00C031E1" w:rsidRDefault="00E91EA6" w:rsidP="00E91EA6">
            <w:pPr>
              <w:jc w:val="both"/>
              <w:rPr>
                <w:rFonts w:eastAsia="Calibri" w:cstheme="minorHAnsi"/>
                <w:sz w:val="24"/>
                <w:szCs w:val="24"/>
              </w:rPr>
            </w:pPr>
            <w:r w:rsidRPr="00C031E1">
              <w:rPr>
                <w:rFonts w:cstheme="minorHAnsi"/>
                <w:sz w:val="24"/>
                <w:szCs w:val="24"/>
              </w:rPr>
              <w:t xml:space="preserve">Art. 3º O Relatório Mensal de Informações deverá ser enviado à Secretaria de Previdência Complementar, pelo administrador especial, interventor ou liquidante, até o último dia útil do mês </w:t>
            </w:r>
            <w:proofErr w:type="spellStart"/>
            <w:r w:rsidRPr="00C031E1">
              <w:rPr>
                <w:rFonts w:cstheme="minorHAnsi"/>
                <w:sz w:val="24"/>
                <w:szCs w:val="24"/>
              </w:rPr>
              <w:t>subseqüente</w:t>
            </w:r>
            <w:proofErr w:type="spellEnd"/>
            <w:r w:rsidRPr="00C031E1">
              <w:rPr>
                <w:rFonts w:cstheme="minorHAnsi"/>
                <w:sz w:val="24"/>
                <w:szCs w:val="24"/>
              </w:rPr>
              <w:t xml:space="preserve"> ao mês a que se refere.</w:t>
            </w:r>
          </w:p>
        </w:tc>
        <w:tc>
          <w:tcPr>
            <w:tcW w:w="5103" w:type="dxa"/>
          </w:tcPr>
          <w:p w14:paraId="7111FB96" w14:textId="0C5A5A1C" w:rsidR="00E91EA6" w:rsidRPr="00C031E1" w:rsidRDefault="00E91EA6" w:rsidP="00E91EA6">
            <w:pPr>
              <w:jc w:val="both"/>
              <w:rPr>
                <w:rFonts w:cstheme="minorHAnsi"/>
                <w:sz w:val="24"/>
                <w:szCs w:val="24"/>
              </w:rPr>
            </w:pPr>
            <w:r w:rsidRPr="00C031E1">
              <w:rPr>
                <w:rFonts w:cstheme="minorHAnsi"/>
                <w:sz w:val="24"/>
                <w:szCs w:val="24"/>
              </w:rPr>
              <w:t>Art. 9</w:t>
            </w:r>
            <w:r w:rsidR="00F34410">
              <w:rPr>
                <w:rFonts w:cstheme="minorHAnsi"/>
                <w:sz w:val="24"/>
                <w:szCs w:val="24"/>
              </w:rPr>
              <w:t>29</w:t>
            </w:r>
            <w:r w:rsidRPr="00C031E1">
              <w:rPr>
                <w:rFonts w:cstheme="minorHAnsi"/>
                <w:sz w:val="24"/>
                <w:szCs w:val="24"/>
              </w:rPr>
              <w:t xml:space="preserve">.  O Relatório Mensal de Informações </w:t>
            </w:r>
            <w:r w:rsidR="00E46C10">
              <w:rPr>
                <w:rFonts w:cstheme="minorHAnsi"/>
                <w:sz w:val="24"/>
                <w:szCs w:val="24"/>
              </w:rPr>
              <w:t>deve</w:t>
            </w:r>
            <w:r w:rsidR="00E46C10" w:rsidRPr="00C031E1">
              <w:rPr>
                <w:rFonts w:cstheme="minorHAnsi"/>
                <w:sz w:val="24"/>
                <w:szCs w:val="24"/>
              </w:rPr>
              <w:t xml:space="preserve"> </w:t>
            </w:r>
            <w:r w:rsidRPr="00C031E1">
              <w:rPr>
                <w:rFonts w:cstheme="minorHAnsi"/>
                <w:sz w:val="24"/>
                <w:szCs w:val="24"/>
              </w:rPr>
              <w:t>ser enviado à Previc, pelo administrador especial, interventor ou liquidante, até o último dia útil do mês subsequente ao mês a que se refere.</w:t>
            </w:r>
          </w:p>
          <w:p w14:paraId="59ED9730" w14:textId="77777777" w:rsidR="00E91EA6" w:rsidRPr="00C031E1" w:rsidRDefault="00E91EA6" w:rsidP="00E91EA6">
            <w:pPr>
              <w:jc w:val="both"/>
              <w:rPr>
                <w:rFonts w:cstheme="minorHAnsi"/>
                <w:color w:val="FF0000"/>
                <w:sz w:val="24"/>
                <w:szCs w:val="24"/>
              </w:rPr>
            </w:pPr>
          </w:p>
        </w:tc>
        <w:tc>
          <w:tcPr>
            <w:tcW w:w="4677" w:type="dxa"/>
          </w:tcPr>
          <w:p w14:paraId="0ACDE348" w14:textId="77777777" w:rsidR="00E91EA6" w:rsidRPr="00C031E1"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rPr>
              <w:t>Ajuste da redação</w:t>
            </w:r>
          </w:p>
        </w:tc>
      </w:tr>
      <w:tr w:rsidR="00E91EA6" w:rsidRPr="00C031E1" w14:paraId="00AD2F01" w14:textId="77777777" w:rsidTr="00E57A43">
        <w:tc>
          <w:tcPr>
            <w:tcW w:w="4957" w:type="dxa"/>
          </w:tcPr>
          <w:p w14:paraId="4B7939FE" w14:textId="77777777" w:rsidR="00E91EA6" w:rsidRPr="00C031E1" w:rsidRDefault="00E91EA6" w:rsidP="00E91EA6">
            <w:pPr>
              <w:jc w:val="both"/>
              <w:rPr>
                <w:rFonts w:eastAsia="Calibri" w:cstheme="minorHAnsi"/>
                <w:sz w:val="24"/>
                <w:szCs w:val="24"/>
              </w:rPr>
            </w:pPr>
          </w:p>
        </w:tc>
        <w:tc>
          <w:tcPr>
            <w:tcW w:w="5103" w:type="dxa"/>
          </w:tcPr>
          <w:p w14:paraId="04B2AAE1" w14:textId="7FDD4AA5" w:rsidR="00E91EA6" w:rsidRPr="00C031E1" w:rsidRDefault="00E91EA6" w:rsidP="00E91EA6">
            <w:pPr>
              <w:jc w:val="both"/>
              <w:rPr>
                <w:rFonts w:cstheme="minorHAnsi"/>
                <w:sz w:val="24"/>
                <w:szCs w:val="24"/>
              </w:rPr>
            </w:pPr>
            <w:r w:rsidRPr="00C031E1">
              <w:rPr>
                <w:rFonts w:cstheme="minorHAnsi"/>
                <w:sz w:val="24"/>
                <w:szCs w:val="24"/>
              </w:rPr>
              <w:t>Art. 9</w:t>
            </w:r>
            <w:r w:rsidR="007A4014">
              <w:rPr>
                <w:rFonts w:cstheme="minorHAnsi"/>
                <w:sz w:val="24"/>
                <w:szCs w:val="24"/>
              </w:rPr>
              <w:t>3</w:t>
            </w:r>
            <w:r w:rsidR="00F34410">
              <w:rPr>
                <w:rFonts w:cstheme="minorHAnsi"/>
                <w:sz w:val="24"/>
                <w:szCs w:val="24"/>
              </w:rPr>
              <w:t>0</w:t>
            </w:r>
            <w:r w:rsidRPr="00C031E1">
              <w:rPr>
                <w:rFonts w:cstheme="minorHAnsi"/>
                <w:sz w:val="24"/>
                <w:szCs w:val="24"/>
              </w:rPr>
              <w:t xml:space="preserve">.  A entidade em liquidação extrajudicial deve divulgar mensalmente, em </w:t>
            </w:r>
            <w:r w:rsidR="00E46C10">
              <w:rPr>
                <w:rFonts w:cstheme="minorHAnsi"/>
                <w:sz w:val="24"/>
                <w:szCs w:val="24"/>
              </w:rPr>
              <w:t xml:space="preserve">seu </w:t>
            </w:r>
            <w:r w:rsidRPr="00C031E1">
              <w:rPr>
                <w:rFonts w:cstheme="minorHAnsi"/>
                <w:sz w:val="24"/>
                <w:szCs w:val="24"/>
              </w:rPr>
              <w:t xml:space="preserve">sítio </w:t>
            </w:r>
            <w:r w:rsidR="00E46C10">
              <w:rPr>
                <w:rFonts w:cstheme="minorHAnsi"/>
                <w:sz w:val="24"/>
                <w:szCs w:val="24"/>
              </w:rPr>
              <w:t>eletrônico</w:t>
            </w:r>
            <w:r w:rsidRPr="00C031E1">
              <w:rPr>
                <w:rFonts w:cstheme="minorHAnsi"/>
                <w:sz w:val="24"/>
                <w:szCs w:val="24"/>
              </w:rPr>
              <w:t xml:space="preserve">, as informações relativas </w:t>
            </w:r>
            <w:r w:rsidR="009A0C97">
              <w:rPr>
                <w:rFonts w:cstheme="minorHAnsi"/>
                <w:sz w:val="24"/>
                <w:szCs w:val="24"/>
              </w:rPr>
              <w:t>à liquidação</w:t>
            </w:r>
            <w:r w:rsidRPr="00C031E1">
              <w:rPr>
                <w:rFonts w:cstheme="minorHAnsi"/>
                <w:sz w:val="24"/>
                <w:szCs w:val="24"/>
              </w:rPr>
              <w:t>.</w:t>
            </w:r>
          </w:p>
          <w:p w14:paraId="555238E7" w14:textId="77777777" w:rsidR="00741778" w:rsidRPr="00C031E1" w:rsidRDefault="00741778" w:rsidP="00E91EA6">
            <w:pPr>
              <w:jc w:val="both"/>
              <w:rPr>
                <w:rFonts w:cstheme="minorHAnsi"/>
                <w:color w:val="FF0000"/>
                <w:sz w:val="24"/>
                <w:szCs w:val="24"/>
              </w:rPr>
            </w:pPr>
          </w:p>
        </w:tc>
        <w:tc>
          <w:tcPr>
            <w:tcW w:w="4677" w:type="dxa"/>
          </w:tcPr>
          <w:p w14:paraId="02191E78" w14:textId="77777777" w:rsidR="00E91EA6" w:rsidRDefault="00E91EA6" w:rsidP="00E91EA6">
            <w:pPr>
              <w:pBdr>
                <w:top w:val="nil"/>
                <w:left w:val="nil"/>
                <w:bottom w:val="nil"/>
                <w:right w:val="nil"/>
                <w:between w:val="nil"/>
              </w:pBdr>
              <w:jc w:val="both"/>
              <w:rPr>
                <w:rFonts w:eastAsia="Calibri" w:cstheme="minorHAnsi"/>
                <w:color w:val="000000"/>
                <w:sz w:val="24"/>
                <w:szCs w:val="24"/>
              </w:rPr>
            </w:pPr>
            <w:r w:rsidRPr="00C031E1">
              <w:rPr>
                <w:rFonts w:eastAsia="Calibri" w:cstheme="minorHAnsi"/>
                <w:color w:val="000000"/>
                <w:sz w:val="24"/>
                <w:szCs w:val="24"/>
              </w:rPr>
              <w:t>Incluído para dar maior transparência nos casos de liquidação extrajudicial</w:t>
            </w:r>
            <w:r w:rsidR="009A0C97">
              <w:rPr>
                <w:rFonts w:eastAsia="Calibri" w:cstheme="minorHAnsi"/>
                <w:color w:val="000000"/>
                <w:sz w:val="24"/>
                <w:szCs w:val="24"/>
              </w:rPr>
              <w:t>.</w:t>
            </w:r>
          </w:p>
          <w:p w14:paraId="4E5DD47A" w14:textId="7CC80816" w:rsidR="009A0C97" w:rsidRPr="00C031E1" w:rsidRDefault="009A0C97" w:rsidP="00E91EA6">
            <w:pPr>
              <w:pBdr>
                <w:top w:val="nil"/>
                <w:left w:val="nil"/>
                <w:bottom w:val="nil"/>
                <w:right w:val="nil"/>
                <w:between w:val="nil"/>
              </w:pBdr>
              <w:jc w:val="both"/>
              <w:rPr>
                <w:rFonts w:eastAsia="Calibri" w:cstheme="minorHAnsi"/>
                <w:color w:val="000000"/>
                <w:sz w:val="24"/>
                <w:szCs w:val="24"/>
              </w:rPr>
            </w:pPr>
            <w:r>
              <w:rPr>
                <w:rFonts w:eastAsia="Calibri" w:cstheme="minorHAnsi"/>
                <w:color w:val="000000"/>
                <w:sz w:val="24"/>
                <w:szCs w:val="24"/>
              </w:rPr>
              <w:t>INDICAR AS INFORMAÇÕES NECESSARIAS</w:t>
            </w:r>
          </w:p>
        </w:tc>
      </w:tr>
      <w:tr w:rsidR="00741778" w:rsidRPr="00C031E1" w14:paraId="259EADC9" w14:textId="77777777" w:rsidTr="00E57A43">
        <w:tc>
          <w:tcPr>
            <w:tcW w:w="4957" w:type="dxa"/>
          </w:tcPr>
          <w:p w14:paraId="6688E2B8" w14:textId="77777777" w:rsidR="00741778" w:rsidRPr="00C031E1" w:rsidRDefault="00741778" w:rsidP="00E91EA6">
            <w:pPr>
              <w:jc w:val="both"/>
              <w:rPr>
                <w:rFonts w:eastAsia="Calibri" w:cstheme="minorHAnsi"/>
                <w:sz w:val="24"/>
                <w:szCs w:val="24"/>
              </w:rPr>
            </w:pPr>
          </w:p>
        </w:tc>
        <w:tc>
          <w:tcPr>
            <w:tcW w:w="5103" w:type="dxa"/>
          </w:tcPr>
          <w:p w14:paraId="67F11B41" w14:textId="688401FE" w:rsidR="00741778" w:rsidRDefault="00741778" w:rsidP="00741778">
            <w:pPr>
              <w:jc w:val="center"/>
              <w:rPr>
                <w:rFonts w:cstheme="minorHAnsi"/>
                <w:b/>
                <w:bCs/>
                <w:color w:val="0070C0"/>
                <w:sz w:val="24"/>
                <w:szCs w:val="24"/>
              </w:rPr>
            </w:pPr>
            <w:bookmarkStart w:id="11" w:name="_Hlk139298532"/>
            <w:r w:rsidRPr="00C031E1">
              <w:rPr>
                <w:rFonts w:cstheme="minorHAnsi"/>
                <w:b/>
                <w:bCs/>
                <w:color w:val="0070C0"/>
                <w:sz w:val="24"/>
                <w:szCs w:val="24"/>
              </w:rPr>
              <w:t>Seção V</w:t>
            </w:r>
            <w:r>
              <w:rPr>
                <w:rFonts w:cstheme="minorHAnsi"/>
                <w:b/>
                <w:bCs/>
                <w:color w:val="0070C0"/>
                <w:sz w:val="24"/>
                <w:szCs w:val="24"/>
              </w:rPr>
              <w:t>I</w:t>
            </w:r>
          </w:p>
          <w:p w14:paraId="2C6E92AC" w14:textId="26AFCABF" w:rsidR="00741778" w:rsidRPr="001D7D70" w:rsidRDefault="00B35E70" w:rsidP="001D7D70">
            <w:pPr>
              <w:jc w:val="center"/>
              <w:rPr>
                <w:rFonts w:cstheme="minorHAnsi"/>
                <w:b/>
                <w:bCs/>
                <w:sz w:val="24"/>
                <w:szCs w:val="24"/>
              </w:rPr>
            </w:pPr>
            <w:r w:rsidRPr="001D7D70">
              <w:rPr>
                <w:rFonts w:cstheme="minorHAnsi"/>
                <w:b/>
                <w:bCs/>
                <w:color w:val="0070C0"/>
                <w:sz w:val="24"/>
                <w:szCs w:val="24"/>
              </w:rPr>
              <w:t>Operacionalização de envio de Informações à Previc</w:t>
            </w:r>
            <w:bookmarkEnd w:id="11"/>
          </w:p>
        </w:tc>
        <w:tc>
          <w:tcPr>
            <w:tcW w:w="4677" w:type="dxa"/>
          </w:tcPr>
          <w:p w14:paraId="28FDA48E" w14:textId="77777777" w:rsidR="00741778" w:rsidRPr="00C031E1" w:rsidRDefault="00741778" w:rsidP="00E91EA6">
            <w:pPr>
              <w:pBdr>
                <w:top w:val="nil"/>
                <w:left w:val="nil"/>
                <w:bottom w:val="nil"/>
                <w:right w:val="nil"/>
                <w:between w:val="nil"/>
              </w:pBdr>
              <w:jc w:val="both"/>
              <w:rPr>
                <w:rFonts w:eastAsia="Calibri" w:cstheme="minorHAnsi"/>
                <w:color w:val="000000"/>
                <w:sz w:val="24"/>
                <w:szCs w:val="24"/>
              </w:rPr>
            </w:pPr>
          </w:p>
        </w:tc>
      </w:tr>
      <w:tr w:rsidR="00741778" w:rsidRPr="00C031E1" w14:paraId="5B35A29A" w14:textId="77777777" w:rsidTr="00E57A43">
        <w:tc>
          <w:tcPr>
            <w:tcW w:w="4957" w:type="dxa"/>
          </w:tcPr>
          <w:p w14:paraId="657991CF" w14:textId="77777777" w:rsidR="00741778" w:rsidRPr="00C031E1" w:rsidRDefault="00741778" w:rsidP="00E91EA6">
            <w:pPr>
              <w:jc w:val="both"/>
              <w:rPr>
                <w:rFonts w:eastAsia="Calibri" w:cstheme="minorHAnsi"/>
                <w:sz w:val="24"/>
                <w:szCs w:val="24"/>
              </w:rPr>
            </w:pPr>
          </w:p>
        </w:tc>
        <w:tc>
          <w:tcPr>
            <w:tcW w:w="5103" w:type="dxa"/>
          </w:tcPr>
          <w:p w14:paraId="6A066FDD" w14:textId="0C14911C" w:rsidR="00741778" w:rsidRDefault="00CA06F1" w:rsidP="00E91EA6">
            <w:pPr>
              <w:jc w:val="both"/>
              <w:rPr>
                <w:rFonts w:eastAsia="Times New Roman" w:cstheme="minorHAnsi"/>
                <w:sz w:val="24"/>
                <w:szCs w:val="24"/>
                <w:lang w:eastAsia="pt-BR"/>
              </w:rPr>
            </w:pPr>
            <w:bookmarkStart w:id="12" w:name="_Hlk139298574"/>
            <w:r>
              <w:rPr>
                <w:rFonts w:eastAsia="Times New Roman" w:cstheme="minorHAnsi"/>
                <w:sz w:val="24"/>
                <w:szCs w:val="24"/>
                <w:lang w:eastAsia="pt-BR"/>
              </w:rPr>
              <w:t>Art. 93</w:t>
            </w:r>
            <w:r w:rsidR="00F34410">
              <w:rPr>
                <w:rFonts w:eastAsia="Times New Roman" w:cstheme="minorHAnsi"/>
                <w:sz w:val="24"/>
                <w:szCs w:val="24"/>
                <w:lang w:eastAsia="pt-BR"/>
              </w:rPr>
              <w:t>1</w:t>
            </w:r>
            <w:r>
              <w:rPr>
                <w:rFonts w:eastAsia="Times New Roman" w:cstheme="minorHAnsi"/>
                <w:sz w:val="24"/>
                <w:szCs w:val="24"/>
                <w:lang w:eastAsia="pt-BR"/>
              </w:rPr>
              <w:t xml:space="preserve">.  </w:t>
            </w:r>
            <w:r w:rsidR="00741778" w:rsidRPr="00C031E1">
              <w:rPr>
                <w:rFonts w:eastAsia="Times New Roman" w:cstheme="minorHAnsi"/>
                <w:sz w:val="24"/>
                <w:szCs w:val="24"/>
                <w:lang w:eastAsia="pt-BR"/>
              </w:rPr>
              <w:t xml:space="preserve">Cabe </w:t>
            </w:r>
            <w:r w:rsidR="00741778" w:rsidRPr="00C031E1">
              <w:rPr>
                <w:rFonts w:eastAsia="Times New Roman" w:cstheme="minorHAnsi"/>
                <w:color w:val="0070C0"/>
                <w:sz w:val="24"/>
                <w:szCs w:val="24"/>
                <w:lang w:eastAsia="pt-BR"/>
              </w:rPr>
              <w:t xml:space="preserve">à Previc </w:t>
            </w:r>
            <w:r w:rsidR="00741778" w:rsidRPr="00C031E1">
              <w:rPr>
                <w:rFonts w:eastAsia="Times New Roman" w:cstheme="minorHAnsi"/>
                <w:sz w:val="24"/>
                <w:szCs w:val="24"/>
                <w:lang w:eastAsia="pt-BR"/>
              </w:rPr>
              <w:t>emitir orientações para a operacionalização e o detalhamento de documentos e informações</w:t>
            </w:r>
            <w:r w:rsidR="00741778">
              <w:rPr>
                <w:rFonts w:eastAsia="Times New Roman" w:cstheme="minorHAnsi"/>
                <w:sz w:val="24"/>
                <w:szCs w:val="24"/>
                <w:lang w:eastAsia="pt-BR"/>
              </w:rPr>
              <w:t xml:space="preserve"> </w:t>
            </w:r>
            <w:r>
              <w:rPr>
                <w:rFonts w:eastAsia="Times New Roman" w:cstheme="minorHAnsi"/>
                <w:sz w:val="24"/>
                <w:szCs w:val="24"/>
                <w:lang w:eastAsia="pt-BR"/>
              </w:rPr>
              <w:t xml:space="preserve">que devem ser enviados à autarquia </w:t>
            </w:r>
            <w:r w:rsidR="00741778">
              <w:rPr>
                <w:rFonts w:eastAsia="Times New Roman" w:cstheme="minorHAnsi"/>
                <w:sz w:val="24"/>
                <w:szCs w:val="24"/>
                <w:lang w:eastAsia="pt-BR"/>
              </w:rPr>
              <w:t>constantes deste Capítulo</w:t>
            </w:r>
            <w:bookmarkEnd w:id="12"/>
            <w:r w:rsidR="00741778" w:rsidRPr="00C031E1">
              <w:rPr>
                <w:rFonts w:eastAsia="Times New Roman" w:cstheme="minorHAnsi"/>
                <w:sz w:val="24"/>
                <w:szCs w:val="24"/>
                <w:lang w:eastAsia="pt-BR"/>
              </w:rPr>
              <w:t>.</w:t>
            </w:r>
          </w:p>
          <w:p w14:paraId="03DBB122" w14:textId="6D1F8212" w:rsidR="00741778" w:rsidRPr="00C031E1" w:rsidRDefault="00741778" w:rsidP="005A71F8">
            <w:pPr>
              <w:jc w:val="both"/>
              <w:rPr>
                <w:rFonts w:cstheme="minorHAnsi"/>
                <w:sz w:val="24"/>
                <w:szCs w:val="24"/>
              </w:rPr>
            </w:pPr>
          </w:p>
        </w:tc>
        <w:tc>
          <w:tcPr>
            <w:tcW w:w="4677" w:type="dxa"/>
          </w:tcPr>
          <w:p w14:paraId="6AC130D7" w14:textId="20D7A739" w:rsidR="005A71F8" w:rsidRDefault="005A71F8" w:rsidP="005A71F8">
            <w:pPr>
              <w:jc w:val="both"/>
              <w:rPr>
                <w:rFonts w:eastAsia="Times New Roman" w:cstheme="minorHAnsi"/>
                <w:sz w:val="24"/>
                <w:szCs w:val="24"/>
                <w:lang w:eastAsia="pt-BR"/>
              </w:rPr>
            </w:pPr>
            <w:r w:rsidRPr="00C031E1">
              <w:rPr>
                <w:rFonts w:eastAsia="Times New Roman" w:cstheme="minorHAnsi"/>
                <w:sz w:val="24"/>
                <w:szCs w:val="24"/>
                <w:lang w:eastAsia="pt-BR"/>
              </w:rPr>
              <w:t xml:space="preserve">Realocação </w:t>
            </w:r>
            <w:r>
              <w:rPr>
                <w:rFonts w:eastAsia="Times New Roman" w:cstheme="minorHAnsi"/>
                <w:sz w:val="24"/>
                <w:szCs w:val="24"/>
                <w:lang w:eastAsia="pt-BR"/>
              </w:rPr>
              <w:t>do § 1º do art. 1º da Resolução Previc nº 7/2022</w:t>
            </w:r>
            <w:r w:rsidR="00B35E70">
              <w:rPr>
                <w:rFonts w:eastAsia="Times New Roman" w:cstheme="minorHAnsi"/>
                <w:sz w:val="24"/>
                <w:szCs w:val="24"/>
                <w:lang w:eastAsia="pt-BR"/>
              </w:rPr>
              <w:t>.</w:t>
            </w:r>
          </w:p>
          <w:p w14:paraId="7EB39EC1" w14:textId="6004C3F4" w:rsidR="00741778" w:rsidRDefault="005A71F8" w:rsidP="00E91EA6">
            <w:pPr>
              <w:pBdr>
                <w:top w:val="nil"/>
                <w:left w:val="nil"/>
                <w:bottom w:val="nil"/>
                <w:right w:val="nil"/>
                <w:between w:val="nil"/>
              </w:pBdr>
              <w:jc w:val="both"/>
              <w:rPr>
                <w:rFonts w:eastAsia="Calibri" w:cstheme="minorHAnsi"/>
                <w:color w:val="000000"/>
                <w:sz w:val="24"/>
                <w:szCs w:val="24"/>
              </w:rPr>
            </w:pPr>
            <w:r>
              <w:rPr>
                <w:rFonts w:eastAsia="Calibri" w:cstheme="minorHAnsi"/>
                <w:color w:val="000000"/>
                <w:sz w:val="24"/>
                <w:szCs w:val="24"/>
              </w:rPr>
              <w:t>Realocado do § 4º do art. 34 da Resolução Previc nº 21/2023</w:t>
            </w:r>
            <w:r w:rsidR="00B35E70">
              <w:rPr>
                <w:rFonts w:eastAsia="Calibri" w:cstheme="minorHAnsi"/>
                <w:color w:val="000000"/>
                <w:sz w:val="24"/>
                <w:szCs w:val="24"/>
              </w:rPr>
              <w:t>.</w:t>
            </w:r>
          </w:p>
          <w:p w14:paraId="695A76A6" w14:textId="0E28FAC7" w:rsidR="00B35E70" w:rsidRDefault="00B35E70" w:rsidP="00E91EA6">
            <w:pPr>
              <w:pBdr>
                <w:top w:val="nil"/>
                <w:left w:val="nil"/>
                <w:bottom w:val="nil"/>
                <w:right w:val="nil"/>
                <w:between w:val="nil"/>
              </w:pBdr>
              <w:jc w:val="both"/>
              <w:rPr>
                <w:rFonts w:eastAsia="Calibri" w:cstheme="minorHAnsi"/>
                <w:color w:val="000000"/>
                <w:sz w:val="24"/>
                <w:szCs w:val="24"/>
              </w:rPr>
            </w:pPr>
            <w:r>
              <w:rPr>
                <w:rFonts w:eastAsia="Calibri" w:cstheme="minorHAnsi"/>
                <w:color w:val="000000"/>
                <w:sz w:val="24"/>
                <w:szCs w:val="24"/>
              </w:rPr>
              <w:t>Realocado do § 3º do art. 2º da Instrução Previc nº 35/2020.</w:t>
            </w:r>
          </w:p>
          <w:p w14:paraId="61AB1D13" w14:textId="601913C5" w:rsidR="00B35E70" w:rsidRDefault="00B35E70" w:rsidP="00B35E70">
            <w:pPr>
              <w:pBdr>
                <w:top w:val="nil"/>
                <w:left w:val="nil"/>
                <w:bottom w:val="nil"/>
                <w:right w:val="nil"/>
                <w:between w:val="nil"/>
              </w:pBdr>
              <w:jc w:val="both"/>
              <w:rPr>
                <w:rFonts w:cstheme="minorHAnsi"/>
                <w:sz w:val="24"/>
                <w:szCs w:val="24"/>
              </w:rPr>
            </w:pPr>
            <w:r>
              <w:rPr>
                <w:rFonts w:eastAsia="Calibri" w:cstheme="minorHAnsi"/>
                <w:color w:val="000000"/>
                <w:sz w:val="24"/>
                <w:szCs w:val="24"/>
              </w:rPr>
              <w:t xml:space="preserve">Realocado do art. 7º da </w:t>
            </w:r>
            <w:r w:rsidRPr="00B35E70">
              <w:rPr>
                <w:rFonts w:cstheme="minorHAnsi"/>
                <w:sz w:val="24"/>
                <w:szCs w:val="24"/>
              </w:rPr>
              <w:t>Instrução Normativa Previc nº 39/2021</w:t>
            </w:r>
            <w:r>
              <w:rPr>
                <w:rFonts w:cstheme="minorHAnsi"/>
                <w:sz w:val="24"/>
                <w:szCs w:val="24"/>
              </w:rPr>
              <w:t>.</w:t>
            </w:r>
          </w:p>
          <w:p w14:paraId="776A04FD" w14:textId="77777777" w:rsidR="00B35E70" w:rsidRDefault="00B35E70" w:rsidP="00E91EA6">
            <w:pPr>
              <w:pBdr>
                <w:top w:val="nil"/>
                <w:left w:val="nil"/>
                <w:bottom w:val="nil"/>
                <w:right w:val="nil"/>
                <w:between w:val="nil"/>
              </w:pBdr>
              <w:jc w:val="both"/>
              <w:rPr>
                <w:rFonts w:eastAsia="Calibri" w:cstheme="minorHAnsi"/>
                <w:color w:val="000000"/>
                <w:sz w:val="24"/>
                <w:szCs w:val="24"/>
              </w:rPr>
            </w:pPr>
          </w:p>
          <w:p w14:paraId="32F67CA9" w14:textId="7341FB63" w:rsidR="00B35E70" w:rsidRPr="00B35E70" w:rsidRDefault="00B35E70" w:rsidP="00E91EA6">
            <w:pPr>
              <w:pBdr>
                <w:top w:val="nil"/>
                <w:left w:val="nil"/>
                <w:bottom w:val="nil"/>
                <w:right w:val="nil"/>
                <w:between w:val="nil"/>
              </w:pBdr>
              <w:jc w:val="both"/>
              <w:rPr>
                <w:rFonts w:eastAsia="Calibri" w:cstheme="minorHAnsi"/>
                <w:color w:val="000000"/>
                <w:sz w:val="24"/>
                <w:szCs w:val="24"/>
              </w:rPr>
            </w:pPr>
            <w:r>
              <w:rPr>
                <w:rFonts w:eastAsia="Times New Roman" w:cstheme="minorHAnsi"/>
                <w:sz w:val="24"/>
                <w:szCs w:val="24"/>
                <w:lang w:eastAsia="pt-BR"/>
              </w:rPr>
              <w:t xml:space="preserve">Sugestão de </w:t>
            </w:r>
            <w:r w:rsidRPr="00C031E1">
              <w:rPr>
                <w:rFonts w:eastAsia="Times New Roman" w:cstheme="minorHAnsi"/>
                <w:sz w:val="24"/>
                <w:szCs w:val="24"/>
                <w:lang w:eastAsia="pt-BR"/>
              </w:rPr>
              <w:t>alteração de competência</w:t>
            </w:r>
            <w:r w:rsidRPr="00C031E1">
              <w:rPr>
                <w:rFonts w:eastAsia="Times New Roman" w:cstheme="minorHAnsi"/>
                <w:sz w:val="24"/>
                <w:szCs w:val="24"/>
                <w:highlight w:val="yellow"/>
                <w:lang w:eastAsia="pt-BR"/>
              </w:rPr>
              <w:t xml:space="preserve">. </w:t>
            </w:r>
            <w:proofErr w:type="spellStart"/>
            <w:r w:rsidRPr="00C031E1">
              <w:rPr>
                <w:rFonts w:eastAsia="Times New Roman" w:cstheme="minorHAnsi"/>
                <w:sz w:val="24"/>
                <w:szCs w:val="24"/>
                <w:highlight w:val="yellow"/>
                <w:lang w:eastAsia="pt-BR"/>
              </w:rPr>
              <w:t>Substitu</w:t>
            </w:r>
            <w:r>
              <w:rPr>
                <w:rFonts w:eastAsia="Times New Roman" w:cstheme="minorHAnsi"/>
                <w:sz w:val="24"/>
                <w:szCs w:val="24"/>
                <w:highlight w:val="yellow"/>
                <w:lang w:eastAsia="pt-BR"/>
              </w:rPr>
              <w:t>ção</w:t>
            </w:r>
            <w:proofErr w:type="spellEnd"/>
            <w:r>
              <w:rPr>
                <w:rFonts w:eastAsia="Times New Roman" w:cstheme="minorHAnsi"/>
                <w:sz w:val="24"/>
                <w:szCs w:val="24"/>
                <w:highlight w:val="yellow"/>
                <w:lang w:eastAsia="pt-BR"/>
              </w:rPr>
              <w:t xml:space="preserve"> da </w:t>
            </w:r>
            <w:r w:rsidRPr="00C031E1">
              <w:rPr>
                <w:rFonts w:eastAsia="Times New Roman" w:cstheme="minorHAnsi"/>
                <w:sz w:val="24"/>
                <w:szCs w:val="24"/>
                <w:highlight w:val="yellow"/>
                <w:lang w:eastAsia="pt-BR"/>
              </w:rPr>
              <w:t xml:space="preserve">Diretoria de Fiscalização </w:t>
            </w:r>
            <w:r>
              <w:rPr>
                <w:rFonts w:eastAsia="Times New Roman" w:cstheme="minorHAnsi"/>
                <w:sz w:val="24"/>
                <w:szCs w:val="24"/>
                <w:highlight w:val="yellow"/>
                <w:lang w:eastAsia="pt-BR"/>
              </w:rPr>
              <w:t xml:space="preserve">e de Licenciamento </w:t>
            </w:r>
            <w:r w:rsidRPr="00C031E1">
              <w:rPr>
                <w:rFonts w:eastAsia="Times New Roman" w:cstheme="minorHAnsi"/>
                <w:sz w:val="24"/>
                <w:szCs w:val="24"/>
                <w:highlight w:val="yellow"/>
                <w:lang w:eastAsia="pt-BR"/>
              </w:rPr>
              <w:t>para Previc.</w:t>
            </w:r>
          </w:p>
          <w:p w14:paraId="027B6EB3" w14:textId="77777777" w:rsidR="005A71F8" w:rsidRPr="00C031E1" w:rsidRDefault="005A71F8" w:rsidP="005A71F8">
            <w:pPr>
              <w:spacing w:before="120" w:after="120"/>
              <w:jc w:val="both"/>
              <w:rPr>
                <w:rFonts w:cstheme="minorHAnsi"/>
                <w:sz w:val="24"/>
                <w:szCs w:val="24"/>
              </w:rPr>
            </w:pPr>
            <w:r w:rsidRPr="00C031E1">
              <w:rPr>
                <w:rFonts w:cstheme="minorHAnsi"/>
                <w:sz w:val="24"/>
                <w:szCs w:val="24"/>
              </w:rPr>
              <w:t>Alteração da Diretoria responsável pela edição na norma complementar. (justificativa original).</w:t>
            </w:r>
          </w:p>
          <w:p w14:paraId="1E270D4A" w14:textId="79841C92" w:rsidR="005A71F8" w:rsidRPr="00C031E1" w:rsidRDefault="005A71F8" w:rsidP="00B35E70">
            <w:pPr>
              <w:spacing w:before="120" w:after="120"/>
              <w:jc w:val="both"/>
              <w:rPr>
                <w:rFonts w:eastAsia="Calibri" w:cstheme="minorHAnsi"/>
                <w:color w:val="000000"/>
                <w:sz w:val="24"/>
                <w:szCs w:val="24"/>
              </w:rPr>
            </w:pPr>
            <w:r>
              <w:rPr>
                <w:rFonts w:cstheme="minorHAnsi"/>
                <w:sz w:val="24"/>
                <w:szCs w:val="24"/>
              </w:rPr>
              <w:t>VARIFICAR DE QUEM VAI FICAR A ATRIBUIÇÃO DA ELABORAÇÃO DA PORTARIA</w:t>
            </w:r>
          </w:p>
        </w:tc>
      </w:tr>
      <w:bookmarkEnd w:id="9"/>
      <w:bookmarkEnd w:id="10"/>
      <w:tr w:rsidR="00E91EA6" w:rsidRPr="00C031E1" w14:paraId="7CE64A33" w14:textId="77777777" w:rsidTr="00E57A43">
        <w:tc>
          <w:tcPr>
            <w:tcW w:w="4957" w:type="dxa"/>
          </w:tcPr>
          <w:p w14:paraId="0EF0F54F" w14:textId="77777777" w:rsidR="00E91EA6" w:rsidRPr="00C031E1" w:rsidRDefault="00E91EA6" w:rsidP="00E91EA6">
            <w:pPr>
              <w:autoSpaceDE w:val="0"/>
              <w:autoSpaceDN w:val="0"/>
              <w:adjustRightInd w:val="0"/>
              <w:jc w:val="both"/>
              <w:rPr>
                <w:rFonts w:cstheme="minorHAnsi"/>
                <w:sz w:val="24"/>
                <w:szCs w:val="24"/>
              </w:rPr>
            </w:pPr>
            <w:r w:rsidRPr="00C031E1">
              <w:rPr>
                <w:rFonts w:cstheme="minorHAnsi"/>
                <w:sz w:val="24"/>
                <w:szCs w:val="24"/>
              </w:rPr>
              <w:t>Art. 4º Esta Instrução entra em vigor na data de sua publicação.</w:t>
            </w:r>
          </w:p>
        </w:tc>
        <w:tc>
          <w:tcPr>
            <w:tcW w:w="5103" w:type="dxa"/>
          </w:tcPr>
          <w:p w14:paraId="4CFF972A" w14:textId="77777777" w:rsidR="00E91EA6" w:rsidRPr="00C031E1" w:rsidRDefault="00E91EA6" w:rsidP="00E91EA6">
            <w:pPr>
              <w:rPr>
                <w:rFonts w:cstheme="minorHAnsi"/>
                <w:color w:val="FF0000"/>
                <w:sz w:val="24"/>
                <w:szCs w:val="24"/>
              </w:rPr>
            </w:pPr>
          </w:p>
          <w:p w14:paraId="045705D5" w14:textId="77777777" w:rsidR="00E91EA6" w:rsidRPr="00C031E1" w:rsidRDefault="00E91EA6" w:rsidP="00E91EA6">
            <w:pPr>
              <w:rPr>
                <w:rFonts w:cstheme="minorHAnsi"/>
                <w:color w:val="FF0000"/>
                <w:sz w:val="24"/>
                <w:szCs w:val="24"/>
              </w:rPr>
            </w:pPr>
          </w:p>
        </w:tc>
        <w:tc>
          <w:tcPr>
            <w:tcW w:w="4677" w:type="dxa"/>
          </w:tcPr>
          <w:p w14:paraId="198776D3" w14:textId="615FA60E" w:rsidR="00E91EA6" w:rsidRPr="00B35E70" w:rsidRDefault="00B35E70" w:rsidP="00E91EA6">
            <w:pPr>
              <w:pBdr>
                <w:top w:val="nil"/>
                <w:left w:val="nil"/>
                <w:bottom w:val="nil"/>
                <w:right w:val="nil"/>
                <w:between w:val="nil"/>
              </w:pBdr>
              <w:jc w:val="both"/>
              <w:rPr>
                <w:rFonts w:eastAsia="Calibri" w:cstheme="minorHAnsi"/>
                <w:bCs/>
                <w:color w:val="000000"/>
                <w:sz w:val="24"/>
                <w:szCs w:val="24"/>
              </w:rPr>
            </w:pPr>
            <w:r w:rsidRPr="00B35E70">
              <w:rPr>
                <w:rFonts w:eastAsia="Calibri" w:cstheme="minorHAnsi"/>
                <w:bCs/>
                <w:color w:val="000000"/>
                <w:sz w:val="24"/>
                <w:szCs w:val="24"/>
              </w:rPr>
              <w:t>Excluído devido à consolidação</w:t>
            </w:r>
          </w:p>
        </w:tc>
      </w:tr>
    </w:tbl>
    <w:p w14:paraId="10A3A394" w14:textId="0C9C7271" w:rsidR="00B670A0" w:rsidRPr="00C031E1" w:rsidRDefault="00B670A0" w:rsidP="00AB403D">
      <w:pPr>
        <w:rPr>
          <w:rFonts w:cstheme="minorHAnsi"/>
          <w:sz w:val="24"/>
          <w:szCs w:val="24"/>
        </w:rPr>
      </w:pPr>
    </w:p>
    <w:sectPr w:rsidR="00B670A0" w:rsidRPr="00C031E1" w:rsidSect="00BF6026">
      <w:footerReference w:type="default" r:id="rId8"/>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CEAFF9" w14:textId="77777777" w:rsidR="00C07EF0" w:rsidRDefault="00C07EF0">
      <w:pPr>
        <w:spacing w:after="0" w:line="240" w:lineRule="auto"/>
      </w:pPr>
      <w:r>
        <w:separator/>
      </w:r>
    </w:p>
  </w:endnote>
  <w:endnote w:type="continuationSeparator" w:id="0">
    <w:p w14:paraId="7BE86B36" w14:textId="77777777" w:rsidR="00C07EF0" w:rsidRDefault="00C07E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1126052"/>
      <w:docPartObj>
        <w:docPartGallery w:val="Page Numbers (Bottom of Page)"/>
        <w:docPartUnique/>
      </w:docPartObj>
    </w:sdtPr>
    <w:sdtContent>
      <w:p w14:paraId="642281D9" w14:textId="77777777" w:rsidR="007C1463" w:rsidRDefault="00603347">
        <w:pPr>
          <w:pStyle w:val="Rodap"/>
          <w:jc w:val="right"/>
        </w:pPr>
        <w:r>
          <w:fldChar w:fldCharType="begin"/>
        </w:r>
        <w:r>
          <w:instrText>PAGE   \* MERGEFORMAT</w:instrText>
        </w:r>
        <w:r>
          <w:fldChar w:fldCharType="separate"/>
        </w:r>
        <w:r>
          <w:rPr>
            <w:noProof/>
          </w:rPr>
          <w:t>2</w:t>
        </w:r>
        <w:r>
          <w:fldChar w:fldCharType="end"/>
        </w:r>
      </w:p>
    </w:sdtContent>
  </w:sdt>
  <w:p w14:paraId="1ADC3E4C" w14:textId="77777777" w:rsidR="007C1463" w:rsidRDefault="0000000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B0D161" w14:textId="77777777" w:rsidR="00C07EF0" w:rsidRDefault="00C07EF0">
      <w:pPr>
        <w:spacing w:after="0" w:line="240" w:lineRule="auto"/>
      </w:pPr>
      <w:r>
        <w:separator/>
      </w:r>
    </w:p>
  </w:footnote>
  <w:footnote w:type="continuationSeparator" w:id="0">
    <w:p w14:paraId="29830738" w14:textId="77777777" w:rsidR="00C07EF0" w:rsidRDefault="00C07E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1776166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FDD"/>
    <w:rsid w:val="00002F08"/>
    <w:rsid w:val="0004292E"/>
    <w:rsid w:val="00045FDD"/>
    <w:rsid w:val="00066B25"/>
    <w:rsid w:val="00077609"/>
    <w:rsid w:val="00090FB0"/>
    <w:rsid w:val="000A6F79"/>
    <w:rsid w:val="000C1EA0"/>
    <w:rsid w:val="000D0F8E"/>
    <w:rsid w:val="000F5935"/>
    <w:rsid w:val="00123758"/>
    <w:rsid w:val="00136727"/>
    <w:rsid w:val="001500EA"/>
    <w:rsid w:val="0018344E"/>
    <w:rsid w:val="0018727E"/>
    <w:rsid w:val="001B47DD"/>
    <w:rsid w:val="001B566D"/>
    <w:rsid w:val="001D2993"/>
    <w:rsid w:val="001D7D70"/>
    <w:rsid w:val="00232119"/>
    <w:rsid w:val="00282B3D"/>
    <w:rsid w:val="00286F29"/>
    <w:rsid w:val="002948B0"/>
    <w:rsid w:val="002C5767"/>
    <w:rsid w:val="00350E4E"/>
    <w:rsid w:val="00363EAC"/>
    <w:rsid w:val="003A4B6E"/>
    <w:rsid w:val="004636E9"/>
    <w:rsid w:val="004957D9"/>
    <w:rsid w:val="004A40F0"/>
    <w:rsid w:val="005055C9"/>
    <w:rsid w:val="00514FFE"/>
    <w:rsid w:val="00526C33"/>
    <w:rsid w:val="0059365E"/>
    <w:rsid w:val="005A1DA9"/>
    <w:rsid w:val="005A71F8"/>
    <w:rsid w:val="005D5DEB"/>
    <w:rsid w:val="00603347"/>
    <w:rsid w:val="006071D8"/>
    <w:rsid w:val="00634067"/>
    <w:rsid w:val="0066448D"/>
    <w:rsid w:val="006801FB"/>
    <w:rsid w:val="006924D7"/>
    <w:rsid w:val="006B0E0B"/>
    <w:rsid w:val="006B2F52"/>
    <w:rsid w:val="006F5F60"/>
    <w:rsid w:val="00741778"/>
    <w:rsid w:val="00742295"/>
    <w:rsid w:val="00755558"/>
    <w:rsid w:val="007606D5"/>
    <w:rsid w:val="007609B8"/>
    <w:rsid w:val="0077247B"/>
    <w:rsid w:val="007A4014"/>
    <w:rsid w:val="007B463C"/>
    <w:rsid w:val="007D5D06"/>
    <w:rsid w:val="007F1289"/>
    <w:rsid w:val="00806D62"/>
    <w:rsid w:val="00827231"/>
    <w:rsid w:val="00846E44"/>
    <w:rsid w:val="0085007C"/>
    <w:rsid w:val="008A21FA"/>
    <w:rsid w:val="008D15D8"/>
    <w:rsid w:val="008F0940"/>
    <w:rsid w:val="00915777"/>
    <w:rsid w:val="009323D1"/>
    <w:rsid w:val="009A0C97"/>
    <w:rsid w:val="009C3C25"/>
    <w:rsid w:val="00A07FA6"/>
    <w:rsid w:val="00A255F7"/>
    <w:rsid w:val="00A54790"/>
    <w:rsid w:val="00AB403D"/>
    <w:rsid w:val="00AB5D4F"/>
    <w:rsid w:val="00B040AD"/>
    <w:rsid w:val="00B0497B"/>
    <w:rsid w:val="00B35E70"/>
    <w:rsid w:val="00B55648"/>
    <w:rsid w:val="00B670A0"/>
    <w:rsid w:val="00B923CE"/>
    <w:rsid w:val="00BA01A4"/>
    <w:rsid w:val="00BB0A37"/>
    <w:rsid w:val="00C031E1"/>
    <w:rsid w:val="00C07EF0"/>
    <w:rsid w:val="00C3298F"/>
    <w:rsid w:val="00C32F17"/>
    <w:rsid w:val="00C702DD"/>
    <w:rsid w:val="00CA06F1"/>
    <w:rsid w:val="00CC0C26"/>
    <w:rsid w:val="00CF1297"/>
    <w:rsid w:val="00D016C8"/>
    <w:rsid w:val="00D25A3A"/>
    <w:rsid w:val="00D756F0"/>
    <w:rsid w:val="00D866BF"/>
    <w:rsid w:val="00DA6FD6"/>
    <w:rsid w:val="00DC20FE"/>
    <w:rsid w:val="00E451A2"/>
    <w:rsid w:val="00E46C10"/>
    <w:rsid w:val="00E53F5F"/>
    <w:rsid w:val="00E57A43"/>
    <w:rsid w:val="00E91EA6"/>
    <w:rsid w:val="00E942AC"/>
    <w:rsid w:val="00EA0BCA"/>
    <w:rsid w:val="00F228D5"/>
    <w:rsid w:val="00F34410"/>
    <w:rsid w:val="00F47CB0"/>
    <w:rsid w:val="00F56E06"/>
    <w:rsid w:val="00F56F3F"/>
    <w:rsid w:val="00F70B77"/>
    <w:rsid w:val="00F9755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B74D8"/>
  <w15:chartTrackingRefBased/>
  <w15:docId w15:val="{82EA1A53-652F-4B60-9E8C-88E4892AB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5FDD"/>
    <w:rPr>
      <w:kern w:val="0"/>
      <w14:ligatures w14:val="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045FDD"/>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dap">
    <w:name w:val="footer"/>
    <w:basedOn w:val="Normal"/>
    <w:link w:val="RodapChar"/>
    <w:uiPriority w:val="99"/>
    <w:unhideWhenUsed/>
    <w:rsid w:val="00045FDD"/>
    <w:pPr>
      <w:tabs>
        <w:tab w:val="center" w:pos="4252"/>
        <w:tab w:val="right" w:pos="8504"/>
      </w:tabs>
      <w:spacing w:after="0" w:line="240" w:lineRule="auto"/>
    </w:pPr>
  </w:style>
  <w:style w:type="character" w:customStyle="1" w:styleId="RodapChar">
    <w:name w:val="Rodapé Char"/>
    <w:basedOn w:val="Fontepargpadro"/>
    <w:link w:val="Rodap"/>
    <w:uiPriority w:val="99"/>
    <w:rsid w:val="00045FDD"/>
    <w:rPr>
      <w:kern w:val="0"/>
      <w14:ligatures w14:val="none"/>
    </w:rPr>
  </w:style>
  <w:style w:type="character" w:styleId="Hyperlink">
    <w:name w:val="Hyperlink"/>
    <w:basedOn w:val="Fontepargpadro"/>
    <w:uiPriority w:val="99"/>
    <w:semiHidden/>
    <w:unhideWhenUsed/>
    <w:rsid w:val="00E451A2"/>
    <w:rPr>
      <w:color w:val="0563C1"/>
      <w:u w:val="single"/>
    </w:rPr>
  </w:style>
  <w:style w:type="character" w:styleId="HiperlinkVisitado">
    <w:name w:val="FollowedHyperlink"/>
    <w:basedOn w:val="Fontepargpadro"/>
    <w:uiPriority w:val="99"/>
    <w:semiHidden/>
    <w:unhideWhenUsed/>
    <w:rsid w:val="00E451A2"/>
    <w:rPr>
      <w:color w:val="954F72"/>
      <w:u w:val="single"/>
    </w:rPr>
  </w:style>
  <w:style w:type="paragraph" w:customStyle="1" w:styleId="msonormal0">
    <w:name w:val="msonormal"/>
    <w:basedOn w:val="Normal"/>
    <w:rsid w:val="00E451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font5">
    <w:name w:val="font5"/>
    <w:basedOn w:val="Normal"/>
    <w:rsid w:val="00E451A2"/>
    <w:pPr>
      <w:spacing w:before="100" w:beforeAutospacing="1" w:after="100" w:afterAutospacing="1" w:line="240" w:lineRule="auto"/>
    </w:pPr>
    <w:rPr>
      <w:rFonts w:ascii="Calibri" w:eastAsia="Times New Roman" w:hAnsi="Calibri" w:cs="Calibri"/>
      <w:color w:val="162937"/>
      <w:sz w:val="24"/>
      <w:szCs w:val="24"/>
      <w:lang w:eastAsia="pt-BR"/>
    </w:rPr>
  </w:style>
  <w:style w:type="paragraph" w:customStyle="1" w:styleId="font6">
    <w:name w:val="font6"/>
    <w:basedOn w:val="Normal"/>
    <w:rsid w:val="00E451A2"/>
    <w:pPr>
      <w:spacing w:before="100" w:beforeAutospacing="1" w:after="100" w:afterAutospacing="1" w:line="240" w:lineRule="auto"/>
    </w:pPr>
    <w:rPr>
      <w:rFonts w:ascii="Times New Roman" w:eastAsia="Times New Roman" w:hAnsi="Times New Roman" w:cs="Times New Roman"/>
      <w:color w:val="162937"/>
      <w:sz w:val="24"/>
      <w:szCs w:val="24"/>
      <w:lang w:eastAsia="pt-BR"/>
    </w:rPr>
  </w:style>
  <w:style w:type="paragraph" w:customStyle="1" w:styleId="font7">
    <w:name w:val="font7"/>
    <w:basedOn w:val="Normal"/>
    <w:rsid w:val="00E451A2"/>
    <w:pPr>
      <w:spacing w:before="100" w:beforeAutospacing="1" w:after="100" w:afterAutospacing="1" w:line="240" w:lineRule="auto"/>
    </w:pPr>
    <w:rPr>
      <w:rFonts w:ascii="Calibri" w:eastAsia="Times New Roman" w:hAnsi="Calibri" w:cs="Calibri"/>
      <w:color w:val="162937"/>
      <w:sz w:val="24"/>
      <w:szCs w:val="24"/>
      <w:lang w:eastAsia="pt-BR"/>
    </w:rPr>
  </w:style>
  <w:style w:type="paragraph" w:customStyle="1" w:styleId="font8">
    <w:name w:val="font8"/>
    <w:basedOn w:val="Normal"/>
    <w:rsid w:val="00E451A2"/>
    <w:pPr>
      <w:spacing w:before="100" w:beforeAutospacing="1" w:after="100" w:afterAutospacing="1" w:line="240" w:lineRule="auto"/>
    </w:pPr>
    <w:rPr>
      <w:rFonts w:ascii="Calibri" w:eastAsia="Times New Roman" w:hAnsi="Calibri" w:cs="Calibri"/>
      <w:color w:val="FF0000"/>
      <w:sz w:val="24"/>
      <w:szCs w:val="24"/>
      <w:lang w:eastAsia="pt-BR"/>
    </w:rPr>
  </w:style>
  <w:style w:type="paragraph" w:customStyle="1" w:styleId="font9">
    <w:name w:val="font9"/>
    <w:basedOn w:val="Normal"/>
    <w:rsid w:val="00E451A2"/>
    <w:pPr>
      <w:spacing w:before="100" w:beforeAutospacing="1" w:after="100" w:afterAutospacing="1" w:line="240" w:lineRule="auto"/>
    </w:pPr>
    <w:rPr>
      <w:rFonts w:ascii="Calibri" w:eastAsia="Times New Roman" w:hAnsi="Calibri" w:cs="Calibri"/>
      <w:color w:val="333333"/>
      <w:sz w:val="24"/>
      <w:szCs w:val="24"/>
      <w:lang w:eastAsia="pt-BR"/>
    </w:rPr>
  </w:style>
  <w:style w:type="paragraph" w:customStyle="1" w:styleId="font10">
    <w:name w:val="font10"/>
    <w:basedOn w:val="Normal"/>
    <w:rsid w:val="00E451A2"/>
    <w:pPr>
      <w:spacing w:before="100" w:beforeAutospacing="1" w:after="100" w:afterAutospacing="1" w:line="240" w:lineRule="auto"/>
    </w:pPr>
    <w:rPr>
      <w:rFonts w:ascii="Calibri" w:eastAsia="Times New Roman" w:hAnsi="Calibri" w:cs="Calibri"/>
      <w:sz w:val="24"/>
      <w:szCs w:val="24"/>
      <w:lang w:eastAsia="pt-BR"/>
    </w:rPr>
  </w:style>
  <w:style w:type="paragraph" w:customStyle="1" w:styleId="font11">
    <w:name w:val="font11"/>
    <w:basedOn w:val="Normal"/>
    <w:rsid w:val="00E451A2"/>
    <w:pPr>
      <w:spacing w:before="100" w:beforeAutospacing="1" w:after="100" w:afterAutospacing="1" w:line="240" w:lineRule="auto"/>
    </w:pPr>
    <w:rPr>
      <w:rFonts w:ascii="Calibri" w:eastAsia="Times New Roman" w:hAnsi="Calibri" w:cs="Calibri"/>
      <w:color w:val="FF0000"/>
      <w:sz w:val="24"/>
      <w:szCs w:val="24"/>
      <w:lang w:eastAsia="pt-BR"/>
    </w:rPr>
  </w:style>
  <w:style w:type="paragraph" w:customStyle="1" w:styleId="font12">
    <w:name w:val="font12"/>
    <w:basedOn w:val="Normal"/>
    <w:rsid w:val="00E451A2"/>
    <w:pPr>
      <w:spacing w:before="100" w:beforeAutospacing="1" w:after="100" w:afterAutospacing="1" w:line="240" w:lineRule="auto"/>
    </w:pPr>
    <w:rPr>
      <w:rFonts w:ascii="Calibri" w:eastAsia="Times New Roman" w:hAnsi="Calibri" w:cs="Calibri"/>
      <w:b/>
      <w:bCs/>
      <w:color w:val="162937"/>
      <w:sz w:val="24"/>
      <w:szCs w:val="24"/>
      <w:lang w:eastAsia="pt-BR"/>
    </w:rPr>
  </w:style>
  <w:style w:type="paragraph" w:customStyle="1" w:styleId="font13">
    <w:name w:val="font13"/>
    <w:basedOn w:val="Normal"/>
    <w:rsid w:val="00E451A2"/>
    <w:pPr>
      <w:spacing w:before="100" w:beforeAutospacing="1" w:after="100" w:afterAutospacing="1" w:line="240" w:lineRule="auto"/>
    </w:pPr>
    <w:rPr>
      <w:rFonts w:ascii="Calibri" w:eastAsia="Times New Roman" w:hAnsi="Calibri" w:cs="Calibri"/>
      <w:color w:val="FF0000"/>
      <w:sz w:val="24"/>
      <w:szCs w:val="24"/>
      <w:lang w:eastAsia="pt-BR"/>
    </w:rPr>
  </w:style>
  <w:style w:type="paragraph" w:customStyle="1" w:styleId="font14">
    <w:name w:val="font14"/>
    <w:basedOn w:val="Normal"/>
    <w:rsid w:val="00E451A2"/>
    <w:pPr>
      <w:spacing w:before="100" w:beforeAutospacing="1" w:after="100" w:afterAutospacing="1" w:line="240" w:lineRule="auto"/>
    </w:pPr>
    <w:rPr>
      <w:rFonts w:ascii="Calibri" w:eastAsia="Times New Roman" w:hAnsi="Calibri" w:cs="Calibri"/>
      <w:color w:val="FF0000"/>
      <w:sz w:val="24"/>
      <w:szCs w:val="24"/>
      <w:lang w:eastAsia="pt-BR"/>
    </w:rPr>
  </w:style>
  <w:style w:type="paragraph" w:customStyle="1" w:styleId="font15">
    <w:name w:val="font15"/>
    <w:basedOn w:val="Normal"/>
    <w:rsid w:val="00E451A2"/>
    <w:pPr>
      <w:spacing w:before="100" w:beforeAutospacing="1" w:after="100" w:afterAutospacing="1" w:line="240" w:lineRule="auto"/>
    </w:pPr>
    <w:rPr>
      <w:rFonts w:ascii="Calibri" w:eastAsia="Times New Roman" w:hAnsi="Calibri" w:cs="Calibri"/>
      <w:b/>
      <w:bCs/>
      <w:color w:val="333333"/>
      <w:sz w:val="24"/>
      <w:szCs w:val="24"/>
      <w:lang w:eastAsia="pt-BR"/>
    </w:rPr>
  </w:style>
  <w:style w:type="paragraph" w:customStyle="1" w:styleId="font16">
    <w:name w:val="font16"/>
    <w:basedOn w:val="Normal"/>
    <w:rsid w:val="00E451A2"/>
    <w:pPr>
      <w:spacing w:before="100" w:beforeAutospacing="1" w:after="100" w:afterAutospacing="1" w:line="240" w:lineRule="auto"/>
    </w:pPr>
    <w:rPr>
      <w:rFonts w:ascii="Calibri" w:eastAsia="Times New Roman" w:hAnsi="Calibri" w:cs="Calibri"/>
      <w:b/>
      <w:bCs/>
      <w:color w:val="FF0000"/>
      <w:sz w:val="24"/>
      <w:szCs w:val="24"/>
      <w:lang w:eastAsia="pt-BR"/>
    </w:rPr>
  </w:style>
  <w:style w:type="paragraph" w:customStyle="1" w:styleId="xl65">
    <w:name w:val="xl65"/>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66">
    <w:name w:val="xl66"/>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67">
    <w:name w:val="xl67"/>
    <w:basedOn w:val="Normal"/>
    <w:rsid w:val="00E451A2"/>
    <w:pPr>
      <w:spacing w:before="100" w:beforeAutospacing="1" w:after="100" w:afterAutospacing="1" w:line="240" w:lineRule="auto"/>
    </w:pPr>
    <w:rPr>
      <w:rFonts w:ascii="Times New Roman" w:eastAsia="Times New Roman" w:hAnsi="Times New Roman" w:cs="Times New Roman"/>
      <w:b/>
      <w:bCs/>
      <w:sz w:val="24"/>
      <w:szCs w:val="24"/>
      <w:lang w:eastAsia="pt-BR"/>
    </w:rPr>
  </w:style>
  <w:style w:type="paragraph" w:customStyle="1" w:styleId="xl68">
    <w:name w:val="xl68"/>
    <w:basedOn w:val="Normal"/>
    <w:rsid w:val="00E451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69">
    <w:name w:val="xl69"/>
    <w:basedOn w:val="Normal"/>
    <w:rsid w:val="00E451A2"/>
    <w:pPr>
      <w:spacing w:before="100" w:beforeAutospacing="1" w:after="100" w:afterAutospacing="1" w:line="240" w:lineRule="auto"/>
      <w:jc w:val="both"/>
      <w:textAlignment w:val="center"/>
    </w:pPr>
    <w:rPr>
      <w:rFonts w:ascii="Times New Roman" w:eastAsia="Times New Roman" w:hAnsi="Times New Roman" w:cs="Times New Roman"/>
      <w:color w:val="162937"/>
      <w:sz w:val="24"/>
      <w:szCs w:val="24"/>
      <w:lang w:eastAsia="pt-BR"/>
    </w:rPr>
  </w:style>
  <w:style w:type="paragraph" w:customStyle="1" w:styleId="xl70">
    <w:name w:val="xl70"/>
    <w:basedOn w:val="Normal"/>
    <w:rsid w:val="00E451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71">
    <w:name w:val="xl71"/>
    <w:basedOn w:val="Normal"/>
    <w:rsid w:val="00E451A2"/>
    <w:pPr>
      <w:spacing w:before="100" w:beforeAutospacing="1" w:after="100" w:afterAutospacing="1" w:line="240" w:lineRule="auto"/>
      <w:jc w:val="both"/>
      <w:textAlignment w:val="center"/>
    </w:pPr>
    <w:rPr>
      <w:rFonts w:ascii="Times New Roman" w:eastAsia="Times New Roman" w:hAnsi="Times New Roman" w:cs="Times New Roman"/>
      <w:b/>
      <w:bCs/>
      <w:color w:val="162937"/>
      <w:sz w:val="24"/>
      <w:szCs w:val="24"/>
      <w:lang w:eastAsia="pt-BR"/>
    </w:rPr>
  </w:style>
  <w:style w:type="paragraph" w:customStyle="1" w:styleId="xl72">
    <w:name w:val="xl72"/>
    <w:basedOn w:val="Normal"/>
    <w:rsid w:val="00E451A2"/>
    <w:pPr>
      <w:spacing w:before="100" w:beforeAutospacing="1" w:after="100" w:afterAutospacing="1" w:line="240" w:lineRule="auto"/>
      <w:jc w:val="both"/>
      <w:textAlignment w:val="center"/>
    </w:pPr>
    <w:rPr>
      <w:rFonts w:ascii="Times New Roman" w:eastAsia="Times New Roman" w:hAnsi="Times New Roman" w:cs="Times New Roman"/>
      <w:color w:val="162937"/>
      <w:sz w:val="24"/>
      <w:szCs w:val="24"/>
      <w:lang w:eastAsia="pt-BR"/>
    </w:rPr>
  </w:style>
  <w:style w:type="paragraph" w:customStyle="1" w:styleId="xl73">
    <w:name w:val="xl73"/>
    <w:basedOn w:val="Normal"/>
    <w:rsid w:val="00E451A2"/>
    <w:pPr>
      <w:spacing w:before="100" w:beforeAutospacing="1" w:after="100" w:afterAutospacing="1" w:line="240" w:lineRule="auto"/>
      <w:jc w:val="center"/>
    </w:pPr>
    <w:rPr>
      <w:rFonts w:ascii="Times New Roman" w:eastAsia="Times New Roman" w:hAnsi="Times New Roman" w:cs="Times New Roman"/>
      <w:sz w:val="24"/>
      <w:szCs w:val="24"/>
      <w:lang w:eastAsia="pt-BR"/>
    </w:rPr>
  </w:style>
  <w:style w:type="paragraph" w:customStyle="1" w:styleId="xl74">
    <w:name w:val="xl74"/>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5">
    <w:name w:val="xl75"/>
    <w:basedOn w:val="Normal"/>
    <w:rsid w:val="00E451A2"/>
    <w:pPr>
      <w:spacing w:before="100" w:beforeAutospacing="1" w:after="100" w:afterAutospacing="1" w:line="240" w:lineRule="auto"/>
      <w:jc w:val="both"/>
      <w:textAlignment w:val="center"/>
    </w:pPr>
    <w:rPr>
      <w:rFonts w:ascii="Times New Roman" w:eastAsia="Times New Roman" w:hAnsi="Times New Roman" w:cs="Times New Roman"/>
      <w:color w:val="333333"/>
      <w:sz w:val="24"/>
      <w:szCs w:val="24"/>
      <w:lang w:eastAsia="pt-BR"/>
    </w:rPr>
  </w:style>
  <w:style w:type="paragraph" w:customStyle="1" w:styleId="xl76">
    <w:name w:val="xl76"/>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color w:val="162937"/>
      <w:sz w:val="24"/>
      <w:szCs w:val="24"/>
      <w:lang w:eastAsia="pt-BR"/>
    </w:rPr>
  </w:style>
  <w:style w:type="paragraph" w:customStyle="1" w:styleId="xl77">
    <w:name w:val="xl77"/>
    <w:basedOn w:val="Normal"/>
    <w:rsid w:val="00E451A2"/>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sz w:val="24"/>
      <w:szCs w:val="24"/>
      <w:lang w:eastAsia="pt-BR"/>
    </w:rPr>
  </w:style>
  <w:style w:type="paragraph" w:customStyle="1" w:styleId="xl78">
    <w:name w:val="xl78"/>
    <w:basedOn w:val="Normal"/>
    <w:rsid w:val="00E451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79">
    <w:name w:val="xl79"/>
    <w:basedOn w:val="Normal"/>
    <w:rsid w:val="00E451A2"/>
    <w:pP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80">
    <w:name w:val="xl80"/>
    <w:basedOn w:val="Normal"/>
    <w:rsid w:val="00E451A2"/>
    <w:pPr>
      <w:spacing w:before="100" w:beforeAutospacing="1" w:after="100" w:afterAutospacing="1" w:line="240" w:lineRule="auto"/>
      <w:jc w:val="center"/>
    </w:pPr>
    <w:rPr>
      <w:rFonts w:ascii="Times New Roman" w:eastAsia="Times New Roman" w:hAnsi="Times New Roman" w:cs="Times New Roman"/>
      <w:b/>
      <w:bCs/>
      <w:sz w:val="24"/>
      <w:szCs w:val="24"/>
      <w:lang w:eastAsia="pt-BR"/>
    </w:rPr>
  </w:style>
  <w:style w:type="paragraph" w:customStyle="1" w:styleId="xl81">
    <w:name w:val="xl81"/>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82">
    <w:name w:val="xl82"/>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b/>
      <w:bCs/>
      <w:color w:val="162937"/>
      <w:sz w:val="24"/>
      <w:szCs w:val="24"/>
      <w:lang w:eastAsia="pt-BR"/>
    </w:rPr>
  </w:style>
  <w:style w:type="paragraph" w:customStyle="1" w:styleId="xl83">
    <w:name w:val="xl83"/>
    <w:basedOn w:val="Normal"/>
    <w:rsid w:val="00E451A2"/>
    <w:pPr>
      <w:spacing w:before="100" w:beforeAutospacing="1" w:after="100" w:afterAutospacing="1" w:line="240" w:lineRule="auto"/>
      <w:jc w:val="center"/>
    </w:pPr>
    <w:rPr>
      <w:rFonts w:ascii="Times New Roman" w:eastAsia="Times New Roman" w:hAnsi="Times New Roman" w:cs="Times New Roman"/>
      <w:b/>
      <w:bCs/>
      <w:sz w:val="24"/>
      <w:szCs w:val="24"/>
      <w:lang w:eastAsia="pt-BR"/>
    </w:rPr>
  </w:style>
  <w:style w:type="paragraph" w:customStyle="1" w:styleId="xl84">
    <w:name w:val="xl84"/>
    <w:basedOn w:val="Normal"/>
    <w:rsid w:val="00E451A2"/>
    <w:pPr>
      <w:spacing w:before="100" w:beforeAutospacing="1" w:after="100" w:afterAutospacing="1" w:line="240" w:lineRule="auto"/>
      <w:jc w:val="both"/>
      <w:textAlignment w:val="center"/>
    </w:pPr>
    <w:rPr>
      <w:rFonts w:ascii="Times New Roman" w:eastAsia="Times New Roman" w:hAnsi="Times New Roman" w:cs="Times New Roman"/>
      <w:color w:val="FF0000"/>
      <w:sz w:val="24"/>
      <w:szCs w:val="24"/>
      <w:lang w:eastAsia="pt-BR"/>
    </w:rPr>
  </w:style>
  <w:style w:type="paragraph" w:customStyle="1" w:styleId="xl85">
    <w:name w:val="xl85"/>
    <w:basedOn w:val="Normal"/>
    <w:rsid w:val="00E451A2"/>
    <w:pP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86">
    <w:name w:val="xl86"/>
    <w:basedOn w:val="Normal"/>
    <w:rsid w:val="00E451A2"/>
    <w:pP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87">
    <w:name w:val="xl87"/>
    <w:basedOn w:val="Normal"/>
    <w:rsid w:val="00E451A2"/>
    <w:pPr>
      <w:spacing w:before="100" w:beforeAutospacing="1" w:after="100" w:afterAutospacing="1" w:line="240" w:lineRule="auto"/>
      <w:textAlignment w:val="center"/>
    </w:pPr>
    <w:rPr>
      <w:rFonts w:ascii="Times New Roman" w:eastAsia="Times New Roman" w:hAnsi="Times New Roman" w:cs="Times New Roman"/>
      <w:color w:val="FF0000"/>
      <w:sz w:val="24"/>
      <w:szCs w:val="24"/>
      <w:lang w:eastAsia="pt-BR"/>
    </w:rPr>
  </w:style>
  <w:style w:type="paragraph" w:customStyle="1" w:styleId="xl88">
    <w:name w:val="xl88"/>
    <w:basedOn w:val="Normal"/>
    <w:rsid w:val="00E451A2"/>
    <w:pPr>
      <w:spacing w:before="100" w:beforeAutospacing="1" w:after="100" w:afterAutospacing="1" w:line="240" w:lineRule="auto"/>
      <w:textAlignment w:val="center"/>
    </w:pPr>
    <w:rPr>
      <w:rFonts w:ascii="Times New Roman" w:eastAsia="Times New Roman" w:hAnsi="Times New Roman" w:cs="Times New Roman"/>
      <w:color w:val="FF0000"/>
      <w:sz w:val="24"/>
      <w:szCs w:val="24"/>
      <w:lang w:eastAsia="pt-BR"/>
    </w:rPr>
  </w:style>
  <w:style w:type="paragraph" w:customStyle="1" w:styleId="xl89">
    <w:name w:val="xl89"/>
    <w:basedOn w:val="Normal"/>
    <w:rsid w:val="00E451A2"/>
    <w:pPr>
      <w:spacing w:before="100" w:beforeAutospacing="1" w:after="100" w:afterAutospacing="1" w:line="240" w:lineRule="auto"/>
      <w:jc w:val="both"/>
      <w:textAlignment w:val="center"/>
    </w:pPr>
    <w:rPr>
      <w:rFonts w:ascii="Times New Roman" w:eastAsia="Times New Roman" w:hAnsi="Times New Roman" w:cs="Times New Roman"/>
      <w:i/>
      <w:iCs/>
      <w:color w:val="333333"/>
      <w:sz w:val="24"/>
      <w:szCs w:val="24"/>
      <w:lang w:eastAsia="pt-BR"/>
    </w:rPr>
  </w:style>
  <w:style w:type="paragraph" w:customStyle="1" w:styleId="xl90">
    <w:name w:val="xl90"/>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b/>
      <w:bCs/>
      <w:color w:val="162937"/>
      <w:sz w:val="24"/>
      <w:szCs w:val="24"/>
      <w:lang w:eastAsia="pt-BR"/>
    </w:rPr>
  </w:style>
  <w:style w:type="paragraph" w:customStyle="1" w:styleId="xl91">
    <w:name w:val="xl91"/>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b/>
      <w:bCs/>
      <w:color w:val="333333"/>
      <w:sz w:val="24"/>
      <w:szCs w:val="24"/>
      <w:lang w:eastAsia="pt-BR"/>
    </w:rPr>
  </w:style>
  <w:style w:type="paragraph" w:customStyle="1" w:styleId="xl92">
    <w:name w:val="xl92"/>
    <w:basedOn w:val="Normal"/>
    <w:rsid w:val="00E451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l93">
    <w:name w:val="xl93"/>
    <w:basedOn w:val="Normal"/>
    <w:rsid w:val="00E451A2"/>
    <w:pPr>
      <w:spacing w:before="100" w:beforeAutospacing="1" w:after="100" w:afterAutospacing="1" w:line="240" w:lineRule="auto"/>
      <w:jc w:val="center"/>
    </w:pPr>
    <w:rPr>
      <w:rFonts w:ascii="Times New Roman" w:eastAsia="Times New Roman" w:hAnsi="Times New Roman" w:cs="Times New Roman"/>
      <w:sz w:val="24"/>
      <w:szCs w:val="24"/>
      <w:lang w:eastAsia="pt-BR"/>
    </w:rPr>
  </w:style>
  <w:style w:type="paragraph" w:customStyle="1" w:styleId="xl94">
    <w:name w:val="xl94"/>
    <w:basedOn w:val="Normal"/>
    <w:rsid w:val="00E451A2"/>
    <w:pP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95">
    <w:name w:val="xl95"/>
    <w:basedOn w:val="Normal"/>
    <w:rsid w:val="00E451A2"/>
    <w:pPr>
      <w:spacing w:before="100" w:beforeAutospacing="1" w:after="100" w:afterAutospacing="1" w:line="240" w:lineRule="auto"/>
      <w:jc w:val="center"/>
      <w:textAlignment w:val="center"/>
    </w:pPr>
    <w:rPr>
      <w:rFonts w:ascii="Times New Roman" w:eastAsia="Times New Roman" w:hAnsi="Times New Roman" w:cs="Times New Roman"/>
      <w:color w:val="162937"/>
      <w:sz w:val="24"/>
      <w:szCs w:val="24"/>
      <w:lang w:eastAsia="pt-BR"/>
    </w:rPr>
  </w:style>
  <w:style w:type="paragraph" w:customStyle="1" w:styleId="xl96">
    <w:name w:val="xl96"/>
    <w:basedOn w:val="Normal"/>
    <w:rsid w:val="00E451A2"/>
    <w:pPr>
      <w:spacing w:before="100" w:beforeAutospacing="1" w:after="100" w:afterAutospacing="1" w:line="240" w:lineRule="auto"/>
      <w:jc w:val="both"/>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E451A2"/>
    <w:pPr>
      <w:ind w:left="720"/>
      <w:contextualSpacing/>
    </w:pPr>
    <w:rPr>
      <w:kern w:val="2"/>
      <w14:ligatures w14:val="standardContextual"/>
    </w:rPr>
  </w:style>
  <w:style w:type="paragraph" w:styleId="Reviso">
    <w:name w:val="Revision"/>
    <w:hidden/>
    <w:uiPriority w:val="99"/>
    <w:semiHidden/>
    <w:rsid w:val="006B0E0B"/>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7369F6-7711-402B-A130-45E122591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246</TotalTime>
  <Pages>21</Pages>
  <Words>6789</Words>
  <Characters>36665</Characters>
  <Application>Microsoft Office Word</Application>
  <DocSecurity>0</DocSecurity>
  <Lines>305</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Darllan Ricardo da Silva - PREVICDF</dc:creator>
  <cp:keywords/>
  <dc:description/>
  <cp:lastModifiedBy>Claudia Elizabeth Ashton de Araujo - PREVICDF</cp:lastModifiedBy>
  <cp:revision>7</cp:revision>
  <dcterms:created xsi:type="dcterms:W3CDTF">2023-06-29T17:17:00Z</dcterms:created>
  <dcterms:modified xsi:type="dcterms:W3CDTF">2023-07-03T20:43:00Z</dcterms:modified>
</cp:coreProperties>
</file>