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9A5C80" w14:textId="77777777" w:rsidR="00C902B5" w:rsidRDefault="00C902B5"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p>
    <w:p w14:paraId="7B19276A" w14:textId="77777777" w:rsidR="00C413EA" w:rsidRPr="00506027" w:rsidRDefault="00C413EA" w:rsidP="00C413EA">
      <w:pPr>
        <w:pStyle w:val="Ttulo1"/>
        <w:tabs>
          <w:tab w:val="left" w:pos="3273"/>
          <w:tab w:val="left" w:pos="4038"/>
          <w:tab w:val="left" w:pos="5337"/>
        </w:tabs>
        <w:spacing w:before="32"/>
        <w:ind w:left="3" w:right="3"/>
      </w:pPr>
      <w:r w:rsidRPr="00506027">
        <w:t>SUPERINTENDÊNCIA NACIONAL DE PREVIDÊNCIA COMPLEMENTAR</w:t>
      </w:r>
    </w:p>
    <w:p w14:paraId="0F0A0579" w14:textId="77777777" w:rsidR="00C413EA" w:rsidRPr="00506027" w:rsidRDefault="00C413EA" w:rsidP="00C413EA">
      <w:pPr>
        <w:pStyle w:val="Ttulo1"/>
        <w:tabs>
          <w:tab w:val="left" w:pos="3273"/>
          <w:tab w:val="left" w:pos="4038"/>
          <w:tab w:val="left" w:pos="5337"/>
        </w:tabs>
        <w:spacing w:before="32"/>
        <w:ind w:left="3" w:right="3"/>
        <w:rPr>
          <w:rFonts w:asciiTheme="minorHAnsi" w:hAnsiTheme="minorHAnsi" w:cstheme="minorHAnsi"/>
        </w:rPr>
      </w:pPr>
    </w:p>
    <w:p w14:paraId="0E809F18" w14:textId="77777777" w:rsidR="00C413EA" w:rsidRPr="00506027" w:rsidRDefault="00C413EA" w:rsidP="00C413EA">
      <w:pPr>
        <w:pStyle w:val="Ttulo1"/>
        <w:tabs>
          <w:tab w:val="left" w:pos="3273"/>
          <w:tab w:val="left" w:pos="4038"/>
          <w:tab w:val="left" w:pos="5337"/>
        </w:tabs>
        <w:spacing w:before="32"/>
        <w:ind w:left="3" w:right="3"/>
        <w:rPr>
          <w:rFonts w:asciiTheme="minorHAnsi" w:hAnsiTheme="minorHAnsi" w:cstheme="minorHAnsi"/>
          <w:spacing w:val="1"/>
        </w:rPr>
      </w:pPr>
      <w:r w:rsidRPr="00506027">
        <w:rPr>
          <w:rFonts w:asciiTheme="minorHAnsi" w:hAnsiTheme="minorHAnsi" w:cstheme="minorHAnsi"/>
        </w:rPr>
        <w:t>RESOLUÇÃO PREVIC Nº XX, DE XX DE XX DE 2023</w:t>
      </w:r>
      <w:r w:rsidRPr="00506027">
        <w:rPr>
          <w:rFonts w:asciiTheme="minorHAnsi" w:hAnsiTheme="minorHAnsi" w:cstheme="minorHAnsi"/>
          <w:spacing w:val="1"/>
        </w:rPr>
        <w:t xml:space="preserve"> </w:t>
      </w:r>
    </w:p>
    <w:p w14:paraId="77640EAB" w14:textId="77777777" w:rsidR="00C413EA" w:rsidRPr="00506027" w:rsidRDefault="00C413EA" w:rsidP="00C413EA">
      <w:pPr>
        <w:rPr>
          <w:rFonts w:cstheme="minorHAnsi"/>
          <w:sz w:val="24"/>
          <w:szCs w:val="24"/>
        </w:rPr>
      </w:pPr>
    </w:p>
    <w:p w14:paraId="5493A3BE" w14:textId="390E8D71" w:rsidR="00C413EA" w:rsidRPr="00506027" w:rsidRDefault="007C4FE1" w:rsidP="00C413EA">
      <w:pPr>
        <w:pStyle w:val="Ttulo1"/>
        <w:tabs>
          <w:tab w:val="left" w:pos="3273"/>
          <w:tab w:val="left" w:pos="4038"/>
          <w:tab w:val="left" w:pos="5337"/>
        </w:tabs>
        <w:spacing w:before="32"/>
        <w:ind w:left="3" w:right="3"/>
        <w:jc w:val="both"/>
        <w:rPr>
          <w:rFonts w:asciiTheme="minorHAnsi" w:hAnsiTheme="minorHAnsi" w:cstheme="minorHAnsi"/>
        </w:rPr>
      </w:pPr>
      <w:r w:rsidRPr="00506027">
        <w:rPr>
          <w:rFonts w:asciiTheme="minorHAnsi" w:hAnsiTheme="minorHAnsi" w:cstheme="minorHAnsi"/>
        </w:rPr>
        <w:t>REFERÊNCIAS NORMATIVAS:</w:t>
      </w:r>
    </w:p>
    <w:p w14:paraId="35AAACC2" w14:textId="7D4025F0" w:rsidR="00C413EA" w:rsidRPr="006D70CE" w:rsidRDefault="006D70CE" w:rsidP="00C413EA">
      <w:pPr>
        <w:jc w:val="both"/>
        <w:rPr>
          <w:rFonts w:cstheme="minorHAnsi"/>
          <w:bCs/>
          <w:sz w:val="24"/>
          <w:szCs w:val="24"/>
        </w:rPr>
      </w:pPr>
      <w:r w:rsidRPr="00C031E1">
        <w:rPr>
          <w:rFonts w:cstheme="minorHAnsi"/>
          <w:b/>
          <w:sz w:val="24"/>
          <w:szCs w:val="24"/>
        </w:rPr>
        <w:t xml:space="preserve">RESOLUÇÃO PREVIC Nº </w:t>
      </w:r>
      <w:r>
        <w:rPr>
          <w:rFonts w:cstheme="minorHAnsi"/>
          <w:b/>
          <w:sz w:val="24"/>
          <w:szCs w:val="24"/>
        </w:rPr>
        <w:t>0</w:t>
      </w:r>
      <w:r w:rsidRPr="00C031E1">
        <w:rPr>
          <w:rFonts w:cstheme="minorHAnsi"/>
          <w:b/>
          <w:sz w:val="24"/>
          <w:szCs w:val="24"/>
        </w:rPr>
        <w:t>7,</w:t>
      </w:r>
      <w:r>
        <w:rPr>
          <w:rFonts w:cstheme="minorHAnsi"/>
          <w:b/>
          <w:sz w:val="24"/>
          <w:szCs w:val="24"/>
        </w:rPr>
        <w:t xml:space="preserve"> 23 DE MARÇO</w:t>
      </w:r>
      <w:r w:rsidRPr="00C031E1">
        <w:rPr>
          <w:rFonts w:cstheme="minorHAnsi"/>
          <w:b/>
          <w:sz w:val="24"/>
          <w:szCs w:val="24"/>
        </w:rPr>
        <w:t xml:space="preserve"> DE 2022</w:t>
      </w:r>
      <w:r>
        <w:rPr>
          <w:rFonts w:cstheme="minorHAnsi"/>
          <w:b/>
          <w:sz w:val="24"/>
          <w:szCs w:val="24"/>
        </w:rPr>
        <w:t xml:space="preserve">: </w:t>
      </w:r>
      <w:r w:rsidRPr="006D70CE">
        <w:rPr>
          <w:rFonts w:cstheme="minorHAnsi"/>
          <w:bCs/>
          <w:sz w:val="24"/>
          <w:szCs w:val="24"/>
        </w:rPr>
        <w:t>Dispõe sobre as demonstrações atuariais e os elementos mínimos que devem constar na nota técnica atuarial dos planos de benefícios de caráter previdenciário administrados pelas entidades fechadas de previdência complementar</w:t>
      </w:r>
      <w:r w:rsidR="0097052F">
        <w:rPr>
          <w:rFonts w:cstheme="minorHAnsi"/>
          <w:bCs/>
          <w:sz w:val="24"/>
          <w:szCs w:val="24"/>
        </w:rPr>
        <w:t>.</w:t>
      </w:r>
    </w:p>
    <w:p w14:paraId="17D676BE" w14:textId="20FC5F1A" w:rsidR="006D70CE" w:rsidRDefault="006D70CE" w:rsidP="00C413EA">
      <w:pPr>
        <w:jc w:val="both"/>
        <w:rPr>
          <w:rFonts w:cstheme="minorHAnsi"/>
          <w:bCs/>
          <w:sz w:val="24"/>
          <w:szCs w:val="24"/>
        </w:rPr>
      </w:pPr>
      <w:r w:rsidRPr="00C031E1">
        <w:rPr>
          <w:rFonts w:cstheme="minorHAnsi"/>
          <w:b/>
          <w:sz w:val="24"/>
          <w:szCs w:val="24"/>
        </w:rPr>
        <w:t xml:space="preserve">RESOLUÇÃO PREVIC Nº </w:t>
      </w:r>
      <w:r>
        <w:rPr>
          <w:rFonts w:cstheme="minorHAnsi"/>
          <w:b/>
          <w:sz w:val="24"/>
          <w:szCs w:val="24"/>
        </w:rPr>
        <w:t>0</w:t>
      </w:r>
      <w:r w:rsidRPr="00C031E1">
        <w:rPr>
          <w:rFonts w:cstheme="minorHAnsi"/>
          <w:b/>
          <w:sz w:val="24"/>
          <w:szCs w:val="24"/>
        </w:rPr>
        <w:t>8, DE MARÇO DE 2022</w:t>
      </w:r>
      <w:r>
        <w:rPr>
          <w:rFonts w:cstheme="minorHAnsi"/>
          <w:b/>
          <w:sz w:val="24"/>
          <w:szCs w:val="24"/>
        </w:rPr>
        <w:t xml:space="preserve">: </w:t>
      </w:r>
      <w:r w:rsidRPr="006D70CE">
        <w:rPr>
          <w:rFonts w:cstheme="minorHAnsi"/>
          <w:bCs/>
          <w:sz w:val="24"/>
          <w:szCs w:val="24"/>
        </w:rPr>
        <w:t>Dispõe sobre as regras para contratação de seguros para cobertura de riscos pelas entidades fechadas de previdência complementar</w:t>
      </w:r>
      <w:r w:rsidR="0097052F">
        <w:rPr>
          <w:rFonts w:cstheme="minorHAnsi"/>
          <w:bCs/>
          <w:sz w:val="24"/>
          <w:szCs w:val="24"/>
        </w:rPr>
        <w:t>.</w:t>
      </w:r>
    </w:p>
    <w:p w14:paraId="3A749A5B" w14:textId="50CF9E22" w:rsidR="006D70CE" w:rsidRPr="006D70CE" w:rsidRDefault="006D70CE" w:rsidP="00C413EA">
      <w:pPr>
        <w:jc w:val="both"/>
        <w:rPr>
          <w:rFonts w:cstheme="minorHAnsi"/>
          <w:bCs/>
          <w:sz w:val="24"/>
          <w:szCs w:val="24"/>
        </w:rPr>
      </w:pPr>
      <w:r w:rsidRPr="006D70CE">
        <w:rPr>
          <w:rFonts w:cstheme="minorHAnsi"/>
          <w:b/>
          <w:sz w:val="24"/>
          <w:szCs w:val="24"/>
        </w:rPr>
        <w:t>RESOLUÇÃO PREVIC Nº 21, DE 21 DE MARÇO DE 2023</w:t>
      </w:r>
      <w:r>
        <w:rPr>
          <w:rFonts w:cstheme="minorHAnsi"/>
          <w:bCs/>
          <w:sz w:val="24"/>
          <w:szCs w:val="24"/>
        </w:rPr>
        <w:t xml:space="preserve">: </w:t>
      </w:r>
      <w:r w:rsidRPr="006D70CE">
        <w:rPr>
          <w:rFonts w:cstheme="minorHAnsi"/>
          <w:bCs/>
          <w:sz w:val="24"/>
          <w:szCs w:val="24"/>
        </w:rPr>
        <w:t>Dispõe sobre os procedimentos contábeis, o plano contábil</w:t>
      </w:r>
      <w:r>
        <w:rPr>
          <w:rFonts w:cstheme="minorHAnsi"/>
          <w:bCs/>
          <w:sz w:val="24"/>
          <w:szCs w:val="24"/>
        </w:rPr>
        <w:t xml:space="preserve"> </w:t>
      </w:r>
      <w:r w:rsidRPr="006D70CE">
        <w:rPr>
          <w:rFonts w:cstheme="minorHAnsi"/>
          <w:bCs/>
          <w:sz w:val="24"/>
          <w:szCs w:val="24"/>
        </w:rPr>
        <w:t xml:space="preserve">padrão, a função e o funcionamento das contas e a forma, meio </w:t>
      </w:r>
      <w:proofErr w:type="gramStart"/>
      <w:r w:rsidRPr="006D70CE">
        <w:rPr>
          <w:rFonts w:cstheme="minorHAnsi"/>
          <w:bCs/>
          <w:sz w:val="24"/>
          <w:szCs w:val="24"/>
        </w:rPr>
        <w:t>e</w:t>
      </w:r>
      <w:proofErr w:type="gramEnd"/>
      <w:r w:rsidRPr="006D70CE">
        <w:rPr>
          <w:rFonts w:cstheme="minorHAnsi"/>
          <w:bCs/>
          <w:sz w:val="24"/>
          <w:szCs w:val="24"/>
        </w:rPr>
        <w:t xml:space="preserve"> a periodicidade de envio das demonstrações contábeis</w:t>
      </w:r>
      <w:r>
        <w:rPr>
          <w:rFonts w:cstheme="minorHAnsi"/>
          <w:bCs/>
          <w:sz w:val="24"/>
          <w:szCs w:val="24"/>
        </w:rPr>
        <w:t xml:space="preserve"> </w:t>
      </w:r>
      <w:r w:rsidRPr="006D70CE">
        <w:rPr>
          <w:rFonts w:cstheme="minorHAnsi"/>
          <w:bCs/>
          <w:sz w:val="24"/>
          <w:szCs w:val="24"/>
        </w:rPr>
        <w:t>das entidades fechadas de previdência complementar.</w:t>
      </w:r>
    </w:p>
    <w:p w14:paraId="6530E1BE" w14:textId="21B27695" w:rsidR="00C413EA" w:rsidRPr="006D70CE" w:rsidRDefault="006D70CE" w:rsidP="006D70CE">
      <w:pPr>
        <w:pBdr>
          <w:top w:val="nil"/>
          <w:left w:val="nil"/>
          <w:bottom w:val="nil"/>
          <w:right w:val="nil"/>
          <w:between w:val="nil"/>
        </w:pBdr>
        <w:tabs>
          <w:tab w:val="left" w:pos="4830"/>
        </w:tabs>
        <w:jc w:val="both"/>
        <w:rPr>
          <w:rFonts w:eastAsia="Calibri" w:cstheme="minorHAnsi"/>
          <w:bCs/>
          <w:color w:val="000000"/>
          <w:sz w:val="24"/>
          <w:szCs w:val="24"/>
        </w:rPr>
      </w:pPr>
      <w:r w:rsidRPr="00C031E1">
        <w:rPr>
          <w:rFonts w:eastAsia="Calibri" w:cstheme="minorHAnsi"/>
          <w:b/>
          <w:color w:val="000000"/>
          <w:sz w:val="24"/>
          <w:szCs w:val="24"/>
        </w:rPr>
        <w:t>INSTRUÇÃO SPC Nº 17, DE 18 DE ABRIL DE 2017</w:t>
      </w:r>
      <w:r>
        <w:rPr>
          <w:rFonts w:eastAsia="Calibri" w:cstheme="minorHAnsi"/>
          <w:b/>
          <w:color w:val="000000"/>
          <w:sz w:val="24"/>
          <w:szCs w:val="24"/>
        </w:rPr>
        <w:t xml:space="preserve">: </w:t>
      </w:r>
      <w:r w:rsidRPr="006D70CE">
        <w:rPr>
          <w:rFonts w:eastAsia="Calibri" w:cstheme="minorHAnsi"/>
          <w:bCs/>
          <w:color w:val="000000"/>
          <w:sz w:val="24"/>
          <w:szCs w:val="24"/>
        </w:rPr>
        <w:t>Cria o Relatório Mensal de Informações do administrador especial, interventor ou liquidante, fixa o prazo para o seu encaminhamento à Secretaria de Previdência Complementar e dá outras providências</w:t>
      </w:r>
      <w:r w:rsidR="00596B69">
        <w:rPr>
          <w:rFonts w:eastAsia="Calibri" w:cstheme="minorHAnsi"/>
          <w:bCs/>
          <w:color w:val="000000"/>
          <w:sz w:val="24"/>
          <w:szCs w:val="24"/>
        </w:rPr>
        <w:t>.</w:t>
      </w:r>
    </w:p>
    <w:p w14:paraId="4B2A4F5A" w14:textId="3356BD8C" w:rsidR="00C413EA" w:rsidRPr="006D70CE" w:rsidRDefault="006D70CE" w:rsidP="00C413EA">
      <w:pPr>
        <w:jc w:val="both"/>
        <w:rPr>
          <w:rFonts w:cstheme="minorHAnsi"/>
          <w:color w:val="000000"/>
          <w:sz w:val="24"/>
          <w:szCs w:val="24"/>
        </w:rPr>
      </w:pPr>
      <w:r w:rsidRPr="00C031E1">
        <w:rPr>
          <w:rFonts w:cstheme="minorHAnsi"/>
          <w:b/>
          <w:bCs/>
          <w:color w:val="000000"/>
          <w:sz w:val="24"/>
          <w:szCs w:val="24"/>
        </w:rPr>
        <w:t>INSTRUÇÃO PREVIC Nº 35, DE 11 DE NOVEMBRO DE 2020</w:t>
      </w:r>
      <w:r>
        <w:rPr>
          <w:rFonts w:cstheme="minorHAnsi"/>
          <w:b/>
          <w:bCs/>
          <w:color w:val="000000"/>
          <w:sz w:val="24"/>
          <w:szCs w:val="24"/>
        </w:rPr>
        <w:t xml:space="preserve">: </w:t>
      </w:r>
      <w:r w:rsidRPr="006D70CE">
        <w:rPr>
          <w:rFonts w:cstheme="minorHAnsi"/>
          <w:color w:val="000000"/>
          <w:sz w:val="24"/>
          <w:szCs w:val="24"/>
        </w:rPr>
        <w:t>Dispõe sobre a operacionalização de procedimentos previstos na Resolução do Conselho Monetário Nacional que trata das diretrizes de aplicação dos recursos garantidores dos planos administrados pelas entidades fechadas de previdência complementar e sobre a forma de cumprimento das obrigações em matéria de investimentos junto à Previc</w:t>
      </w:r>
      <w:r w:rsidR="00596B69">
        <w:rPr>
          <w:rFonts w:cstheme="minorHAnsi"/>
          <w:color w:val="000000"/>
          <w:sz w:val="24"/>
          <w:szCs w:val="24"/>
        </w:rPr>
        <w:t>.</w:t>
      </w:r>
    </w:p>
    <w:p w14:paraId="7590225A" w14:textId="41995B77" w:rsidR="00C413EA" w:rsidRPr="009374CE" w:rsidRDefault="006D70CE" w:rsidP="006D70CE">
      <w:pPr>
        <w:jc w:val="both"/>
        <w:rPr>
          <w:rFonts w:cstheme="minorHAnsi"/>
          <w:color w:val="000000"/>
          <w:sz w:val="24"/>
          <w:szCs w:val="24"/>
        </w:rPr>
      </w:pPr>
      <w:r>
        <w:rPr>
          <w:rFonts w:cstheme="minorHAnsi"/>
          <w:b/>
          <w:bCs/>
          <w:sz w:val="24"/>
          <w:szCs w:val="24"/>
        </w:rPr>
        <w:t>INSTRUÇÃO NORMATIVA PREVIC</w:t>
      </w:r>
      <w:r w:rsidRPr="00C031E1">
        <w:rPr>
          <w:rFonts w:cstheme="minorHAnsi"/>
          <w:b/>
          <w:bCs/>
          <w:sz w:val="24"/>
          <w:szCs w:val="24"/>
        </w:rPr>
        <w:t xml:space="preserve"> </w:t>
      </w:r>
      <w:r>
        <w:rPr>
          <w:rFonts w:cstheme="minorHAnsi"/>
          <w:b/>
          <w:bCs/>
          <w:sz w:val="24"/>
          <w:szCs w:val="24"/>
        </w:rPr>
        <w:t xml:space="preserve">Nº </w:t>
      </w:r>
      <w:r w:rsidRPr="00C031E1">
        <w:rPr>
          <w:rFonts w:cstheme="minorHAnsi"/>
          <w:b/>
          <w:bCs/>
          <w:sz w:val="24"/>
          <w:szCs w:val="24"/>
        </w:rPr>
        <w:t>39, DE 20 DE ABRIL DE 2021</w:t>
      </w:r>
      <w:r>
        <w:rPr>
          <w:rFonts w:cstheme="minorHAnsi"/>
          <w:b/>
          <w:bCs/>
          <w:sz w:val="24"/>
          <w:szCs w:val="24"/>
        </w:rPr>
        <w:t xml:space="preserve">: </w:t>
      </w:r>
      <w:r w:rsidRPr="006D70CE">
        <w:rPr>
          <w:rFonts w:cstheme="minorHAnsi"/>
          <w:color w:val="000000"/>
          <w:sz w:val="24"/>
          <w:szCs w:val="24"/>
        </w:rPr>
        <w:t xml:space="preserve">Dispõe sobre normas procedimentais para envio </w:t>
      </w:r>
      <w:r w:rsidRPr="009374CE">
        <w:rPr>
          <w:rFonts w:cstheme="minorHAnsi"/>
          <w:color w:val="000000"/>
          <w:sz w:val="24"/>
          <w:szCs w:val="24"/>
        </w:rPr>
        <w:t>das estatísticas de população e de benefícios</w:t>
      </w:r>
      <w:r w:rsidR="00596B69">
        <w:rPr>
          <w:rFonts w:cstheme="minorHAnsi"/>
          <w:color w:val="000000"/>
          <w:sz w:val="24"/>
          <w:szCs w:val="24"/>
        </w:rPr>
        <w:t>.</w:t>
      </w:r>
    </w:p>
    <w:p w14:paraId="68E495FF" w14:textId="77777777" w:rsidR="009374CE" w:rsidRDefault="009374CE"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p>
    <w:p w14:paraId="64C97F58" w14:textId="13FC404B" w:rsidR="007C4FE1" w:rsidRPr="007C4FE1" w:rsidRDefault="007C4FE1" w:rsidP="007C4FE1">
      <w:pPr>
        <w:widowControl w:val="0"/>
        <w:autoSpaceDE w:val="0"/>
        <w:autoSpaceDN w:val="0"/>
        <w:spacing w:after="0" w:line="240" w:lineRule="auto"/>
        <w:rPr>
          <w:rFonts w:ascii="Calibri" w:eastAsia="Calibri" w:hAnsi="Calibri" w:cs="Calibri"/>
          <w:b/>
          <w:bCs/>
          <w:kern w:val="0"/>
          <w:sz w:val="24"/>
          <w:szCs w:val="24"/>
          <w14:ligatures w14:val="none"/>
        </w:rPr>
      </w:pPr>
      <w:r w:rsidRPr="007C4FE1">
        <w:rPr>
          <w:rFonts w:ascii="Calibri" w:eastAsia="Calibri" w:hAnsi="Calibri" w:cs="Calibri"/>
          <w:b/>
          <w:bCs/>
          <w:kern w:val="0"/>
          <w:sz w:val="24"/>
          <w:szCs w:val="24"/>
          <w14:ligatures w14:val="none"/>
        </w:rPr>
        <w:t>CONCEITOS E DEFINIÇÕES</w:t>
      </w:r>
      <w:r>
        <w:rPr>
          <w:rFonts w:ascii="Calibri" w:eastAsia="Calibri" w:hAnsi="Calibri" w:cs="Calibri"/>
          <w:b/>
          <w:bCs/>
          <w:kern w:val="0"/>
          <w:sz w:val="24"/>
          <w:szCs w:val="24"/>
          <w14:ligatures w14:val="none"/>
        </w:rPr>
        <w:t>:</w:t>
      </w:r>
    </w:p>
    <w:p w14:paraId="212745FC" w14:textId="77777777" w:rsidR="007C4FE1" w:rsidRPr="007C4FE1" w:rsidRDefault="007C4FE1" w:rsidP="007C4FE1">
      <w:pPr>
        <w:widowControl w:val="0"/>
        <w:autoSpaceDE w:val="0"/>
        <w:autoSpaceDN w:val="0"/>
        <w:spacing w:after="0" w:line="240" w:lineRule="auto"/>
        <w:jc w:val="center"/>
        <w:rPr>
          <w:rFonts w:ascii="Calibri" w:eastAsia="Calibri" w:hAnsi="Calibri" w:cs="Calibri"/>
          <w:b/>
          <w:bCs/>
          <w:kern w:val="0"/>
          <w:sz w:val="24"/>
          <w:szCs w:val="24"/>
          <w14:ligatures w14:val="none"/>
        </w:rPr>
      </w:pPr>
    </w:p>
    <w:p w14:paraId="7AB4A76A" w14:textId="77777777" w:rsidR="007C4FE1" w:rsidRPr="007C4FE1" w:rsidRDefault="007C4FE1" w:rsidP="007C4FE1">
      <w:pPr>
        <w:widowControl w:val="0"/>
        <w:autoSpaceDE w:val="0"/>
        <w:autoSpaceDN w:val="0"/>
        <w:spacing w:after="0" w:line="240" w:lineRule="auto"/>
        <w:jc w:val="both"/>
        <w:rPr>
          <w:rFonts w:ascii="Calibri" w:eastAsia="Calibri" w:hAnsi="Calibri" w:cs="Calibri"/>
          <w:kern w:val="0"/>
          <w:sz w:val="24"/>
          <w:szCs w:val="24"/>
          <w14:ligatures w14:val="none"/>
        </w:rPr>
      </w:pPr>
      <w:r w:rsidRPr="007C4FE1">
        <w:rPr>
          <w:rFonts w:ascii="Calibri" w:eastAsia="Calibri" w:hAnsi="Calibri" w:cs="Calibri"/>
          <w:kern w:val="0"/>
          <w:sz w:val="24"/>
          <w:szCs w:val="24"/>
          <w14:ligatures w14:val="none"/>
        </w:rPr>
        <w:t>I - Demonstrações Atuariais (DA) é o documento elaborado por atuário responsável pelo plano de benefícios, contendo todas as informações exigidas pelo órgão de fiscalização e controle das entidades fechadas de previdência complementar relativamente ao plano de benefícios e à avaliação atuarial a que se refere.</w:t>
      </w:r>
    </w:p>
    <w:p w14:paraId="7F8789A9" w14:textId="77777777" w:rsidR="007C4FE1" w:rsidRPr="007C4FE1" w:rsidRDefault="007C4FE1" w:rsidP="007C4FE1">
      <w:pPr>
        <w:widowControl w:val="0"/>
        <w:autoSpaceDE w:val="0"/>
        <w:autoSpaceDN w:val="0"/>
        <w:spacing w:after="0" w:line="240" w:lineRule="auto"/>
        <w:jc w:val="both"/>
        <w:rPr>
          <w:rFonts w:ascii="Calibri" w:eastAsia="Calibri" w:hAnsi="Calibri" w:cs="Calibri"/>
          <w:kern w:val="0"/>
          <w:sz w:val="24"/>
          <w:szCs w:val="24"/>
          <w14:ligatures w14:val="none"/>
        </w:rPr>
      </w:pPr>
    </w:p>
    <w:p w14:paraId="0DB917DA" w14:textId="77777777" w:rsidR="007C4FE1" w:rsidRPr="007C4FE1" w:rsidRDefault="007C4FE1" w:rsidP="007C4FE1">
      <w:pPr>
        <w:widowControl w:val="0"/>
        <w:autoSpaceDE w:val="0"/>
        <w:autoSpaceDN w:val="0"/>
        <w:spacing w:after="0" w:line="240" w:lineRule="auto"/>
        <w:jc w:val="both"/>
        <w:rPr>
          <w:rFonts w:ascii="Calibri" w:eastAsia="Calibri" w:hAnsi="Calibri" w:cs="Calibri"/>
          <w:kern w:val="0"/>
          <w:sz w:val="24"/>
          <w:szCs w:val="24"/>
          <w14:ligatures w14:val="none"/>
        </w:rPr>
      </w:pPr>
      <w:r w:rsidRPr="007C4FE1">
        <w:rPr>
          <w:rFonts w:ascii="Calibri" w:eastAsia="Calibri" w:hAnsi="Calibri" w:cs="Calibri"/>
          <w:kern w:val="0"/>
          <w:sz w:val="24"/>
          <w:szCs w:val="24"/>
          <w14:ligatures w14:val="none"/>
        </w:rPr>
        <w:t>II - Grupo de custeio corresponde qualquer grupo de participantes tratado, em decorrência das regras do plano de benefícios, mediante a utilização de plano de custeio específico.</w:t>
      </w:r>
    </w:p>
    <w:p w14:paraId="4368511B" w14:textId="77777777" w:rsidR="007C4FE1" w:rsidRPr="007C4FE1" w:rsidRDefault="007C4FE1" w:rsidP="007C4FE1">
      <w:pPr>
        <w:widowControl w:val="0"/>
        <w:autoSpaceDE w:val="0"/>
        <w:autoSpaceDN w:val="0"/>
        <w:spacing w:after="0" w:line="240" w:lineRule="auto"/>
        <w:jc w:val="both"/>
        <w:rPr>
          <w:rFonts w:ascii="Calibri" w:eastAsia="Calibri" w:hAnsi="Calibri" w:cs="Calibri"/>
          <w:kern w:val="0"/>
          <w:sz w:val="24"/>
          <w:szCs w:val="24"/>
          <w14:ligatures w14:val="none"/>
        </w:rPr>
      </w:pPr>
    </w:p>
    <w:p w14:paraId="5AEA56F4" w14:textId="10D4B8A0" w:rsidR="009374CE" w:rsidRDefault="007C4FE1" w:rsidP="007C4FE1">
      <w:pPr>
        <w:widowControl w:val="0"/>
        <w:autoSpaceDE w:val="0"/>
        <w:autoSpaceDN w:val="0"/>
        <w:spacing w:after="0" w:line="240" w:lineRule="auto"/>
        <w:jc w:val="both"/>
        <w:rPr>
          <w:rFonts w:ascii="Calibri" w:eastAsia="Calibri" w:hAnsi="Calibri" w:cs="Calibri"/>
          <w:kern w:val="0"/>
          <w:sz w:val="24"/>
          <w:szCs w:val="24"/>
          <w14:ligatures w14:val="none"/>
        </w:rPr>
      </w:pPr>
      <w:r w:rsidRPr="007C4FE1">
        <w:rPr>
          <w:rFonts w:ascii="Calibri" w:eastAsia="Calibri" w:hAnsi="Calibri" w:cs="Calibri"/>
          <w:kern w:val="0"/>
          <w:sz w:val="24"/>
          <w:szCs w:val="24"/>
          <w14:ligatures w14:val="none"/>
        </w:rPr>
        <w:t>III - Nota técnica atuarial (NTA) consiste em documento técnico elaborado por atuário devidamente habilitado, em observância à modelagem do plano de benefícios.</w:t>
      </w:r>
    </w:p>
    <w:p w14:paraId="3838498F" w14:textId="77777777" w:rsidR="00AB4A05" w:rsidRDefault="00AB4A05" w:rsidP="007C4FE1">
      <w:pPr>
        <w:widowControl w:val="0"/>
        <w:autoSpaceDE w:val="0"/>
        <w:autoSpaceDN w:val="0"/>
        <w:spacing w:after="0" w:line="240" w:lineRule="auto"/>
        <w:jc w:val="both"/>
        <w:rPr>
          <w:rFonts w:ascii="Calibri" w:eastAsia="Calibri" w:hAnsi="Calibri" w:cs="Calibri"/>
          <w:kern w:val="0"/>
          <w:sz w:val="24"/>
          <w:szCs w:val="24"/>
          <w14:ligatures w14:val="none"/>
        </w:rPr>
      </w:pPr>
    </w:p>
    <w:p w14:paraId="5EA6F49F" w14:textId="576585BA" w:rsidR="00C413EA" w:rsidRDefault="00AB4A05" w:rsidP="00E46165">
      <w:pPr>
        <w:spacing w:before="120" w:after="120" w:line="240" w:lineRule="auto"/>
        <w:jc w:val="both"/>
        <w:rPr>
          <w:rFonts w:ascii="Calibri" w:eastAsia="Calibri" w:hAnsi="Calibri" w:cs="Calibri"/>
          <w:b/>
          <w:bCs/>
          <w:kern w:val="0"/>
          <w:sz w:val="24"/>
          <w:szCs w:val="24"/>
          <w14:ligatures w14:val="none"/>
        </w:rPr>
      </w:pPr>
      <w:r w:rsidRPr="00AB4A05">
        <w:rPr>
          <w:rFonts w:ascii="Calibri" w:eastAsia="Calibri" w:hAnsi="Calibri" w:cs="Calibri"/>
          <w:bCs/>
          <w:sz w:val="24"/>
          <w:szCs w:val="24"/>
        </w:rPr>
        <w:t>IV - Recursos Garantidores:</w:t>
      </w:r>
      <w:r>
        <w:rPr>
          <w:rFonts w:ascii="Calibri" w:eastAsia="Calibri" w:hAnsi="Calibri" w:cs="Calibri"/>
          <w:sz w:val="24"/>
          <w:szCs w:val="24"/>
        </w:rPr>
        <w:t xml:space="preserve"> os recursos dos planos administrados, formados pelos ativos disponíveis e de investimentos, deduzidos de suas correspondentes exigibilidades, não computados os valores referentes às dívidas contratadas com os patrocinadores</w:t>
      </w:r>
      <w:r>
        <w:rPr>
          <w:rFonts w:ascii="Calibri" w:eastAsia="Calibri" w:hAnsi="Calibri" w:cs="Calibri"/>
          <w:strike/>
          <w:sz w:val="24"/>
          <w:szCs w:val="24"/>
        </w:rPr>
        <w:t>.</w:t>
      </w:r>
      <w:r w:rsidR="00E46165">
        <w:rPr>
          <w:rFonts w:ascii="Calibri" w:eastAsia="Calibri" w:hAnsi="Calibri" w:cs="Calibri"/>
          <w:strike/>
          <w:sz w:val="24"/>
          <w:szCs w:val="24"/>
        </w:rPr>
        <w:t xml:space="preserve"> </w:t>
      </w:r>
    </w:p>
    <w:p w14:paraId="6F1B9085" w14:textId="65EEE37F"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lastRenderedPageBreak/>
        <w:t>Seção I</w:t>
      </w:r>
    </w:p>
    <w:p w14:paraId="0F843DB3"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 xml:space="preserve">Informações Atuariais </w:t>
      </w:r>
    </w:p>
    <w:p w14:paraId="5F3FA769"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Subseção I</w:t>
      </w:r>
    </w:p>
    <w:p w14:paraId="28064781" w14:textId="77777777" w:rsid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Demonstrações Atuariais</w:t>
      </w:r>
    </w:p>
    <w:p w14:paraId="313A0D4A" w14:textId="77777777" w:rsidR="001F644F" w:rsidRPr="00193CB3" w:rsidRDefault="001F644F"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p>
    <w:p w14:paraId="13F1E9F8"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900.  As demonstrações atuariais podem ser:</w:t>
      </w:r>
    </w:p>
    <w:p w14:paraId="42A99B39"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demonstrações</w:t>
      </w:r>
      <w:proofErr w:type="gramEnd"/>
      <w:r w:rsidRPr="00193CB3">
        <w:rPr>
          <w:rFonts w:ascii="Calibri" w:eastAsia="Calibri" w:hAnsi="Calibri" w:cs="Calibri"/>
          <w:kern w:val="0"/>
          <w:sz w:val="24"/>
          <w:szCs w:val="24"/>
          <w14:ligatures w14:val="none"/>
        </w:rPr>
        <w:t xml:space="preserve"> atuariais completas: são aquelas preenchidas com todas as informações sobre a avaliação atuarial; ou</w:t>
      </w:r>
    </w:p>
    <w:p w14:paraId="7FB4A229"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demonstrações</w:t>
      </w:r>
      <w:proofErr w:type="gramEnd"/>
      <w:r w:rsidRPr="00193CB3">
        <w:rPr>
          <w:rFonts w:ascii="Calibri" w:eastAsia="Calibri" w:hAnsi="Calibri" w:cs="Calibri"/>
          <w:kern w:val="0"/>
          <w:sz w:val="24"/>
          <w:szCs w:val="24"/>
          <w14:ligatures w14:val="none"/>
        </w:rPr>
        <w:t xml:space="preserve"> atuariais simplificadas: são aquelas preenchidas com informações sobre a avaliação atuarial estabelecidas na forma do </w:t>
      </w:r>
      <w:r w:rsidRPr="00193CB3">
        <w:rPr>
          <w:rFonts w:ascii="Calibri" w:eastAsia="Calibri" w:hAnsi="Calibri" w:cs="Calibri"/>
          <w:kern w:val="0"/>
          <w:sz w:val="24"/>
          <w:szCs w:val="24"/>
          <w:highlight w:val="yellow"/>
          <w14:ligatures w14:val="none"/>
        </w:rPr>
        <w:t>art. 53.</w:t>
      </w:r>
    </w:p>
    <w:p w14:paraId="4FBDF189"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901.  As demonstrações atuariais devem ser elaboradas e enviadas nos casos de planos que possuam benefícios concedidos ou a conceder.</w:t>
      </w:r>
    </w:p>
    <w:p w14:paraId="44E7EB50"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p w14:paraId="103B2E0A"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902.  Na ocorrência de fato relevante deve ser realizada nova avaliação atuarial, posicionada na data da efetivação do fato que a motivou.</w:t>
      </w:r>
    </w:p>
    <w:p w14:paraId="4961DE2B"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903.  As informações contidas nas demonstrações atuariais devem refletir de forma individualizada todos os planos de benefícios mantidos pela EFPC e aprovados pelo órgão competente, na data de referência da avaliação atuarial.</w:t>
      </w:r>
    </w:p>
    <w:p w14:paraId="4A94FBBA"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Parágrafo único.  O preenchimento das demonstrações atuariais deve ser feito, quando indicado, por grupo de custeio, com identificação por numeração sequencial que não pode ser alterada com o tempo.</w:t>
      </w:r>
    </w:p>
    <w:p w14:paraId="5089DBD2"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904.  As demonstrações atuariais devem ser enviadas ao patrocinador do plano de benefícios antes do início de vigência do plano de custeio.</w:t>
      </w:r>
    </w:p>
    <w:p w14:paraId="53C2EB8B"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1</w:t>
      </w:r>
      <w:proofErr w:type="gramStart"/>
      <w:r w:rsidRPr="00193CB3">
        <w:rPr>
          <w:rFonts w:ascii="Calibri" w:eastAsia="Calibri" w:hAnsi="Calibri" w:cs="Calibri"/>
          <w:kern w:val="0"/>
          <w:sz w:val="24"/>
          <w:szCs w:val="24"/>
          <w14:ligatures w14:val="none"/>
        </w:rPr>
        <w:t>º  O</w:t>
      </w:r>
      <w:proofErr w:type="gramEnd"/>
      <w:r w:rsidRPr="00193CB3">
        <w:rPr>
          <w:rFonts w:ascii="Calibri" w:eastAsia="Calibri" w:hAnsi="Calibri" w:cs="Calibri"/>
          <w:kern w:val="0"/>
          <w:sz w:val="24"/>
          <w:szCs w:val="24"/>
          <w14:ligatures w14:val="none"/>
        </w:rPr>
        <w:t xml:space="preserve"> plano de custeio estabelecido pela avaliação atuarial de encerramento de exercício deve entrar em vigor até o dia 1º de abril do exercício subsequente ao de referência da respectiva avaliação atuarial.</w:t>
      </w:r>
    </w:p>
    <w:p w14:paraId="77D30EAE"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2</w:t>
      </w:r>
      <w:proofErr w:type="gramStart"/>
      <w:r w:rsidRPr="00193CB3">
        <w:rPr>
          <w:rFonts w:ascii="Calibri" w:eastAsia="Calibri" w:hAnsi="Calibri" w:cs="Calibri"/>
          <w:kern w:val="0"/>
          <w:sz w:val="24"/>
          <w:szCs w:val="24"/>
          <w14:ligatures w14:val="none"/>
        </w:rPr>
        <w:t>º  É</w:t>
      </w:r>
      <w:proofErr w:type="gramEnd"/>
      <w:r w:rsidRPr="00193CB3">
        <w:rPr>
          <w:rFonts w:ascii="Calibri" w:eastAsia="Calibri" w:hAnsi="Calibri" w:cs="Calibri"/>
          <w:kern w:val="0"/>
          <w:sz w:val="24"/>
          <w:szCs w:val="24"/>
          <w14:ligatures w14:val="none"/>
        </w:rPr>
        <w:t xml:space="preserve"> admitido o estabelecimento de plano de custeio com efeitos retroativos ao início do exercício, desde que haja expressa concordância do patrocinador.</w:t>
      </w:r>
    </w:p>
    <w:p w14:paraId="76E72B95"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3</w:t>
      </w:r>
      <w:proofErr w:type="gramStart"/>
      <w:r w:rsidRPr="00193CB3">
        <w:rPr>
          <w:rFonts w:ascii="Calibri" w:eastAsia="Calibri" w:hAnsi="Calibri" w:cs="Calibri"/>
          <w:kern w:val="0"/>
          <w:sz w:val="24"/>
          <w:szCs w:val="24"/>
          <w14:ligatures w14:val="none"/>
        </w:rPr>
        <w:t>º  No</w:t>
      </w:r>
      <w:proofErr w:type="gramEnd"/>
      <w:r w:rsidRPr="00193CB3">
        <w:rPr>
          <w:rFonts w:ascii="Calibri" w:eastAsia="Calibri" w:hAnsi="Calibri" w:cs="Calibri"/>
          <w:kern w:val="0"/>
          <w:sz w:val="24"/>
          <w:szCs w:val="24"/>
          <w14:ligatures w14:val="none"/>
        </w:rPr>
        <w:t xml:space="preserve">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p w14:paraId="1D7FF56F"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Subseção II</w:t>
      </w:r>
    </w:p>
    <w:p w14:paraId="50F75201" w14:textId="77777777" w:rsid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Avaliação Atuarial</w:t>
      </w:r>
    </w:p>
    <w:p w14:paraId="313B62D6" w14:textId="77777777" w:rsidR="001F644F" w:rsidRPr="00193CB3" w:rsidRDefault="001F644F"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p>
    <w:p w14:paraId="3B11D06C"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905.  A data de referência dos dados cadastrais utilizados na avaliação atuarial não pode estar defasada em mais de seis meses em relação à data da avaliação.</w:t>
      </w:r>
    </w:p>
    <w:p w14:paraId="357593D4"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1</w:t>
      </w:r>
      <w:proofErr w:type="gramStart"/>
      <w:r w:rsidRPr="00193CB3">
        <w:rPr>
          <w:rFonts w:ascii="Calibri" w:eastAsia="Calibri" w:hAnsi="Calibri" w:cs="Calibri"/>
          <w:kern w:val="0"/>
          <w:sz w:val="24"/>
          <w:szCs w:val="24"/>
          <w14:ligatures w14:val="none"/>
        </w:rPr>
        <w:t>º  Os</w:t>
      </w:r>
      <w:proofErr w:type="gramEnd"/>
      <w:r w:rsidRPr="00193CB3">
        <w:rPr>
          <w:rFonts w:ascii="Calibri" w:eastAsia="Calibri" w:hAnsi="Calibri" w:cs="Calibri"/>
          <w:kern w:val="0"/>
          <w:sz w:val="24"/>
          <w:szCs w:val="24"/>
          <w14:ligatures w14:val="none"/>
        </w:rPr>
        <w:t xml:space="preserve">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p w14:paraId="7AB508A0"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2</w:t>
      </w:r>
      <w:proofErr w:type="gramStart"/>
      <w:r w:rsidRPr="00193CB3">
        <w:rPr>
          <w:rFonts w:ascii="Calibri" w:eastAsia="Calibri" w:hAnsi="Calibri" w:cs="Calibri"/>
          <w:kern w:val="0"/>
          <w:sz w:val="24"/>
          <w:szCs w:val="24"/>
          <w14:ligatures w14:val="none"/>
        </w:rPr>
        <w:t>º  Sem</w:t>
      </w:r>
      <w:proofErr w:type="gramEnd"/>
      <w:r w:rsidRPr="00193CB3">
        <w:rPr>
          <w:rFonts w:ascii="Calibri" w:eastAsia="Calibri" w:hAnsi="Calibri" w:cs="Calibri"/>
          <w:kern w:val="0"/>
          <w:sz w:val="24"/>
          <w:szCs w:val="24"/>
          <w14:ligatures w14:val="none"/>
        </w:rPr>
        <w:t xml:space="preserve"> prejuízo do disposto no </w:t>
      </w:r>
      <w:r w:rsidRPr="00193CB3">
        <w:rPr>
          <w:rFonts w:ascii="Calibri" w:eastAsia="Calibri" w:hAnsi="Calibri" w:cs="Calibri"/>
          <w:b/>
          <w:bCs/>
          <w:kern w:val="0"/>
          <w:sz w:val="24"/>
          <w:szCs w:val="24"/>
          <w14:ligatures w14:val="none"/>
        </w:rPr>
        <w:t>caput</w:t>
      </w:r>
      <w:r w:rsidRPr="00193CB3">
        <w:rPr>
          <w:rFonts w:ascii="Calibri" w:eastAsia="Calibri" w:hAnsi="Calibri" w:cs="Calibri"/>
          <w:kern w:val="0"/>
          <w:sz w:val="24"/>
          <w:szCs w:val="24"/>
          <w14:ligatures w14:val="none"/>
        </w:rPr>
        <w:t xml:space="preserve">, no caso de plano de benefícios que tenha passado por alteração nos últimos doze meses em decorrência de retirada de patrocínio, </w:t>
      </w:r>
      <w:proofErr w:type="spellStart"/>
      <w:r w:rsidRPr="00193CB3">
        <w:rPr>
          <w:rFonts w:ascii="Calibri" w:eastAsia="Calibri" w:hAnsi="Calibri" w:cs="Calibri"/>
          <w:kern w:val="0"/>
          <w:sz w:val="24"/>
          <w:szCs w:val="24"/>
          <w14:ligatures w14:val="none"/>
        </w:rPr>
        <w:t>saldamento</w:t>
      </w:r>
      <w:proofErr w:type="spellEnd"/>
      <w:r w:rsidRPr="00193CB3">
        <w:rPr>
          <w:rFonts w:ascii="Calibri" w:eastAsia="Calibri" w:hAnsi="Calibri" w:cs="Calibri"/>
          <w:kern w:val="0"/>
          <w:sz w:val="24"/>
          <w:szCs w:val="24"/>
          <w14:ligatures w14:val="none"/>
        </w:rPr>
        <w:t xml:space="preserve">, fusão, cisão, incorporação, </w:t>
      </w:r>
      <w:r w:rsidRPr="00193CB3">
        <w:rPr>
          <w:rFonts w:ascii="Calibri" w:eastAsia="Calibri" w:hAnsi="Calibri" w:cs="Calibri"/>
          <w:kern w:val="0"/>
          <w:sz w:val="24"/>
          <w:szCs w:val="24"/>
          <w14:ligatures w14:val="none"/>
        </w:rPr>
        <w:lastRenderedPageBreak/>
        <w:t>ou qualquer outra forma de reorganização societária, a data de referência dos dados cadastrais não pode ser anterior à data da efetivação da operação.</w:t>
      </w:r>
    </w:p>
    <w:p w14:paraId="0E18CF73"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Art. 906.  Os valores, consolidados pela EFPC, de provisões matemáticas, déficits, superávits e fundos </w:t>
      </w:r>
      <w:proofErr w:type="spellStart"/>
      <w:r w:rsidRPr="00193CB3">
        <w:rPr>
          <w:rFonts w:ascii="Calibri" w:eastAsia="Calibri" w:hAnsi="Calibri" w:cs="Calibri"/>
          <w:kern w:val="0"/>
          <w:sz w:val="24"/>
          <w:szCs w:val="24"/>
          <w14:ligatures w14:val="none"/>
        </w:rPr>
        <w:t>previdenciais</w:t>
      </w:r>
      <w:proofErr w:type="spellEnd"/>
      <w:r w:rsidRPr="00193CB3">
        <w:rPr>
          <w:rFonts w:ascii="Calibri" w:eastAsia="Calibri" w:hAnsi="Calibri" w:cs="Calibri"/>
          <w:kern w:val="0"/>
          <w:sz w:val="24"/>
          <w:szCs w:val="24"/>
          <w14:ligatures w14:val="none"/>
        </w:rPr>
        <w:t xml:space="preserve"> apresentados nas demonstrações atuariais, por ocasião da avaliação atuarial de encerramento do exercício, devem coincidir com os valores do balanço patrimonial.</w:t>
      </w:r>
    </w:p>
    <w:p w14:paraId="68DB22DA"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907.  A expectativa de evolução das taxas de contribuição do plano de benefícios deve constar da avaliação atuarial.</w:t>
      </w:r>
    </w:p>
    <w:p w14:paraId="39D4E840"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908.  A destinação das contribuições para o plano de benefícios deve ser discriminada na avaliação atuarial.</w:t>
      </w:r>
    </w:p>
    <w:p w14:paraId="37DEBE09"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909.  Os relatórios complementares apresentados pelo atuário à diretoria executiva ou aos conselhos devem ser arquivados em conjunto com as demonstrações atuariais e apresentados à Previc, quando solicitado.</w:t>
      </w:r>
    </w:p>
    <w:p w14:paraId="772D307D"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Subseção III</w:t>
      </w:r>
    </w:p>
    <w:p w14:paraId="1BAA27B8"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Nota Técnica Atuarial</w:t>
      </w:r>
    </w:p>
    <w:p w14:paraId="69C27E81"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p>
    <w:p w14:paraId="657C11B3"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910.  A nota técnica atuarial deve:</w:t>
      </w:r>
    </w:p>
    <w:p w14:paraId="63BFDD03"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estar</w:t>
      </w:r>
      <w:proofErr w:type="gramEnd"/>
      <w:r w:rsidRPr="00193CB3">
        <w:rPr>
          <w:rFonts w:ascii="Calibri" w:eastAsia="Calibri" w:hAnsi="Calibri" w:cs="Calibri"/>
          <w:kern w:val="0"/>
          <w:sz w:val="24"/>
          <w:szCs w:val="24"/>
          <w14:ligatures w14:val="none"/>
        </w:rPr>
        <w:t xml:space="preserve"> atualizada e consistente com o regulamento do plano de benefícios;</w:t>
      </w:r>
    </w:p>
    <w:p w14:paraId="528EA5E3"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ser</w:t>
      </w:r>
      <w:proofErr w:type="gramEnd"/>
      <w:r w:rsidRPr="00193CB3">
        <w:rPr>
          <w:rFonts w:ascii="Calibri" w:eastAsia="Calibri" w:hAnsi="Calibri" w:cs="Calibri"/>
          <w:kern w:val="0"/>
          <w:sz w:val="24"/>
          <w:szCs w:val="24"/>
          <w14:ligatures w14:val="none"/>
        </w:rPr>
        <w:t xml:space="preserve"> elaborada observando as características específicas de cada plano de benefícios; e</w:t>
      </w:r>
    </w:p>
    <w:p w14:paraId="457EE196"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III - ser enviada à Previc:</w:t>
      </w:r>
    </w:p>
    <w:p w14:paraId="2FA11574"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 por ocasião da implantação ou alteração do plano de benefícios e sempre que houver modificações na modelagem atuarial, de modo que seu conteúdo reflita todas as práticas atuariais adotadas para o plano; e</w:t>
      </w:r>
    </w:p>
    <w:p w14:paraId="51C0D470"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b) contendo a identificação do atuário habilitado e legalmente responsável pelo plano de benefícios, acompanhada de manifestação de ciência e concordância do administrador responsável pelo plano de benefícios com seu inteiro teor, para cada um dos planos de benefícios administrados pela EFPC.</w:t>
      </w:r>
    </w:p>
    <w:p w14:paraId="6DA2A999"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Parágrafo único.  Os planos de benefícios dispensados de envio das demonstrações atuariais, nos termos do parágrafo único do </w:t>
      </w:r>
      <w:r w:rsidRPr="00193CB3">
        <w:rPr>
          <w:rFonts w:ascii="Calibri" w:eastAsia="Calibri" w:hAnsi="Calibri" w:cs="Calibri"/>
          <w:kern w:val="0"/>
          <w:sz w:val="24"/>
          <w:szCs w:val="24"/>
          <w:highlight w:val="yellow"/>
          <w14:ligatures w14:val="none"/>
        </w:rPr>
        <w:t>art. 57</w:t>
      </w:r>
      <w:r w:rsidRPr="00193CB3">
        <w:rPr>
          <w:rFonts w:ascii="Calibri" w:eastAsia="Calibri" w:hAnsi="Calibri" w:cs="Calibri"/>
          <w:kern w:val="0"/>
          <w:sz w:val="24"/>
          <w:szCs w:val="24"/>
          <w14:ligatures w14:val="none"/>
        </w:rPr>
        <w:t>, também estão dispensados do envio da nota técnica atuarial.</w:t>
      </w:r>
    </w:p>
    <w:p w14:paraId="1451356A"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911.  A EFPC deve assegurar que o atuário, ao assumir a responsabilidade pelo plano de benefícios:</w:t>
      </w:r>
    </w:p>
    <w:p w14:paraId="0A7AED77"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ratifique</w:t>
      </w:r>
      <w:proofErr w:type="gramEnd"/>
      <w:r w:rsidRPr="00193CB3">
        <w:rPr>
          <w:rFonts w:ascii="Calibri" w:eastAsia="Calibri" w:hAnsi="Calibri" w:cs="Calibri"/>
          <w:kern w:val="0"/>
          <w:sz w:val="24"/>
          <w:szCs w:val="24"/>
          <w14:ligatures w14:val="none"/>
        </w:rPr>
        <w:t xml:space="preserve"> formalmente a nota técnica atuarial em vigor, caso considere o documento apropriado às regras regulamentares do plano e aderente aos requisitos técnico-atuariais pertinentes; ou</w:t>
      </w:r>
    </w:p>
    <w:p w14:paraId="28F4AC6C"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elabore</w:t>
      </w:r>
      <w:proofErr w:type="gramEnd"/>
      <w:r w:rsidRPr="00193CB3">
        <w:rPr>
          <w:rFonts w:ascii="Calibri" w:eastAsia="Calibri" w:hAnsi="Calibri" w:cs="Calibri"/>
          <w:kern w:val="0"/>
          <w:sz w:val="24"/>
          <w:szCs w:val="24"/>
          <w14:ligatures w14:val="none"/>
        </w:rPr>
        <w:t xml:space="preserve"> nota técnica atuarial, com as justificativas da alteração.</w:t>
      </w:r>
    </w:p>
    <w:p w14:paraId="4D877BEF"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912.  A nota técnica atuarial e o plano de custeio de cada plano de benefícios, objeto de contrato de seguro, devem prever o tratamento a ser dado às seguintes situações:</w:t>
      </w:r>
    </w:p>
    <w:p w14:paraId="61AA4B5A"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exclusão</w:t>
      </w:r>
      <w:proofErr w:type="gramEnd"/>
      <w:r w:rsidRPr="00193CB3">
        <w:rPr>
          <w:rFonts w:ascii="Calibri" w:eastAsia="Calibri" w:hAnsi="Calibri" w:cs="Calibri"/>
          <w:kern w:val="0"/>
          <w:sz w:val="24"/>
          <w:szCs w:val="24"/>
          <w14:ligatures w14:val="none"/>
        </w:rPr>
        <w:t xml:space="preserve"> de determinados riscos pela sociedade seguradora; e</w:t>
      </w:r>
    </w:p>
    <w:p w14:paraId="5D199921" w14:textId="77777777" w:rsid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recusa</w:t>
      </w:r>
      <w:proofErr w:type="gramEnd"/>
      <w:r w:rsidRPr="00193CB3">
        <w:rPr>
          <w:rFonts w:ascii="Calibri" w:eastAsia="Calibri" w:hAnsi="Calibri" w:cs="Calibri"/>
          <w:kern w:val="0"/>
          <w:sz w:val="24"/>
          <w:szCs w:val="24"/>
          <w14:ligatures w14:val="none"/>
        </w:rPr>
        <w:t xml:space="preserve"> de participantes ou assistidos pela sociedade seguradora.</w:t>
      </w:r>
    </w:p>
    <w:p w14:paraId="3A14743C" w14:textId="5386E3EE"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 xml:space="preserve">Subseção </w:t>
      </w:r>
      <w:r>
        <w:rPr>
          <w:rFonts w:ascii="Calibri" w:eastAsia="Calibri" w:hAnsi="Calibri" w:cs="Calibri"/>
          <w:b/>
          <w:bCs/>
          <w:kern w:val="0"/>
          <w:sz w:val="24"/>
          <w:szCs w:val="24"/>
          <w14:ligatures w14:val="none"/>
        </w:rPr>
        <w:t>IV</w:t>
      </w:r>
    </w:p>
    <w:p w14:paraId="3DBBF531" w14:textId="77777777" w:rsidR="00193CB3" w:rsidRDefault="00193CB3" w:rsidP="001E32EE">
      <w:pPr>
        <w:widowControl w:val="0"/>
        <w:autoSpaceDE w:val="0"/>
        <w:autoSpaceDN w:val="0"/>
        <w:spacing w:after="12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Envio das Informações Atuariais</w:t>
      </w:r>
    </w:p>
    <w:p w14:paraId="6EBA3902" w14:textId="29EF3902"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Art.913. </w:t>
      </w:r>
      <w:r w:rsidR="001E32EE">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O envio de documentos e informações atuariais à Previc deve ser realizado:</w:t>
      </w:r>
    </w:p>
    <w:p w14:paraId="7929E441"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até</w:t>
      </w:r>
      <w:proofErr w:type="gramEnd"/>
      <w:r w:rsidRPr="00193CB3">
        <w:rPr>
          <w:rFonts w:ascii="Calibri" w:eastAsia="Calibri" w:hAnsi="Calibri" w:cs="Calibri"/>
          <w:kern w:val="0"/>
          <w:sz w:val="24"/>
          <w:szCs w:val="24"/>
          <w14:ligatures w14:val="none"/>
        </w:rPr>
        <w:t xml:space="preserve"> 31 de março do exercício subsequente, para as demonstrações atuariais relativas ao encerramento </w:t>
      </w:r>
      <w:r w:rsidRPr="00193CB3">
        <w:rPr>
          <w:rFonts w:ascii="Calibri" w:eastAsia="Calibri" w:hAnsi="Calibri" w:cs="Calibri"/>
          <w:kern w:val="0"/>
          <w:sz w:val="24"/>
          <w:szCs w:val="24"/>
          <w14:ligatures w14:val="none"/>
        </w:rPr>
        <w:lastRenderedPageBreak/>
        <w:t>do exercício de referência; e</w:t>
      </w:r>
    </w:p>
    <w:p w14:paraId="57268C6B"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até</w:t>
      </w:r>
      <w:proofErr w:type="gramEnd"/>
      <w:r w:rsidRPr="00193CB3">
        <w:rPr>
          <w:rFonts w:ascii="Calibri" w:eastAsia="Calibri" w:hAnsi="Calibri" w:cs="Calibri"/>
          <w:kern w:val="0"/>
          <w:sz w:val="24"/>
          <w:szCs w:val="24"/>
          <w14:ligatures w14:val="none"/>
        </w:rPr>
        <w:t xml:space="preserve"> noventa dias após a conclusão do fato que motivou a nova avaliação atuarial, para as demonstrações atuariais por fato relevante.</w:t>
      </w:r>
    </w:p>
    <w:p w14:paraId="27EC3820" w14:textId="77777777" w:rsidR="00193CB3" w:rsidRPr="00193CB3" w:rsidRDefault="00193CB3" w:rsidP="00364BE5">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Seção II</w:t>
      </w:r>
    </w:p>
    <w:p w14:paraId="2C31EEB4" w14:textId="77777777" w:rsidR="00193CB3" w:rsidRPr="00193CB3" w:rsidRDefault="00193CB3" w:rsidP="00364BE5">
      <w:pPr>
        <w:widowControl w:val="0"/>
        <w:autoSpaceDE w:val="0"/>
        <w:autoSpaceDN w:val="0"/>
        <w:spacing w:after="12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Informações Contábeis</w:t>
      </w:r>
    </w:p>
    <w:p w14:paraId="129F4962" w14:textId="77777777" w:rsidR="00193CB3" w:rsidRPr="00193CB3" w:rsidRDefault="00193CB3" w:rsidP="00364BE5">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Subseção I</w:t>
      </w:r>
    </w:p>
    <w:p w14:paraId="03CEEDDA" w14:textId="77777777" w:rsidR="00193CB3" w:rsidRDefault="00193CB3" w:rsidP="00364BE5">
      <w:pPr>
        <w:widowControl w:val="0"/>
        <w:autoSpaceDE w:val="0"/>
        <w:autoSpaceDN w:val="0"/>
        <w:spacing w:after="12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Forma, prazo e meio de envio das demonstrações contábeis</w:t>
      </w:r>
    </w:p>
    <w:p w14:paraId="6AE3F822" w14:textId="77777777" w:rsidR="001F644F" w:rsidRPr="00193CB3" w:rsidRDefault="001F644F"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p>
    <w:p w14:paraId="34876EFB" w14:textId="4F4A2883"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Art.91</w:t>
      </w:r>
      <w:r w:rsidR="00364BE5">
        <w:rPr>
          <w:rFonts w:ascii="Calibri" w:eastAsia="Calibri" w:hAnsi="Calibri" w:cs="Calibri"/>
          <w:kern w:val="0"/>
          <w:sz w:val="24"/>
          <w:szCs w:val="24"/>
          <w14:ligatures w14:val="none"/>
        </w:rPr>
        <w:t>4</w:t>
      </w:r>
      <w:r w:rsidRPr="00193CB3">
        <w:rPr>
          <w:rFonts w:ascii="Calibri" w:eastAsia="Calibri" w:hAnsi="Calibri" w:cs="Calibri"/>
          <w:kern w:val="0"/>
          <w:sz w:val="24"/>
          <w:szCs w:val="24"/>
          <w14:ligatures w14:val="none"/>
        </w:rPr>
        <w:t xml:space="preserve">. </w:t>
      </w:r>
      <w:r w:rsidR="001E32EE">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 xml:space="preserve">As EFPC devem elaborar os seguintes documentos: </w:t>
      </w:r>
    </w:p>
    <w:p w14:paraId="4AB96228"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I - Balancetes mensais do Plano de Benefícios, do Plano de Gestão Administrativa e do Consolidado;</w:t>
      </w:r>
    </w:p>
    <w:p w14:paraId="44F7839B"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Balanço Patrimonial Consolidado, comparativo com o exercício anterior; </w:t>
      </w:r>
    </w:p>
    <w:p w14:paraId="66809A70"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III - Demonstração da Mutação do Patrimônio Social (DMPS), de forma consolidada, comparativa com exercício anterior; </w:t>
      </w:r>
    </w:p>
    <w:p w14:paraId="6EB19F50"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IV - Demonstração do PGA (DPGA), de forma consolidada, comparativa com o exercício anterior; </w:t>
      </w:r>
    </w:p>
    <w:p w14:paraId="2F39BE18"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V - Demonstração do Ativo Líquido (DAL), por plano de benefícios de caráter </w:t>
      </w:r>
      <w:proofErr w:type="spellStart"/>
      <w:r w:rsidRPr="00193CB3">
        <w:rPr>
          <w:rFonts w:ascii="Calibri" w:eastAsia="Calibri" w:hAnsi="Calibri" w:cs="Calibri"/>
          <w:kern w:val="0"/>
          <w:sz w:val="24"/>
          <w:szCs w:val="24"/>
          <w14:ligatures w14:val="none"/>
        </w:rPr>
        <w:t>previdencial</w:t>
      </w:r>
      <w:proofErr w:type="spellEnd"/>
      <w:r w:rsidRPr="00193CB3">
        <w:rPr>
          <w:rFonts w:ascii="Calibri" w:eastAsia="Calibri" w:hAnsi="Calibri" w:cs="Calibri"/>
          <w:kern w:val="0"/>
          <w:sz w:val="24"/>
          <w:szCs w:val="24"/>
          <w14:ligatures w14:val="none"/>
        </w:rPr>
        <w:t xml:space="preserve">, comparativa com o exercício anterior; </w:t>
      </w:r>
    </w:p>
    <w:p w14:paraId="553E6646"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VI - Demonstração da Mutação do Ativo Líquido (DMAL), por plano de benefícios de caráter </w:t>
      </w:r>
      <w:proofErr w:type="spellStart"/>
      <w:r w:rsidRPr="00193CB3">
        <w:rPr>
          <w:rFonts w:ascii="Calibri" w:eastAsia="Calibri" w:hAnsi="Calibri" w:cs="Calibri"/>
          <w:kern w:val="0"/>
          <w:sz w:val="24"/>
          <w:szCs w:val="24"/>
          <w14:ligatures w14:val="none"/>
        </w:rPr>
        <w:t>previdencial</w:t>
      </w:r>
      <w:proofErr w:type="spellEnd"/>
      <w:r w:rsidRPr="00193CB3">
        <w:rPr>
          <w:rFonts w:ascii="Calibri" w:eastAsia="Calibri" w:hAnsi="Calibri" w:cs="Calibri"/>
          <w:kern w:val="0"/>
          <w:sz w:val="24"/>
          <w:szCs w:val="24"/>
          <w14:ligatures w14:val="none"/>
        </w:rPr>
        <w:t xml:space="preserve">, comparativa com o exercício anterior; </w:t>
      </w:r>
    </w:p>
    <w:p w14:paraId="55E6772D"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VII - Demonstração das Provisões Técnicas do Plano de Benefícios (DPT), por plano de benefícios de caráter </w:t>
      </w:r>
      <w:proofErr w:type="spellStart"/>
      <w:r w:rsidRPr="00193CB3">
        <w:rPr>
          <w:rFonts w:ascii="Calibri" w:eastAsia="Calibri" w:hAnsi="Calibri" w:cs="Calibri"/>
          <w:kern w:val="0"/>
          <w:sz w:val="24"/>
          <w:szCs w:val="24"/>
          <w14:ligatures w14:val="none"/>
        </w:rPr>
        <w:t>previdencial</w:t>
      </w:r>
      <w:proofErr w:type="spellEnd"/>
      <w:r w:rsidRPr="00193CB3">
        <w:rPr>
          <w:rFonts w:ascii="Calibri" w:eastAsia="Calibri" w:hAnsi="Calibri" w:cs="Calibri"/>
          <w:kern w:val="0"/>
          <w:sz w:val="24"/>
          <w:szCs w:val="24"/>
          <w14:ligatures w14:val="none"/>
        </w:rPr>
        <w:t xml:space="preserve">, comparativa com o exercício anterior; </w:t>
      </w:r>
    </w:p>
    <w:p w14:paraId="0576DAD5"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VIII - Notas Explicativas às Demonstrações Contábeis consolidadas; </w:t>
      </w:r>
    </w:p>
    <w:p w14:paraId="3BB5DCEB"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IX - Parecer do Conselho Fiscal, com opinião sobre as Demonstrações Contábeis; </w:t>
      </w:r>
    </w:p>
    <w:p w14:paraId="4AE8FE69"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X - Manifestação do Conselho Deliberativo relativa à aprovação das Demonstrações Contábeis; e </w:t>
      </w:r>
    </w:p>
    <w:p w14:paraId="00AFA8FD" w14:textId="77777777" w:rsidR="001E32EE"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XI - Relatórios de Auditor Independente, descritos a seguir: </w:t>
      </w:r>
    </w:p>
    <w:p w14:paraId="00C204C2" w14:textId="77777777" w:rsidR="001E32EE" w:rsidRPr="00C031E1" w:rsidRDefault="001E32EE" w:rsidP="001E32EE">
      <w:pPr>
        <w:jc w:val="both"/>
        <w:rPr>
          <w:rFonts w:cstheme="minorHAnsi"/>
          <w:sz w:val="24"/>
          <w:szCs w:val="24"/>
        </w:rPr>
      </w:pPr>
      <w:r>
        <w:rPr>
          <w:rFonts w:cstheme="minorHAnsi"/>
          <w:sz w:val="24"/>
          <w:szCs w:val="24"/>
        </w:rPr>
        <w:t>a) r</w:t>
      </w:r>
      <w:r w:rsidRPr="00C031E1">
        <w:rPr>
          <w:rFonts w:cstheme="minorHAnsi"/>
          <w:sz w:val="24"/>
          <w:szCs w:val="24"/>
        </w:rPr>
        <w:t xml:space="preserve">elatório do auditor independente sobre as demonstrações contábeis; </w:t>
      </w:r>
    </w:p>
    <w:p w14:paraId="2E3D4558" w14:textId="77777777" w:rsidR="001E32EE" w:rsidRPr="00350E4E" w:rsidRDefault="001E32EE" w:rsidP="001E32EE">
      <w:pPr>
        <w:jc w:val="both"/>
        <w:rPr>
          <w:rFonts w:cstheme="minorHAnsi"/>
          <w:sz w:val="24"/>
          <w:szCs w:val="24"/>
        </w:rPr>
      </w:pPr>
      <w:r w:rsidRPr="00C031E1">
        <w:rPr>
          <w:rFonts w:cstheme="minorHAnsi"/>
          <w:sz w:val="24"/>
          <w:szCs w:val="24"/>
        </w:rPr>
        <w:t xml:space="preserve">b) </w:t>
      </w:r>
      <w:r w:rsidRPr="00350E4E">
        <w:rPr>
          <w:rFonts w:cstheme="minorHAnsi"/>
          <w:sz w:val="24"/>
          <w:szCs w:val="24"/>
        </w:rPr>
        <w:t xml:space="preserve">relatório circunstanciado sobre controles internos; e </w:t>
      </w:r>
    </w:p>
    <w:p w14:paraId="3DCAD873" w14:textId="77777777" w:rsidR="001E32EE" w:rsidRPr="001E32EE" w:rsidRDefault="001E32EE" w:rsidP="001E32EE">
      <w:pPr>
        <w:widowControl w:val="0"/>
        <w:autoSpaceDE w:val="0"/>
        <w:autoSpaceDN w:val="0"/>
        <w:spacing w:after="120" w:line="240" w:lineRule="auto"/>
        <w:jc w:val="both"/>
        <w:rPr>
          <w:rFonts w:cstheme="minorHAnsi"/>
          <w:sz w:val="24"/>
          <w:szCs w:val="24"/>
        </w:rPr>
      </w:pPr>
      <w:r w:rsidRPr="001E32EE">
        <w:rPr>
          <w:rFonts w:cstheme="minorHAnsi"/>
          <w:sz w:val="24"/>
          <w:szCs w:val="24"/>
        </w:rPr>
        <w:t xml:space="preserve">c) relatório para propósito específico, exigido das EFPC classificadas pela Previc com base em critérios objetivos que leve em consideração porte e relevância. </w:t>
      </w:r>
    </w:p>
    <w:p w14:paraId="170F65BA" w14:textId="1C6947EE" w:rsidR="001F644F" w:rsidRPr="001E32EE" w:rsidRDefault="001F644F" w:rsidP="001E32EE">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XII </w:t>
      </w:r>
      <w:r w:rsidR="00DC70A7">
        <w:rPr>
          <w:rFonts w:ascii="Calibri" w:eastAsia="Calibri" w:hAnsi="Calibri" w:cs="Calibri"/>
          <w:kern w:val="0"/>
          <w:sz w:val="24"/>
          <w:szCs w:val="24"/>
          <w14:ligatures w14:val="none"/>
        </w:rPr>
        <w:t>-</w:t>
      </w:r>
      <w:r w:rsidRPr="00193CB3">
        <w:rPr>
          <w:rFonts w:ascii="Calibri" w:eastAsia="Calibri" w:hAnsi="Calibri" w:cs="Calibri"/>
          <w:kern w:val="0"/>
          <w:sz w:val="24"/>
          <w:szCs w:val="24"/>
          <w14:ligatures w14:val="none"/>
        </w:rPr>
        <w:t xml:space="preserve"> </w:t>
      </w:r>
      <w:r w:rsidR="001E32EE" w:rsidRPr="001E32EE">
        <w:rPr>
          <w:rFonts w:cstheme="minorHAnsi"/>
          <w:sz w:val="24"/>
          <w:szCs w:val="24"/>
        </w:rPr>
        <w:t xml:space="preserve">Informações extracontábeis conforme o </w:t>
      </w:r>
      <w:r w:rsidR="001E32EE" w:rsidRPr="001E32EE">
        <w:rPr>
          <w:rFonts w:cstheme="minorHAnsi"/>
          <w:sz w:val="24"/>
          <w:szCs w:val="24"/>
          <w:highlight w:val="yellow"/>
        </w:rPr>
        <w:t>anexo IV</w:t>
      </w:r>
      <w:r w:rsidR="001E32EE" w:rsidRPr="001E32EE">
        <w:rPr>
          <w:rFonts w:cstheme="minorHAnsi"/>
          <w:sz w:val="24"/>
          <w:szCs w:val="24"/>
        </w:rPr>
        <w:t>.</w:t>
      </w:r>
    </w:p>
    <w:p w14:paraId="281A3680" w14:textId="390CA416"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1</w:t>
      </w:r>
      <w:proofErr w:type="gramStart"/>
      <w:r w:rsidRPr="00193CB3">
        <w:rPr>
          <w:rFonts w:ascii="Calibri" w:eastAsia="Calibri" w:hAnsi="Calibri" w:cs="Calibri"/>
          <w:kern w:val="0"/>
          <w:sz w:val="24"/>
          <w:szCs w:val="24"/>
          <w14:ligatures w14:val="none"/>
        </w:rPr>
        <w:t>º</w:t>
      </w:r>
      <w:r w:rsidR="001E32EE">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 xml:space="preserve"> Os</w:t>
      </w:r>
      <w:proofErr w:type="gramEnd"/>
      <w:r w:rsidRPr="00193CB3">
        <w:rPr>
          <w:rFonts w:ascii="Calibri" w:eastAsia="Calibri" w:hAnsi="Calibri" w:cs="Calibri"/>
          <w:kern w:val="0"/>
          <w:sz w:val="24"/>
          <w:szCs w:val="24"/>
          <w14:ligatures w14:val="none"/>
        </w:rPr>
        <w:t xml:space="preserve"> documentos elencados nos incisos II a X e na alínea “a” do inciso XI do </w:t>
      </w:r>
      <w:r w:rsidRPr="00193CB3">
        <w:rPr>
          <w:rFonts w:ascii="Calibri" w:eastAsia="Calibri" w:hAnsi="Calibri" w:cs="Calibri"/>
          <w:b/>
          <w:bCs/>
          <w:kern w:val="0"/>
          <w:sz w:val="24"/>
          <w:szCs w:val="24"/>
          <w14:ligatures w14:val="none"/>
        </w:rPr>
        <w:t>caput</w:t>
      </w:r>
      <w:r w:rsidRPr="00193CB3">
        <w:rPr>
          <w:rFonts w:ascii="Calibri" w:eastAsia="Calibri" w:hAnsi="Calibri" w:cs="Calibri"/>
          <w:kern w:val="0"/>
          <w:sz w:val="24"/>
          <w:szCs w:val="24"/>
          <w14:ligatures w14:val="none"/>
        </w:rPr>
        <w:t xml:space="preserve"> devem ser elaborados e aprovados até 31 de março do exercício social subsequente ao de referência. </w:t>
      </w:r>
    </w:p>
    <w:p w14:paraId="10A9A4FE" w14:textId="3CA24A64"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2</w:t>
      </w:r>
      <w:proofErr w:type="gramStart"/>
      <w:r w:rsidRPr="00193CB3">
        <w:rPr>
          <w:rFonts w:ascii="Calibri" w:eastAsia="Calibri" w:hAnsi="Calibri" w:cs="Calibri"/>
          <w:kern w:val="0"/>
          <w:sz w:val="24"/>
          <w:szCs w:val="24"/>
          <w14:ligatures w14:val="none"/>
        </w:rPr>
        <w:t xml:space="preserve">º </w:t>
      </w:r>
      <w:r w:rsidR="001E32EE">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As</w:t>
      </w:r>
      <w:proofErr w:type="gramEnd"/>
      <w:r w:rsidRPr="00193CB3">
        <w:rPr>
          <w:rFonts w:ascii="Calibri" w:eastAsia="Calibri" w:hAnsi="Calibri" w:cs="Calibri"/>
          <w:kern w:val="0"/>
          <w:sz w:val="24"/>
          <w:szCs w:val="24"/>
          <w14:ligatures w14:val="none"/>
        </w:rPr>
        <w:t xml:space="preserve">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p w14:paraId="572B6B9B" w14:textId="720ECB83"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3</w:t>
      </w:r>
      <w:proofErr w:type="gramStart"/>
      <w:r w:rsidRPr="00193CB3">
        <w:rPr>
          <w:rFonts w:ascii="Calibri" w:eastAsia="Calibri" w:hAnsi="Calibri" w:cs="Calibri"/>
          <w:kern w:val="0"/>
          <w:sz w:val="24"/>
          <w:szCs w:val="24"/>
          <w14:ligatures w14:val="none"/>
        </w:rPr>
        <w:t xml:space="preserve">º </w:t>
      </w:r>
      <w:r w:rsidR="001E32EE">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Os</w:t>
      </w:r>
      <w:proofErr w:type="gramEnd"/>
      <w:r w:rsidRPr="00193CB3">
        <w:rPr>
          <w:rFonts w:ascii="Calibri" w:eastAsia="Calibri" w:hAnsi="Calibri" w:cs="Calibri"/>
          <w:kern w:val="0"/>
          <w:sz w:val="24"/>
          <w:szCs w:val="24"/>
          <w14:ligatures w14:val="none"/>
        </w:rPr>
        <w:t xml:space="preserve"> documentos referidos nas alíneas “b” e “c” do inciso XI devem ser elaborados até 31 de maio do exercício social subsequente e permanecer à disposição da Previc. </w:t>
      </w:r>
    </w:p>
    <w:p w14:paraId="37CBF027"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 4º A EFPC pode, facultativamente, elaborar Demonstração do Plano de Gestão Administrativa (DPGA), </w:t>
      </w:r>
      <w:r w:rsidRPr="00193CB3">
        <w:rPr>
          <w:rFonts w:ascii="Calibri" w:eastAsia="Calibri" w:hAnsi="Calibri" w:cs="Calibri"/>
          <w:kern w:val="0"/>
          <w:sz w:val="24"/>
          <w:szCs w:val="24"/>
          <w14:ligatures w14:val="none"/>
        </w:rPr>
        <w:lastRenderedPageBreak/>
        <w:t xml:space="preserve">por plano de benefícios de caráter </w:t>
      </w:r>
      <w:proofErr w:type="spellStart"/>
      <w:r w:rsidRPr="00193CB3">
        <w:rPr>
          <w:rFonts w:ascii="Calibri" w:eastAsia="Calibri" w:hAnsi="Calibri" w:cs="Calibri"/>
          <w:kern w:val="0"/>
          <w:sz w:val="24"/>
          <w:szCs w:val="24"/>
          <w14:ligatures w14:val="none"/>
        </w:rPr>
        <w:t>previdencial</w:t>
      </w:r>
      <w:proofErr w:type="spellEnd"/>
      <w:r w:rsidRPr="00193CB3">
        <w:rPr>
          <w:rFonts w:ascii="Calibri" w:eastAsia="Calibri" w:hAnsi="Calibri" w:cs="Calibri"/>
          <w:kern w:val="0"/>
          <w:sz w:val="24"/>
          <w:szCs w:val="24"/>
          <w14:ligatures w14:val="none"/>
        </w:rPr>
        <w:t xml:space="preserve">, comparativo com o exercício anterior. </w:t>
      </w:r>
    </w:p>
    <w:p w14:paraId="25C8CFA7" w14:textId="07971D21"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91</w:t>
      </w:r>
      <w:r w:rsidR="00364BE5">
        <w:rPr>
          <w:rFonts w:ascii="Calibri" w:eastAsia="Calibri" w:hAnsi="Calibri" w:cs="Calibri"/>
          <w:kern w:val="0"/>
          <w:sz w:val="24"/>
          <w:szCs w:val="24"/>
          <w14:ligatures w14:val="none"/>
        </w:rPr>
        <w:t>5</w:t>
      </w:r>
      <w:r w:rsidRPr="00193CB3">
        <w:rPr>
          <w:rFonts w:ascii="Calibri" w:eastAsia="Calibri" w:hAnsi="Calibri" w:cs="Calibri"/>
          <w:kern w:val="0"/>
          <w:sz w:val="24"/>
          <w:szCs w:val="24"/>
          <w14:ligatures w14:val="none"/>
        </w:rPr>
        <w:t xml:space="preserve">. </w:t>
      </w:r>
      <w:r w:rsidR="001E32EE">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 xml:space="preserve">As EFPC devem enviar à Previc as informações previstas no </w:t>
      </w:r>
      <w:r w:rsidRPr="00193CB3">
        <w:rPr>
          <w:rFonts w:ascii="Calibri" w:eastAsia="Calibri" w:hAnsi="Calibri" w:cs="Calibri"/>
          <w:kern w:val="0"/>
          <w:sz w:val="24"/>
          <w:szCs w:val="24"/>
          <w:highlight w:val="yellow"/>
          <w14:ligatures w14:val="none"/>
        </w:rPr>
        <w:t>art. 91</w:t>
      </w:r>
      <w:r w:rsidR="00364BE5">
        <w:rPr>
          <w:rFonts w:ascii="Calibri" w:eastAsia="Calibri" w:hAnsi="Calibri" w:cs="Calibri"/>
          <w:kern w:val="0"/>
          <w:sz w:val="24"/>
          <w:szCs w:val="24"/>
          <w:highlight w:val="yellow"/>
          <w14:ligatures w14:val="none"/>
        </w:rPr>
        <w:t>4</w:t>
      </w:r>
      <w:r w:rsidRPr="00193CB3">
        <w:rPr>
          <w:rFonts w:ascii="Calibri" w:eastAsia="Calibri" w:hAnsi="Calibri" w:cs="Calibri"/>
          <w:kern w:val="0"/>
          <w:sz w:val="24"/>
          <w:szCs w:val="24"/>
          <w14:ligatures w14:val="none"/>
        </w:rPr>
        <w:t xml:space="preserve">, por meio de sistema disponibilizado pela autarquia em seu sítio eletrônico na internet, nos seguintes prazos: </w:t>
      </w:r>
    </w:p>
    <w:p w14:paraId="23D2F816" w14:textId="6289A82B"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até</w:t>
      </w:r>
      <w:proofErr w:type="gramEnd"/>
      <w:r w:rsidRPr="00193CB3">
        <w:rPr>
          <w:rFonts w:ascii="Calibri" w:eastAsia="Calibri" w:hAnsi="Calibri" w:cs="Calibri"/>
          <w:kern w:val="0"/>
          <w:sz w:val="24"/>
          <w:szCs w:val="24"/>
          <w14:ligatures w14:val="none"/>
        </w:rPr>
        <w:t xml:space="preserve"> o último dia do mês subsequente ao mês de referência: as informações elencadas no inciso I do art. </w:t>
      </w:r>
      <w:r w:rsidRPr="00193CB3">
        <w:rPr>
          <w:rFonts w:ascii="Calibri" w:eastAsia="Calibri" w:hAnsi="Calibri" w:cs="Calibri"/>
          <w:kern w:val="0"/>
          <w:sz w:val="24"/>
          <w:szCs w:val="24"/>
          <w:highlight w:val="yellow"/>
          <w14:ligatures w14:val="none"/>
        </w:rPr>
        <w:t>91</w:t>
      </w:r>
      <w:r w:rsidR="00364BE5">
        <w:rPr>
          <w:rFonts w:ascii="Calibri" w:eastAsia="Calibri" w:hAnsi="Calibri" w:cs="Calibri"/>
          <w:kern w:val="0"/>
          <w:sz w:val="24"/>
          <w:szCs w:val="24"/>
          <w:highlight w:val="yellow"/>
          <w14:ligatures w14:val="none"/>
        </w:rPr>
        <w:t>4</w:t>
      </w:r>
      <w:r w:rsidRPr="00193CB3">
        <w:rPr>
          <w:rFonts w:ascii="Calibri" w:eastAsia="Calibri" w:hAnsi="Calibri" w:cs="Calibri"/>
          <w:kern w:val="0"/>
          <w:sz w:val="24"/>
          <w:szCs w:val="24"/>
          <w14:ligatures w14:val="none"/>
        </w:rPr>
        <w:t xml:space="preserve">; e </w:t>
      </w:r>
    </w:p>
    <w:p w14:paraId="6F84233B" w14:textId="3BFCCB10"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até</w:t>
      </w:r>
      <w:proofErr w:type="gramEnd"/>
      <w:r w:rsidRPr="00193CB3">
        <w:rPr>
          <w:rFonts w:ascii="Calibri" w:eastAsia="Calibri" w:hAnsi="Calibri" w:cs="Calibri"/>
          <w:kern w:val="0"/>
          <w:sz w:val="24"/>
          <w:szCs w:val="24"/>
          <w14:ligatures w14:val="none"/>
        </w:rPr>
        <w:t xml:space="preserve"> 31 de março do exercício social subsequente ao de referência: as demonstrações contábeis elencadas nos incisos II, V, VIII, IX e X e na alínea “a” do inciso XI do art. </w:t>
      </w:r>
      <w:r w:rsidRPr="00193CB3">
        <w:rPr>
          <w:rFonts w:ascii="Calibri" w:eastAsia="Calibri" w:hAnsi="Calibri" w:cs="Calibri"/>
          <w:kern w:val="0"/>
          <w:sz w:val="24"/>
          <w:szCs w:val="24"/>
          <w:highlight w:val="yellow"/>
          <w14:ligatures w14:val="none"/>
        </w:rPr>
        <w:t>91</w:t>
      </w:r>
      <w:r w:rsidR="00364BE5">
        <w:rPr>
          <w:rFonts w:ascii="Calibri" w:eastAsia="Calibri" w:hAnsi="Calibri" w:cs="Calibri"/>
          <w:kern w:val="0"/>
          <w:sz w:val="24"/>
          <w:szCs w:val="24"/>
          <w:highlight w:val="yellow"/>
          <w14:ligatures w14:val="none"/>
        </w:rPr>
        <w:t>4</w:t>
      </w:r>
      <w:r w:rsidRPr="00193CB3">
        <w:rPr>
          <w:rFonts w:ascii="Calibri" w:eastAsia="Calibri" w:hAnsi="Calibri" w:cs="Calibri"/>
          <w:kern w:val="0"/>
          <w:sz w:val="24"/>
          <w:szCs w:val="24"/>
          <w14:ligatures w14:val="none"/>
        </w:rPr>
        <w:t xml:space="preserve">. </w:t>
      </w:r>
    </w:p>
    <w:p w14:paraId="3B4873F6"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III – até 31 de julho o anexo IV, com informações referentes a competência de junho de cada exercício.</w:t>
      </w:r>
    </w:p>
    <w:p w14:paraId="65958300"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 1º Os balancetes mensais e as informações extracontábeis referentes ao mês de dezembro devem ser enviados até o último dia do mês de fevereiro do exercício subsequente. </w:t>
      </w:r>
    </w:p>
    <w:p w14:paraId="33CF80A6" w14:textId="6703D370"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 2º Os documentos listados nos incisos II, V, VIII, IX e X e na alínea “a” do inciso XI do </w:t>
      </w:r>
      <w:r w:rsidRPr="00364BE5">
        <w:rPr>
          <w:rFonts w:ascii="Calibri" w:eastAsia="Calibri" w:hAnsi="Calibri" w:cs="Calibri"/>
          <w:kern w:val="0"/>
          <w:sz w:val="24"/>
          <w:szCs w:val="24"/>
          <w:highlight w:val="yellow"/>
          <w14:ligatures w14:val="none"/>
        </w:rPr>
        <w:t>art. 91</w:t>
      </w:r>
      <w:r w:rsidR="00364BE5">
        <w:rPr>
          <w:rFonts w:ascii="Calibri" w:eastAsia="Calibri" w:hAnsi="Calibri" w:cs="Calibri"/>
          <w:kern w:val="0"/>
          <w:sz w:val="24"/>
          <w:szCs w:val="24"/>
          <w:highlight w:val="yellow"/>
          <w14:ligatures w14:val="none"/>
        </w:rPr>
        <w:t>4</w:t>
      </w:r>
      <w:r w:rsidRPr="00193CB3">
        <w:rPr>
          <w:rFonts w:ascii="Calibri" w:eastAsia="Calibri" w:hAnsi="Calibri" w:cs="Calibri"/>
          <w:kern w:val="0"/>
          <w:sz w:val="24"/>
          <w:szCs w:val="24"/>
          <w14:ligatures w14:val="none"/>
        </w:rPr>
        <w:t>, enviados por meio eletrônico à Previc, devem conter:</w:t>
      </w:r>
    </w:p>
    <w:p w14:paraId="3A873E7D"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o</w:t>
      </w:r>
      <w:proofErr w:type="gramEnd"/>
      <w:r w:rsidRPr="00193CB3">
        <w:rPr>
          <w:rFonts w:ascii="Calibri" w:eastAsia="Calibri" w:hAnsi="Calibri" w:cs="Calibri"/>
          <w:kern w:val="0"/>
          <w:sz w:val="24"/>
          <w:szCs w:val="24"/>
          <w14:ligatures w14:val="none"/>
        </w:rPr>
        <w:t xml:space="preserve"> nome e o CPF dos dirigentes responsáveis pelas informações; e </w:t>
      </w:r>
    </w:p>
    <w:p w14:paraId="7175279C"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o</w:t>
      </w:r>
      <w:proofErr w:type="gramEnd"/>
      <w:r w:rsidRPr="00193CB3">
        <w:rPr>
          <w:rFonts w:ascii="Calibri" w:eastAsia="Calibri" w:hAnsi="Calibri" w:cs="Calibri"/>
          <w:kern w:val="0"/>
          <w:sz w:val="24"/>
          <w:szCs w:val="24"/>
          <w14:ligatures w14:val="none"/>
        </w:rPr>
        <w:t xml:space="preserve"> nome, o CPF e o CRC do profissional de contabilidade responsável. </w:t>
      </w:r>
    </w:p>
    <w:p w14:paraId="367D8296"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 3º A justificativa de eventual substituição das demonstrações contábeis e dos balancetes devem ser mantidas na EFPC à disposição do Conselho Fiscal e da Previc. </w:t>
      </w:r>
    </w:p>
    <w:p w14:paraId="08077229"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4º A operacionalização do envio das informações de que trata o</w:t>
      </w:r>
      <w:r w:rsidRPr="00193CB3">
        <w:rPr>
          <w:rFonts w:ascii="Calibri" w:eastAsia="Calibri" w:hAnsi="Calibri" w:cs="Calibri"/>
          <w:b/>
          <w:bCs/>
          <w:kern w:val="0"/>
          <w:sz w:val="24"/>
          <w:szCs w:val="24"/>
          <w14:ligatures w14:val="none"/>
        </w:rPr>
        <w:t xml:space="preserve"> caput</w:t>
      </w:r>
      <w:r w:rsidRPr="00193CB3">
        <w:rPr>
          <w:rFonts w:ascii="Calibri" w:eastAsia="Calibri" w:hAnsi="Calibri" w:cs="Calibri"/>
          <w:kern w:val="0"/>
          <w:sz w:val="24"/>
          <w:szCs w:val="24"/>
          <w14:ligatures w14:val="none"/>
        </w:rPr>
        <w:t xml:space="preserve"> deve ser realizada nos termos de Portaria editada pela Diretoria de Fiscalização e Monitoramento.</w:t>
      </w:r>
    </w:p>
    <w:p w14:paraId="1AD787BA"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bookmarkStart w:id="0" w:name="_Hlk138926205"/>
      <w:r w:rsidRPr="00193CB3">
        <w:rPr>
          <w:rFonts w:ascii="Calibri" w:eastAsia="Calibri" w:hAnsi="Calibri" w:cs="Calibri"/>
          <w:b/>
          <w:bCs/>
          <w:kern w:val="0"/>
          <w:sz w:val="24"/>
          <w:szCs w:val="24"/>
          <w14:ligatures w14:val="none"/>
        </w:rPr>
        <w:t>Seção III</w:t>
      </w:r>
    </w:p>
    <w:p w14:paraId="597E9F05"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 xml:space="preserve">Informações de Investimentos </w:t>
      </w:r>
    </w:p>
    <w:p w14:paraId="69A76259"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Subseção I</w:t>
      </w:r>
    </w:p>
    <w:p w14:paraId="5574E0E0"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Demonstrativo de investimentos, cadastro de fundos de investimento e política de investimentos</w:t>
      </w:r>
    </w:p>
    <w:p w14:paraId="7FE3C478"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p>
    <w:p w14:paraId="5FF51A4A" w14:textId="023BF238"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91</w:t>
      </w:r>
      <w:r w:rsidR="00364BE5">
        <w:rPr>
          <w:rFonts w:ascii="Calibri" w:eastAsia="Calibri" w:hAnsi="Calibri" w:cs="Calibri"/>
          <w:kern w:val="0"/>
          <w:sz w:val="24"/>
          <w:szCs w:val="24"/>
          <w14:ligatures w14:val="none"/>
        </w:rPr>
        <w:t>6</w:t>
      </w:r>
      <w:r w:rsidRPr="00193CB3">
        <w:rPr>
          <w:rFonts w:ascii="Calibri" w:eastAsia="Calibri" w:hAnsi="Calibri" w:cs="Calibri"/>
          <w:kern w:val="0"/>
          <w:sz w:val="24"/>
          <w:szCs w:val="24"/>
          <w14:ligatures w14:val="none"/>
        </w:rPr>
        <w:t>.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p w14:paraId="58FE7BE6" w14:textId="650AB5F9"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w:t>
      </w:r>
      <w:r w:rsidR="00364BE5">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1</w:t>
      </w:r>
      <w:proofErr w:type="gramStart"/>
      <w:r w:rsidRPr="00193CB3">
        <w:rPr>
          <w:rFonts w:ascii="Calibri" w:eastAsia="Calibri" w:hAnsi="Calibri" w:cs="Calibri"/>
          <w:kern w:val="0"/>
          <w:sz w:val="24"/>
          <w:szCs w:val="24"/>
          <w14:ligatures w14:val="none"/>
        </w:rPr>
        <w:t>º  O</w:t>
      </w:r>
      <w:proofErr w:type="gramEnd"/>
      <w:r w:rsidRPr="00193CB3">
        <w:rPr>
          <w:rFonts w:ascii="Calibri" w:eastAsia="Calibri" w:hAnsi="Calibri" w:cs="Calibri"/>
          <w:kern w:val="0"/>
          <w:sz w:val="24"/>
          <w:szCs w:val="24"/>
          <w14:ligatures w14:val="none"/>
        </w:rPr>
        <w:t xml:space="preserve"> envio a que se refere o </w:t>
      </w:r>
      <w:r w:rsidRPr="00193CB3">
        <w:rPr>
          <w:rFonts w:ascii="Calibri" w:eastAsia="Calibri" w:hAnsi="Calibri" w:cs="Calibri"/>
          <w:b/>
          <w:bCs/>
          <w:kern w:val="0"/>
          <w:sz w:val="24"/>
          <w:szCs w:val="24"/>
          <w14:ligatures w14:val="none"/>
        </w:rPr>
        <w:t>caput</w:t>
      </w:r>
      <w:r w:rsidRPr="00193CB3">
        <w:rPr>
          <w:rFonts w:ascii="Calibri" w:eastAsia="Calibri" w:hAnsi="Calibri" w:cs="Calibri"/>
          <w:kern w:val="0"/>
          <w:sz w:val="24"/>
          <w:szCs w:val="24"/>
          <w14:ligatures w14:val="none"/>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p w14:paraId="35E3F96D" w14:textId="5A936EB3"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w:t>
      </w:r>
      <w:r w:rsidR="00364BE5">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2</w:t>
      </w:r>
      <w:proofErr w:type="gramStart"/>
      <w:r w:rsidRPr="00193CB3">
        <w:rPr>
          <w:rFonts w:ascii="Calibri" w:eastAsia="Calibri" w:hAnsi="Calibri" w:cs="Calibri"/>
          <w:kern w:val="0"/>
          <w:sz w:val="24"/>
          <w:szCs w:val="24"/>
          <w14:ligatures w14:val="none"/>
        </w:rPr>
        <w:t>º  O</w:t>
      </w:r>
      <w:proofErr w:type="gramEnd"/>
      <w:r w:rsidRPr="00193CB3">
        <w:rPr>
          <w:rFonts w:ascii="Calibri" w:eastAsia="Calibri" w:hAnsi="Calibri" w:cs="Calibri"/>
          <w:kern w:val="0"/>
          <w:sz w:val="24"/>
          <w:szCs w:val="24"/>
          <w14:ligatures w14:val="none"/>
        </w:rPr>
        <w:t xml:space="preserve"> envio das informações relativas à política de investimentos deve observar os seguintes prazos:</w:t>
      </w:r>
    </w:p>
    <w:p w14:paraId="05E4A065"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até</w:t>
      </w:r>
      <w:proofErr w:type="gramEnd"/>
      <w:r w:rsidRPr="00193CB3">
        <w:rPr>
          <w:rFonts w:ascii="Calibri" w:eastAsia="Calibri" w:hAnsi="Calibri" w:cs="Calibri"/>
          <w:kern w:val="0"/>
          <w:sz w:val="24"/>
          <w:szCs w:val="24"/>
          <w14:ligatures w14:val="none"/>
        </w:rPr>
        <w:t xml:space="preserve"> 1º de março do exercício de referência; e</w:t>
      </w:r>
    </w:p>
    <w:p w14:paraId="2EE9F558"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até</w:t>
      </w:r>
      <w:proofErr w:type="gramEnd"/>
      <w:r w:rsidRPr="00193CB3">
        <w:rPr>
          <w:rFonts w:ascii="Calibri" w:eastAsia="Calibri" w:hAnsi="Calibri" w:cs="Calibri"/>
          <w:kern w:val="0"/>
          <w:sz w:val="24"/>
          <w:szCs w:val="24"/>
          <w14:ligatures w14:val="none"/>
        </w:rPr>
        <w:t xml:space="preserve"> trinta dias contados da data da revisão aprovada pelo conselho deliberativo.</w:t>
      </w:r>
    </w:p>
    <w:p w14:paraId="2A5306D7" w14:textId="2561F6CD"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91</w:t>
      </w:r>
      <w:r w:rsidR="00364BE5">
        <w:rPr>
          <w:rFonts w:ascii="Calibri" w:eastAsia="Calibri" w:hAnsi="Calibri" w:cs="Calibri"/>
          <w:kern w:val="0"/>
          <w:sz w:val="24"/>
          <w:szCs w:val="24"/>
          <w14:ligatures w14:val="none"/>
        </w:rPr>
        <w:t>7</w:t>
      </w:r>
      <w:r w:rsidRPr="00193CB3">
        <w:rPr>
          <w:rFonts w:ascii="Calibri" w:eastAsia="Calibri" w:hAnsi="Calibri" w:cs="Calibri"/>
          <w:kern w:val="0"/>
          <w:sz w:val="24"/>
          <w:szCs w:val="24"/>
          <w14:ligatures w14:val="none"/>
        </w:rPr>
        <w:t>.  A EFPC deve enviar à Previc o demonstrativo de investimentos de todos os planos por ela administrados, inclusive do PGA, até o último dia do mês subsequente à data-base do demonstrativo.</w:t>
      </w:r>
    </w:p>
    <w:p w14:paraId="4E3A3036" w14:textId="36126078"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w:t>
      </w:r>
      <w:r w:rsidR="008D6CFB">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1</w:t>
      </w:r>
      <w:proofErr w:type="gramStart"/>
      <w:r w:rsidRPr="00193CB3">
        <w:rPr>
          <w:rFonts w:ascii="Calibri" w:eastAsia="Calibri" w:hAnsi="Calibri" w:cs="Calibri"/>
          <w:kern w:val="0"/>
          <w:sz w:val="24"/>
          <w:szCs w:val="24"/>
          <w14:ligatures w14:val="none"/>
        </w:rPr>
        <w:t>º  O</w:t>
      </w:r>
      <w:proofErr w:type="gramEnd"/>
      <w:r w:rsidRPr="00193CB3">
        <w:rPr>
          <w:rFonts w:ascii="Calibri" w:eastAsia="Calibri" w:hAnsi="Calibri" w:cs="Calibri"/>
          <w:kern w:val="0"/>
          <w:sz w:val="24"/>
          <w:szCs w:val="24"/>
          <w14:ligatures w14:val="none"/>
        </w:rPr>
        <w:t xml:space="preserve"> demonstrativo de investimentos é composto por todos os ativos pertencentes à carteira própria, à carteira administrada, aos fundos de investimento e aos fundos de investimento em cotas de fundos de investimento dos quais a EFPC seja direta ou indiretamente cotista.</w:t>
      </w:r>
    </w:p>
    <w:p w14:paraId="295853BF" w14:textId="7A0BA9BE"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w:t>
      </w:r>
      <w:r w:rsidR="008D6CFB">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2</w:t>
      </w:r>
      <w:proofErr w:type="gramStart"/>
      <w:r w:rsidRPr="00193CB3">
        <w:rPr>
          <w:rFonts w:ascii="Calibri" w:eastAsia="Calibri" w:hAnsi="Calibri" w:cs="Calibri"/>
          <w:kern w:val="0"/>
          <w:sz w:val="24"/>
          <w:szCs w:val="24"/>
          <w14:ligatures w14:val="none"/>
        </w:rPr>
        <w:t>º  A</w:t>
      </w:r>
      <w:proofErr w:type="gramEnd"/>
      <w:r w:rsidRPr="00193CB3">
        <w:rPr>
          <w:rFonts w:ascii="Calibri" w:eastAsia="Calibri" w:hAnsi="Calibri" w:cs="Calibri"/>
          <w:kern w:val="0"/>
          <w:sz w:val="24"/>
          <w:szCs w:val="24"/>
          <w14:ligatures w14:val="none"/>
        </w:rPr>
        <w:t xml:space="preserve"> eventual substituição de informações do demonstrativo de investimentos deve ser justificada pelo Administrador Estatutário Tecnicamente Qualificado (AETQ) e permanecer na EFPC à disposição do </w:t>
      </w:r>
      <w:r w:rsidRPr="00193CB3">
        <w:rPr>
          <w:rFonts w:ascii="Calibri" w:eastAsia="Calibri" w:hAnsi="Calibri" w:cs="Calibri"/>
          <w:kern w:val="0"/>
          <w:sz w:val="24"/>
          <w:szCs w:val="24"/>
          <w14:ligatures w14:val="none"/>
        </w:rPr>
        <w:lastRenderedPageBreak/>
        <w:t>conselho fiscal e da Previc.</w:t>
      </w:r>
    </w:p>
    <w:p w14:paraId="3C918ED8" w14:textId="19CCAD8A"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w:t>
      </w:r>
      <w:r w:rsidR="008D6CFB">
        <w:rPr>
          <w:rFonts w:ascii="Calibri" w:eastAsia="Calibri" w:hAnsi="Calibri" w:cs="Calibri"/>
          <w:kern w:val="0"/>
          <w:sz w:val="24"/>
          <w:szCs w:val="24"/>
          <w14:ligatures w14:val="none"/>
        </w:rPr>
        <w:t>18</w:t>
      </w:r>
      <w:r w:rsidRPr="00193CB3">
        <w:rPr>
          <w:rFonts w:ascii="Calibri" w:eastAsia="Calibri" w:hAnsi="Calibri" w:cs="Calibri"/>
          <w:kern w:val="0"/>
          <w:sz w:val="24"/>
          <w:szCs w:val="24"/>
          <w14:ligatures w14:val="none"/>
        </w:rPr>
        <w:t>.  A EFPC deve manter cadastro atualizado dos fundos de investimento e dos fundos de investimento em cotas de fundos de investimento constituídos no Brasil:</w:t>
      </w:r>
    </w:p>
    <w:p w14:paraId="3721C0BF"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em</w:t>
      </w:r>
      <w:proofErr w:type="gramEnd"/>
      <w:r w:rsidRPr="00193CB3">
        <w:rPr>
          <w:rFonts w:ascii="Calibri" w:eastAsia="Calibri" w:hAnsi="Calibri" w:cs="Calibri"/>
          <w:kern w:val="0"/>
          <w:sz w:val="24"/>
          <w:szCs w:val="24"/>
          <w14:ligatures w14:val="none"/>
        </w:rPr>
        <w:t xml:space="preserve"> que a EFPC ou seus planos de benefícios sejam os únicos cotistas; ou</w:t>
      </w:r>
    </w:p>
    <w:p w14:paraId="24EC35C8" w14:textId="32A1FF15"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w:t>
      </w:r>
      <w:r w:rsidR="008D6CFB">
        <w:rPr>
          <w:rFonts w:ascii="Calibri" w:eastAsia="Calibri" w:hAnsi="Calibri" w:cs="Calibri"/>
          <w:kern w:val="0"/>
          <w:sz w:val="24"/>
          <w:szCs w:val="24"/>
          <w14:ligatures w14:val="none"/>
        </w:rPr>
        <w:t>-</w:t>
      </w:r>
      <w:r w:rsidRPr="00193CB3">
        <w:rPr>
          <w:rFonts w:ascii="Calibri" w:eastAsia="Calibri" w:hAnsi="Calibri" w:cs="Calibri"/>
          <w:kern w:val="0"/>
          <w:sz w:val="24"/>
          <w:szCs w:val="24"/>
          <w14:ligatures w14:val="none"/>
        </w:rPr>
        <w:t xml:space="preserve"> </w:t>
      </w:r>
      <w:proofErr w:type="gramStart"/>
      <w:r w:rsidRPr="00193CB3">
        <w:rPr>
          <w:rFonts w:ascii="Calibri" w:eastAsia="Calibri" w:hAnsi="Calibri" w:cs="Calibri"/>
          <w:kern w:val="0"/>
          <w:sz w:val="24"/>
          <w:szCs w:val="24"/>
          <w14:ligatures w14:val="none"/>
        </w:rPr>
        <w:t>em</w:t>
      </w:r>
      <w:proofErr w:type="gramEnd"/>
      <w:r w:rsidRPr="00193CB3">
        <w:rPr>
          <w:rFonts w:ascii="Calibri" w:eastAsia="Calibri" w:hAnsi="Calibri" w:cs="Calibri"/>
          <w:kern w:val="0"/>
          <w:sz w:val="24"/>
          <w:szCs w:val="24"/>
          <w14:ligatures w14:val="none"/>
        </w:rPr>
        <w:t xml:space="preserve"> que a EFPC seja cotista e o fundo classificado como multimercado (FIM), no segmento estruturado.</w:t>
      </w:r>
    </w:p>
    <w:p w14:paraId="14D7FDB2"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Parágrafo único.  O cadastro a que se refere este artigo deve ser realizado até dez dias da data de aquisição do primeiro lote de cotas de fundo de investimento ou de fundo de investimento em cotas de fundos de investimento.</w:t>
      </w:r>
    </w:p>
    <w:p w14:paraId="3D2C4671"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Subseção II</w:t>
      </w:r>
    </w:p>
    <w:p w14:paraId="66974067" w14:textId="77777777" w:rsid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Autorização, da custódia e do extrato de movimentação e posição de títulos públicos federais</w:t>
      </w:r>
    </w:p>
    <w:p w14:paraId="47D65189"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p>
    <w:p w14:paraId="538EAA13" w14:textId="2126073B"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w:t>
      </w:r>
      <w:r w:rsidR="008D6CFB">
        <w:rPr>
          <w:rFonts w:ascii="Calibri" w:eastAsia="Calibri" w:hAnsi="Calibri" w:cs="Calibri"/>
          <w:kern w:val="0"/>
          <w:sz w:val="24"/>
          <w:szCs w:val="24"/>
          <w14:ligatures w14:val="none"/>
        </w:rPr>
        <w:t>19</w:t>
      </w:r>
      <w:r w:rsidRPr="00193CB3">
        <w:rPr>
          <w:rFonts w:ascii="Calibri" w:eastAsia="Calibri" w:hAnsi="Calibri" w:cs="Calibri"/>
          <w:kern w:val="0"/>
          <w:sz w:val="24"/>
          <w:szCs w:val="24"/>
          <w14:ligatures w14:val="none"/>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193CB3">
        <w:rPr>
          <w:rFonts w:ascii="Calibri" w:eastAsia="Calibri" w:hAnsi="Calibri" w:cs="Calibri"/>
          <w:kern w:val="0"/>
          <w:sz w:val="24"/>
          <w:szCs w:val="24"/>
          <w14:ligatures w14:val="none"/>
        </w:rPr>
        <w:t>a</w:t>
      </w:r>
      <w:proofErr w:type="spellEnd"/>
      <w:r w:rsidRPr="00193CB3">
        <w:rPr>
          <w:rFonts w:ascii="Calibri" w:eastAsia="Calibri" w:hAnsi="Calibri" w:cs="Calibri"/>
          <w:kern w:val="0"/>
          <w:sz w:val="24"/>
          <w:szCs w:val="24"/>
          <w14:ligatures w14:val="none"/>
        </w:rPr>
        <w:t xml:space="preserve"> sistema de registro e de liquidação financeira ou depositário central, observada a regulamentação do Banco Central do Brasil ou da Comissão de Valores Mobiliários, nas suas respectivas áreas de competência.</w:t>
      </w:r>
    </w:p>
    <w:p w14:paraId="231F8201" w14:textId="46D12B25"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w:t>
      </w:r>
      <w:r w:rsidR="008D6CFB">
        <w:rPr>
          <w:rFonts w:ascii="Calibri" w:eastAsia="Calibri" w:hAnsi="Calibri" w:cs="Calibri"/>
          <w:kern w:val="0"/>
          <w:sz w:val="24"/>
          <w:szCs w:val="24"/>
          <w14:ligatures w14:val="none"/>
        </w:rPr>
        <w:t>20</w:t>
      </w:r>
      <w:r w:rsidRPr="00193CB3">
        <w:rPr>
          <w:rFonts w:ascii="Calibri" w:eastAsia="Calibri" w:hAnsi="Calibri" w:cs="Calibri"/>
          <w:kern w:val="0"/>
          <w:sz w:val="24"/>
          <w:szCs w:val="24"/>
          <w14:ligatures w14:val="none"/>
        </w:rPr>
        <w:t xml:space="preserve">.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w:t>
      </w:r>
      <w:r w:rsidRPr="00193CB3">
        <w:rPr>
          <w:rFonts w:ascii="Calibri" w:eastAsia="Calibri" w:hAnsi="Calibri" w:cs="Calibri"/>
          <w:kern w:val="0"/>
          <w:sz w:val="24"/>
          <w:szCs w:val="24"/>
          <w:highlight w:val="yellow"/>
          <w14:ligatures w14:val="none"/>
        </w:rPr>
        <w:t>art. 9</w:t>
      </w:r>
      <w:r w:rsidR="008D6CFB">
        <w:rPr>
          <w:rFonts w:ascii="Calibri" w:eastAsia="Calibri" w:hAnsi="Calibri" w:cs="Calibri"/>
          <w:kern w:val="0"/>
          <w:sz w:val="24"/>
          <w:szCs w:val="24"/>
          <w:highlight w:val="yellow"/>
          <w14:ligatures w14:val="none"/>
        </w:rPr>
        <w:t>32</w:t>
      </w:r>
      <w:r w:rsidRPr="00193CB3">
        <w:rPr>
          <w:rFonts w:ascii="Calibri" w:eastAsia="Calibri" w:hAnsi="Calibri" w:cs="Calibri"/>
          <w:kern w:val="0"/>
          <w:sz w:val="24"/>
          <w:szCs w:val="24"/>
          <w14:ligatures w14:val="none"/>
        </w:rPr>
        <w:t>.</w:t>
      </w:r>
    </w:p>
    <w:p w14:paraId="0ACB37CF" w14:textId="517A2731"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w:t>
      </w:r>
      <w:r w:rsidR="008D6CFB">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1</w:t>
      </w:r>
      <w:proofErr w:type="gramStart"/>
      <w:r w:rsidRPr="00193CB3">
        <w:rPr>
          <w:rFonts w:ascii="Calibri" w:eastAsia="Calibri" w:hAnsi="Calibri" w:cs="Calibri"/>
          <w:kern w:val="0"/>
          <w:sz w:val="24"/>
          <w:szCs w:val="24"/>
          <w14:ligatures w14:val="none"/>
        </w:rPr>
        <w:t>º  A</w:t>
      </w:r>
      <w:proofErr w:type="gramEnd"/>
      <w:r w:rsidRPr="00193CB3">
        <w:rPr>
          <w:rFonts w:ascii="Calibri" w:eastAsia="Calibri" w:hAnsi="Calibri" w:cs="Calibri"/>
          <w:kern w:val="0"/>
          <w:sz w:val="24"/>
          <w:szCs w:val="24"/>
          <w14:ligatures w14:val="none"/>
        </w:rPr>
        <w:t xml:space="preserve"> individualização e a identificação mencionadas no </w:t>
      </w:r>
      <w:r w:rsidRPr="00193CB3">
        <w:rPr>
          <w:rFonts w:ascii="Calibri" w:eastAsia="Calibri" w:hAnsi="Calibri" w:cs="Calibri"/>
          <w:b/>
          <w:bCs/>
          <w:kern w:val="0"/>
          <w:sz w:val="24"/>
          <w:szCs w:val="24"/>
          <w14:ligatures w14:val="none"/>
        </w:rPr>
        <w:t>caput</w:t>
      </w:r>
      <w:r w:rsidRPr="00193CB3">
        <w:rPr>
          <w:rFonts w:ascii="Calibri" w:eastAsia="Calibri" w:hAnsi="Calibri" w:cs="Calibri"/>
          <w:kern w:val="0"/>
          <w:sz w:val="24"/>
          <w:szCs w:val="24"/>
          <w14:ligatures w14:val="none"/>
        </w:rPr>
        <w:t xml:space="preserve"> devem atender ao disposto no §2º do art. 16 da Resolução CMN nº 4.994, de 2022.</w:t>
      </w:r>
    </w:p>
    <w:p w14:paraId="3128B2B4" w14:textId="563E572B"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w:t>
      </w:r>
      <w:r w:rsidR="008D6CFB">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2</w:t>
      </w:r>
      <w:proofErr w:type="gramStart"/>
      <w:r w:rsidRPr="00193CB3">
        <w:rPr>
          <w:rFonts w:ascii="Calibri" w:eastAsia="Calibri" w:hAnsi="Calibri" w:cs="Calibri"/>
          <w:kern w:val="0"/>
          <w:sz w:val="24"/>
          <w:szCs w:val="24"/>
          <w14:ligatures w14:val="none"/>
        </w:rPr>
        <w:t>º  É</w:t>
      </w:r>
      <w:proofErr w:type="gramEnd"/>
      <w:r w:rsidRPr="00193CB3">
        <w:rPr>
          <w:rFonts w:ascii="Calibri" w:eastAsia="Calibri" w:hAnsi="Calibri" w:cs="Calibri"/>
          <w:kern w:val="0"/>
          <w:sz w:val="24"/>
          <w:szCs w:val="24"/>
          <w14:ligatures w14:val="none"/>
        </w:rPr>
        <w:t xml:space="preserve"> vedado às EFPC incluir informações no sistema informatizado com restrição de acesso à Previc, em relação às informações sobre os títulos mencionados no </w:t>
      </w:r>
      <w:r w:rsidRPr="00193CB3">
        <w:rPr>
          <w:rFonts w:ascii="Calibri" w:eastAsia="Calibri" w:hAnsi="Calibri" w:cs="Calibri"/>
          <w:b/>
          <w:bCs/>
          <w:kern w:val="0"/>
          <w:sz w:val="24"/>
          <w:szCs w:val="24"/>
          <w14:ligatures w14:val="none"/>
        </w:rPr>
        <w:t>caput</w:t>
      </w:r>
      <w:r w:rsidRPr="00193CB3">
        <w:rPr>
          <w:rFonts w:ascii="Calibri" w:eastAsia="Calibri" w:hAnsi="Calibri" w:cs="Calibri"/>
          <w:kern w:val="0"/>
          <w:sz w:val="24"/>
          <w:szCs w:val="24"/>
          <w14:ligatures w14:val="none"/>
        </w:rPr>
        <w:t>.</w:t>
      </w:r>
    </w:p>
    <w:p w14:paraId="015C6734"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Seção IV</w:t>
      </w:r>
    </w:p>
    <w:p w14:paraId="50EFF820" w14:textId="77777777" w:rsid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Normas procedimentais para o envio das estatísticas de população e de benefícios</w:t>
      </w:r>
    </w:p>
    <w:p w14:paraId="203D3112"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p>
    <w:p w14:paraId="210ED359" w14:textId="6D7B8321"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92</w:t>
      </w:r>
      <w:r w:rsidR="008D6CFB">
        <w:rPr>
          <w:rFonts w:ascii="Calibri" w:eastAsia="Calibri" w:hAnsi="Calibri" w:cs="Calibri"/>
          <w:kern w:val="0"/>
          <w:sz w:val="24"/>
          <w:szCs w:val="24"/>
          <w14:ligatures w14:val="none"/>
        </w:rPr>
        <w:t>1</w:t>
      </w:r>
      <w:r w:rsidRPr="00193CB3">
        <w:rPr>
          <w:rFonts w:ascii="Calibri" w:eastAsia="Calibri" w:hAnsi="Calibri" w:cs="Calibri"/>
          <w:kern w:val="0"/>
          <w:sz w:val="24"/>
          <w:szCs w:val="24"/>
          <w14:ligatures w14:val="none"/>
        </w:rPr>
        <w:t xml:space="preserve">. </w:t>
      </w:r>
      <w:r w:rsidR="008D6CFB">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As EFPC devem observar o disposto nesta Seção para o envio das estatísticas populacionais e de benefícios dos planos administrados para esta Previc.</w:t>
      </w:r>
    </w:p>
    <w:p w14:paraId="50CEB59A" w14:textId="18C8E164"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92</w:t>
      </w:r>
      <w:r w:rsidR="008D6CFB">
        <w:rPr>
          <w:rFonts w:ascii="Calibri" w:eastAsia="Calibri" w:hAnsi="Calibri" w:cs="Calibri"/>
          <w:kern w:val="0"/>
          <w:sz w:val="24"/>
          <w:szCs w:val="24"/>
          <w14:ligatures w14:val="none"/>
        </w:rPr>
        <w:t>2</w:t>
      </w:r>
      <w:r w:rsidRPr="00193CB3">
        <w:rPr>
          <w:rFonts w:ascii="Calibri" w:eastAsia="Calibri" w:hAnsi="Calibri" w:cs="Calibri"/>
          <w:kern w:val="0"/>
          <w:sz w:val="24"/>
          <w:szCs w:val="24"/>
          <w14:ligatures w14:val="none"/>
        </w:rPr>
        <w:t xml:space="preserve">. </w:t>
      </w:r>
      <w:r w:rsidR="008D6CFB">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A EFPC, ao encaminhar o Demonstrativo Estatístico (DE) e o Demonstrativo de Sexo e Idade (DSI), deve submeter as informações de forma consolidada, segregada pelos planos de benefícios de caráter previdenciário.</w:t>
      </w:r>
    </w:p>
    <w:p w14:paraId="2519BE99"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Parágrafo único. Para as informações consolidadas, cada participante deve ser contabilizado uma única vez, independentemente de participar de mais de um plano de benefícios da entidade.</w:t>
      </w:r>
    </w:p>
    <w:p w14:paraId="67B1AB67" w14:textId="366285F8"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92</w:t>
      </w:r>
      <w:r w:rsidR="008D6CFB">
        <w:rPr>
          <w:rFonts w:ascii="Calibri" w:eastAsia="Calibri" w:hAnsi="Calibri" w:cs="Calibri"/>
          <w:kern w:val="0"/>
          <w:sz w:val="24"/>
          <w:szCs w:val="24"/>
          <w14:ligatures w14:val="none"/>
        </w:rPr>
        <w:t>3</w:t>
      </w:r>
      <w:r w:rsidRPr="00193CB3">
        <w:rPr>
          <w:rFonts w:ascii="Calibri" w:eastAsia="Calibri" w:hAnsi="Calibri" w:cs="Calibri"/>
          <w:kern w:val="0"/>
          <w:sz w:val="24"/>
          <w:szCs w:val="24"/>
          <w14:ligatures w14:val="none"/>
        </w:rPr>
        <w:t xml:space="preserve">. </w:t>
      </w:r>
      <w:r w:rsidR="008D6CFB">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O Demonstrativo Estatístico (DE) tem periodicidade semestral e deve:</w:t>
      </w:r>
    </w:p>
    <w:p w14:paraId="2609749F"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consolidar</w:t>
      </w:r>
      <w:proofErr w:type="gramEnd"/>
      <w:r w:rsidRPr="00193CB3">
        <w:rPr>
          <w:rFonts w:ascii="Calibri" w:eastAsia="Calibri" w:hAnsi="Calibri" w:cs="Calibri"/>
          <w:kern w:val="0"/>
          <w:sz w:val="24"/>
          <w:szCs w:val="24"/>
          <w14:ligatures w14:val="none"/>
        </w:rPr>
        <w:t xml:space="preserve"> as informações de população e de benefícios relativas aos meses do semestre de referência;</w:t>
      </w:r>
    </w:p>
    <w:p w14:paraId="53CBC84F"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ser</w:t>
      </w:r>
      <w:proofErr w:type="gramEnd"/>
      <w:r w:rsidRPr="00193CB3">
        <w:rPr>
          <w:rFonts w:ascii="Calibri" w:eastAsia="Calibri" w:hAnsi="Calibri" w:cs="Calibri"/>
          <w:kern w:val="0"/>
          <w:sz w:val="24"/>
          <w:szCs w:val="24"/>
          <w14:ligatures w14:val="none"/>
        </w:rPr>
        <w:t xml:space="preserve"> enviado até o último dia do mês de agosto do ano corrente, com dados relativos aos meses do primeiro semestre;</w:t>
      </w:r>
    </w:p>
    <w:p w14:paraId="4BD062A7"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III - ser enviado até o último dia do mês de fevereiro do ano subsequente, com dados relativos aos meses </w:t>
      </w:r>
      <w:r w:rsidRPr="00193CB3">
        <w:rPr>
          <w:rFonts w:ascii="Calibri" w:eastAsia="Calibri" w:hAnsi="Calibri" w:cs="Calibri"/>
          <w:kern w:val="0"/>
          <w:sz w:val="24"/>
          <w:szCs w:val="24"/>
          <w14:ligatures w14:val="none"/>
        </w:rPr>
        <w:lastRenderedPageBreak/>
        <w:t>do segundo semestre.</w:t>
      </w:r>
    </w:p>
    <w:p w14:paraId="14658659" w14:textId="032682BB"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92</w:t>
      </w:r>
      <w:r w:rsidR="008D6CFB">
        <w:rPr>
          <w:rFonts w:ascii="Calibri" w:eastAsia="Calibri" w:hAnsi="Calibri" w:cs="Calibri"/>
          <w:kern w:val="0"/>
          <w:sz w:val="24"/>
          <w:szCs w:val="24"/>
          <w14:ligatures w14:val="none"/>
        </w:rPr>
        <w:t>4</w:t>
      </w:r>
      <w:r w:rsidRPr="00193CB3">
        <w:rPr>
          <w:rFonts w:ascii="Calibri" w:eastAsia="Calibri" w:hAnsi="Calibri" w:cs="Calibri"/>
          <w:kern w:val="0"/>
          <w:sz w:val="24"/>
          <w:szCs w:val="24"/>
          <w14:ligatures w14:val="none"/>
        </w:rPr>
        <w:t>. O Demonstrativo de Sexo e Idade (DSI) tem periodicidade anual, sendo o mês de dezembro a data de referência, e deve:</w:t>
      </w:r>
    </w:p>
    <w:p w14:paraId="15DFCA78"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conter</w:t>
      </w:r>
      <w:proofErr w:type="gramEnd"/>
      <w:r w:rsidRPr="00193CB3">
        <w:rPr>
          <w:rFonts w:ascii="Calibri" w:eastAsia="Calibri" w:hAnsi="Calibri" w:cs="Calibri"/>
          <w:kern w:val="0"/>
          <w:sz w:val="24"/>
          <w:szCs w:val="24"/>
          <w14:ligatures w14:val="none"/>
        </w:rPr>
        <w:t xml:space="preserve"> informações populacionais consistentes com aquelas constantes no Demonstrativo Estatístico (DE) referente ao segundo semestre;</w:t>
      </w:r>
    </w:p>
    <w:p w14:paraId="456711AB"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ser</w:t>
      </w:r>
      <w:proofErr w:type="gramEnd"/>
      <w:r w:rsidRPr="00193CB3">
        <w:rPr>
          <w:rFonts w:ascii="Calibri" w:eastAsia="Calibri" w:hAnsi="Calibri" w:cs="Calibri"/>
          <w:kern w:val="0"/>
          <w:sz w:val="24"/>
          <w:szCs w:val="24"/>
          <w14:ligatures w14:val="none"/>
        </w:rPr>
        <w:t xml:space="preserve"> enviado até o último dia do mês de fevereiro do ano subsequente.</w:t>
      </w:r>
    </w:p>
    <w:p w14:paraId="1E1DB02E" w14:textId="69BEF2E0"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92</w:t>
      </w:r>
      <w:r w:rsidR="008D6CFB">
        <w:rPr>
          <w:rFonts w:ascii="Calibri" w:eastAsia="Calibri" w:hAnsi="Calibri" w:cs="Calibri"/>
          <w:kern w:val="0"/>
          <w:sz w:val="24"/>
          <w:szCs w:val="24"/>
          <w14:ligatures w14:val="none"/>
        </w:rPr>
        <w:t>5</w:t>
      </w:r>
      <w:r w:rsidRPr="00193CB3">
        <w:rPr>
          <w:rFonts w:ascii="Calibri" w:eastAsia="Calibri" w:hAnsi="Calibri" w:cs="Calibri"/>
          <w:kern w:val="0"/>
          <w:sz w:val="24"/>
          <w:szCs w:val="24"/>
          <w14:ligatures w14:val="none"/>
        </w:rPr>
        <w:t xml:space="preserve">. A EFPC deve manter base de dados cadastrais própria com informações atualizadas, </w:t>
      </w:r>
      <w:proofErr w:type="spellStart"/>
      <w:r w:rsidRPr="00193CB3">
        <w:rPr>
          <w:rFonts w:ascii="Calibri" w:eastAsia="Calibri" w:hAnsi="Calibri" w:cs="Calibri"/>
          <w:kern w:val="0"/>
          <w:sz w:val="24"/>
          <w:szCs w:val="24"/>
          <w14:ligatures w14:val="none"/>
        </w:rPr>
        <w:t>conﬁáveis</w:t>
      </w:r>
      <w:proofErr w:type="spellEnd"/>
      <w:r w:rsidRPr="00193CB3">
        <w:rPr>
          <w:rFonts w:ascii="Calibri" w:eastAsia="Calibri" w:hAnsi="Calibri" w:cs="Calibri"/>
          <w:kern w:val="0"/>
          <w:sz w:val="24"/>
          <w:szCs w:val="24"/>
          <w14:ligatures w14:val="none"/>
        </w:rPr>
        <w:t>, seguras e segregadas por plano de benefícios, independentemente da obrigatoriedade de envio de dados à PREVIC.</w:t>
      </w:r>
    </w:p>
    <w:p w14:paraId="73FC8D21" w14:textId="1B7B3079"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92</w:t>
      </w:r>
      <w:r w:rsidR="008D6CFB">
        <w:rPr>
          <w:rFonts w:ascii="Calibri" w:eastAsia="Calibri" w:hAnsi="Calibri" w:cs="Calibri"/>
          <w:kern w:val="0"/>
          <w:sz w:val="24"/>
          <w:szCs w:val="24"/>
          <w14:ligatures w14:val="none"/>
        </w:rPr>
        <w:t>6</w:t>
      </w:r>
      <w:r w:rsidRPr="00193CB3">
        <w:rPr>
          <w:rFonts w:ascii="Calibri" w:eastAsia="Calibri" w:hAnsi="Calibri" w:cs="Calibri"/>
          <w:kern w:val="0"/>
          <w:sz w:val="24"/>
          <w:szCs w:val="24"/>
          <w14:ligatures w14:val="none"/>
        </w:rPr>
        <w:t xml:space="preserve">. </w:t>
      </w:r>
      <w:r w:rsidR="008D6CFB">
        <w:rPr>
          <w:rFonts w:ascii="Calibri" w:eastAsia="Calibri" w:hAnsi="Calibri" w:cs="Calibri"/>
          <w:kern w:val="0"/>
          <w:sz w:val="24"/>
          <w:szCs w:val="24"/>
          <w14:ligatures w14:val="none"/>
        </w:rPr>
        <w:t xml:space="preserve"> </w:t>
      </w:r>
      <w:r w:rsidRPr="00193CB3">
        <w:rPr>
          <w:rFonts w:ascii="Calibri" w:eastAsia="Calibri" w:hAnsi="Calibri" w:cs="Calibri"/>
          <w:kern w:val="0"/>
          <w:sz w:val="24"/>
          <w:szCs w:val="24"/>
          <w14:ligatures w14:val="none"/>
        </w:rPr>
        <w:t>As EFPC que se encontrem sob administração especial com poderes de liquidação extrajudicial, sem atividades ou com pendência para cancelamento ficam dispensadas de encaminhar o DE e o DSI.</w:t>
      </w:r>
    </w:p>
    <w:bookmarkEnd w:id="0"/>
    <w:p w14:paraId="519E3758" w14:textId="77777777" w:rsidR="00193CB3" w:rsidRP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Seção V</w:t>
      </w:r>
    </w:p>
    <w:p w14:paraId="3DBE11EC" w14:textId="77777777" w:rsidR="00193CB3" w:rsidRDefault="00193CB3"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r w:rsidRPr="00193CB3">
        <w:rPr>
          <w:rFonts w:ascii="Calibri" w:eastAsia="Calibri" w:hAnsi="Calibri" w:cs="Calibri"/>
          <w:b/>
          <w:bCs/>
          <w:kern w:val="0"/>
          <w:sz w:val="24"/>
          <w:szCs w:val="24"/>
          <w14:ligatures w14:val="none"/>
        </w:rPr>
        <w:t>Relatório Mensal de Informações do administrador especial, interventor ou liquidante</w:t>
      </w:r>
    </w:p>
    <w:p w14:paraId="784E03BB" w14:textId="77777777" w:rsidR="001F644F" w:rsidRPr="00193CB3" w:rsidRDefault="001F644F" w:rsidP="00193CB3">
      <w:pPr>
        <w:widowControl w:val="0"/>
        <w:autoSpaceDE w:val="0"/>
        <w:autoSpaceDN w:val="0"/>
        <w:spacing w:after="0" w:line="240" w:lineRule="auto"/>
        <w:jc w:val="center"/>
        <w:rPr>
          <w:rFonts w:ascii="Calibri" w:eastAsia="Calibri" w:hAnsi="Calibri" w:cs="Calibri"/>
          <w:b/>
          <w:bCs/>
          <w:kern w:val="0"/>
          <w:sz w:val="24"/>
          <w:szCs w:val="24"/>
          <w14:ligatures w14:val="none"/>
        </w:rPr>
      </w:pPr>
    </w:p>
    <w:p w14:paraId="3FC2543D" w14:textId="4B70BB13"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w:t>
      </w:r>
      <w:r w:rsidR="007441D4">
        <w:rPr>
          <w:rFonts w:ascii="Calibri" w:eastAsia="Calibri" w:hAnsi="Calibri" w:cs="Calibri"/>
          <w:kern w:val="0"/>
          <w:sz w:val="24"/>
          <w:szCs w:val="24"/>
          <w14:ligatures w14:val="none"/>
        </w:rPr>
        <w:t>27</w:t>
      </w:r>
      <w:r w:rsidRPr="00193CB3">
        <w:rPr>
          <w:rFonts w:ascii="Calibri" w:eastAsia="Calibri" w:hAnsi="Calibri" w:cs="Calibri"/>
          <w:kern w:val="0"/>
          <w:sz w:val="24"/>
          <w:szCs w:val="24"/>
          <w14:ligatures w14:val="none"/>
        </w:rPr>
        <w:t>.  O Relatório Mensal de Informações previsto no artigo 6º da Resolução CNPC nº 52, de 2022, dever ser elaborado pelo administrador especial, interventor ou liquidante, na forma da presente Resolução.</w:t>
      </w:r>
    </w:p>
    <w:p w14:paraId="1D268945" w14:textId="19C7DBFD"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Art. </w:t>
      </w:r>
      <w:r w:rsidR="007441D4">
        <w:rPr>
          <w:rFonts w:ascii="Calibri" w:eastAsia="Calibri" w:hAnsi="Calibri" w:cs="Calibri"/>
          <w:kern w:val="0"/>
          <w:sz w:val="24"/>
          <w:szCs w:val="24"/>
          <w14:ligatures w14:val="none"/>
        </w:rPr>
        <w:t>928</w:t>
      </w:r>
      <w:r w:rsidRPr="00193CB3">
        <w:rPr>
          <w:rFonts w:ascii="Calibri" w:eastAsia="Calibri" w:hAnsi="Calibri" w:cs="Calibri"/>
          <w:kern w:val="0"/>
          <w:sz w:val="24"/>
          <w:szCs w:val="24"/>
          <w14:ligatures w14:val="none"/>
        </w:rPr>
        <w:t xml:space="preserve">.  O Relatório Mensal de Informações de que trata o </w:t>
      </w:r>
      <w:r w:rsidRPr="00193CB3">
        <w:rPr>
          <w:rFonts w:ascii="Calibri" w:eastAsia="Calibri" w:hAnsi="Calibri" w:cs="Calibri"/>
          <w:kern w:val="0"/>
          <w:sz w:val="24"/>
          <w:szCs w:val="24"/>
          <w:highlight w:val="yellow"/>
          <w14:ligatures w14:val="none"/>
        </w:rPr>
        <w:t>art. 9</w:t>
      </w:r>
      <w:r w:rsidR="001F644F" w:rsidRPr="001F644F">
        <w:rPr>
          <w:rFonts w:ascii="Calibri" w:eastAsia="Calibri" w:hAnsi="Calibri" w:cs="Calibri"/>
          <w:kern w:val="0"/>
          <w:sz w:val="24"/>
          <w:szCs w:val="24"/>
          <w:highlight w:val="yellow"/>
          <w14:ligatures w14:val="none"/>
        </w:rPr>
        <w:t>30</w:t>
      </w:r>
      <w:r w:rsidRPr="00193CB3">
        <w:rPr>
          <w:rFonts w:ascii="Calibri" w:eastAsia="Calibri" w:hAnsi="Calibri" w:cs="Calibri"/>
          <w:kern w:val="0"/>
          <w:sz w:val="24"/>
          <w:szCs w:val="24"/>
          <w14:ligatures w14:val="none"/>
        </w:rPr>
        <w:t>, deve conter no mínimo as seguintes informações:</w:t>
      </w:r>
    </w:p>
    <w:p w14:paraId="6A6CDF20"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 - </w:t>
      </w:r>
      <w:proofErr w:type="gramStart"/>
      <w:r w:rsidRPr="00193CB3">
        <w:rPr>
          <w:rFonts w:ascii="Calibri" w:eastAsia="Calibri" w:hAnsi="Calibri" w:cs="Calibri"/>
          <w:kern w:val="0"/>
          <w:sz w:val="24"/>
          <w:szCs w:val="24"/>
          <w14:ligatures w14:val="none"/>
        </w:rPr>
        <w:t>o</w:t>
      </w:r>
      <w:proofErr w:type="gramEnd"/>
      <w:r w:rsidRPr="00193CB3">
        <w:rPr>
          <w:rFonts w:ascii="Calibri" w:eastAsia="Calibri" w:hAnsi="Calibri" w:cs="Calibri"/>
          <w:kern w:val="0"/>
          <w:sz w:val="24"/>
          <w:szCs w:val="24"/>
          <w14:ligatures w14:val="none"/>
        </w:rPr>
        <w:t xml:space="preserve"> resumo das atividades desenvolvidas no mês;</w:t>
      </w:r>
    </w:p>
    <w:p w14:paraId="6DB8BE44"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II - </w:t>
      </w:r>
      <w:proofErr w:type="gramStart"/>
      <w:r w:rsidRPr="00193CB3">
        <w:rPr>
          <w:rFonts w:ascii="Calibri" w:eastAsia="Calibri" w:hAnsi="Calibri" w:cs="Calibri"/>
          <w:kern w:val="0"/>
          <w:sz w:val="24"/>
          <w:szCs w:val="24"/>
          <w14:ligatures w14:val="none"/>
        </w:rPr>
        <w:t>as</w:t>
      </w:r>
      <w:proofErr w:type="gramEnd"/>
      <w:r w:rsidRPr="00193CB3">
        <w:rPr>
          <w:rFonts w:ascii="Calibri" w:eastAsia="Calibri" w:hAnsi="Calibri" w:cs="Calibri"/>
          <w:kern w:val="0"/>
          <w:sz w:val="24"/>
          <w:szCs w:val="24"/>
          <w14:ligatures w14:val="none"/>
        </w:rPr>
        <w:t xml:space="preserve"> medidas que vêm sendo adotadas para encerrar o regime especial;</w:t>
      </w:r>
    </w:p>
    <w:p w14:paraId="63682944"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III - o prazo estimado para o encerramento do regime especial;</w:t>
      </w:r>
    </w:p>
    <w:p w14:paraId="2E040B91" w14:textId="61D11151"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IV - </w:t>
      </w:r>
      <w:proofErr w:type="gramStart"/>
      <w:r w:rsidRPr="00193CB3">
        <w:rPr>
          <w:rFonts w:ascii="Calibri" w:eastAsia="Calibri" w:hAnsi="Calibri" w:cs="Calibri"/>
          <w:kern w:val="0"/>
          <w:sz w:val="24"/>
          <w:szCs w:val="24"/>
          <w14:ligatures w14:val="none"/>
        </w:rPr>
        <w:t>as</w:t>
      </w:r>
      <w:proofErr w:type="gramEnd"/>
      <w:r w:rsidRPr="00193CB3">
        <w:rPr>
          <w:rFonts w:ascii="Calibri" w:eastAsia="Calibri" w:hAnsi="Calibri" w:cs="Calibri"/>
          <w:kern w:val="0"/>
          <w:sz w:val="24"/>
          <w:szCs w:val="24"/>
          <w14:ligatures w14:val="none"/>
        </w:rPr>
        <w:t xml:space="preserve"> despesas administrativas, identificadas na forma do </w:t>
      </w:r>
      <w:r w:rsidRPr="007441D4">
        <w:rPr>
          <w:rFonts w:ascii="Calibri" w:eastAsia="Calibri" w:hAnsi="Calibri" w:cs="Calibri"/>
          <w:kern w:val="0"/>
          <w:sz w:val="24"/>
          <w:szCs w:val="24"/>
          <w:highlight w:val="yellow"/>
          <w14:ligatures w14:val="none"/>
        </w:rPr>
        <w:t xml:space="preserve">Anexo </w:t>
      </w:r>
      <w:r w:rsidR="007441D4" w:rsidRPr="007441D4">
        <w:rPr>
          <w:rFonts w:ascii="Calibri" w:eastAsia="Calibri" w:hAnsi="Calibri" w:cs="Calibri"/>
          <w:kern w:val="0"/>
          <w:sz w:val="24"/>
          <w:szCs w:val="24"/>
          <w:highlight w:val="yellow"/>
          <w14:ligatures w14:val="none"/>
        </w:rPr>
        <w:t>VI</w:t>
      </w:r>
      <w:r w:rsidRPr="00193CB3">
        <w:rPr>
          <w:rFonts w:ascii="Calibri" w:eastAsia="Calibri" w:hAnsi="Calibri" w:cs="Calibri"/>
          <w:kern w:val="0"/>
          <w:sz w:val="24"/>
          <w:szCs w:val="24"/>
          <w14:ligatures w14:val="none"/>
        </w:rPr>
        <w:t xml:space="preserve"> desta Resolução;</w:t>
      </w:r>
    </w:p>
    <w:p w14:paraId="6C3C88CC"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V - </w:t>
      </w:r>
      <w:proofErr w:type="gramStart"/>
      <w:r w:rsidRPr="00193CB3">
        <w:rPr>
          <w:rFonts w:ascii="Calibri" w:eastAsia="Calibri" w:hAnsi="Calibri" w:cs="Calibri"/>
          <w:kern w:val="0"/>
          <w:sz w:val="24"/>
          <w:szCs w:val="24"/>
          <w14:ligatures w14:val="none"/>
        </w:rPr>
        <w:t>as</w:t>
      </w:r>
      <w:proofErr w:type="gramEnd"/>
      <w:r w:rsidRPr="00193CB3">
        <w:rPr>
          <w:rFonts w:ascii="Calibri" w:eastAsia="Calibri" w:hAnsi="Calibri" w:cs="Calibri"/>
          <w:kern w:val="0"/>
          <w:sz w:val="24"/>
          <w:szCs w:val="24"/>
          <w14:ligatures w14:val="none"/>
        </w:rPr>
        <w:t xml:space="preserve">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6958F31E"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VI - </w:t>
      </w:r>
      <w:proofErr w:type="gramStart"/>
      <w:r w:rsidRPr="00193CB3">
        <w:rPr>
          <w:rFonts w:ascii="Calibri" w:eastAsia="Calibri" w:hAnsi="Calibri" w:cs="Calibri"/>
          <w:kern w:val="0"/>
          <w:sz w:val="24"/>
          <w:szCs w:val="24"/>
          <w14:ligatures w14:val="none"/>
        </w:rPr>
        <w:t>a</w:t>
      </w:r>
      <w:proofErr w:type="gramEnd"/>
      <w:r w:rsidRPr="00193CB3">
        <w:rPr>
          <w:rFonts w:ascii="Calibri" w:eastAsia="Calibri" w:hAnsi="Calibri" w:cs="Calibri"/>
          <w:kern w:val="0"/>
          <w:sz w:val="24"/>
          <w:szCs w:val="24"/>
          <w14:ligatures w14:val="none"/>
        </w:rPr>
        <w:t xml:space="preserve"> movimentação financeira;</w:t>
      </w:r>
    </w:p>
    <w:p w14:paraId="1473AD3A" w14:textId="30224068"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 xml:space="preserve">VII </w:t>
      </w:r>
      <w:r w:rsidR="007441D4">
        <w:rPr>
          <w:rFonts w:ascii="Calibri" w:eastAsia="Calibri" w:hAnsi="Calibri" w:cs="Calibri"/>
          <w:kern w:val="0"/>
          <w:sz w:val="24"/>
          <w:szCs w:val="24"/>
          <w14:ligatures w14:val="none"/>
        </w:rPr>
        <w:t>-</w:t>
      </w:r>
      <w:r w:rsidRPr="00193CB3">
        <w:rPr>
          <w:rFonts w:ascii="Calibri" w:eastAsia="Calibri" w:hAnsi="Calibri" w:cs="Calibri"/>
          <w:kern w:val="0"/>
          <w:sz w:val="24"/>
          <w:szCs w:val="24"/>
          <w14:ligatures w14:val="none"/>
        </w:rPr>
        <w:t xml:space="preserve"> as informações sobre o Quadro Gerais de Credores; e</w:t>
      </w:r>
    </w:p>
    <w:p w14:paraId="34C9500E" w14:textId="77777777"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VIII - outras considerações gerais julgadas pertinentes.</w:t>
      </w:r>
    </w:p>
    <w:p w14:paraId="2A10F597" w14:textId="608C520D"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w:t>
      </w:r>
      <w:r w:rsidR="007441D4">
        <w:rPr>
          <w:rFonts w:ascii="Calibri" w:eastAsia="Calibri" w:hAnsi="Calibri" w:cs="Calibri"/>
          <w:kern w:val="0"/>
          <w:sz w:val="24"/>
          <w:szCs w:val="24"/>
          <w14:ligatures w14:val="none"/>
        </w:rPr>
        <w:t>29</w:t>
      </w:r>
      <w:r w:rsidRPr="00193CB3">
        <w:rPr>
          <w:rFonts w:ascii="Calibri" w:eastAsia="Calibri" w:hAnsi="Calibri" w:cs="Calibri"/>
          <w:kern w:val="0"/>
          <w:sz w:val="24"/>
          <w:szCs w:val="24"/>
          <w14:ligatures w14:val="none"/>
        </w:rPr>
        <w:t>.  O Relatório Mensal de Informações deverá ser enviado à Previc, pelo administrador especial, interventor ou liquidante, até o último dia útil do mês subsequente ao mês a que se refere.</w:t>
      </w:r>
    </w:p>
    <w:p w14:paraId="67AA66CA" w14:textId="386E91FF" w:rsidR="00193CB3" w:rsidRPr="00193CB3" w:rsidRDefault="00193CB3" w:rsidP="00193CB3">
      <w:pPr>
        <w:widowControl w:val="0"/>
        <w:autoSpaceDE w:val="0"/>
        <w:autoSpaceDN w:val="0"/>
        <w:spacing w:after="120" w:line="240" w:lineRule="auto"/>
        <w:jc w:val="both"/>
        <w:rPr>
          <w:rFonts w:ascii="Calibri" w:eastAsia="Calibri" w:hAnsi="Calibri" w:cs="Calibri"/>
          <w:kern w:val="0"/>
          <w:sz w:val="24"/>
          <w:szCs w:val="24"/>
          <w14:ligatures w14:val="none"/>
        </w:rPr>
      </w:pPr>
      <w:r w:rsidRPr="00193CB3">
        <w:rPr>
          <w:rFonts w:ascii="Calibri" w:eastAsia="Calibri" w:hAnsi="Calibri" w:cs="Calibri"/>
          <w:kern w:val="0"/>
          <w:sz w:val="24"/>
          <w:szCs w:val="24"/>
          <w14:ligatures w14:val="none"/>
        </w:rPr>
        <w:t>Art. 9</w:t>
      </w:r>
      <w:r w:rsidR="007441D4">
        <w:rPr>
          <w:rFonts w:ascii="Calibri" w:eastAsia="Calibri" w:hAnsi="Calibri" w:cs="Calibri"/>
          <w:kern w:val="0"/>
          <w:sz w:val="24"/>
          <w:szCs w:val="24"/>
          <w14:ligatures w14:val="none"/>
        </w:rPr>
        <w:t>30</w:t>
      </w:r>
      <w:r w:rsidRPr="00193CB3">
        <w:rPr>
          <w:rFonts w:ascii="Calibri" w:eastAsia="Calibri" w:hAnsi="Calibri" w:cs="Calibri"/>
          <w:kern w:val="0"/>
          <w:sz w:val="24"/>
          <w:szCs w:val="24"/>
          <w14:ligatures w14:val="none"/>
        </w:rPr>
        <w:t>.  A entidade em liquidação extrajudicial deve divulgar mensalmente, em sítio na rede mundial de computadores, as informações relativas ao regime especial.</w:t>
      </w:r>
    </w:p>
    <w:p w14:paraId="7604BAA2" w14:textId="77777777" w:rsidR="007441D4" w:rsidRPr="007441D4" w:rsidRDefault="007441D4" w:rsidP="007441D4">
      <w:pPr>
        <w:spacing w:after="0"/>
        <w:jc w:val="center"/>
        <w:rPr>
          <w:rFonts w:cstheme="minorHAnsi"/>
          <w:b/>
          <w:bCs/>
          <w:sz w:val="24"/>
          <w:szCs w:val="24"/>
        </w:rPr>
      </w:pPr>
      <w:r w:rsidRPr="007441D4">
        <w:rPr>
          <w:rFonts w:cstheme="minorHAnsi"/>
          <w:b/>
          <w:bCs/>
          <w:sz w:val="24"/>
          <w:szCs w:val="24"/>
        </w:rPr>
        <w:t>Seção VI</w:t>
      </w:r>
    </w:p>
    <w:p w14:paraId="2D12AE23" w14:textId="2E78C80C" w:rsidR="00193CB3" w:rsidRPr="007441D4" w:rsidRDefault="007441D4" w:rsidP="007441D4">
      <w:pPr>
        <w:widowControl w:val="0"/>
        <w:autoSpaceDE w:val="0"/>
        <w:autoSpaceDN w:val="0"/>
        <w:spacing w:after="120" w:line="240" w:lineRule="auto"/>
        <w:jc w:val="center"/>
        <w:rPr>
          <w:rFonts w:ascii="Calibri" w:eastAsia="Calibri" w:hAnsi="Calibri" w:cs="Calibri"/>
          <w:kern w:val="0"/>
          <w:sz w:val="24"/>
          <w:szCs w:val="24"/>
          <w14:ligatures w14:val="none"/>
        </w:rPr>
      </w:pPr>
      <w:r w:rsidRPr="007441D4">
        <w:rPr>
          <w:rFonts w:cstheme="minorHAnsi"/>
          <w:b/>
          <w:bCs/>
          <w:sz w:val="24"/>
          <w:szCs w:val="24"/>
        </w:rPr>
        <w:t>Operacionalização de envio de Informações à Previc</w:t>
      </w:r>
    </w:p>
    <w:p w14:paraId="58CACB41" w14:textId="79F897E3" w:rsidR="00B670A0" w:rsidRDefault="007441D4">
      <w:r>
        <w:rPr>
          <w:rFonts w:eastAsia="Times New Roman" w:cstheme="minorHAnsi"/>
          <w:sz w:val="24"/>
          <w:szCs w:val="24"/>
          <w:lang w:eastAsia="pt-BR"/>
        </w:rPr>
        <w:t xml:space="preserve">Art. 931.  </w:t>
      </w:r>
      <w:r w:rsidRPr="007441D4">
        <w:rPr>
          <w:rFonts w:eastAsia="Times New Roman" w:cstheme="minorHAnsi"/>
          <w:sz w:val="24"/>
          <w:szCs w:val="24"/>
          <w:lang w:eastAsia="pt-BR"/>
        </w:rPr>
        <w:t xml:space="preserve">Cabe à Previc </w:t>
      </w:r>
      <w:r w:rsidRPr="00C031E1">
        <w:rPr>
          <w:rFonts w:eastAsia="Times New Roman" w:cstheme="minorHAnsi"/>
          <w:sz w:val="24"/>
          <w:szCs w:val="24"/>
          <w:lang w:eastAsia="pt-BR"/>
        </w:rPr>
        <w:t>emitir orientações para a operacionalização e o detalhamento de documentos e informações</w:t>
      </w:r>
      <w:r>
        <w:rPr>
          <w:rFonts w:eastAsia="Times New Roman" w:cstheme="minorHAnsi"/>
          <w:sz w:val="24"/>
          <w:szCs w:val="24"/>
          <w:lang w:eastAsia="pt-BR"/>
        </w:rPr>
        <w:t xml:space="preserve"> que devem ser enviados à autarquia constantes deste Capítulo.</w:t>
      </w:r>
    </w:p>
    <w:sectPr w:rsidR="00B670A0" w:rsidSect="00193CB3">
      <w:pgSz w:w="11906" w:h="16838"/>
      <w:pgMar w:top="1418" w:right="567" w:bottom="1418"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3CB3"/>
    <w:rsid w:val="00193CB3"/>
    <w:rsid w:val="001E32EE"/>
    <w:rsid w:val="001F644F"/>
    <w:rsid w:val="00251783"/>
    <w:rsid w:val="00364BE5"/>
    <w:rsid w:val="00596B69"/>
    <w:rsid w:val="006D70CE"/>
    <w:rsid w:val="006F2079"/>
    <w:rsid w:val="007441D4"/>
    <w:rsid w:val="007C4FE1"/>
    <w:rsid w:val="008D6CFB"/>
    <w:rsid w:val="009374CE"/>
    <w:rsid w:val="0097052F"/>
    <w:rsid w:val="00AB4A05"/>
    <w:rsid w:val="00B670A0"/>
    <w:rsid w:val="00BC5050"/>
    <w:rsid w:val="00C413EA"/>
    <w:rsid w:val="00C77FE0"/>
    <w:rsid w:val="00C902B5"/>
    <w:rsid w:val="00C97800"/>
    <w:rsid w:val="00D016C8"/>
    <w:rsid w:val="00DC70A7"/>
    <w:rsid w:val="00E4616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219CF"/>
  <w15:chartTrackingRefBased/>
  <w15:docId w15:val="{85436A96-1991-4DF8-AEFB-C0CA42A0C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C413EA"/>
    <w:pPr>
      <w:widowControl w:val="0"/>
      <w:autoSpaceDE w:val="0"/>
      <w:autoSpaceDN w:val="0"/>
      <w:spacing w:before="120" w:after="0" w:line="240" w:lineRule="auto"/>
      <w:jc w:val="center"/>
      <w:outlineLvl w:val="0"/>
    </w:pPr>
    <w:rPr>
      <w:rFonts w:ascii="Calibri" w:eastAsia="Calibri" w:hAnsi="Calibri" w:cs="Calibri"/>
      <w:b/>
      <w:bCs/>
      <w:kern w:val="0"/>
      <w:sz w:val="24"/>
      <w:szCs w:val="24"/>
      <w14:ligatures w14:val="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C413EA"/>
    <w:rPr>
      <w:rFonts w:ascii="Calibri" w:eastAsia="Calibri" w:hAnsi="Calibri" w:cs="Calibri"/>
      <w:b/>
      <w:bCs/>
      <w:kern w:val="0"/>
      <w:sz w:val="24"/>
      <w:szCs w:val="24"/>
      <w14:ligatures w14:val="none"/>
    </w:rPr>
  </w:style>
  <w:style w:type="paragraph" w:styleId="Corpodetexto">
    <w:name w:val="Body Text"/>
    <w:basedOn w:val="Normal"/>
    <w:link w:val="CorpodetextoChar"/>
    <w:uiPriority w:val="1"/>
    <w:qFormat/>
    <w:rsid w:val="00C413EA"/>
    <w:pPr>
      <w:widowControl w:val="0"/>
      <w:autoSpaceDE w:val="0"/>
      <w:autoSpaceDN w:val="0"/>
      <w:spacing w:before="120" w:after="0" w:line="240" w:lineRule="auto"/>
      <w:ind w:left="113"/>
      <w:jc w:val="both"/>
    </w:pPr>
    <w:rPr>
      <w:rFonts w:ascii="Calibri" w:eastAsia="Calibri" w:hAnsi="Calibri" w:cs="Calibri"/>
      <w:kern w:val="0"/>
      <w:sz w:val="24"/>
      <w:szCs w:val="24"/>
      <w14:ligatures w14:val="none"/>
    </w:rPr>
  </w:style>
  <w:style w:type="character" w:customStyle="1" w:styleId="CorpodetextoChar">
    <w:name w:val="Corpo de texto Char"/>
    <w:basedOn w:val="Fontepargpadro"/>
    <w:link w:val="Corpodetexto"/>
    <w:uiPriority w:val="1"/>
    <w:rsid w:val="00C413EA"/>
    <w:rPr>
      <w:rFonts w:ascii="Calibri" w:eastAsia="Calibri" w:hAnsi="Calibri" w:cs="Calibri"/>
      <w:kern w:val="0"/>
      <w:sz w:val="24"/>
      <w:szCs w:val="24"/>
      <w14:ligatures w14:val="none"/>
    </w:rPr>
  </w:style>
  <w:style w:type="paragraph" w:customStyle="1" w:styleId="Default">
    <w:name w:val="Default"/>
    <w:rsid w:val="00C413EA"/>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 w:type="table" w:styleId="Tabelacomgrade">
    <w:name w:val="Table Grid"/>
    <w:basedOn w:val="Tabelanormal"/>
    <w:uiPriority w:val="39"/>
    <w:rsid w:val="00C413E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535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3059</Words>
  <Characters>16523</Characters>
  <Application>Microsoft Office Word</Application>
  <DocSecurity>0</DocSecurity>
  <Lines>137</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Darllan Ricardo da Silva - PREVICDF</dc:creator>
  <cp:keywords/>
  <dc:description/>
  <cp:lastModifiedBy>Claudia Elizabeth Ashton de Araujo - PREVICDF</cp:lastModifiedBy>
  <cp:revision>2</cp:revision>
  <dcterms:created xsi:type="dcterms:W3CDTF">2023-07-04T15:12:00Z</dcterms:created>
  <dcterms:modified xsi:type="dcterms:W3CDTF">2023-07-04T15:12:00Z</dcterms:modified>
</cp:coreProperties>
</file>