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FD38D" w14:textId="77777777" w:rsidR="00E251D2" w:rsidRPr="0077064F" w:rsidRDefault="00E251D2" w:rsidP="006164E8">
      <w:pPr>
        <w:spacing w:before="120" w:after="120" w:line="240" w:lineRule="auto"/>
        <w:jc w:val="center"/>
        <w:rPr>
          <w:rFonts w:ascii="Calibri" w:hAnsi="Calibri" w:cstheme="minorHAnsi"/>
          <w:sz w:val="24"/>
          <w:szCs w:val="24"/>
        </w:rPr>
      </w:pPr>
      <w:r w:rsidRPr="0077064F">
        <w:rPr>
          <w:rFonts w:ascii="Calibri" w:hAnsi="Calibri" w:cstheme="minorHAnsi"/>
          <w:sz w:val="24"/>
          <w:szCs w:val="24"/>
        </w:rPr>
        <w:t>CAPÍTULO</w:t>
      </w:r>
    </w:p>
    <w:p w14:paraId="0873B2D9" w14:textId="77777777" w:rsidR="00E251D2" w:rsidRPr="003B79E1" w:rsidRDefault="00E251D2" w:rsidP="006164E8">
      <w:pPr>
        <w:spacing w:before="120" w:after="120" w:line="240" w:lineRule="auto"/>
        <w:jc w:val="center"/>
        <w:rPr>
          <w:b/>
          <w:sz w:val="24"/>
          <w:szCs w:val="24"/>
        </w:rPr>
      </w:pPr>
      <w:r>
        <w:rPr>
          <w:rFonts w:ascii="Calibri" w:hAnsi="Calibri" w:cstheme="minorHAnsi"/>
          <w:sz w:val="24"/>
          <w:szCs w:val="24"/>
        </w:rPr>
        <w:t>GOVERNANÇA</w:t>
      </w:r>
    </w:p>
    <w:p w14:paraId="71CFB504" w14:textId="77777777" w:rsidR="00E251D2" w:rsidRPr="006164E8" w:rsidRDefault="00E251D2" w:rsidP="006164E8">
      <w:pPr>
        <w:spacing w:before="120" w:after="120" w:line="240" w:lineRule="auto"/>
        <w:rPr>
          <w:b/>
          <w:sz w:val="24"/>
          <w:szCs w:val="24"/>
        </w:rPr>
      </w:pPr>
    </w:p>
    <w:p w14:paraId="0ED142F3" w14:textId="77777777" w:rsidR="00E251D2" w:rsidRPr="006164E8" w:rsidRDefault="00E251D2" w:rsidP="006164E8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6164E8">
        <w:rPr>
          <w:rFonts w:ascii="Calibri" w:hAnsi="Calibri" w:cs="Calibri"/>
          <w:b/>
          <w:sz w:val="24"/>
          <w:szCs w:val="24"/>
          <w:u w:val="single"/>
        </w:rPr>
        <w:t>Referências normativas:</w:t>
      </w:r>
    </w:p>
    <w:p w14:paraId="08BEB464" w14:textId="63F345BD" w:rsidR="00A05EC4" w:rsidRDefault="006D6021" w:rsidP="006164E8">
      <w:pPr>
        <w:spacing w:before="120" w:after="120" w:line="240" w:lineRule="auto"/>
        <w:rPr>
          <w:sz w:val="24"/>
          <w:szCs w:val="24"/>
        </w:rPr>
      </w:pPr>
      <w:r w:rsidRPr="006164E8">
        <w:rPr>
          <w:sz w:val="24"/>
          <w:szCs w:val="24"/>
        </w:rPr>
        <w:t>Art. 24</w:t>
      </w:r>
      <w:r w:rsidR="00E251D2" w:rsidRPr="006164E8">
        <w:rPr>
          <w:sz w:val="24"/>
          <w:szCs w:val="24"/>
        </w:rPr>
        <w:t xml:space="preserve"> da Resolução CGPC nº 13, de </w:t>
      </w:r>
      <w:r w:rsidR="00A05EC4" w:rsidRPr="006164E8">
        <w:rPr>
          <w:sz w:val="24"/>
          <w:szCs w:val="24"/>
        </w:rPr>
        <w:t xml:space="preserve">1º de outubro de 2004. </w:t>
      </w:r>
    </w:p>
    <w:p w14:paraId="55F6D14C" w14:textId="77777777" w:rsidR="003E0BFA" w:rsidRPr="006164E8" w:rsidRDefault="003E0BFA" w:rsidP="006164E8">
      <w:pPr>
        <w:spacing w:before="120" w:after="120" w:line="240" w:lineRule="auto"/>
        <w:rPr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762"/>
        <w:gridCol w:w="4090"/>
        <w:gridCol w:w="3343"/>
      </w:tblGrid>
      <w:tr w:rsidR="003E0BFA" w:rsidRPr="003E0BFA" w14:paraId="1CE1E2CA" w14:textId="201B2FB2" w:rsidTr="003E0BFA">
        <w:tc>
          <w:tcPr>
            <w:tcW w:w="2762" w:type="dxa"/>
          </w:tcPr>
          <w:p w14:paraId="555D983C" w14:textId="15EDD4CF" w:rsidR="003E0BFA" w:rsidRPr="003E0BFA" w:rsidRDefault="003E0BFA" w:rsidP="003E0BFA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DE</w:t>
            </w:r>
          </w:p>
        </w:tc>
        <w:tc>
          <w:tcPr>
            <w:tcW w:w="4090" w:type="dxa"/>
          </w:tcPr>
          <w:p w14:paraId="046E7742" w14:textId="566E90C0" w:rsidR="003E0BFA" w:rsidRPr="003E0BFA" w:rsidRDefault="003E0BFA" w:rsidP="003E0BFA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PARA</w:t>
            </w:r>
          </w:p>
        </w:tc>
        <w:tc>
          <w:tcPr>
            <w:tcW w:w="3343" w:type="dxa"/>
          </w:tcPr>
          <w:p w14:paraId="4E018AD1" w14:textId="4708619B" w:rsidR="003E0BFA" w:rsidRPr="003E0BFA" w:rsidRDefault="003E0BFA" w:rsidP="003E0BFA">
            <w:pPr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Justificativa</w:t>
            </w:r>
          </w:p>
        </w:tc>
      </w:tr>
      <w:tr w:rsidR="003E0BFA" w:rsidRPr="003E0BFA" w14:paraId="6C049A1D" w14:textId="2C3754E2" w:rsidTr="003E0BFA">
        <w:tc>
          <w:tcPr>
            <w:tcW w:w="2762" w:type="dxa"/>
          </w:tcPr>
          <w:p w14:paraId="3A72F234" w14:textId="77777777" w:rsidR="003E0BFA" w:rsidRPr="003E0BFA" w:rsidRDefault="003E0BFA" w:rsidP="00F728B7">
            <w:pPr>
              <w:spacing w:before="120" w:after="120"/>
              <w:jc w:val="center"/>
              <w:rPr>
                <w:sz w:val="24"/>
                <w:szCs w:val="24"/>
              </w:rPr>
            </w:pPr>
          </w:p>
        </w:tc>
        <w:tc>
          <w:tcPr>
            <w:tcW w:w="4090" w:type="dxa"/>
          </w:tcPr>
          <w:p w14:paraId="20C6219F" w14:textId="02A621FF" w:rsidR="003E0BFA" w:rsidRPr="003E0BFA" w:rsidRDefault="003E0BFA" w:rsidP="00F728B7">
            <w:pPr>
              <w:spacing w:before="120" w:after="120"/>
              <w:jc w:val="center"/>
              <w:rPr>
                <w:sz w:val="24"/>
                <w:szCs w:val="24"/>
              </w:rPr>
            </w:pPr>
            <w:r w:rsidRPr="003E0BFA">
              <w:rPr>
                <w:sz w:val="24"/>
                <w:szCs w:val="24"/>
              </w:rPr>
              <w:t xml:space="preserve">CAPÍTULO </w:t>
            </w:r>
            <w:r w:rsidRPr="003E0BFA">
              <w:rPr>
                <w:color w:val="FF0000"/>
                <w:sz w:val="24"/>
                <w:szCs w:val="24"/>
              </w:rPr>
              <w:t>XX</w:t>
            </w:r>
          </w:p>
        </w:tc>
        <w:tc>
          <w:tcPr>
            <w:tcW w:w="3343" w:type="dxa"/>
          </w:tcPr>
          <w:p w14:paraId="61C03D96" w14:textId="32BE5544" w:rsidR="003E0BFA" w:rsidRPr="003E0BFA" w:rsidRDefault="003B1248" w:rsidP="00F728B7">
            <w:pPr>
              <w:spacing w:before="120" w:after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Consolidação Normativa</w:t>
            </w:r>
          </w:p>
        </w:tc>
      </w:tr>
      <w:tr w:rsidR="003E0BFA" w:rsidRPr="003E0BFA" w14:paraId="1DD531FF" w14:textId="27079B61" w:rsidTr="003E0BFA">
        <w:tc>
          <w:tcPr>
            <w:tcW w:w="2762" w:type="dxa"/>
          </w:tcPr>
          <w:p w14:paraId="4F04BA77" w14:textId="77777777" w:rsidR="003E0BFA" w:rsidRPr="003E0BFA" w:rsidRDefault="003E0BFA" w:rsidP="00F728B7">
            <w:pPr>
              <w:spacing w:before="120" w:after="120"/>
              <w:jc w:val="center"/>
              <w:rPr>
                <w:sz w:val="24"/>
                <w:szCs w:val="24"/>
              </w:rPr>
            </w:pPr>
          </w:p>
        </w:tc>
        <w:tc>
          <w:tcPr>
            <w:tcW w:w="4090" w:type="dxa"/>
          </w:tcPr>
          <w:p w14:paraId="07994413" w14:textId="66C28211" w:rsidR="003E0BFA" w:rsidRPr="003E0BFA" w:rsidRDefault="003E0BFA" w:rsidP="00F728B7">
            <w:pPr>
              <w:spacing w:before="120" w:after="120"/>
              <w:jc w:val="center"/>
              <w:rPr>
                <w:sz w:val="24"/>
                <w:szCs w:val="24"/>
              </w:rPr>
            </w:pPr>
            <w:r w:rsidRPr="003E0BFA">
              <w:rPr>
                <w:sz w:val="24"/>
                <w:szCs w:val="24"/>
              </w:rPr>
              <w:t>GOVERNANÇA</w:t>
            </w:r>
          </w:p>
        </w:tc>
        <w:tc>
          <w:tcPr>
            <w:tcW w:w="3343" w:type="dxa"/>
          </w:tcPr>
          <w:p w14:paraId="69E0A3B0" w14:textId="0A104B7C" w:rsidR="003E0BFA" w:rsidRPr="003E0BFA" w:rsidRDefault="003B1248" w:rsidP="00F728B7">
            <w:pPr>
              <w:spacing w:before="120" w:after="1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Inserido</w:t>
            </w:r>
          </w:p>
        </w:tc>
      </w:tr>
      <w:tr w:rsidR="003E0BFA" w:rsidRPr="003E0BFA" w14:paraId="6B5B4B06" w14:textId="69F493C4" w:rsidTr="003E0BFA">
        <w:tc>
          <w:tcPr>
            <w:tcW w:w="2762" w:type="dxa"/>
          </w:tcPr>
          <w:p w14:paraId="50AD276B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16EBB3BE" w14:textId="03723D7A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Seção I</w:t>
            </w:r>
          </w:p>
        </w:tc>
        <w:tc>
          <w:tcPr>
            <w:tcW w:w="3343" w:type="dxa"/>
          </w:tcPr>
          <w:p w14:paraId="66D5B791" w14:textId="12B0E992" w:rsidR="003E0BFA" w:rsidRPr="003E0BFA" w:rsidRDefault="003B1248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Inserido</w:t>
            </w:r>
          </w:p>
        </w:tc>
      </w:tr>
      <w:tr w:rsidR="003E0BFA" w:rsidRPr="003E0BFA" w14:paraId="24535E0B" w14:textId="2FF02F10" w:rsidTr="003E0BFA">
        <w:tc>
          <w:tcPr>
            <w:tcW w:w="2762" w:type="dxa"/>
          </w:tcPr>
          <w:p w14:paraId="05C58739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285A1E91" w14:textId="1DCE1342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Da estrutura da governança</w:t>
            </w:r>
          </w:p>
        </w:tc>
        <w:tc>
          <w:tcPr>
            <w:tcW w:w="3343" w:type="dxa"/>
          </w:tcPr>
          <w:p w14:paraId="2C4A362E" w14:textId="3AADD671" w:rsidR="003E0BFA" w:rsidRPr="003E0BFA" w:rsidRDefault="003B1248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Inserido</w:t>
            </w:r>
          </w:p>
        </w:tc>
      </w:tr>
      <w:tr w:rsidR="003E0BFA" w:rsidRPr="003E0BFA" w14:paraId="48CA0410" w14:textId="360D537C" w:rsidTr="003E0BFA">
        <w:tc>
          <w:tcPr>
            <w:tcW w:w="2762" w:type="dxa"/>
          </w:tcPr>
          <w:p w14:paraId="2EFADF29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2D4B9CC5" w14:textId="05E14AAF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Art. 701.  A estrutura organizacional mínima das EFPC é constituída de conselho deliberativo, conselho fiscal e diretoria-executiva.</w:t>
            </w:r>
          </w:p>
        </w:tc>
        <w:tc>
          <w:tcPr>
            <w:tcW w:w="3343" w:type="dxa"/>
          </w:tcPr>
          <w:p w14:paraId="38488E8B" w14:textId="3C5D2D59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>
              <w:rPr>
                <w:sz w:val="24"/>
                <w:szCs w:val="24"/>
              </w:rPr>
              <w:t>.</w:t>
            </w:r>
          </w:p>
        </w:tc>
      </w:tr>
      <w:tr w:rsidR="003E0BFA" w:rsidRPr="003E0BFA" w14:paraId="7A86C03E" w14:textId="529143CF" w:rsidTr="003E0BFA">
        <w:tc>
          <w:tcPr>
            <w:tcW w:w="2762" w:type="dxa"/>
          </w:tcPr>
          <w:p w14:paraId="3C73A593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090AB321" w14:textId="694FFB96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Parágrafo único.  De acordo com o porte, a complexidade e o número de planos de benefícios e patrocinadores da EFPC, podem ser criadas outras instâncias de governança de caráter consultivo ou deliberativo, desde que vinculadas e subordinadas àquelas previstas no </w:t>
            </w:r>
            <w:r w:rsidRPr="00022FE8">
              <w:rPr>
                <w:rFonts w:ascii="Calibri" w:eastAsia="Times New Roman" w:hAnsi="Calibri" w:cstheme="minorHAnsi"/>
                <w:b/>
                <w:bCs/>
                <w:color w:val="000000"/>
                <w:sz w:val="24"/>
                <w:szCs w:val="24"/>
                <w:lang w:eastAsia="pt-BR"/>
              </w:rPr>
              <w:t>caput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343" w:type="dxa"/>
          </w:tcPr>
          <w:p w14:paraId="29E349D2" w14:textId="40506EA8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Inserido.</w:t>
            </w:r>
            <w:r w:rsidR="002C7622">
              <w:rPr>
                <w:sz w:val="24"/>
                <w:szCs w:val="24"/>
              </w:rPr>
              <w:t xml:space="preserve">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2F4C0498" w14:textId="0F93CD2A" w:rsidTr="003E0BFA">
        <w:tc>
          <w:tcPr>
            <w:tcW w:w="2762" w:type="dxa"/>
          </w:tcPr>
          <w:p w14:paraId="159A73A6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1E8A00C3" w14:textId="3BA3CA73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Seção II</w:t>
            </w:r>
          </w:p>
        </w:tc>
        <w:tc>
          <w:tcPr>
            <w:tcW w:w="3343" w:type="dxa"/>
          </w:tcPr>
          <w:p w14:paraId="34328FDD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</w:tr>
      <w:tr w:rsidR="003E0BFA" w:rsidRPr="003E0BFA" w14:paraId="7C75EA0B" w14:textId="12C5CF54" w:rsidTr="003E0BFA">
        <w:tc>
          <w:tcPr>
            <w:tcW w:w="2762" w:type="dxa"/>
          </w:tcPr>
          <w:p w14:paraId="56BA31B9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12590733" w14:textId="615360EC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Do funcionamento dos órgãos estatutários</w:t>
            </w:r>
          </w:p>
        </w:tc>
        <w:tc>
          <w:tcPr>
            <w:tcW w:w="3343" w:type="dxa"/>
          </w:tcPr>
          <w:p w14:paraId="49AF8C47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</w:tr>
      <w:tr w:rsidR="003E0BFA" w:rsidRPr="003E0BFA" w14:paraId="77956761" w14:textId="6EA5538F" w:rsidTr="003E0BFA">
        <w:tc>
          <w:tcPr>
            <w:tcW w:w="2762" w:type="dxa"/>
          </w:tcPr>
          <w:p w14:paraId="1D03F223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52A0A2E1" w14:textId="401266F1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Art. 702.  Os membros dos órgãos estatutários das EFPC devem exercer suas funções nos termos da lei, do estatuto e do regimento interno, quando houver. </w:t>
            </w:r>
          </w:p>
        </w:tc>
        <w:tc>
          <w:tcPr>
            <w:tcW w:w="3343" w:type="dxa"/>
          </w:tcPr>
          <w:p w14:paraId="578397FF" w14:textId="7BC31E50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12971E5A" w14:textId="6E6B05FF" w:rsidTr="003E0BFA">
        <w:tc>
          <w:tcPr>
            <w:tcW w:w="2762" w:type="dxa"/>
          </w:tcPr>
          <w:p w14:paraId="5AE34E7D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39ABE5AE" w14:textId="3B6CE03D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Art. 703.  O conselho deliberativo, órgão máximo da estrutura organizacional, é responsável pela definição da política geral de administração da EFPC e planos 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lastRenderedPageBreak/>
              <w:t>de benefícios por ela administrados e sua ação deve ser exercida por meio do estabelecimento de diretrizes e normas gerais de organização, funcionamento, administração e operação.</w:t>
            </w:r>
          </w:p>
        </w:tc>
        <w:tc>
          <w:tcPr>
            <w:tcW w:w="3343" w:type="dxa"/>
          </w:tcPr>
          <w:p w14:paraId="1AD20B37" w14:textId="16E79700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lastRenderedPageBreak/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657765A4" w14:textId="0704EEF6" w:rsidTr="003E0BFA">
        <w:tc>
          <w:tcPr>
            <w:tcW w:w="2762" w:type="dxa"/>
          </w:tcPr>
          <w:p w14:paraId="05CFBB83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4A7429E0" w14:textId="5D46F271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Parágrafo único.  O conselho deliberativo, no desempenho de suas funções, deve observar os princípios, regras e práticas de governança, a gestão e os controles internos aplicáveis segundo o porte da EFPC e dos planos, a complexidade e os riscos inerentes a estes, visando a sua segurança da situação econômico-financeira e atuarial.</w:t>
            </w:r>
          </w:p>
        </w:tc>
        <w:tc>
          <w:tcPr>
            <w:tcW w:w="3343" w:type="dxa"/>
          </w:tcPr>
          <w:p w14:paraId="63500CC3" w14:textId="213D321B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356E6FCA" w14:textId="110673ED" w:rsidTr="003E0BFA">
        <w:tc>
          <w:tcPr>
            <w:tcW w:w="2762" w:type="dxa"/>
          </w:tcPr>
          <w:p w14:paraId="32B7E751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30833AAB" w14:textId="0D5937A2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Art. 704.  O conselho fiscal é o órgão de fiscalização e controle interno, responsável pela fiscalização da gestão administrativa e econômico-financeira da EFPC e de seus planos de benefícios, e deve exercer suas funções nos termos da lei, do estatuto e na forma disciplinada regimento interno, quando houver.</w:t>
            </w:r>
          </w:p>
        </w:tc>
        <w:tc>
          <w:tcPr>
            <w:tcW w:w="3343" w:type="dxa"/>
          </w:tcPr>
          <w:p w14:paraId="3F9A11D5" w14:textId="51C90D40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2A138822" w14:textId="14AADDD7" w:rsidTr="003E0BFA">
        <w:tc>
          <w:tcPr>
            <w:tcW w:w="2762" w:type="dxa"/>
          </w:tcPr>
          <w:p w14:paraId="189FD647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68C35EAA" w14:textId="5431E15F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 1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O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conselho fiscal, no desempenho de suas funções, deve zelar pela gestão econômico-financeira da EFPC e dos seus planos de benefícios, observando, sempre, os princípios, regras e práticas de governança, gestão e controles internos adequados ao porte, à complexidade e aos riscos inerentes aos planos operados.</w:t>
            </w:r>
          </w:p>
        </w:tc>
        <w:tc>
          <w:tcPr>
            <w:tcW w:w="3343" w:type="dxa"/>
          </w:tcPr>
          <w:p w14:paraId="7A0D4330" w14:textId="463B71DE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076839CC" w14:textId="69D79094" w:rsidTr="003E0BFA">
        <w:tc>
          <w:tcPr>
            <w:tcW w:w="2762" w:type="dxa"/>
          </w:tcPr>
          <w:p w14:paraId="693B1246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4A5A5B2A" w14:textId="46EC1053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 2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O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conselho fiscal deve pautar sua atuação na análise a posteriori dos atos e decisões de gestão, comunicando eventuais irregularidades e recomendando providências sem interferência na gestão da EFPC.</w:t>
            </w:r>
          </w:p>
        </w:tc>
        <w:tc>
          <w:tcPr>
            <w:tcW w:w="3343" w:type="dxa"/>
          </w:tcPr>
          <w:p w14:paraId="0DD27F9F" w14:textId="53F90E8D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2DAA5932" w14:textId="5F76A1EB" w:rsidTr="003E0BFA">
        <w:tc>
          <w:tcPr>
            <w:tcW w:w="2762" w:type="dxa"/>
          </w:tcPr>
          <w:p w14:paraId="1399E091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447DEAED" w14:textId="1A38E445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Art. 705.  A diretoria-executiva é o órgão de administração e gestão da EFPC, cabendo-lhe executar as diretrizes e a 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lastRenderedPageBreak/>
              <w:t>política de administração estabelecidas pelo conselho deliberativo.</w:t>
            </w:r>
          </w:p>
        </w:tc>
        <w:tc>
          <w:tcPr>
            <w:tcW w:w="3343" w:type="dxa"/>
          </w:tcPr>
          <w:p w14:paraId="652EA62F" w14:textId="6631D501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lastRenderedPageBreak/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78BCD626" w14:textId="49AA55E8" w:rsidTr="003E0BFA">
        <w:tc>
          <w:tcPr>
            <w:tcW w:w="2762" w:type="dxa"/>
          </w:tcPr>
          <w:p w14:paraId="3513120F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7B2C977F" w14:textId="48D2823A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Parágrafo único. </w:t>
            </w: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A diretoria-executiva deve zelar pelos interesses da EFPC e pela consecução de suas finalidades, observando, sempre, os princípios, regras e práticas de governança, gestão e controles internos adequados ao porte, à complexidade e aos riscos inerentes aos planos administrados, visando a segurança da situação econômico-financeira e atuarial</w:t>
            </w:r>
            <w:r w:rsidR="00022FE8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343" w:type="dxa"/>
          </w:tcPr>
          <w:p w14:paraId="26AE7049" w14:textId="2A8BC008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167D5A60" w14:textId="0D16738B" w:rsidTr="003E0BFA">
        <w:tc>
          <w:tcPr>
            <w:tcW w:w="2762" w:type="dxa"/>
          </w:tcPr>
          <w:p w14:paraId="5B53A224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7F70691C" w14:textId="37A8A1CA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Seção III</w:t>
            </w:r>
          </w:p>
        </w:tc>
        <w:tc>
          <w:tcPr>
            <w:tcW w:w="3343" w:type="dxa"/>
          </w:tcPr>
          <w:p w14:paraId="315B58DD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</w:tr>
      <w:tr w:rsidR="003E0BFA" w:rsidRPr="003E0BFA" w14:paraId="536372BF" w14:textId="186CE710" w:rsidTr="003E0BFA">
        <w:tc>
          <w:tcPr>
            <w:tcW w:w="2762" w:type="dxa"/>
          </w:tcPr>
          <w:p w14:paraId="7811F7FD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6200CA72" w14:textId="32801E2A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Das reuniões dos órgãos estatutários</w:t>
            </w:r>
          </w:p>
        </w:tc>
        <w:tc>
          <w:tcPr>
            <w:tcW w:w="3343" w:type="dxa"/>
          </w:tcPr>
          <w:p w14:paraId="24E8FCF2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</w:tr>
      <w:tr w:rsidR="003E0BFA" w:rsidRPr="003E0BFA" w14:paraId="133E3B0A" w14:textId="193CA93B" w:rsidTr="003E0BFA">
        <w:tc>
          <w:tcPr>
            <w:tcW w:w="2762" w:type="dxa"/>
          </w:tcPr>
          <w:p w14:paraId="5AB43E75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2935E27A" w14:textId="646390BB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Art. 706.  As reuniões ordinárias e extraordinárias dos órgãos estatutários das EFPC devem seguir o disposto no estatuto e no regimento interno, quando houver. </w:t>
            </w:r>
          </w:p>
        </w:tc>
        <w:tc>
          <w:tcPr>
            <w:tcW w:w="3343" w:type="dxa"/>
          </w:tcPr>
          <w:p w14:paraId="473503B1" w14:textId="62E8258A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1D92D9B5" w14:textId="57DB6D2C" w:rsidTr="003E0BFA">
        <w:tc>
          <w:tcPr>
            <w:tcW w:w="2762" w:type="dxa"/>
          </w:tcPr>
          <w:p w14:paraId="05364FE9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556BA481" w14:textId="4FCCF741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Art. 707.  Os conselheiros suplentes de órgãos estatutários previstos no estatuto ou no regimento interno, quando houver, somente devem substituir os respectivos titulares nas hipóteses de impedimentos e afastamentos registrados em ata. </w:t>
            </w:r>
          </w:p>
        </w:tc>
        <w:tc>
          <w:tcPr>
            <w:tcW w:w="3343" w:type="dxa"/>
          </w:tcPr>
          <w:p w14:paraId="17F822F4" w14:textId="5A45BB0B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</w:t>
            </w:r>
            <w:r w:rsidR="002C7622">
              <w:rPr>
                <w:sz w:val="24"/>
                <w:szCs w:val="24"/>
              </w:rPr>
              <w:t>.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6E8B4CA2" w14:textId="2561A8AF" w:rsidTr="003E0BFA">
        <w:tc>
          <w:tcPr>
            <w:tcW w:w="2762" w:type="dxa"/>
          </w:tcPr>
          <w:p w14:paraId="2B8CDDAC" w14:textId="77777777" w:rsidR="003E0BFA" w:rsidRPr="003E0BFA" w:rsidRDefault="003E0BFA" w:rsidP="00F728B7">
            <w:pPr>
              <w:adjustRightInd w:val="0"/>
              <w:spacing w:before="120" w:after="120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25B6BD5D" w14:textId="0FA44236" w:rsidR="003E0BFA" w:rsidRPr="003E0BFA" w:rsidRDefault="003E0BFA" w:rsidP="00F728B7">
            <w:pPr>
              <w:adjustRightInd w:val="0"/>
              <w:spacing w:before="120" w:after="120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="Calibri"/>
                <w:b/>
                <w:sz w:val="24"/>
                <w:szCs w:val="24"/>
                <w:lang w:eastAsia="pt-BR"/>
              </w:rPr>
              <w:t>Seção IV</w:t>
            </w:r>
          </w:p>
        </w:tc>
        <w:tc>
          <w:tcPr>
            <w:tcW w:w="3343" w:type="dxa"/>
          </w:tcPr>
          <w:p w14:paraId="2E910456" w14:textId="77777777" w:rsidR="003E0BFA" w:rsidRPr="003E0BFA" w:rsidRDefault="003E0BFA" w:rsidP="00F728B7">
            <w:pPr>
              <w:adjustRightInd w:val="0"/>
              <w:spacing w:before="120" w:after="120"/>
              <w:jc w:val="center"/>
              <w:rPr>
                <w:rFonts w:ascii="Calibri" w:eastAsia="Times New Roman" w:hAnsi="Calibri" w:cs="Calibri"/>
                <w:b/>
                <w:sz w:val="24"/>
                <w:szCs w:val="24"/>
                <w:lang w:eastAsia="pt-BR"/>
              </w:rPr>
            </w:pPr>
          </w:p>
        </w:tc>
      </w:tr>
      <w:tr w:rsidR="003E0BFA" w:rsidRPr="003E0BFA" w14:paraId="54DDF602" w14:textId="0C602B04" w:rsidTr="003E0BFA">
        <w:tc>
          <w:tcPr>
            <w:tcW w:w="2762" w:type="dxa"/>
          </w:tcPr>
          <w:p w14:paraId="43FDB0DB" w14:textId="77777777" w:rsidR="003E0BFA" w:rsidRPr="003E0BFA" w:rsidRDefault="003E0BFA" w:rsidP="00F728B7">
            <w:pPr>
              <w:spacing w:before="120" w:after="120"/>
              <w:jc w:val="center"/>
              <w:rPr>
                <w:rFonts w:ascii="Calibri" w:eastAsia="Times New Roman" w:hAnsi="Calibri" w:cstheme="minorHAnsi"/>
                <w:b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7107D75D" w14:textId="5620D0F8" w:rsidR="003E0BFA" w:rsidRPr="003E0BFA" w:rsidRDefault="003E0BFA" w:rsidP="00F728B7">
            <w:pPr>
              <w:spacing w:before="120" w:after="120"/>
              <w:jc w:val="center"/>
              <w:rPr>
                <w:rFonts w:ascii="Calibri" w:eastAsia="Times New Roman" w:hAnsi="Calibri" w:cstheme="minorHAnsi"/>
                <w:b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b/>
                <w:color w:val="000000"/>
                <w:sz w:val="24"/>
                <w:szCs w:val="24"/>
                <w:lang w:eastAsia="pt-BR"/>
              </w:rPr>
              <w:t xml:space="preserve">Do administrador ou comitê responsável pela gestão de riscos </w:t>
            </w:r>
          </w:p>
        </w:tc>
        <w:tc>
          <w:tcPr>
            <w:tcW w:w="3343" w:type="dxa"/>
          </w:tcPr>
          <w:p w14:paraId="605EEEC6" w14:textId="662288F7" w:rsidR="003E0BFA" w:rsidRPr="003E0BFA" w:rsidRDefault="003B1248" w:rsidP="00F728B7">
            <w:pPr>
              <w:spacing w:before="120" w:after="120"/>
              <w:jc w:val="center"/>
              <w:rPr>
                <w:rFonts w:ascii="Calibri" w:eastAsia="Times New Roman" w:hAnsi="Calibri" w:cstheme="minorHAnsi"/>
                <w:b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Realocada. </w:t>
            </w:r>
            <w:r w:rsidRPr="00AB42A6">
              <w:rPr>
                <w:rFonts w:ascii="Calibri" w:hAnsi="Calibri" w:cs="Calibri"/>
                <w:b/>
                <w:bCs/>
                <w:color w:val="000000"/>
              </w:rPr>
              <w:t xml:space="preserve">Instrução </w:t>
            </w:r>
            <w:proofErr w:type="spellStart"/>
            <w:r w:rsidRPr="00AB42A6">
              <w:rPr>
                <w:rFonts w:ascii="Calibri" w:hAnsi="Calibri" w:cs="Calibri"/>
                <w:b/>
                <w:bCs/>
                <w:color w:val="000000"/>
              </w:rPr>
              <w:t>Previc</w:t>
            </w:r>
            <w:proofErr w:type="spellEnd"/>
            <w:r w:rsidRPr="00AB42A6">
              <w:rPr>
                <w:rFonts w:ascii="Calibri" w:hAnsi="Calibri" w:cs="Calibri"/>
                <w:b/>
                <w:bCs/>
                <w:color w:val="000000"/>
              </w:rPr>
              <w:t xml:space="preserve"> nº 35, de 11 de novembro de 2020</w:t>
            </w:r>
          </w:p>
        </w:tc>
      </w:tr>
      <w:tr w:rsidR="003E0BFA" w:rsidRPr="003E0BFA" w14:paraId="6D0A0500" w14:textId="34FB1638" w:rsidTr="003E0BFA">
        <w:tc>
          <w:tcPr>
            <w:tcW w:w="2762" w:type="dxa"/>
          </w:tcPr>
          <w:p w14:paraId="3EA1D053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623381DE" w14:textId="76769793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Art. 708.  A EFPC classificada como </w:t>
            </w:r>
            <w:r w:rsidRPr="003E0BFA">
              <w:rPr>
                <w:rFonts w:ascii="Calibri" w:eastAsia="Times New Roman" w:hAnsi="Calibri" w:cstheme="minorHAnsi"/>
                <w:color w:val="FF0000"/>
                <w:sz w:val="24"/>
                <w:szCs w:val="24"/>
                <w:lang w:eastAsia="pt-BR"/>
              </w:rPr>
              <w:t xml:space="preserve">entidade sistemicamente importante (ESI) 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deve segregar a gestão de recursos da gestão de risco e designar:</w:t>
            </w:r>
          </w:p>
        </w:tc>
        <w:tc>
          <w:tcPr>
            <w:tcW w:w="3343" w:type="dxa"/>
          </w:tcPr>
          <w:p w14:paraId="3D77CB51" w14:textId="77777777" w:rsidR="003B1248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Realocado. </w:t>
            </w:r>
          </w:p>
          <w:p w14:paraId="1F903897" w14:textId="37BFBFF0" w:rsidR="003E0BFA" w:rsidRPr="003B1248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B1248">
              <w:rPr>
                <w:rFonts w:ascii="Calibri" w:hAnsi="Calibri" w:cs="Calibri"/>
                <w:color w:val="000000"/>
              </w:rPr>
              <w:t xml:space="preserve">Instrução </w:t>
            </w:r>
            <w:proofErr w:type="spellStart"/>
            <w:r w:rsidRPr="003B1248">
              <w:rPr>
                <w:rFonts w:ascii="Calibri" w:hAnsi="Calibri" w:cs="Calibri"/>
                <w:color w:val="000000"/>
              </w:rPr>
              <w:t>Previc</w:t>
            </w:r>
            <w:proofErr w:type="spellEnd"/>
            <w:r w:rsidRPr="003B1248">
              <w:rPr>
                <w:rFonts w:ascii="Calibri" w:hAnsi="Calibri" w:cs="Calibri"/>
                <w:color w:val="000000"/>
              </w:rPr>
              <w:t xml:space="preserve"> nº 35, de 11 de novembro de 2020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3E0BFA" w:rsidRPr="003E0BFA" w14:paraId="1987D336" w14:textId="7AD7AEF3" w:rsidTr="003E0BFA">
        <w:tc>
          <w:tcPr>
            <w:tcW w:w="2762" w:type="dxa"/>
          </w:tcPr>
          <w:p w14:paraId="04C6DA20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346ECBA9" w14:textId="60C1C59C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I - AETQ como principal responsável pela gestão, alocação, supervisão e acompanhamento dos recursos garantidores de seus planos; e</w:t>
            </w:r>
          </w:p>
        </w:tc>
        <w:tc>
          <w:tcPr>
            <w:tcW w:w="3343" w:type="dxa"/>
          </w:tcPr>
          <w:p w14:paraId="17E5974C" w14:textId="77777777" w:rsidR="003B1248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Realocado. </w:t>
            </w:r>
          </w:p>
          <w:p w14:paraId="3F5FA606" w14:textId="5DE9FE5F" w:rsidR="003E0BFA" w:rsidRPr="003E0BFA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B1248">
              <w:rPr>
                <w:rFonts w:ascii="Calibri" w:hAnsi="Calibri" w:cs="Calibri"/>
                <w:color w:val="000000"/>
              </w:rPr>
              <w:t xml:space="preserve">Instrução </w:t>
            </w:r>
            <w:proofErr w:type="spellStart"/>
            <w:r w:rsidRPr="003B1248">
              <w:rPr>
                <w:rFonts w:ascii="Calibri" w:hAnsi="Calibri" w:cs="Calibri"/>
                <w:color w:val="000000"/>
              </w:rPr>
              <w:t>Previc</w:t>
            </w:r>
            <w:proofErr w:type="spellEnd"/>
            <w:r w:rsidRPr="003B1248">
              <w:rPr>
                <w:rFonts w:ascii="Calibri" w:hAnsi="Calibri" w:cs="Calibri"/>
                <w:color w:val="000000"/>
              </w:rPr>
              <w:t xml:space="preserve"> nº 35, de 11 de novembro de 2020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3E0BFA" w:rsidRPr="003E0BFA" w14:paraId="47DB2C80" w14:textId="537116DC" w:rsidTr="003E0BFA">
        <w:tc>
          <w:tcPr>
            <w:tcW w:w="2762" w:type="dxa"/>
          </w:tcPr>
          <w:p w14:paraId="3F89B669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0ABE76AB" w14:textId="5BAAB90B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II -</w:t>
            </w:r>
            <w:r w:rsidRPr="003E0BFA" w:rsidDel="00977767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administrador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ou comitê responsável pela gestão de riscos.</w:t>
            </w:r>
          </w:p>
        </w:tc>
        <w:tc>
          <w:tcPr>
            <w:tcW w:w="3343" w:type="dxa"/>
          </w:tcPr>
          <w:p w14:paraId="74D07274" w14:textId="77777777" w:rsidR="003B1248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Realocado. </w:t>
            </w:r>
          </w:p>
          <w:p w14:paraId="3486D83B" w14:textId="7BC3B436" w:rsidR="003E0BFA" w:rsidRPr="003E0BFA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B1248">
              <w:rPr>
                <w:rFonts w:ascii="Calibri" w:hAnsi="Calibri" w:cs="Calibri"/>
                <w:color w:val="000000"/>
              </w:rPr>
              <w:t xml:space="preserve">Instrução </w:t>
            </w:r>
            <w:proofErr w:type="spellStart"/>
            <w:r w:rsidRPr="003B1248">
              <w:rPr>
                <w:rFonts w:ascii="Calibri" w:hAnsi="Calibri" w:cs="Calibri"/>
                <w:color w:val="000000"/>
              </w:rPr>
              <w:t>Previc</w:t>
            </w:r>
            <w:proofErr w:type="spellEnd"/>
            <w:r w:rsidRPr="003B1248">
              <w:rPr>
                <w:rFonts w:ascii="Calibri" w:hAnsi="Calibri" w:cs="Calibri"/>
                <w:color w:val="000000"/>
              </w:rPr>
              <w:t xml:space="preserve"> nº 35, de 11 de novembro de 2020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3E0BFA" w:rsidRPr="003E0BFA" w14:paraId="47FF5270" w14:textId="34220EE6" w:rsidTr="003E0BFA">
        <w:tc>
          <w:tcPr>
            <w:tcW w:w="2762" w:type="dxa"/>
          </w:tcPr>
          <w:p w14:paraId="08E6369B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3E47150C" w14:textId="2127A4B3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§1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O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r w:rsidRPr="003E0BFA">
              <w:rPr>
                <w:rFonts w:ascii="Calibri" w:eastAsia="Times New Roman" w:hAnsi="Calibri" w:cstheme="minorHAnsi"/>
                <w:color w:val="FF0000"/>
                <w:sz w:val="24"/>
                <w:szCs w:val="24"/>
                <w:lang w:eastAsia="pt-BR"/>
              </w:rPr>
              <w:t>AETQ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e o responsável pela gestão de risco devem exercer suas funções com independência e sem qualquer subordinação hierárquica entre si.</w:t>
            </w:r>
          </w:p>
        </w:tc>
        <w:tc>
          <w:tcPr>
            <w:tcW w:w="3343" w:type="dxa"/>
          </w:tcPr>
          <w:p w14:paraId="1DE5875C" w14:textId="77777777" w:rsidR="003B1248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Realocado. </w:t>
            </w:r>
          </w:p>
          <w:p w14:paraId="19A261A0" w14:textId="0986A520" w:rsidR="003E0BFA" w:rsidRPr="003E0BFA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B1248">
              <w:rPr>
                <w:rFonts w:ascii="Calibri" w:hAnsi="Calibri" w:cs="Calibri"/>
                <w:color w:val="000000"/>
              </w:rPr>
              <w:t xml:space="preserve">Instrução </w:t>
            </w:r>
            <w:proofErr w:type="spellStart"/>
            <w:r w:rsidRPr="003B1248">
              <w:rPr>
                <w:rFonts w:ascii="Calibri" w:hAnsi="Calibri" w:cs="Calibri"/>
                <w:color w:val="000000"/>
              </w:rPr>
              <w:t>Previc</w:t>
            </w:r>
            <w:proofErr w:type="spellEnd"/>
            <w:r w:rsidRPr="003B1248">
              <w:rPr>
                <w:rFonts w:ascii="Calibri" w:hAnsi="Calibri" w:cs="Calibri"/>
                <w:color w:val="000000"/>
              </w:rPr>
              <w:t xml:space="preserve"> nº 35, de 11 de novembro de 2020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3E0BFA" w:rsidRPr="003E0BFA" w14:paraId="10232685" w14:textId="05880953" w:rsidTr="003E0BFA">
        <w:tc>
          <w:tcPr>
            <w:tcW w:w="2762" w:type="dxa"/>
          </w:tcPr>
          <w:p w14:paraId="0874B629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290A6DCD" w14:textId="02C9880B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§2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É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vedada a participação do </w:t>
            </w:r>
            <w:r w:rsidRPr="003E0BFA">
              <w:rPr>
                <w:rFonts w:ascii="Calibri" w:eastAsia="Times New Roman" w:hAnsi="Calibri" w:cstheme="minorHAnsi"/>
                <w:color w:val="FF0000"/>
                <w:sz w:val="24"/>
                <w:szCs w:val="24"/>
                <w:lang w:eastAsia="pt-BR"/>
              </w:rPr>
              <w:t>AETQ</w:t>
            </w: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no comitê responsável pela gestão de riscos.</w:t>
            </w:r>
          </w:p>
        </w:tc>
        <w:tc>
          <w:tcPr>
            <w:tcW w:w="3343" w:type="dxa"/>
          </w:tcPr>
          <w:p w14:paraId="0D7961CB" w14:textId="77777777" w:rsidR="003B1248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Realocado. </w:t>
            </w:r>
          </w:p>
          <w:p w14:paraId="4EDA7298" w14:textId="04A95FD3" w:rsidR="003E0BFA" w:rsidRPr="003E0BFA" w:rsidRDefault="003B1248" w:rsidP="003B1248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B1248">
              <w:rPr>
                <w:rFonts w:ascii="Calibri" w:hAnsi="Calibri" w:cs="Calibri"/>
                <w:color w:val="000000"/>
              </w:rPr>
              <w:t xml:space="preserve">Instrução </w:t>
            </w:r>
            <w:proofErr w:type="spellStart"/>
            <w:r w:rsidRPr="003B1248">
              <w:rPr>
                <w:rFonts w:ascii="Calibri" w:hAnsi="Calibri" w:cs="Calibri"/>
                <w:color w:val="000000"/>
              </w:rPr>
              <w:t>Previc</w:t>
            </w:r>
            <w:proofErr w:type="spellEnd"/>
            <w:r w:rsidRPr="003B1248">
              <w:rPr>
                <w:rFonts w:ascii="Calibri" w:hAnsi="Calibri" w:cs="Calibri"/>
                <w:color w:val="000000"/>
              </w:rPr>
              <w:t xml:space="preserve"> nº 35, de 11 de novembro de 2020</w:t>
            </w:r>
            <w:r>
              <w:rPr>
                <w:rFonts w:ascii="Calibri" w:hAnsi="Calibri" w:cs="Calibri"/>
                <w:color w:val="000000"/>
              </w:rPr>
              <w:t>.</w:t>
            </w:r>
          </w:p>
        </w:tc>
      </w:tr>
      <w:tr w:rsidR="003E0BFA" w:rsidRPr="003E0BFA" w14:paraId="478125AF" w14:textId="2D6B08F6" w:rsidTr="003E0BFA">
        <w:tc>
          <w:tcPr>
            <w:tcW w:w="2762" w:type="dxa"/>
          </w:tcPr>
          <w:p w14:paraId="57156B61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2F897603" w14:textId="007D042A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Seção V</w:t>
            </w:r>
          </w:p>
        </w:tc>
        <w:tc>
          <w:tcPr>
            <w:tcW w:w="3343" w:type="dxa"/>
          </w:tcPr>
          <w:p w14:paraId="7E4393BD" w14:textId="75DAC5BC" w:rsidR="003E0BFA" w:rsidRPr="003E0BFA" w:rsidRDefault="003B1248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Inserido</w:t>
            </w:r>
          </w:p>
        </w:tc>
      </w:tr>
      <w:tr w:rsidR="003E0BFA" w:rsidRPr="003E0BFA" w14:paraId="5D420365" w14:textId="0187B9B7" w:rsidTr="003E0BFA">
        <w:tc>
          <w:tcPr>
            <w:tcW w:w="2762" w:type="dxa"/>
          </w:tcPr>
          <w:p w14:paraId="0CE72370" w14:textId="77777777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090" w:type="dxa"/>
          </w:tcPr>
          <w:p w14:paraId="408F8730" w14:textId="6BC558A8" w:rsidR="003E0BFA" w:rsidRPr="003E0BFA" w:rsidRDefault="003E0BFA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3E0BFA">
              <w:rPr>
                <w:b/>
                <w:sz w:val="24"/>
                <w:szCs w:val="24"/>
              </w:rPr>
              <w:t>Do regimento interno</w:t>
            </w:r>
          </w:p>
        </w:tc>
        <w:tc>
          <w:tcPr>
            <w:tcW w:w="3343" w:type="dxa"/>
          </w:tcPr>
          <w:p w14:paraId="4EEC654A" w14:textId="64E0A3DF" w:rsidR="003E0BFA" w:rsidRPr="003E0BFA" w:rsidRDefault="003B1248" w:rsidP="00F728B7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Inserido</w:t>
            </w:r>
          </w:p>
        </w:tc>
      </w:tr>
      <w:tr w:rsidR="003E0BFA" w:rsidRPr="003E0BFA" w14:paraId="4DD3392C" w14:textId="5DF6B07B" w:rsidTr="003E0BFA">
        <w:tc>
          <w:tcPr>
            <w:tcW w:w="2762" w:type="dxa"/>
          </w:tcPr>
          <w:p w14:paraId="3AFB077B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4889140E" w14:textId="1A4743A6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Art. 709.  Em acréscimo ao estatuto e aos regulamentos dos planos, as EFPC podem adotar regimento interno para disciplinar sobre o funcionamento e as competências dos órgãos estatutários e das unidades singulares.</w:t>
            </w:r>
          </w:p>
        </w:tc>
        <w:tc>
          <w:tcPr>
            <w:tcW w:w="3343" w:type="dxa"/>
          </w:tcPr>
          <w:p w14:paraId="5BDD59DD" w14:textId="2D3134AD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Inserido.</w:t>
            </w:r>
            <w:r w:rsidR="002C7622">
              <w:rPr>
                <w:sz w:val="24"/>
                <w:szCs w:val="24"/>
              </w:rPr>
              <w:t xml:space="preserve">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684B0EAC" w14:textId="55CD64CD" w:rsidTr="003E0BFA">
        <w:tc>
          <w:tcPr>
            <w:tcW w:w="2762" w:type="dxa"/>
          </w:tcPr>
          <w:p w14:paraId="72BCF807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3B452FE4" w14:textId="4B5ABACC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 1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O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regimento interno é norma complementar ao estatuto da EFPC, que é a sua norma soberana, devendo ser único para todos os órgãos estatuários e aprovado pelo Conselho Deliberativo.</w:t>
            </w:r>
          </w:p>
        </w:tc>
        <w:tc>
          <w:tcPr>
            <w:tcW w:w="3343" w:type="dxa"/>
          </w:tcPr>
          <w:p w14:paraId="43A0ED6E" w14:textId="7325D2A3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Inserido.</w:t>
            </w:r>
            <w:r w:rsidR="002C7622">
              <w:rPr>
                <w:sz w:val="24"/>
                <w:szCs w:val="24"/>
              </w:rPr>
              <w:t xml:space="preserve">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3E0BFA" w14:paraId="77D6BE41" w14:textId="0FC17074" w:rsidTr="003E0BFA">
        <w:tc>
          <w:tcPr>
            <w:tcW w:w="2762" w:type="dxa"/>
          </w:tcPr>
          <w:p w14:paraId="2346AA62" w14:textId="77777777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227EDC50" w14:textId="56840F2A" w:rsidR="003E0BFA" w:rsidRPr="003E0BFA" w:rsidRDefault="003E0BFA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 2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O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regimento interno deve dispor, no mínimo, sobre as reuniões ordinárias e extraordinárias dos órgão estatutários, seu sistema de deliberação e de documentação, hipóteses e modo de substituição temporária dos membros dos órgãos estatutários. </w:t>
            </w:r>
          </w:p>
        </w:tc>
        <w:tc>
          <w:tcPr>
            <w:tcW w:w="3343" w:type="dxa"/>
          </w:tcPr>
          <w:p w14:paraId="0B03BD4E" w14:textId="45E7884E" w:rsidR="003E0BFA" w:rsidRPr="003E0BFA" w:rsidRDefault="003B1248" w:rsidP="00F728B7">
            <w:pPr>
              <w:spacing w:before="120" w:after="120"/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Inserido.</w:t>
            </w:r>
            <w:r w:rsidR="002C7622">
              <w:rPr>
                <w:sz w:val="24"/>
                <w:szCs w:val="24"/>
              </w:rPr>
              <w:t xml:space="preserve">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  <w:tr w:rsidR="003E0BFA" w:rsidRPr="0024007B" w14:paraId="33A37A06" w14:textId="2981FE6D" w:rsidTr="003E0BFA">
        <w:tc>
          <w:tcPr>
            <w:tcW w:w="2762" w:type="dxa"/>
          </w:tcPr>
          <w:p w14:paraId="39505AD3" w14:textId="77777777" w:rsidR="003E0BFA" w:rsidRPr="003E0BFA" w:rsidRDefault="003E0BFA" w:rsidP="00F728B7">
            <w:pPr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090" w:type="dxa"/>
          </w:tcPr>
          <w:p w14:paraId="044DB19D" w14:textId="69032932" w:rsidR="003E0BFA" w:rsidRPr="0024007B" w:rsidRDefault="003E0BFA" w:rsidP="00F728B7">
            <w:pPr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§ 3</w:t>
            </w:r>
            <w:proofErr w:type="gram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º  O</w:t>
            </w:r>
            <w:proofErr w:type="gram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 xml:space="preserve"> regimento interno não deve ser submetido à análise e aprovação da Diretoria de Licenciamento, devendo, contudo, permanecer na EFPC, à disposição da </w:t>
            </w:r>
            <w:proofErr w:type="spellStart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Previc</w:t>
            </w:r>
            <w:proofErr w:type="spellEnd"/>
            <w:r w:rsidRPr="003E0BFA"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343" w:type="dxa"/>
          </w:tcPr>
          <w:p w14:paraId="7B0A7210" w14:textId="62F64143" w:rsidR="003E0BFA" w:rsidRPr="003E0BFA" w:rsidRDefault="003B1248" w:rsidP="00F728B7">
            <w:pPr>
              <w:jc w:val="both"/>
              <w:rPr>
                <w:rFonts w:ascii="Calibri" w:eastAsia="Times New Roman" w:hAnsi="Calibri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sz w:val="24"/>
                <w:szCs w:val="24"/>
              </w:rPr>
              <w:t>Inserido.</w:t>
            </w:r>
            <w:r w:rsidR="002C7622">
              <w:rPr>
                <w:sz w:val="24"/>
                <w:szCs w:val="24"/>
              </w:rPr>
              <w:t xml:space="preserve"> Aprimoramento das regras de governança</w:t>
            </w:r>
            <w:r w:rsidR="00BE4681">
              <w:rPr>
                <w:sz w:val="24"/>
                <w:szCs w:val="24"/>
              </w:rPr>
              <w:t xml:space="preserve"> </w:t>
            </w:r>
            <w:r w:rsidR="00BE4681" w:rsidRPr="00BE4681">
              <w:rPr>
                <w:sz w:val="24"/>
                <w:szCs w:val="24"/>
              </w:rPr>
              <w:t>com base no relatório de transição governamental</w:t>
            </w:r>
            <w:r w:rsidR="002C7622">
              <w:rPr>
                <w:sz w:val="24"/>
                <w:szCs w:val="24"/>
              </w:rPr>
              <w:t>.</w:t>
            </w:r>
          </w:p>
        </w:tc>
      </w:tr>
    </w:tbl>
    <w:p w14:paraId="6C406089" w14:textId="420CE9B4" w:rsidR="00A05EC4" w:rsidRPr="0024007B" w:rsidRDefault="00A05EC4" w:rsidP="003E0BFA">
      <w:pPr>
        <w:jc w:val="both"/>
        <w:rPr>
          <w:rFonts w:ascii="Calibri" w:eastAsia="Times New Roman" w:hAnsi="Calibri" w:cstheme="minorHAnsi"/>
          <w:color w:val="000000"/>
          <w:sz w:val="24"/>
          <w:szCs w:val="24"/>
          <w:lang w:eastAsia="pt-BR"/>
        </w:rPr>
      </w:pPr>
    </w:p>
    <w:sectPr w:rsidR="00A05EC4" w:rsidRPr="0024007B" w:rsidSect="006164E8">
      <w:pgSz w:w="11906" w:h="16838"/>
      <w:pgMar w:top="1418" w:right="567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D9C"/>
    <w:rsid w:val="00022FE8"/>
    <w:rsid w:val="0006529F"/>
    <w:rsid w:val="00092691"/>
    <w:rsid w:val="000B2CE2"/>
    <w:rsid w:val="000C3E25"/>
    <w:rsid w:val="000E1FC3"/>
    <w:rsid w:val="000F41D8"/>
    <w:rsid w:val="001016DA"/>
    <w:rsid w:val="0010221A"/>
    <w:rsid w:val="00113038"/>
    <w:rsid w:val="00117AB6"/>
    <w:rsid w:val="00167D75"/>
    <w:rsid w:val="001F632B"/>
    <w:rsid w:val="002061AD"/>
    <w:rsid w:val="0024007B"/>
    <w:rsid w:val="002460BB"/>
    <w:rsid w:val="002876DC"/>
    <w:rsid w:val="002A6DB0"/>
    <w:rsid w:val="002B4C3D"/>
    <w:rsid w:val="002C06F1"/>
    <w:rsid w:val="002C7622"/>
    <w:rsid w:val="002F5E4D"/>
    <w:rsid w:val="00340BC0"/>
    <w:rsid w:val="003761A2"/>
    <w:rsid w:val="003A1A53"/>
    <w:rsid w:val="003A51AA"/>
    <w:rsid w:val="003B1248"/>
    <w:rsid w:val="003B79E1"/>
    <w:rsid w:val="003D2547"/>
    <w:rsid w:val="003E0BFA"/>
    <w:rsid w:val="00436E90"/>
    <w:rsid w:val="00470F3E"/>
    <w:rsid w:val="004B473E"/>
    <w:rsid w:val="004E4FDD"/>
    <w:rsid w:val="00503AE2"/>
    <w:rsid w:val="005372AC"/>
    <w:rsid w:val="00563E44"/>
    <w:rsid w:val="00583DFD"/>
    <w:rsid w:val="005A44F9"/>
    <w:rsid w:val="005D7121"/>
    <w:rsid w:val="005E5C5D"/>
    <w:rsid w:val="005F7F95"/>
    <w:rsid w:val="00614339"/>
    <w:rsid w:val="006164E8"/>
    <w:rsid w:val="00655978"/>
    <w:rsid w:val="00674162"/>
    <w:rsid w:val="00684301"/>
    <w:rsid w:val="006D6021"/>
    <w:rsid w:val="00710CE7"/>
    <w:rsid w:val="00717414"/>
    <w:rsid w:val="00796244"/>
    <w:rsid w:val="007B194C"/>
    <w:rsid w:val="007D7048"/>
    <w:rsid w:val="007E6EFE"/>
    <w:rsid w:val="00822920"/>
    <w:rsid w:val="00881E5A"/>
    <w:rsid w:val="00890885"/>
    <w:rsid w:val="00891166"/>
    <w:rsid w:val="00897D9C"/>
    <w:rsid w:val="008E6878"/>
    <w:rsid w:val="0091068F"/>
    <w:rsid w:val="009243DC"/>
    <w:rsid w:val="009369EF"/>
    <w:rsid w:val="0095791E"/>
    <w:rsid w:val="009C16FB"/>
    <w:rsid w:val="009C7852"/>
    <w:rsid w:val="009D1032"/>
    <w:rsid w:val="00A05EC4"/>
    <w:rsid w:val="00A15854"/>
    <w:rsid w:val="00A3130C"/>
    <w:rsid w:val="00A70614"/>
    <w:rsid w:val="00AA3E4A"/>
    <w:rsid w:val="00AA4389"/>
    <w:rsid w:val="00AC3EED"/>
    <w:rsid w:val="00AE734B"/>
    <w:rsid w:val="00AF78BD"/>
    <w:rsid w:val="00B16FFB"/>
    <w:rsid w:val="00B421F4"/>
    <w:rsid w:val="00B444D8"/>
    <w:rsid w:val="00B6462F"/>
    <w:rsid w:val="00B7657A"/>
    <w:rsid w:val="00B845C3"/>
    <w:rsid w:val="00B94E71"/>
    <w:rsid w:val="00BA681A"/>
    <w:rsid w:val="00BB50BB"/>
    <w:rsid w:val="00BE4681"/>
    <w:rsid w:val="00C76FF3"/>
    <w:rsid w:val="00C81954"/>
    <w:rsid w:val="00C81F5B"/>
    <w:rsid w:val="00C93CCC"/>
    <w:rsid w:val="00CC3F3D"/>
    <w:rsid w:val="00CD70FD"/>
    <w:rsid w:val="00CF5BB2"/>
    <w:rsid w:val="00D655CB"/>
    <w:rsid w:val="00D97C5A"/>
    <w:rsid w:val="00DA27D7"/>
    <w:rsid w:val="00DF5622"/>
    <w:rsid w:val="00DF72EF"/>
    <w:rsid w:val="00E10AB6"/>
    <w:rsid w:val="00E251D2"/>
    <w:rsid w:val="00E828F1"/>
    <w:rsid w:val="00E9414C"/>
    <w:rsid w:val="00E97873"/>
    <w:rsid w:val="00EB05ED"/>
    <w:rsid w:val="00EB5274"/>
    <w:rsid w:val="00EF47D1"/>
    <w:rsid w:val="00F01EFD"/>
    <w:rsid w:val="00F72FB2"/>
    <w:rsid w:val="00F968C0"/>
    <w:rsid w:val="00FB131D"/>
    <w:rsid w:val="00FB21AE"/>
    <w:rsid w:val="00FE6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9B6A1"/>
  <w15:chartTrackingRefBased/>
  <w15:docId w15:val="{466C5EB8-106E-4101-A8BE-CFB825575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har"/>
    <w:uiPriority w:val="9"/>
    <w:qFormat/>
    <w:rsid w:val="009243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828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828F1"/>
    <w:rPr>
      <w:color w:val="0000FF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E9787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E9787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E9787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9787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97873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978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97873"/>
    <w:rPr>
      <w:rFonts w:ascii="Segoe UI" w:hAnsi="Segoe UI" w:cs="Segoe UI"/>
      <w:sz w:val="18"/>
      <w:szCs w:val="18"/>
    </w:rPr>
  </w:style>
  <w:style w:type="character" w:customStyle="1" w:styleId="Ttulo3Char">
    <w:name w:val="Título 3 Char"/>
    <w:basedOn w:val="Fontepargpadro"/>
    <w:link w:val="Ttulo3"/>
    <w:uiPriority w:val="9"/>
    <w:rsid w:val="009243DC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Reviso">
    <w:name w:val="Revision"/>
    <w:hidden/>
    <w:uiPriority w:val="99"/>
    <w:semiHidden/>
    <w:rsid w:val="005D7121"/>
    <w:pPr>
      <w:spacing w:after="0" w:line="240" w:lineRule="auto"/>
    </w:pPr>
  </w:style>
  <w:style w:type="table" w:styleId="Tabelacomgrade">
    <w:name w:val="Table Grid"/>
    <w:basedOn w:val="Tabelanormal"/>
    <w:uiPriority w:val="39"/>
    <w:rsid w:val="003E0B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79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2737079005E014DA3F3D838B359DD83" ma:contentTypeVersion="15" ma:contentTypeDescription="Crie um novo documento." ma:contentTypeScope="" ma:versionID="f5ecfa6d372c72836057225b4d0f95c2">
  <xsd:schema xmlns:xsd="http://www.w3.org/2001/XMLSchema" xmlns:xs="http://www.w3.org/2001/XMLSchema" xmlns:p="http://schemas.microsoft.com/office/2006/metadata/properties" xmlns:ns2="94d67fc2-953d-48a2-bcdb-7a11947f547a" xmlns:ns3="c247dd57-2472-45a1-9241-df4475a5fc7e" targetNamespace="http://schemas.microsoft.com/office/2006/metadata/properties" ma:root="true" ma:fieldsID="b163eefc37086f558da873f733ed74e7" ns2:_="" ns3:_="">
    <xsd:import namespace="94d67fc2-953d-48a2-bcdb-7a11947f547a"/>
    <xsd:import namespace="c247dd57-2472-45a1-9241-df4475a5fc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d67fc2-953d-48a2-bcdb-7a11947f54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Marcações de imagem" ma:readOnly="false" ma:fieldId="{5cf76f15-5ced-4ddc-b409-7134ff3c332f}" ma:taxonomyMulti="true" ma:sspId="ca141164-57b4-4f69-ba6c-316ea9b64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47dd57-2472-45a1-9241-df4475a5fc7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a029ec8-411b-4f64-8478-16fa221ff847}" ma:internalName="TaxCatchAll" ma:showField="CatchAllData" ma:web="c247dd57-2472-45a1-9241-df4475a5fc7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03B8B5-6447-4BE8-BD0B-998348FB5B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d67fc2-953d-48a2-bcdb-7a11947f547a"/>
    <ds:schemaRef ds:uri="c247dd57-2472-45a1-9241-df4475a5fc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5643E-92D2-466D-8601-B9E0A962F4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1072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Priscila Kelly Carvalho Sabino - PREVICDF</cp:lastModifiedBy>
  <cp:revision>2</cp:revision>
  <dcterms:created xsi:type="dcterms:W3CDTF">2023-06-29T19:36:00Z</dcterms:created>
  <dcterms:modified xsi:type="dcterms:W3CDTF">2023-06-29T19:36:00Z</dcterms:modified>
</cp:coreProperties>
</file>