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4FD38D" w14:textId="77777777" w:rsidR="00E251D2" w:rsidRPr="0077064F" w:rsidRDefault="00E251D2" w:rsidP="006164E8">
      <w:pPr>
        <w:spacing w:before="120" w:after="120" w:line="240" w:lineRule="auto"/>
        <w:jc w:val="center"/>
        <w:rPr>
          <w:rFonts w:ascii="Calibri" w:hAnsi="Calibri" w:cstheme="minorHAnsi"/>
          <w:sz w:val="24"/>
          <w:szCs w:val="24"/>
        </w:rPr>
      </w:pPr>
      <w:r w:rsidRPr="0077064F">
        <w:rPr>
          <w:rFonts w:ascii="Calibri" w:hAnsi="Calibri" w:cstheme="minorHAnsi"/>
          <w:sz w:val="24"/>
          <w:szCs w:val="24"/>
        </w:rPr>
        <w:t>CAPÍTULO</w:t>
      </w:r>
    </w:p>
    <w:p w14:paraId="0873B2D9" w14:textId="77777777" w:rsidR="00E251D2" w:rsidRPr="003B79E1" w:rsidRDefault="00E251D2" w:rsidP="006164E8">
      <w:pPr>
        <w:spacing w:before="120" w:after="120" w:line="240" w:lineRule="auto"/>
        <w:jc w:val="center"/>
        <w:rPr>
          <w:b/>
          <w:sz w:val="24"/>
          <w:szCs w:val="24"/>
        </w:rPr>
      </w:pPr>
      <w:r>
        <w:rPr>
          <w:rFonts w:ascii="Calibri" w:hAnsi="Calibri" w:cstheme="minorHAnsi"/>
          <w:sz w:val="24"/>
          <w:szCs w:val="24"/>
        </w:rPr>
        <w:t>GOVERNANÇA</w:t>
      </w:r>
    </w:p>
    <w:p w14:paraId="71CFB504" w14:textId="77777777" w:rsidR="00E251D2" w:rsidRPr="006164E8" w:rsidRDefault="00E251D2" w:rsidP="006164E8">
      <w:pPr>
        <w:spacing w:before="120" w:after="120" w:line="240" w:lineRule="auto"/>
        <w:rPr>
          <w:b/>
          <w:sz w:val="24"/>
          <w:szCs w:val="24"/>
        </w:rPr>
      </w:pPr>
    </w:p>
    <w:p w14:paraId="0ED142F3" w14:textId="77777777" w:rsidR="00E251D2" w:rsidRPr="006164E8" w:rsidRDefault="00E251D2" w:rsidP="006164E8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6164E8">
        <w:rPr>
          <w:rFonts w:ascii="Calibri" w:hAnsi="Calibri" w:cs="Calibri"/>
          <w:b/>
          <w:sz w:val="24"/>
          <w:szCs w:val="24"/>
          <w:u w:val="single"/>
        </w:rPr>
        <w:t>Referências normativas:</w:t>
      </w:r>
    </w:p>
    <w:p w14:paraId="08BEB464" w14:textId="63F345BD" w:rsidR="00A05EC4" w:rsidRPr="006164E8" w:rsidRDefault="006D6021" w:rsidP="006164E8">
      <w:pPr>
        <w:spacing w:before="120" w:after="120" w:line="240" w:lineRule="auto"/>
        <w:rPr>
          <w:sz w:val="24"/>
          <w:szCs w:val="24"/>
        </w:rPr>
      </w:pPr>
      <w:r w:rsidRPr="006164E8">
        <w:rPr>
          <w:sz w:val="24"/>
          <w:szCs w:val="24"/>
        </w:rPr>
        <w:t>Art. 24</w:t>
      </w:r>
      <w:r w:rsidR="00E251D2" w:rsidRPr="006164E8">
        <w:rPr>
          <w:sz w:val="24"/>
          <w:szCs w:val="24"/>
        </w:rPr>
        <w:t xml:space="preserve"> da Resolução CGPC nº 13, de </w:t>
      </w:r>
      <w:r w:rsidR="00A05EC4" w:rsidRPr="006164E8">
        <w:rPr>
          <w:sz w:val="24"/>
          <w:szCs w:val="24"/>
        </w:rPr>
        <w:t xml:space="preserve">1º de outubro de 2004. </w:t>
      </w:r>
    </w:p>
    <w:p w14:paraId="4E63975F" w14:textId="027B3130" w:rsidR="00710CE7" w:rsidRDefault="00710CE7" w:rsidP="006164E8">
      <w:pPr>
        <w:spacing w:before="120" w:after="120" w:line="240" w:lineRule="auto"/>
        <w:rPr>
          <w:b/>
        </w:rPr>
      </w:pPr>
    </w:p>
    <w:p w14:paraId="5DB3008F" w14:textId="77777777" w:rsidR="00710CE7" w:rsidRPr="0095791E" w:rsidRDefault="00710CE7" w:rsidP="006164E8">
      <w:pPr>
        <w:spacing w:before="120" w:after="120" w:line="240" w:lineRule="auto"/>
        <w:jc w:val="center"/>
        <w:rPr>
          <w:sz w:val="24"/>
          <w:szCs w:val="24"/>
        </w:rPr>
      </w:pPr>
      <w:r w:rsidRPr="0095791E">
        <w:rPr>
          <w:sz w:val="24"/>
          <w:szCs w:val="24"/>
        </w:rPr>
        <w:t xml:space="preserve">CAPÍTULO </w:t>
      </w:r>
      <w:r w:rsidRPr="0095791E">
        <w:rPr>
          <w:color w:val="FF0000"/>
          <w:sz w:val="24"/>
          <w:szCs w:val="24"/>
        </w:rPr>
        <w:t>XX</w:t>
      </w:r>
    </w:p>
    <w:p w14:paraId="3729611D" w14:textId="77777777" w:rsidR="00710CE7" w:rsidRPr="0095791E" w:rsidRDefault="00710CE7" w:rsidP="006164E8">
      <w:pPr>
        <w:spacing w:before="120" w:after="120" w:line="240" w:lineRule="auto"/>
        <w:jc w:val="center"/>
        <w:rPr>
          <w:sz w:val="24"/>
          <w:szCs w:val="24"/>
        </w:rPr>
      </w:pPr>
      <w:r w:rsidRPr="0095791E">
        <w:rPr>
          <w:sz w:val="24"/>
          <w:szCs w:val="24"/>
        </w:rPr>
        <w:t>GOVERNANÇA</w:t>
      </w:r>
    </w:p>
    <w:p w14:paraId="497F7658" w14:textId="77777777" w:rsidR="009C7852" w:rsidRPr="0095791E" w:rsidRDefault="009C7852" w:rsidP="006164E8">
      <w:pPr>
        <w:spacing w:before="120" w:after="120" w:line="240" w:lineRule="auto"/>
        <w:jc w:val="center"/>
        <w:rPr>
          <w:b/>
          <w:sz w:val="24"/>
          <w:szCs w:val="24"/>
        </w:rPr>
      </w:pPr>
      <w:r w:rsidRPr="0095791E">
        <w:rPr>
          <w:b/>
          <w:sz w:val="24"/>
          <w:szCs w:val="24"/>
        </w:rPr>
        <w:t>Seção I</w:t>
      </w:r>
    </w:p>
    <w:p w14:paraId="39EBDB85" w14:textId="77777777" w:rsidR="009C7852" w:rsidRPr="0095791E" w:rsidRDefault="009C7852" w:rsidP="006164E8">
      <w:pPr>
        <w:spacing w:before="120" w:after="120" w:line="240" w:lineRule="auto"/>
        <w:jc w:val="center"/>
        <w:rPr>
          <w:b/>
          <w:sz w:val="24"/>
          <w:szCs w:val="24"/>
        </w:rPr>
      </w:pPr>
      <w:r w:rsidRPr="0095791E">
        <w:rPr>
          <w:b/>
          <w:sz w:val="24"/>
          <w:szCs w:val="24"/>
        </w:rPr>
        <w:t>Da estrutura da governança</w:t>
      </w:r>
    </w:p>
    <w:p w14:paraId="28515715" w14:textId="53681404" w:rsidR="00E9414C" w:rsidRPr="0095791E" w:rsidRDefault="00FB131D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Art. </w:t>
      </w:r>
      <w:r w:rsidR="006164E8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701.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="00503AE2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A estrutura organizacional mínima das </w:t>
      </w:r>
      <w:r w:rsidR="0006529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EFPC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é constituída de conselho deliberativo, conselho fiscal e diretoria-executiva</w:t>
      </w:r>
      <w:r w:rsidR="00E9414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.</w:t>
      </w:r>
    </w:p>
    <w:p w14:paraId="53868B55" w14:textId="51B6DE64" w:rsidR="009369EF" w:rsidRPr="0095791E" w:rsidRDefault="00E9414C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Pa</w:t>
      </w:r>
      <w:r w:rsidR="009369E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rágrafo único. </w:t>
      </w:r>
      <w:r w:rsidR="0006529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="009369E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De acordo com o porte</w:t>
      </w:r>
      <w:r w:rsidR="00614339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, </w:t>
      </w:r>
      <w:r w:rsidR="009369E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a complexidade</w:t>
      </w:r>
      <w:r w:rsidR="00614339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e o número de planos de benefícios e patrocinadores</w:t>
      </w:r>
      <w:r w:rsidR="009369E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da EFPC, pode</w:t>
      </w:r>
      <w:r w:rsidR="00503AE2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m</w:t>
      </w:r>
      <w:r w:rsidR="009369E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ser criadas outras instâncias de governança de caráter consultivo ou deliberativo, desde que vinculadas e subordinadas àquelas previstas no </w:t>
      </w:r>
      <w:bookmarkStart w:id="0" w:name="_GoBack"/>
      <w:r w:rsidR="009369EF" w:rsidRPr="00D76E5F">
        <w:rPr>
          <w:rFonts w:ascii="Calibri" w:eastAsia="Times New Roman" w:hAnsi="Calibri" w:cstheme="minorHAnsi"/>
          <w:b/>
          <w:color w:val="000000"/>
          <w:sz w:val="24"/>
          <w:szCs w:val="24"/>
          <w:lang w:eastAsia="pt-BR"/>
        </w:rPr>
        <w:t>caput</w:t>
      </w:r>
      <w:bookmarkEnd w:id="0"/>
      <w:r w:rsidR="009369E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.</w:t>
      </w:r>
    </w:p>
    <w:p w14:paraId="6B9C1963" w14:textId="77777777" w:rsidR="00C81954" w:rsidRPr="0095791E" w:rsidRDefault="00C81954" w:rsidP="006164E8">
      <w:pPr>
        <w:spacing w:before="120" w:after="120" w:line="240" w:lineRule="auto"/>
        <w:jc w:val="center"/>
        <w:rPr>
          <w:b/>
          <w:sz w:val="24"/>
          <w:szCs w:val="24"/>
        </w:rPr>
      </w:pPr>
      <w:r w:rsidRPr="0095791E">
        <w:rPr>
          <w:b/>
          <w:sz w:val="24"/>
          <w:szCs w:val="24"/>
        </w:rPr>
        <w:t>Seção II</w:t>
      </w:r>
    </w:p>
    <w:p w14:paraId="5E86DF2D" w14:textId="6F7E7F29" w:rsidR="00C81954" w:rsidRPr="0095791E" w:rsidRDefault="00436E90" w:rsidP="006164E8">
      <w:pPr>
        <w:spacing w:before="120" w:after="120" w:line="240" w:lineRule="auto"/>
        <w:jc w:val="center"/>
        <w:rPr>
          <w:b/>
          <w:sz w:val="24"/>
          <w:szCs w:val="24"/>
        </w:rPr>
      </w:pPr>
      <w:r w:rsidRPr="0095791E">
        <w:rPr>
          <w:b/>
          <w:sz w:val="24"/>
          <w:szCs w:val="24"/>
        </w:rPr>
        <w:t xml:space="preserve">Do funcionamento dos órgãos </w:t>
      </w:r>
      <w:r w:rsidR="00F72FB2">
        <w:rPr>
          <w:b/>
          <w:sz w:val="24"/>
          <w:szCs w:val="24"/>
        </w:rPr>
        <w:t>estatutários</w:t>
      </w:r>
    </w:p>
    <w:p w14:paraId="772CB70F" w14:textId="77E3C148" w:rsidR="00E9414C" w:rsidRPr="0095791E" w:rsidRDefault="00E9414C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Art. </w:t>
      </w:r>
      <w:r w:rsidR="006164E8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702.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 </w:t>
      </w:r>
      <w:r w:rsidR="003D2547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Os </w:t>
      </w:r>
      <w:r w:rsidR="00436E9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membros dos </w:t>
      </w:r>
      <w:r w:rsidR="003D2547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órgãos estatutários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="003D2547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d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as </w:t>
      </w:r>
      <w:r w:rsidR="0006529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EFPC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devem exercer suas funções nos termos da lei, do estatuto e do regimento interno, quando houver. </w:t>
      </w:r>
    </w:p>
    <w:p w14:paraId="4D8EB50A" w14:textId="4F4937C8" w:rsidR="00436E90" w:rsidRPr="0095791E" w:rsidRDefault="00AF78BD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Art. </w:t>
      </w:r>
      <w:r w:rsidR="006164E8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703.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="007B194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O conselho deliberativo, órgão máximo da estrutura organizacional, é responsável pela definição da política geral de administração da </w:t>
      </w:r>
      <w:r w:rsidR="0006529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EFPC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e planos de benefícios por ela administrados e sua ação deve ser exercida por meio do estabelecimento de diretrizes e normas gerais de organização, funcionamento, administração e operação.</w:t>
      </w:r>
    </w:p>
    <w:p w14:paraId="76C40EB4" w14:textId="3C7F0AF1" w:rsidR="00AF78BD" w:rsidRPr="0095791E" w:rsidRDefault="00AF78BD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Parágrafo único. </w:t>
      </w:r>
      <w:r w:rsidR="007B194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O 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c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onselho 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d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eliberativo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, no desempenho de suas funções, deve observar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os princípios, regras e práticas de governança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,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a gestão e 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os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controles internos aplicáveis segundo o porte 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da </w:t>
      </w:r>
      <w:r w:rsidR="0006529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EFPC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e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dos planos, a complexidade e os riscos inerentes a estes, visando a sua segurança da situação econômico-financeira e atuarial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.</w:t>
      </w:r>
    </w:p>
    <w:p w14:paraId="5A7519EF" w14:textId="62E14A1E" w:rsidR="009D1032" w:rsidRPr="0095791E" w:rsidRDefault="009D1032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Art. </w:t>
      </w:r>
      <w:r w:rsidR="006164E8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704. </w:t>
      </w:r>
      <w:r w:rsidR="00A3130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O 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c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onselho 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f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iscal é o órgão de fiscalização e controle interno, responsável pela fiscalização da gestão administrativa e econômico-financeira da </w:t>
      </w:r>
      <w:r w:rsidR="0006529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EFPC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e de seus planos de benefícios, e 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deve exercer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suas funções nos termos da lei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,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do 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statuto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e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na forma disciplinada 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r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egimento 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i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nterno</w:t>
      </w:r>
      <w:r w:rsidR="00FB21A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, quando houver.</w:t>
      </w:r>
    </w:p>
    <w:p w14:paraId="5970BA1E" w14:textId="3A6F988B" w:rsidR="002A6DB0" w:rsidRPr="0095791E" w:rsidRDefault="002A6DB0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§ 1</w:t>
      </w:r>
      <w:proofErr w:type="gramStart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º </w:t>
      </w:r>
      <w:r w:rsidR="00167D75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O</w:t>
      </w:r>
      <w:proofErr w:type="gramEnd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conselho fiscal, no desempenho de suas funções, deve zelar pela gestão econômico-financeira da </w:t>
      </w:r>
      <w:r w:rsidR="0006529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EFPC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e dos seus planos de benefícios, observando, sempre, os princípios, regras e práticas de governança, gestão e controles internos adequados ao porte, à complexidade e aos riscos inerentes aos planos operados.</w:t>
      </w:r>
    </w:p>
    <w:p w14:paraId="54A0F800" w14:textId="77E55569" w:rsidR="00C81954" w:rsidRPr="0095791E" w:rsidRDefault="002A6DB0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§ 2</w:t>
      </w:r>
      <w:proofErr w:type="gramStart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º </w:t>
      </w:r>
      <w:r w:rsidR="00167D75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="007D7048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O</w:t>
      </w:r>
      <w:proofErr w:type="gramEnd"/>
      <w:r w:rsidR="007D7048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c</w:t>
      </w:r>
      <w:r w:rsidR="00C81954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onselho </w:t>
      </w:r>
      <w:r w:rsidR="007D7048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f</w:t>
      </w:r>
      <w:r w:rsidR="00C81954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iscal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deve </w:t>
      </w:r>
      <w:r w:rsidR="000F41D8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pautar sua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atuação na</w:t>
      </w:r>
      <w:r w:rsidR="00C81954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an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álise</w:t>
      </w:r>
      <w:r w:rsidR="000F41D8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a posteriori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dos </w:t>
      </w:r>
      <w:r w:rsidR="00C81954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atos</w:t>
      </w:r>
      <w:r w:rsidR="007D7048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e </w:t>
      </w:r>
      <w:r w:rsidR="00C81954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decisões de gestão</w:t>
      </w:r>
      <w:r w:rsidR="007D7048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,</w:t>
      </w:r>
      <w:r w:rsidR="00F72FB2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comunicando eventuais irregularidades e </w:t>
      </w:r>
      <w:r w:rsidR="003A1A53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recomendando providências sem</w:t>
      </w:r>
      <w:r w:rsidR="00C81954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="00F72FB2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interferência</w:t>
      </w:r>
      <w:r w:rsidR="00C81954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na gestão da </w:t>
      </w:r>
      <w:r w:rsidR="0006529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EFPC</w:t>
      </w:r>
      <w:r w:rsidR="007D7048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.</w:t>
      </w:r>
    </w:p>
    <w:p w14:paraId="3E56EF71" w14:textId="138FADB2" w:rsidR="009369EF" w:rsidRPr="0095791E" w:rsidRDefault="005372AC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Art. </w:t>
      </w:r>
      <w:r w:rsidR="006164E8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705.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A diretoria-executiva é o órgão de administração e gestão da </w:t>
      </w:r>
      <w:r w:rsidR="0006529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EFPC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, cabendo-lhe executar as diretrizes e a política de administração estabelecidas pelo conselho deliberativo.</w:t>
      </w:r>
    </w:p>
    <w:p w14:paraId="282C9AEB" w14:textId="1C600E9A" w:rsidR="005372AC" w:rsidRPr="0095791E" w:rsidRDefault="00113038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lastRenderedPageBreak/>
        <w:t>Parágrafo único.</w:t>
      </w:r>
      <w:r w:rsidR="00A3130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="00155B7B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="005372A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A </w:t>
      </w:r>
      <w:r w:rsidR="00F968C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d</w:t>
      </w:r>
      <w:r w:rsidR="005372A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iretoria</w:t>
      </w:r>
      <w:r w:rsidR="004B473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-</w:t>
      </w:r>
      <w:r w:rsidR="00F968C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</w:t>
      </w:r>
      <w:r w:rsidR="005372A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xecutiva </w:t>
      </w:r>
      <w:r w:rsidR="00F968C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deve zelar</w:t>
      </w:r>
      <w:r w:rsidR="005372A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pelos interesses </w:t>
      </w:r>
      <w:r w:rsidR="00F968C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da </w:t>
      </w:r>
      <w:r w:rsidR="0006529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EFPC</w:t>
      </w:r>
      <w:r w:rsidR="005372A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e pela consecução de suas finalidades, observando, sempre, os princípios, regras e práticas de governança, gestão e controles internos adequados ao porte, à complexidade e aos riscos inerentes aos planos </w:t>
      </w:r>
      <w:r w:rsidR="00F968C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admini</w:t>
      </w:r>
      <w:r w:rsidR="004B473E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s</w:t>
      </w:r>
      <w:r w:rsidR="00F968C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trado</w:t>
      </w:r>
      <w:r w:rsidR="005372A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s, visando a segurança da situação econômico-financeira e atuarial</w:t>
      </w:r>
      <w:r w:rsidR="00F968C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.</w:t>
      </w:r>
    </w:p>
    <w:p w14:paraId="523FED2E" w14:textId="77777777" w:rsidR="00FE6441" w:rsidRPr="0095791E" w:rsidRDefault="009C7852" w:rsidP="006164E8">
      <w:pPr>
        <w:spacing w:before="120" w:after="120" w:line="240" w:lineRule="auto"/>
        <w:jc w:val="center"/>
        <w:rPr>
          <w:b/>
          <w:sz w:val="24"/>
          <w:szCs w:val="24"/>
        </w:rPr>
      </w:pPr>
      <w:r w:rsidRPr="0095791E">
        <w:rPr>
          <w:b/>
          <w:sz w:val="24"/>
          <w:szCs w:val="24"/>
        </w:rPr>
        <w:t>Seção III</w:t>
      </w:r>
    </w:p>
    <w:p w14:paraId="797AE64F" w14:textId="340A884B" w:rsidR="00563E44" w:rsidRPr="0095791E" w:rsidRDefault="00FE6441" w:rsidP="006164E8">
      <w:pPr>
        <w:spacing w:before="120" w:after="120" w:line="240" w:lineRule="auto"/>
        <w:jc w:val="center"/>
        <w:rPr>
          <w:b/>
          <w:sz w:val="24"/>
          <w:szCs w:val="24"/>
        </w:rPr>
      </w:pPr>
      <w:r w:rsidRPr="0095791E">
        <w:rPr>
          <w:b/>
          <w:sz w:val="24"/>
          <w:szCs w:val="24"/>
        </w:rPr>
        <w:t xml:space="preserve">Das reuniões dos órgãos </w:t>
      </w:r>
      <w:r w:rsidR="00F72FB2">
        <w:rPr>
          <w:b/>
          <w:sz w:val="24"/>
          <w:szCs w:val="24"/>
        </w:rPr>
        <w:t>estatutários</w:t>
      </w:r>
    </w:p>
    <w:p w14:paraId="7AE2546A" w14:textId="131B757F" w:rsidR="00BB50BB" w:rsidRPr="0095791E" w:rsidRDefault="00BB50BB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Art. </w:t>
      </w:r>
      <w:r w:rsidR="006164E8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706.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 </w:t>
      </w:r>
      <w:r w:rsidR="00436E9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As reuniões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="009243D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ordinárias e extraordinárias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dos órgãos </w:t>
      </w:r>
      <w:r w:rsidR="00F72FB2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estatutários</w:t>
      </w:r>
      <w:r w:rsidR="00F72FB2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="00436E9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das </w:t>
      </w:r>
      <w:r w:rsidR="0006529F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EFPC</w:t>
      </w:r>
      <w:r w:rsidR="00436E9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devem seguir o </w:t>
      </w:r>
      <w:r w:rsidR="009243DC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disposto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no estatuto </w:t>
      </w:r>
      <w:r w:rsidR="005D7121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no regimento intern</w:t>
      </w:r>
      <w:r w:rsidR="00436E90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o, quando houver.</w:t>
      </w:r>
      <w:r w:rsidR="00E10AB6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</w:p>
    <w:p w14:paraId="691F4D23" w14:textId="6E8E61EA" w:rsidR="00822920" w:rsidRPr="00822920" w:rsidRDefault="00822920" w:rsidP="00822920">
      <w:pPr>
        <w:spacing w:before="120" w:after="120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822920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Art. 707.</w:t>
      </w:r>
      <w:r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 </w:t>
      </w:r>
      <w:r w:rsidRPr="00822920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Os conselheiros suplentes de órgãos estatutários previstos no estatuto ou no regimento interno, quando houver, somente devem substituir os respectivos titulares nas hipóteses de impedimentos e afastamentos</w:t>
      </w:r>
      <w:r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Pr="00822920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registrados em ata.</w:t>
      </w:r>
    </w:p>
    <w:p w14:paraId="0C5DB7BA" w14:textId="6A08DCD4" w:rsidR="002460BB" w:rsidRPr="0077064F" w:rsidRDefault="002460BB" w:rsidP="006164E8">
      <w:pPr>
        <w:adjustRightInd w:val="0"/>
        <w:spacing w:before="120" w:after="12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pt-BR"/>
        </w:rPr>
      </w:pPr>
      <w:r w:rsidRPr="0077064F">
        <w:rPr>
          <w:rFonts w:ascii="Calibri" w:eastAsia="Times New Roman" w:hAnsi="Calibri" w:cs="Calibri"/>
          <w:b/>
          <w:sz w:val="24"/>
          <w:szCs w:val="24"/>
          <w:lang w:eastAsia="pt-BR"/>
        </w:rPr>
        <w:t xml:space="preserve">Seção </w:t>
      </w:r>
      <w:r w:rsidR="002876DC">
        <w:rPr>
          <w:rFonts w:ascii="Calibri" w:eastAsia="Times New Roman" w:hAnsi="Calibri" w:cs="Calibri"/>
          <w:b/>
          <w:sz w:val="24"/>
          <w:szCs w:val="24"/>
          <w:lang w:eastAsia="pt-BR"/>
        </w:rPr>
        <w:t>I</w:t>
      </w:r>
      <w:r w:rsidRPr="0077064F">
        <w:rPr>
          <w:rFonts w:ascii="Calibri" w:eastAsia="Times New Roman" w:hAnsi="Calibri" w:cs="Calibri"/>
          <w:b/>
          <w:sz w:val="24"/>
          <w:szCs w:val="24"/>
          <w:lang w:eastAsia="pt-BR"/>
        </w:rPr>
        <w:t>V</w:t>
      </w:r>
    </w:p>
    <w:p w14:paraId="025E056F" w14:textId="77777777" w:rsidR="002460BB" w:rsidRPr="0077064F" w:rsidRDefault="002460BB" w:rsidP="006164E8">
      <w:pPr>
        <w:spacing w:before="120" w:after="120" w:line="240" w:lineRule="auto"/>
        <w:jc w:val="center"/>
        <w:rPr>
          <w:rFonts w:ascii="Calibri" w:eastAsia="Times New Roman" w:hAnsi="Calibri" w:cstheme="minorHAnsi"/>
          <w:b/>
          <w:color w:val="000000"/>
          <w:sz w:val="24"/>
          <w:szCs w:val="24"/>
          <w:lang w:eastAsia="pt-BR"/>
        </w:rPr>
      </w:pPr>
      <w:r w:rsidRPr="0077064F">
        <w:rPr>
          <w:rFonts w:ascii="Calibri" w:eastAsia="Times New Roman" w:hAnsi="Calibri" w:cstheme="minorHAnsi"/>
          <w:b/>
          <w:color w:val="000000"/>
          <w:sz w:val="24"/>
          <w:szCs w:val="24"/>
          <w:lang w:eastAsia="pt-BR"/>
        </w:rPr>
        <w:t xml:space="preserve">Do administrador ou comitê responsável pela gestão de riscos </w:t>
      </w:r>
    </w:p>
    <w:p w14:paraId="6C0322E7" w14:textId="156D375B" w:rsidR="002460BB" w:rsidRPr="0095791E" w:rsidRDefault="002460BB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Art. </w:t>
      </w:r>
      <w:r w:rsidR="006164E8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70</w:t>
      </w:r>
      <w:r w:rsidR="002876DC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8</w:t>
      </w:r>
      <w:r w:rsidR="006164E8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.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 A EFPC classificada como </w:t>
      </w:r>
      <w:r w:rsidRPr="002876DC">
        <w:rPr>
          <w:rFonts w:ascii="Calibri" w:eastAsia="Times New Roman" w:hAnsi="Calibri" w:cstheme="minorHAnsi"/>
          <w:color w:val="FF0000"/>
          <w:sz w:val="24"/>
          <w:szCs w:val="24"/>
          <w:lang w:eastAsia="pt-BR"/>
        </w:rPr>
        <w:t xml:space="preserve">entidade sistemicamente importante (ESI)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deve segregar a gestão de recursos da gestão de risco e designar:</w:t>
      </w:r>
    </w:p>
    <w:p w14:paraId="4F5EDEDF" w14:textId="77777777" w:rsidR="002460BB" w:rsidRPr="0095791E" w:rsidRDefault="002460BB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I - AETQ como principal responsável pela gestão, alocação, supervisão e acompanhamento dos recursos garantidores de seus planos; e</w:t>
      </w:r>
    </w:p>
    <w:p w14:paraId="0598F199" w14:textId="77777777" w:rsidR="002460BB" w:rsidRPr="0095791E" w:rsidRDefault="002460BB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II -</w:t>
      </w:r>
      <w:r w:rsidRPr="0095791E" w:rsidDel="00977767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proofErr w:type="gramStart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administrador</w:t>
      </w:r>
      <w:proofErr w:type="gramEnd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ou comitê responsável pela gestão de riscos.</w:t>
      </w:r>
    </w:p>
    <w:p w14:paraId="5779333A" w14:textId="77777777" w:rsidR="002460BB" w:rsidRPr="0095791E" w:rsidRDefault="002460BB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§1</w:t>
      </w:r>
      <w:proofErr w:type="gramStart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º  O</w:t>
      </w:r>
      <w:proofErr w:type="gramEnd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Pr="002876DC">
        <w:rPr>
          <w:rFonts w:ascii="Calibri" w:eastAsia="Times New Roman" w:hAnsi="Calibri" w:cstheme="minorHAnsi"/>
          <w:color w:val="FF0000"/>
          <w:sz w:val="24"/>
          <w:szCs w:val="24"/>
          <w:lang w:eastAsia="pt-BR"/>
        </w:rPr>
        <w:t>AETQ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e o responsável pela gestão de risco devem exercer suas funções com independência e sem qualquer subordinação hierárquica entre si.</w:t>
      </w:r>
    </w:p>
    <w:p w14:paraId="5FAF1E32" w14:textId="77777777" w:rsidR="002460BB" w:rsidRPr="0095791E" w:rsidRDefault="002460BB" w:rsidP="006164E8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§2</w:t>
      </w:r>
      <w:proofErr w:type="gramStart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º  É</w:t>
      </w:r>
      <w:proofErr w:type="gramEnd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vedada a participação do </w:t>
      </w:r>
      <w:r w:rsidRPr="002876DC">
        <w:rPr>
          <w:rFonts w:ascii="Calibri" w:eastAsia="Times New Roman" w:hAnsi="Calibri" w:cstheme="minorHAnsi"/>
          <w:color w:val="FF0000"/>
          <w:sz w:val="24"/>
          <w:szCs w:val="24"/>
          <w:lang w:eastAsia="pt-BR"/>
        </w:rPr>
        <w:t>AETQ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no comitê responsável pela gestão de riscos.</w:t>
      </w:r>
    </w:p>
    <w:p w14:paraId="6CC5896F" w14:textId="12267603" w:rsidR="002876DC" w:rsidRPr="0095791E" w:rsidRDefault="002876DC" w:rsidP="002876DC">
      <w:pPr>
        <w:spacing w:before="120" w:after="120" w:line="240" w:lineRule="auto"/>
        <w:jc w:val="center"/>
        <w:rPr>
          <w:b/>
          <w:sz w:val="24"/>
          <w:szCs w:val="24"/>
        </w:rPr>
      </w:pPr>
      <w:r w:rsidRPr="0095791E">
        <w:rPr>
          <w:b/>
          <w:sz w:val="24"/>
          <w:szCs w:val="24"/>
        </w:rPr>
        <w:t>Seção V</w:t>
      </w:r>
    </w:p>
    <w:p w14:paraId="71364C40" w14:textId="6CBEE410" w:rsidR="002876DC" w:rsidRPr="0095791E" w:rsidRDefault="00796244" w:rsidP="002876DC">
      <w:pPr>
        <w:spacing w:before="120" w:after="12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regimento interno</w:t>
      </w:r>
    </w:p>
    <w:p w14:paraId="4B1826DD" w14:textId="02F7505A" w:rsidR="002876DC" w:rsidRPr="0095791E" w:rsidRDefault="002876DC" w:rsidP="002876DC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Art. </w:t>
      </w:r>
      <w:r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709.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 Em acréscimo ao estatuto e aos regulamentos dos planos, as EFPC podem adotar regimento interno</w:t>
      </w:r>
      <w:r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para disciplinar sobre o funcionamento e as competências dos órgãos </w:t>
      </w:r>
      <w:r w:rsidR="003A1A53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estatutários</w:t>
      </w:r>
      <w:r w:rsidR="003A1A53"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e das unidades singulares.</w:t>
      </w:r>
    </w:p>
    <w:p w14:paraId="7897D09C" w14:textId="64D23DC5" w:rsidR="002876DC" w:rsidRPr="0095791E" w:rsidRDefault="002876DC" w:rsidP="002876DC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§ 1</w:t>
      </w:r>
      <w:proofErr w:type="gramStart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º  O</w:t>
      </w:r>
      <w:proofErr w:type="gramEnd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regimento interno é norma complementar ao estatuto</w:t>
      </w:r>
      <w:r w:rsidR="000E1FC3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da EFPC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, que é a sua norma soberana</w:t>
      </w:r>
      <w:r w:rsidR="003A1A53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, devendo ser único </w:t>
      </w:r>
      <w:r w:rsidR="00796244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para todos os órgãos estatuários</w:t>
      </w:r>
      <w:r w:rsidR="00B7657A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e aprovado pelo Conselho Deliberativo</w:t>
      </w: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.</w:t>
      </w:r>
    </w:p>
    <w:p w14:paraId="5E0EB66D" w14:textId="18F2E284" w:rsidR="002876DC" w:rsidRDefault="002876DC" w:rsidP="002876DC">
      <w:pPr>
        <w:spacing w:before="120" w:after="120" w:line="240" w:lineRule="auto"/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§ </w:t>
      </w:r>
      <w:r w:rsidR="00B7657A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2</w:t>
      </w:r>
      <w:proofErr w:type="gramStart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º  O</w:t>
      </w:r>
      <w:proofErr w:type="gramEnd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regimento interno deve dispor, no mínimo, sobre as reuniões ordinárias e extraordinárias dos órgão estatutários, seu sistema de deliberação e de documentação, hipóteses e modo de substituição temporária dos membros dos órgãos estatutários. </w:t>
      </w:r>
    </w:p>
    <w:p w14:paraId="6C406089" w14:textId="437154F6" w:rsidR="00A05EC4" w:rsidRPr="0024007B" w:rsidRDefault="00822920" w:rsidP="0024007B">
      <w:pPr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§ </w:t>
      </w:r>
      <w:r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3</w:t>
      </w:r>
      <w:proofErr w:type="gramStart"/>
      <w:r w:rsidRPr="0095791E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º  </w:t>
      </w:r>
      <w:r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O</w:t>
      </w:r>
      <w:proofErr w:type="gramEnd"/>
      <w:r w:rsidRPr="00822920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regimento interno não </w:t>
      </w:r>
      <w:r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deve ser</w:t>
      </w:r>
      <w:r w:rsidRPr="00822920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submetido à análise e aprovação da Diretoria de Licenciamento, devendo, contudo, </w:t>
      </w:r>
      <w:r w:rsidR="003A51AA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permanecer na</w:t>
      </w:r>
      <w:r w:rsidRPr="00822920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EFPC</w:t>
      </w:r>
      <w:r w:rsidR="003A51AA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, à</w:t>
      </w:r>
      <w:r w:rsidRPr="00822920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 xml:space="preserve"> disposição da </w:t>
      </w:r>
      <w:proofErr w:type="spellStart"/>
      <w:r w:rsidRPr="00822920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Previc</w:t>
      </w:r>
      <w:proofErr w:type="spellEnd"/>
      <w:r w:rsidRPr="00822920"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  <w:t>.</w:t>
      </w:r>
    </w:p>
    <w:sectPr w:rsidR="00A05EC4" w:rsidRPr="0024007B" w:rsidSect="006164E8">
      <w:pgSz w:w="11906" w:h="16838"/>
      <w:pgMar w:top="1418" w:right="567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D9C"/>
    <w:rsid w:val="0006529F"/>
    <w:rsid w:val="00092691"/>
    <w:rsid w:val="000B2CE2"/>
    <w:rsid w:val="000C3E25"/>
    <w:rsid w:val="000E1FC3"/>
    <w:rsid w:val="000F41D8"/>
    <w:rsid w:val="001016DA"/>
    <w:rsid w:val="0010221A"/>
    <w:rsid w:val="00113038"/>
    <w:rsid w:val="00117AB6"/>
    <w:rsid w:val="00155B7B"/>
    <w:rsid w:val="00167D75"/>
    <w:rsid w:val="001F632B"/>
    <w:rsid w:val="002061AD"/>
    <w:rsid w:val="0024007B"/>
    <w:rsid w:val="002460BB"/>
    <w:rsid w:val="002876DC"/>
    <w:rsid w:val="002A6DB0"/>
    <w:rsid w:val="002B4C3D"/>
    <w:rsid w:val="002C06F1"/>
    <w:rsid w:val="002F5E4D"/>
    <w:rsid w:val="003761A2"/>
    <w:rsid w:val="003A1A53"/>
    <w:rsid w:val="003A51AA"/>
    <w:rsid w:val="003B79E1"/>
    <w:rsid w:val="003D2547"/>
    <w:rsid w:val="00436E90"/>
    <w:rsid w:val="00470F3E"/>
    <w:rsid w:val="004B473E"/>
    <w:rsid w:val="004E4FDD"/>
    <w:rsid w:val="00503AE2"/>
    <w:rsid w:val="005372AC"/>
    <w:rsid w:val="00563E44"/>
    <w:rsid w:val="00583DFD"/>
    <w:rsid w:val="005A44F9"/>
    <w:rsid w:val="005D7121"/>
    <w:rsid w:val="005E5C5D"/>
    <w:rsid w:val="005F7F95"/>
    <w:rsid w:val="00614339"/>
    <w:rsid w:val="006164E8"/>
    <w:rsid w:val="00655978"/>
    <w:rsid w:val="00674162"/>
    <w:rsid w:val="00684301"/>
    <w:rsid w:val="006D6021"/>
    <w:rsid w:val="00710CE7"/>
    <w:rsid w:val="00717414"/>
    <w:rsid w:val="00796244"/>
    <w:rsid w:val="007B194C"/>
    <w:rsid w:val="007D7048"/>
    <w:rsid w:val="007E6EFE"/>
    <w:rsid w:val="00822920"/>
    <w:rsid w:val="00881E5A"/>
    <w:rsid w:val="00890885"/>
    <w:rsid w:val="00891166"/>
    <w:rsid w:val="00897D9C"/>
    <w:rsid w:val="008E6878"/>
    <w:rsid w:val="0091068F"/>
    <w:rsid w:val="009243DC"/>
    <w:rsid w:val="009369EF"/>
    <w:rsid w:val="0095791E"/>
    <w:rsid w:val="009C16FB"/>
    <w:rsid w:val="009C7852"/>
    <w:rsid w:val="009D1032"/>
    <w:rsid w:val="00A05EC4"/>
    <w:rsid w:val="00A15854"/>
    <w:rsid w:val="00A3130C"/>
    <w:rsid w:val="00A70614"/>
    <w:rsid w:val="00AA3E4A"/>
    <w:rsid w:val="00AA4389"/>
    <w:rsid w:val="00AC3EED"/>
    <w:rsid w:val="00AE734B"/>
    <w:rsid w:val="00AF78BD"/>
    <w:rsid w:val="00B16FFB"/>
    <w:rsid w:val="00B421F4"/>
    <w:rsid w:val="00B444D8"/>
    <w:rsid w:val="00B6462F"/>
    <w:rsid w:val="00B7657A"/>
    <w:rsid w:val="00B845C3"/>
    <w:rsid w:val="00B94E71"/>
    <w:rsid w:val="00BA681A"/>
    <w:rsid w:val="00BB50BB"/>
    <w:rsid w:val="00C76FF3"/>
    <w:rsid w:val="00C81954"/>
    <w:rsid w:val="00C81F5B"/>
    <w:rsid w:val="00C93CCC"/>
    <w:rsid w:val="00CC3F3D"/>
    <w:rsid w:val="00CD70FD"/>
    <w:rsid w:val="00CF5BB2"/>
    <w:rsid w:val="00D655CB"/>
    <w:rsid w:val="00D76E5F"/>
    <w:rsid w:val="00D97C5A"/>
    <w:rsid w:val="00DA27D7"/>
    <w:rsid w:val="00DF5622"/>
    <w:rsid w:val="00DF72EF"/>
    <w:rsid w:val="00E10AB6"/>
    <w:rsid w:val="00E251D2"/>
    <w:rsid w:val="00E828F1"/>
    <w:rsid w:val="00E9414C"/>
    <w:rsid w:val="00E97873"/>
    <w:rsid w:val="00EB05ED"/>
    <w:rsid w:val="00EB5274"/>
    <w:rsid w:val="00EF47D1"/>
    <w:rsid w:val="00F01EFD"/>
    <w:rsid w:val="00F72FB2"/>
    <w:rsid w:val="00F968C0"/>
    <w:rsid w:val="00FB131D"/>
    <w:rsid w:val="00FB21AE"/>
    <w:rsid w:val="00FE6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9B6A1"/>
  <w15:chartTrackingRefBased/>
  <w15:docId w15:val="{466C5EB8-106E-4101-A8BE-CFB825575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har"/>
    <w:uiPriority w:val="9"/>
    <w:qFormat/>
    <w:rsid w:val="009243D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828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E828F1"/>
    <w:rPr>
      <w:color w:val="0000FF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E9787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E9787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E9787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9787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97873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978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97873"/>
    <w:rPr>
      <w:rFonts w:ascii="Segoe UI" w:hAnsi="Segoe UI" w:cs="Segoe UI"/>
      <w:sz w:val="18"/>
      <w:szCs w:val="18"/>
    </w:rPr>
  </w:style>
  <w:style w:type="character" w:customStyle="1" w:styleId="Ttulo3Char">
    <w:name w:val="Título 3 Char"/>
    <w:basedOn w:val="Fontepargpadro"/>
    <w:link w:val="Ttulo3"/>
    <w:uiPriority w:val="9"/>
    <w:rsid w:val="009243DC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Reviso">
    <w:name w:val="Revision"/>
    <w:hidden/>
    <w:uiPriority w:val="99"/>
    <w:semiHidden/>
    <w:rsid w:val="005D712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79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2737079005E014DA3F3D838B359DD83" ma:contentTypeVersion="15" ma:contentTypeDescription="Crie um novo documento." ma:contentTypeScope="" ma:versionID="f5ecfa6d372c72836057225b4d0f95c2">
  <xsd:schema xmlns:xsd="http://www.w3.org/2001/XMLSchema" xmlns:xs="http://www.w3.org/2001/XMLSchema" xmlns:p="http://schemas.microsoft.com/office/2006/metadata/properties" xmlns:ns2="94d67fc2-953d-48a2-bcdb-7a11947f547a" xmlns:ns3="c247dd57-2472-45a1-9241-df4475a5fc7e" targetNamespace="http://schemas.microsoft.com/office/2006/metadata/properties" ma:root="true" ma:fieldsID="b163eefc37086f558da873f733ed74e7" ns2:_="" ns3:_="">
    <xsd:import namespace="94d67fc2-953d-48a2-bcdb-7a11947f547a"/>
    <xsd:import namespace="c247dd57-2472-45a1-9241-df4475a5fc7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d67fc2-953d-48a2-bcdb-7a11947f54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Marcações de imagem" ma:readOnly="false" ma:fieldId="{5cf76f15-5ced-4ddc-b409-7134ff3c332f}" ma:taxonomyMulti="true" ma:sspId="ca141164-57b4-4f69-ba6c-316ea9b64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47dd57-2472-45a1-9241-df4475a5fc7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4a029ec8-411b-4f64-8478-16fa221ff847}" ma:internalName="TaxCatchAll" ma:showField="CatchAllData" ma:web="c247dd57-2472-45a1-9241-df4475a5fc7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03B8B5-6447-4BE8-BD0B-998348FB5B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d67fc2-953d-48a2-bcdb-7a11947f547a"/>
    <ds:schemaRef ds:uri="c247dd57-2472-45a1-9241-df4475a5fc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75643E-92D2-466D-8601-B9E0A962F49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740</Words>
  <Characters>4001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2023-06-29T01:44:00Z</dcterms:created>
  <dcterms:modified xsi:type="dcterms:W3CDTF">2023-06-29T01:44:00Z</dcterms:modified>
</cp:coreProperties>
</file>