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48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35"/>
        <w:gridCol w:w="4540"/>
        <w:gridCol w:w="4527"/>
      </w:tblGrid>
      <w:tr w:rsidR="00225EB1" w:rsidRPr="00225EB1" w14:paraId="51C19084" w14:textId="77777777" w:rsidTr="00E75B46">
        <w:tc>
          <w:tcPr>
            <w:tcW w:w="1667" w:type="pct"/>
            <w:vAlign w:val="center"/>
          </w:tcPr>
          <w:p w14:paraId="641639A0" w14:textId="49BB35EB" w:rsidR="00A6584C" w:rsidRPr="00225EB1" w:rsidRDefault="00925DE4"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eastAsia="Times New Roman" w:hAnsi="Calibri" w:cs="Calibri"/>
                <w:b/>
                <w:bCs/>
                <w:kern w:val="0"/>
                <w:sz w:val="24"/>
                <w:szCs w:val="24"/>
                <w:lang w:eastAsia="pt-BR"/>
                <w14:ligatures w14:val="none"/>
              </w:rPr>
              <w:t>DE</w:t>
            </w:r>
          </w:p>
        </w:tc>
        <w:tc>
          <w:tcPr>
            <w:tcW w:w="1669" w:type="pct"/>
            <w:shd w:val="clear" w:color="auto" w:fill="auto"/>
            <w:noWrap/>
            <w:vAlign w:val="center"/>
            <w:hideMark/>
          </w:tcPr>
          <w:p w14:paraId="3C23D6F5" w14:textId="2E34327C" w:rsidR="00A6584C" w:rsidRPr="00843426" w:rsidRDefault="00925DE4"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eastAsia="Times New Roman" w:hAnsi="Calibri" w:cs="Calibri"/>
                <w:b/>
                <w:bCs/>
                <w:kern w:val="0"/>
                <w:sz w:val="24"/>
                <w:szCs w:val="24"/>
                <w:lang w:eastAsia="pt-BR"/>
                <w14:ligatures w14:val="none"/>
              </w:rPr>
              <w:t>PARA</w:t>
            </w:r>
          </w:p>
        </w:tc>
        <w:tc>
          <w:tcPr>
            <w:tcW w:w="1664" w:type="pct"/>
            <w:shd w:val="clear" w:color="auto" w:fill="auto"/>
            <w:noWrap/>
            <w:vAlign w:val="center"/>
            <w:hideMark/>
          </w:tcPr>
          <w:p w14:paraId="45FA55A9" w14:textId="7366EC54" w:rsidR="00A6584C" w:rsidRPr="00843426" w:rsidRDefault="00925DE4"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eastAsia="Times New Roman" w:hAnsi="Calibri" w:cs="Calibri"/>
                <w:b/>
                <w:bCs/>
                <w:kern w:val="0"/>
                <w:sz w:val="24"/>
                <w:szCs w:val="24"/>
                <w:lang w:eastAsia="pt-BR"/>
                <w14:ligatures w14:val="none"/>
              </w:rPr>
              <w:t>JUSTIFICATIVA</w:t>
            </w:r>
          </w:p>
        </w:tc>
      </w:tr>
      <w:tr w:rsidR="00225EB1" w:rsidRPr="00225EB1" w14:paraId="5490C368" w14:textId="77777777" w:rsidTr="00E75B46">
        <w:tc>
          <w:tcPr>
            <w:tcW w:w="1667" w:type="pct"/>
            <w:vAlign w:val="center"/>
          </w:tcPr>
          <w:p w14:paraId="56D0502E" w14:textId="2964FC1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tcPr>
          <w:p w14:paraId="37EC8965" w14:textId="0DE6EB60" w:rsidR="00A6584C" w:rsidRPr="00843426" w:rsidRDefault="0012568F" w:rsidP="00EB77BF">
            <w:pPr>
              <w:spacing w:after="0" w:line="240" w:lineRule="auto"/>
              <w:jc w:val="center"/>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CAPÍTULO</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I</w:t>
            </w:r>
          </w:p>
        </w:tc>
        <w:tc>
          <w:tcPr>
            <w:tcW w:w="1664" w:type="pct"/>
            <w:shd w:val="clear" w:color="auto" w:fill="auto"/>
            <w:noWrap/>
            <w:vAlign w:val="center"/>
          </w:tcPr>
          <w:p w14:paraId="085FC521" w14:textId="2F38454E" w:rsidR="00A6584C" w:rsidRPr="00843426" w:rsidRDefault="00925DE4" w:rsidP="00EB77BF">
            <w:pPr>
              <w:spacing w:after="0" w:line="240" w:lineRule="auto"/>
              <w:jc w:val="center"/>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Criar o capítulo das normas atuariais.</w:t>
            </w:r>
          </w:p>
        </w:tc>
      </w:tr>
      <w:tr w:rsidR="00225EB1" w:rsidRPr="00225EB1" w14:paraId="0B469DFA" w14:textId="77777777" w:rsidTr="00E75B46">
        <w:tc>
          <w:tcPr>
            <w:tcW w:w="1667" w:type="pct"/>
            <w:vAlign w:val="center"/>
          </w:tcPr>
          <w:p w14:paraId="6553FDA2" w14:textId="77777777" w:rsidR="00925DE4" w:rsidRPr="00225EB1" w:rsidRDefault="00925DE4"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tcPr>
          <w:p w14:paraId="62360F15" w14:textId="71F717D5" w:rsidR="00925DE4" w:rsidRPr="00225EB1" w:rsidRDefault="0012568F" w:rsidP="00EB77BF">
            <w:pPr>
              <w:spacing w:after="0" w:line="240" w:lineRule="auto"/>
              <w:jc w:val="center"/>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PROCEDIMENTOS</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PARÂMETROS</w:t>
            </w:r>
            <w:r w:rsidR="009068E9">
              <w:rPr>
                <w:rFonts w:ascii="Calibri" w:eastAsia="Times New Roman" w:hAnsi="Calibri" w:cs="Calibri"/>
                <w:kern w:val="0"/>
                <w:sz w:val="24"/>
                <w:szCs w:val="24"/>
                <w:lang w:eastAsia="pt-BR"/>
                <w14:ligatures w14:val="none"/>
              </w:rPr>
              <w:t xml:space="preserve"> </w:t>
            </w:r>
            <w:r w:rsidRPr="00225EB1">
              <w:rPr>
                <w:rFonts w:ascii="Calibri" w:eastAsia="Times New Roman" w:hAnsi="Calibri" w:cs="Calibri"/>
                <w:kern w:val="0"/>
                <w:sz w:val="24"/>
                <w:szCs w:val="24"/>
                <w:lang w:eastAsia="pt-BR"/>
                <w14:ligatures w14:val="none"/>
              </w:rPr>
              <w:t>ATUARIAIS</w:t>
            </w:r>
          </w:p>
        </w:tc>
        <w:tc>
          <w:tcPr>
            <w:tcW w:w="1664" w:type="pct"/>
            <w:shd w:val="clear" w:color="auto" w:fill="auto"/>
            <w:noWrap/>
            <w:vAlign w:val="center"/>
          </w:tcPr>
          <w:p w14:paraId="4EED93A9" w14:textId="77777777" w:rsidR="00925DE4" w:rsidRPr="00225EB1" w:rsidRDefault="00925DE4"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E6F8B4F" w14:textId="77777777" w:rsidTr="00E75B46">
        <w:tc>
          <w:tcPr>
            <w:tcW w:w="1667" w:type="pct"/>
            <w:vAlign w:val="center"/>
          </w:tcPr>
          <w:p w14:paraId="7BBBC8C6" w14:textId="22290D3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49F77617" w14:textId="33C025FB"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357A319D"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978B228" w14:textId="77777777" w:rsidTr="00E75B46">
        <w:tc>
          <w:tcPr>
            <w:tcW w:w="1667" w:type="pct"/>
            <w:vAlign w:val="center"/>
          </w:tcPr>
          <w:p w14:paraId="00E736D3" w14:textId="1BEC3280"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040A166C" w14:textId="3CC1D94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Conceitos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Definições</w:t>
            </w:r>
          </w:p>
        </w:tc>
        <w:tc>
          <w:tcPr>
            <w:tcW w:w="1664" w:type="pct"/>
            <w:shd w:val="clear" w:color="auto" w:fill="auto"/>
            <w:noWrap/>
            <w:vAlign w:val="center"/>
            <w:hideMark/>
          </w:tcPr>
          <w:p w14:paraId="120AF0E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F2906" w:rsidRPr="00225EB1" w14:paraId="47C02FC1" w14:textId="77777777" w:rsidTr="00E75B46">
        <w:tc>
          <w:tcPr>
            <w:tcW w:w="1667" w:type="pct"/>
            <w:vAlign w:val="center"/>
          </w:tcPr>
          <w:p w14:paraId="126AB3BC" w14:textId="77A3D43E" w:rsidR="002F2906" w:rsidRPr="00225EB1" w:rsidRDefault="002F2906" w:rsidP="00EB77BF">
            <w:pPr>
              <w:spacing w:after="0" w:line="240" w:lineRule="auto"/>
              <w:jc w:val="both"/>
              <w:rPr>
                <w:rFonts w:ascii="Calibri" w:hAnsi="Calibri" w:cs="Calibri"/>
                <w:b/>
                <w:bCs/>
                <w:sz w:val="24"/>
              </w:rPr>
            </w:pPr>
          </w:p>
        </w:tc>
        <w:tc>
          <w:tcPr>
            <w:tcW w:w="1669" w:type="pct"/>
            <w:shd w:val="clear" w:color="auto" w:fill="auto"/>
            <w:vAlign w:val="center"/>
          </w:tcPr>
          <w:p w14:paraId="227DFD1A" w14:textId="703FE17C" w:rsidR="002F2906" w:rsidRPr="00843426" w:rsidRDefault="001E5561"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Art. 1º  </w:t>
            </w:r>
            <w:r w:rsidR="002F290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00ED7D87">
              <w:rPr>
                <w:rFonts w:ascii="Calibri" w:eastAsia="Times New Roman" w:hAnsi="Calibri" w:cs="Calibri"/>
                <w:kern w:val="0"/>
                <w:sz w:val="24"/>
                <w:szCs w:val="24"/>
                <w:lang w:eastAsia="pt-BR"/>
                <w14:ligatures w14:val="none"/>
              </w:rPr>
              <w:t>fins deste Capítulo</w:t>
            </w:r>
            <w:r w:rsidR="00E75B46">
              <w:rPr>
                <w:rFonts w:ascii="Calibri" w:eastAsia="Times New Roman" w:hAnsi="Calibri" w:cs="Calibri"/>
                <w:kern w:val="0"/>
                <w:sz w:val="24"/>
                <w:szCs w:val="24"/>
                <w:lang w:eastAsia="pt-BR"/>
                <w14:ligatures w14:val="none"/>
              </w:rPr>
              <w:t>, cons</w:t>
            </w:r>
            <w:r w:rsidR="000D6B79">
              <w:rPr>
                <w:rFonts w:ascii="Calibri" w:eastAsia="Times New Roman" w:hAnsi="Calibri" w:cs="Calibri"/>
                <w:kern w:val="0"/>
                <w:sz w:val="24"/>
                <w:szCs w:val="24"/>
                <w:lang w:eastAsia="pt-BR"/>
                <w14:ligatures w14:val="none"/>
              </w:rPr>
              <w:t>idera-se</w:t>
            </w:r>
            <w:r w:rsidR="00ED7D87">
              <w:rPr>
                <w:rFonts w:ascii="Calibri" w:eastAsia="Times New Roman" w:hAnsi="Calibri" w:cs="Calibri"/>
                <w:kern w:val="0"/>
                <w:sz w:val="24"/>
                <w:szCs w:val="24"/>
                <w:lang w:eastAsia="pt-BR"/>
                <w14:ligatures w14:val="none"/>
              </w:rPr>
              <w:t>:</w:t>
            </w:r>
          </w:p>
        </w:tc>
        <w:tc>
          <w:tcPr>
            <w:tcW w:w="1664" w:type="pct"/>
            <w:shd w:val="clear" w:color="auto" w:fill="auto"/>
            <w:vAlign w:val="center"/>
          </w:tcPr>
          <w:p w14:paraId="5663A510" w14:textId="77777777" w:rsidR="002F2906"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p>
        </w:tc>
      </w:tr>
      <w:tr w:rsidR="00ED7D87" w:rsidRPr="00225EB1" w14:paraId="633610BA" w14:textId="77777777" w:rsidTr="00E75B46">
        <w:tc>
          <w:tcPr>
            <w:tcW w:w="1667" w:type="pct"/>
            <w:vAlign w:val="center"/>
          </w:tcPr>
          <w:p w14:paraId="2BDF34FC" w14:textId="6C5E4AED" w:rsidR="00ED7D87" w:rsidRDefault="00ED7D87" w:rsidP="00EB77BF">
            <w:pPr>
              <w:spacing w:after="0" w:line="240" w:lineRule="auto"/>
              <w:jc w:val="both"/>
              <w:rPr>
                <w:rFonts w:ascii="Calibri" w:hAnsi="Calibri" w:cs="Calibri"/>
                <w:b/>
                <w:sz w:val="24"/>
              </w:rPr>
            </w:pPr>
            <w:r>
              <w:rPr>
                <w:rFonts w:ascii="Calibri" w:hAnsi="Calibri" w:cs="Calibri"/>
                <w:b/>
                <w:sz w:val="24"/>
              </w:rPr>
              <w:t>Instrução Previc nº 33</w:t>
            </w:r>
            <w:r w:rsidRPr="00225EB1">
              <w:rPr>
                <w:rFonts w:ascii="Calibri" w:hAnsi="Calibri" w:cs="Calibri"/>
                <w:b/>
                <w:sz w:val="24"/>
              </w:rPr>
              <w:t>, de 2018.</w:t>
            </w:r>
          </w:p>
        </w:tc>
        <w:tc>
          <w:tcPr>
            <w:tcW w:w="1669" w:type="pct"/>
            <w:shd w:val="clear" w:color="auto" w:fill="auto"/>
            <w:noWrap/>
            <w:vAlign w:val="center"/>
          </w:tcPr>
          <w:p w14:paraId="2D007D31" w14:textId="77777777" w:rsidR="00ED7D87" w:rsidRDefault="00ED7D87" w:rsidP="00EB77BF">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tcPr>
          <w:p w14:paraId="06CF8BE2" w14:textId="77777777" w:rsidR="00ED7D87" w:rsidRPr="00843426" w:rsidRDefault="00ED7D87"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A00F978" w14:textId="77777777" w:rsidTr="00E75B46">
        <w:tc>
          <w:tcPr>
            <w:tcW w:w="1667" w:type="pct"/>
            <w:vAlign w:val="center"/>
          </w:tcPr>
          <w:p w14:paraId="3E16BC5C" w14:textId="0CDE3CA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§2º Considera-se fato relevante:</w:t>
            </w:r>
          </w:p>
        </w:tc>
        <w:tc>
          <w:tcPr>
            <w:tcW w:w="1669" w:type="pct"/>
            <w:shd w:val="clear" w:color="auto" w:fill="auto"/>
            <w:noWrap/>
            <w:vAlign w:val="center"/>
            <w:hideMark/>
          </w:tcPr>
          <w:p w14:paraId="587AC5AA" w14:textId="4D1489FD" w:rsidR="00A6584C" w:rsidRPr="00843426" w:rsidRDefault="000D6B79"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I - </w:t>
            </w:r>
            <w:r w:rsidR="00A6584C"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relevante:</w:t>
            </w:r>
          </w:p>
        </w:tc>
        <w:tc>
          <w:tcPr>
            <w:tcW w:w="1664" w:type="pct"/>
            <w:shd w:val="clear" w:color="auto" w:fill="auto"/>
            <w:noWrap/>
            <w:vAlign w:val="center"/>
            <w:hideMark/>
          </w:tcPr>
          <w:p w14:paraId="78FDED4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DCCC61" w14:textId="77777777" w:rsidTr="00E75B46">
        <w:tc>
          <w:tcPr>
            <w:tcW w:w="1667" w:type="pct"/>
            <w:vAlign w:val="center"/>
          </w:tcPr>
          <w:p w14:paraId="22CC278B" w14:textId="44C9D25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 alteração do regulamento com impacto no custo, no custeio ou no resultado do plano de benefícios;</w:t>
            </w:r>
          </w:p>
        </w:tc>
        <w:tc>
          <w:tcPr>
            <w:tcW w:w="1669" w:type="pct"/>
            <w:shd w:val="clear" w:color="auto" w:fill="auto"/>
            <w:noWrap/>
            <w:vAlign w:val="center"/>
            <w:hideMark/>
          </w:tcPr>
          <w:p w14:paraId="48806BD7" w14:textId="33C5B3BB"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alteração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impacto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01B605D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99F5CCB" w14:textId="77777777" w:rsidTr="00E75B46">
        <w:tc>
          <w:tcPr>
            <w:tcW w:w="1667" w:type="pct"/>
            <w:vAlign w:val="center"/>
          </w:tcPr>
          <w:p w14:paraId="3BE7B248" w14:textId="0D97679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 cisão, fusão ou incorporação de planos de benefícios;</w:t>
            </w:r>
          </w:p>
        </w:tc>
        <w:tc>
          <w:tcPr>
            <w:tcW w:w="1669" w:type="pct"/>
            <w:shd w:val="clear" w:color="auto" w:fill="auto"/>
            <w:noWrap/>
            <w:vAlign w:val="center"/>
            <w:hideMark/>
          </w:tcPr>
          <w:p w14:paraId="4837C939" w14:textId="6E67DDF8"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b)</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cisão,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fusão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incorporação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1F2F5B2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FBC36D7" w14:textId="77777777" w:rsidTr="00E75B46">
        <w:tc>
          <w:tcPr>
            <w:tcW w:w="1667" w:type="pct"/>
            <w:vAlign w:val="center"/>
          </w:tcPr>
          <w:p w14:paraId="5B3962D5" w14:textId="046DDBB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a migração de participantes ou assistidos entre planos de benefícios;</w:t>
            </w:r>
          </w:p>
        </w:tc>
        <w:tc>
          <w:tcPr>
            <w:tcW w:w="1669" w:type="pct"/>
            <w:shd w:val="clear" w:color="auto" w:fill="auto"/>
            <w:noWrap/>
            <w:vAlign w:val="center"/>
            <w:hideMark/>
          </w:tcPr>
          <w:p w14:paraId="56AE4977" w14:textId="677220E6"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migração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7745302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B990255" w14:textId="77777777" w:rsidTr="00E75B46">
        <w:tc>
          <w:tcPr>
            <w:tcW w:w="1667" w:type="pct"/>
            <w:vAlign w:val="center"/>
          </w:tcPr>
          <w:p w14:paraId="1DF3837E" w14:textId="0593608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o saldamento de plano de benefícios;</w:t>
            </w:r>
          </w:p>
        </w:tc>
        <w:tc>
          <w:tcPr>
            <w:tcW w:w="1669" w:type="pct"/>
            <w:shd w:val="clear" w:color="auto" w:fill="auto"/>
            <w:noWrap/>
            <w:vAlign w:val="center"/>
            <w:hideMark/>
          </w:tcPr>
          <w:p w14:paraId="7E4864B5" w14:textId="4A64AADE"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saldamento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3A4C66B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CE48A68" w14:textId="77777777" w:rsidTr="00E75B46">
        <w:tc>
          <w:tcPr>
            <w:tcW w:w="1667" w:type="pct"/>
            <w:vAlign w:val="center"/>
          </w:tcPr>
          <w:p w14:paraId="2A792C64" w14:textId="01EB4C2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a retirada parcial de patrocínio; ou</w:t>
            </w:r>
          </w:p>
        </w:tc>
        <w:tc>
          <w:tcPr>
            <w:tcW w:w="1669" w:type="pct"/>
            <w:shd w:val="clear" w:color="auto" w:fill="auto"/>
            <w:noWrap/>
            <w:vAlign w:val="center"/>
            <w:hideMark/>
          </w:tcPr>
          <w:p w14:paraId="6D3E15A5" w14:textId="7EB8BCCB"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retirada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patrocínio;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p>
        </w:tc>
        <w:tc>
          <w:tcPr>
            <w:tcW w:w="1664" w:type="pct"/>
            <w:shd w:val="clear" w:color="auto" w:fill="auto"/>
            <w:noWrap/>
            <w:vAlign w:val="center"/>
            <w:hideMark/>
          </w:tcPr>
          <w:p w14:paraId="01D13C9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55F185B" w14:textId="77777777" w:rsidTr="00E75B46">
        <w:tc>
          <w:tcPr>
            <w:tcW w:w="1667" w:type="pct"/>
            <w:vAlign w:val="center"/>
          </w:tcPr>
          <w:p w14:paraId="577DDAF9" w14:textId="3AD61D1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  - outros eventos supervenientes com impacto significativo no custo, no custeio ou no resultado do plano de benefícios que necessitem de imediata resposta da EFPC, devidamente fundamentados.</w:t>
            </w:r>
          </w:p>
        </w:tc>
        <w:tc>
          <w:tcPr>
            <w:tcW w:w="1669" w:type="pct"/>
            <w:shd w:val="clear" w:color="auto" w:fill="auto"/>
            <w:noWrap/>
            <w:vAlign w:val="center"/>
            <w:hideMark/>
          </w:tcPr>
          <w:p w14:paraId="5D6710DE" w14:textId="6D2B106C" w:rsidR="00A6584C" w:rsidRPr="00843426" w:rsidRDefault="002F290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f)</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outros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eventos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supervenientes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impacto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significativo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necessitem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imediata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resposta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devidamente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fundamentados.</w:t>
            </w:r>
          </w:p>
        </w:tc>
        <w:tc>
          <w:tcPr>
            <w:tcW w:w="1664" w:type="pct"/>
            <w:shd w:val="clear" w:color="auto" w:fill="auto"/>
            <w:noWrap/>
            <w:vAlign w:val="center"/>
            <w:hideMark/>
          </w:tcPr>
          <w:p w14:paraId="55FEEA2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C5231F3" w14:textId="77777777" w:rsidTr="00E75B46">
        <w:tc>
          <w:tcPr>
            <w:tcW w:w="1667" w:type="pct"/>
            <w:vAlign w:val="center"/>
          </w:tcPr>
          <w:p w14:paraId="3C43D751" w14:textId="43278EF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3º A duração do passivo corresponde à média dos prazos dos fluxos de pagamentos de benefícios de cada plano, líquidos de contribuições normais e extraordinárias incidentes sobre esses benefícios, ponderada </w:t>
            </w:r>
            <w:r w:rsidRPr="00225EB1">
              <w:rPr>
                <w:rFonts w:ascii="Calibri" w:hAnsi="Calibri" w:cs="Calibri"/>
                <w:sz w:val="24"/>
              </w:rPr>
              <w:lastRenderedPageBreak/>
              <w:t>pelos valores presentes desses fluxos, conforme a fórmula constante do Anexo a esta Instrução.</w:t>
            </w:r>
          </w:p>
        </w:tc>
        <w:tc>
          <w:tcPr>
            <w:tcW w:w="1669" w:type="pct"/>
            <w:shd w:val="clear" w:color="auto" w:fill="auto"/>
            <w:vAlign w:val="center"/>
            <w:hideMark/>
          </w:tcPr>
          <w:p w14:paraId="30482D47" w14:textId="6F5487AD" w:rsidR="00A6584C" w:rsidRPr="00843426" w:rsidRDefault="006E1B9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II</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d</w:t>
            </w:r>
            <w:r w:rsidR="00A6584C" w:rsidRPr="00843426">
              <w:rPr>
                <w:rFonts w:ascii="Calibri" w:eastAsia="Times New Roman" w:hAnsi="Calibri" w:cs="Calibri"/>
                <w:kern w:val="0"/>
                <w:sz w:val="24"/>
                <w:szCs w:val="24"/>
                <w:lang w:eastAsia="pt-BR"/>
                <w14:ligatures w14:val="none"/>
              </w:rPr>
              <w:t>uração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passivo</w:t>
            </w:r>
            <w:r w:rsidR="000D6B79">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média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prazos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líquidos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normais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incidentes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esses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ponderada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lastRenderedPageBreak/>
              <w:t>pelos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presentes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desses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fórmula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Anexo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Instrução</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5BFDC38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ED7D87" w:rsidRPr="00225EB1" w14:paraId="3DB1C69E" w14:textId="77777777" w:rsidTr="00E75B46">
        <w:tc>
          <w:tcPr>
            <w:tcW w:w="1667" w:type="pct"/>
            <w:vAlign w:val="center"/>
          </w:tcPr>
          <w:p w14:paraId="59067555" w14:textId="1CF308E4" w:rsidR="00ED7D87" w:rsidRDefault="00ED7D87" w:rsidP="009E5362">
            <w:pPr>
              <w:spacing w:after="0" w:line="240" w:lineRule="auto"/>
              <w:jc w:val="both"/>
              <w:rPr>
                <w:rFonts w:ascii="Calibri" w:hAnsi="Calibri" w:cs="Calibri"/>
                <w:b/>
                <w:sz w:val="24"/>
              </w:rPr>
            </w:pPr>
            <w:r>
              <w:rPr>
                <w:rFonts w:ascii="Calibri" w:hAnsi="Calibri" w:cs="Calibri"/>
                <w:b/>
                <w:sz w:val="24"/>
              </w:rPr>
              <w:t>Resolução Previc nº 8, de 2022</w:t>
            </w:r>
            <w:r w:rsidRPr="00225EB1">
              <w:rPr>
                <w:rFonts w:ascii="Calibri" w:hAnsi="Calibri" w:cs="Calibri"/>
                <w:b/>
                <w:sz w:val="24"/>
              </w:rPr>
              <w:t>.</w:t>
            </w:r>
          </w:p>
        </w:tc>
        <w:tc>
          <w:tcPr>
            <w:tcW w:w="1669" w:type="pct"/>
            <w:shd w:val="clear" w:color="auto" w:fill="auto"/>
            <w:vAlign w:val="center"/>
          </w:tcPr>
          <w:p w14:paraId="67D027FA" w14:textId="77777777" w:rsidR="00ED7D87" w:rsidRDefault="00ED7D87" w:rsidP="009E5362">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tcPr>
          <w:p w14:paraId="379A8374" w14:textId="77777777" w:rsidR="00ED7D87" w:rsidRPr="00843426" w:rsidRDefault="00ED7D87" w:rsidP="009E5362">
            <w:pPr>
              <w:spacing w:after="0" w:line="240" w:lineRule="auto"/>
              <w:jc w:val="both"/>
              <w:rPr>
                <w:rFonts w:ascii="Calibri" w:eastAsia="Times New Roman" w:hAnsi="Calibri" w:cs="Calibri"/>
                <w:kern w:val="0"/>
                <w:sz w:val="24"/>
                <w:szCs w:val="24"/>
                <w:lang w:eastAsia="pt-BR"/>
                <w14:ligatures w14:val="none"/>
              </w:rPr>
            </w:pPr>
          </w:p>
        </w:tc>
      </w:tr>
      <w:tr w:rsidR="009E5362" w:rsidRPr="00225EB1" w14:paraId="3630BDE9" w14:textId="77777777" w:rsidTr="00E75B46">
        <w:tc>
          <w:tcPr>
            <w:tcW w:w="1667" w:type="pct"/>
            <w:vAlign w:val="center"/>
          </w:tcPr>
          <w:p w14:paraId="6083757E" w14:textId="390BD898" w:rsidR="009E5362" w:rsidRPr="00225EB1" w:rsidRDefault="009E5362" w:rsidP="009E5362">
            <w:pPr>
              <w:spacing w:after="0" w:line="240" w:lineRule="auto"/>
              <w:jc w:val="both"/>
              <w:rPr>
                <w:rFonts w:ascii="Calibri" w:hAnsi="Calibri" w:cs="Calibri"/>
                <w:b/>
                <w:sz w:val="24"/>
              </w:rPr>
            </w:pPr>
            <w:r w:rsidRPr="00225EB1">
              <w:rPr>
                <w:rFonts w:ascii="Calibri" w:hAnsi="Calibri" w:cs="Calibri"/>
                <w:sz w:val="24"/>
              </w:rPr>
              <w:t>VIII - contrato de seguro: instrumento firmado entre a EFPC e a sociedade seguradora com a finalidade exclusiva de disciplinar a contratação de seguro para cobertura de riscos de plano de benefícios.</w:t>
            </w:r>
          </w:p>
        </w:tc>
        <w:tc>
          <w:tcPr>
            <w:tcW w:w="1669" w:type="pct"/>
            <w:shd w:val="clear" w:color="auto" w:fill="auto"/>
            <w:vAlign w:val="center"/>
          </w:tcPr>
          <w:p w14:paraId="2E3F5CFC" w14:textId="4994FA9B" w:rsidR="009E5362" w:rsidRPr="00225EB1" w:rsidRDefault="006E1B96" w:rsidP="009E5362">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w:t>
            </w:r>
            <w:r w:rsidR="000D6B79">
              <w:rPr>
                <w:rFonts w:ascii="Calibri" w:eastAsia="Times New Roman" w:hAnsi="Calibri" w:cs="Calibri"/>
                <w:kern w:val="0"/>
                <w:sz w:val="24"/>
                <w:szCs w:val="24"/>
                <w:lang w:eastAsia="pt-BR"/>
                <w14:ligatures w14:val="none"/>
              </w:rPr>
              <w:t xml:space="preserve">II </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c</w:t>
            </w:r>
            <w:r w:rsidR="009E5362" w:rsidRPr="00843426">
              <w:rPr>
                <w:rFonts w:ascii="Calibri" w:eastAsia="Times New Roman" w:hAnsi="Calibri" w:cs="Calibri"/>
                <w:kern w:val="0"/>
                <w:sz w:val="24"/>
                <w:szCs w:val="24"/>
                <w:lang w:eastAsia="pt-BR"/>
                <w14:ligatures w14:val="none"/>
              </w:rPr>
              <w:t>ontrato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seguro</w:t>
            </w:r>
            <w:r w:rsidR="000D6B79">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instrumento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firmado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finalidade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exclusiva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disciplinar</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E5362" w:rsidRPr="00843426">
              <w:rPr>
                <w:rFonts w:ascii="Calibri" w:eastAsia="Times New Roman" w:hAnsi="Calibri" w:cs="Calibri"/>
                <w:kern w:val="0"/>
                <w:sz w:val="24"/>
                <w:szCs w:val="24"/>
                <w:lang w:eastAsia="pt-BR"/>
                <w14:ligatures w14:val="none"/>
              </w:rPr>
              <w:t>benefícios</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tcPr>
          <w:p w14:paraId="4FDEECD6" w14:textId="77777777" w:rsidR="009E5362" w:rsidRPr="00843426" w:rsidRDefault="009E5362" w:rsidP="009E5362">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56BE775" w14:textId="77777777" w:rsidTr="00E75B46">
        <w:tc>
          <w:tcPr>
            <w:tcW w:w="1667" w:type="pct"/>
            <w:vAlign w:val="center"/>
          </w:tcPr>
          <w:p w14:paraId="3C27362F" w14:textId="67D2DFC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indenização: pagamento efetuado por sociedade seguradora à EFPC referente às coberturas contratadas;</w:t>
            </w:r>
          </w:p>
        </w:tc>
        <w:tc>
          <w:tcPr>
            <w:tcW w:w="1669" w:type="pct"/>
            <w:shd w:val="clear" w:color="auto" w:fill="auto"/>
            <w:noWrap/>
            <w:vAlign w:val="center"/>
            <w:hideMark/>
          </w:tcPr>
          <w:p w14:paraId="54C5A092" w14:textId="1931C2AE" w:rsidR="00A6584C" w:rsidRPr="00843426" w:rsidRDefault="000D6B79"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w:t>
            </w:r>
            <w:r w:rsidR="006E1B96">
              <w:rPr>
                <w:rFonts w:ascii="Calibri" w:eastAsia="Times New Roman" w:hAnsi="Calibri" w:cs="Calibri"/>
                <w:kern w:val="0"/>
                <w:sz w:val="24"/>
                <w:szCs w:val="24"/>
                <w:lang w:eastAsia="pt-BR"/>
                <w14:ligatures w14:val="none"/>
              </w:rPr>
              <w:t>V</w:t>
            </w:r>
            <w:r>
              <w:rPr>
                <w:rFonts w:ascii="Calibri" w:eastAsia="Times New Roman" w:hAnsi="Calibri" w:cs="Calibri"/>
                <w:kern w:val="0"/>
                <w:sz w:val="24"/>
                <w:szCs w:val="24"/>
                <w:lang w:eastAsia="pt-BR"/>
                <w14:ligatures w14:val="none"/>
              </w:rPr>
              <w:t xml:space="preserve"> </w:t>
            </w:r>
            <w:r w:rsidR="0080581C">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i</w:t>
            </w:r>
            <w:r w:rsidR="00A6584C" w:rsidRPr="00843426">
              <w:rPr>
                <w:rFonts w:ascii="Calibri" w:eastAsia="Times New Roman" w:hAnsi="Calibri" w:cs="Calibri"/>
                <w:kern w:val="0"/>
                <w:sz w:val="24"/>
                <w:szCs w:val="24"/>
                <w:lang w:eastAsia="pt-BR"/>
                <w14:ligatures w14:val="none"/>
              </w:rPr>
              <w:t>ndenização</w:t>
            </w:r>
            <w:r w:rsidR="0080581C">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efetuado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referente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contratadas</w:t>
            </w:r>
            <w:r w:rsidR="009F55BA">
              <w:rPr>
                <w:rFonts w:ascii="Calibri" w:eastAsia="Times New Roman" w:hAnsi="Calibri" w:cs="Calibri"/>
                <w:kern w:val="0"/>
                <w:sz w:val="24"/>
                <w:szCs w:val="24"/>
                <w:lang w:eastAsia="pt-BR"/>
                <w14:ligatures w14:val="none"/>
              </w:rPr>
              <w:t>;</w:t>
            </w:r>
          </w:p>
        </w:tc>
        <w:tc>
          <w:tcPr>
            <w:tcW w:w="1664" w:type="pct"/>
            <w:shd w:val="clear" w:color="auto" w:fill="auto"/>
            <w:vAlign w:val="center"/>
            <w:hideMark/>
          </w:tcPr>
          <w:p w14:paraId="3CADD78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4BFDB25" w14:textId="77777777" w:rsidTr="00E75B46">
        <w:tc>
          <w:tcPr>
            <w:tcW w:w="1667" w:type="pct"/>
            <w:vAlign w:val="center"/>
          </w:tcPr>
          <w:p w14:paraId="2789520B" w14:textId="0EF6863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prêmio: importância paga pela EFPC à sociedade seguradora, na forma prevista em contrato;</w:t>
            </w:r>
          </w:p>
        </w:tc>
        <w:tc>
          <w:tcPr>
            <w:tcW w:w="1669" w:type="pct"/>
            <w:shd w:val="clear" w:color="auto" w:fill="auto"/>
            <w:noWrap/>
            <w:vAlign w:val="center"/>
            <w:hideMark/>
          </w:tcPr>
          <w:p w14:paraId="3AE37145" w14:textId="7D849F3E" w:rsidR="00A6584C" w:rsidRPr="00843426" w:rsidRDefault="006E1B9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p</w:t>
            </w:r>
            <w:r w:rsidR="00A6584C" w:rsidRPr="00843426">
              <w:rPr>
                <w:rFonts w:ascii="Calibri" w:eastAsia="Times New Roman" w:hAnsi="Calibri" w:cs="Calibri"/>
                <w:kern w:val="0"/>
                <w:sz w:val="24"/>
                <w:szCs w:val="24"/>
                <w:lang w:eastAsia="pt-BR"/>
                <w14:ligatures w14:val="none"/>
              </w:rPr>
              <w:t>rêmio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importância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contrato</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427D2B5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411390F" w14:textId="77777777" w:rsidTr="00E75B46">
        <w:tc>
          <w:tcPr>
            <w:tcW w:w="1667" w:type="pct"/>
            <w:vAlign w:val="center"/>
          </w:tcPr>
          <w:p w14:paraId="7125BEC0" w14:textId="3E664B9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saldo de conta total: valor correspondente à totalidade dos recursos alocados em nome do participante ou assistido com o objetivo de pagamento de benefícios, na forma prevista em regulamento do plano de benefícios;</w:t>
            </w:r>
          </w:p>
        </w:tc>
        <w:tc>
          <w:tcPr>
            <w:tcW w:w="1669" w:type="pct"/>
            <w:shd w:val="clear" w:color="auto" w:fill="auto"/>
            <w:noWrap/>
            <w:vAlign w:val="center"/>
            <w:hideMark/>
          </w:tcPr>
          <w:p w14:paraId="39C86D99" w14:textId="573A7BE8" w:rsidR="00A6584C" w:rsidRPr="00843426" w:rsidRDefault="001E1620"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VI </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s</w:t>
            </w:r>
            <w:r w:rsidR="00A6584C" w:rsidRPr="00843426">
              <w:rPr>
                <w:rFonts w:ascii="Calibri" w:eastAsia="Times New Roman" w:hAnsi="Calibri" w:cs="Calibri"/>
                <w:kern w:val="0"/>
                <w:sz w:val="24"/>
                <w:szCs w:val="24"/>
                <w:lang w:eastAsia="pt-BR"/>
                <w14:ligatures w14:val="none"/>
              </w:rPr>
              <w:t>aldo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totalidade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alocados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nome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5921548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F40A21" w14:textId="77777777" w:rsidTr="00E75B46">
        <w:tc>
          <w:tcPr>
            <w:tcW w:w="1667" w:type="pct"/>
            <w:vAlign w:val="center"/>
          </w:tcPr>
          <w:p w14:paraId="6A39F06A" w14:textId="604233B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segurado: o participante, o assistido ou a EFPC, conforme o caso;</w:t>
            </w:r>
          </w:p>
        </w:tc>
        <w:tc>
          <w:tcPr>
            <w:tcW w:w="1669" w:type="pct"/>
            <w:shd w:val="clear" w:color="auto" w:fill="auto"/>
            <w:noWrap/>
            <w:vAlign w:val="center"/>
            <w:hideMark/>
          </w:tcPr>
          <w:p w14:paraId="3B3E7AA4" w14:textId="7A469E8B" w:rsidR="00A6584C" w:rsidRPr="00843426" w:rsidRDefault="006E1B9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VII</w:t>
            </w:r>
            <w:r w:rsidR="000D6B79">
              <w:rPr>
                <w:rFonts w:ascii="Calibri" w:eastAsia="Times New Roman" w:hAnsi="Calibri" w:cs="Calibri"/>
                <w:kern w:val="0"/>
                <w:sz w:val="24"/>
                <w:szCs w:val="24"/>
                <w:lang w:eastAsia="pt-BR"/>
                <w14:ligatures w14:val="none"/>
              </w:rPr>
              <w:t xml:space="preserve"> </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s</w:t>
            </w:r>
            <w:r w:rsidR="00A6584C" w:rsidRPr="00843426">
              <w:rPr>
                <w:rFonts w:ascii="Calibri" w:eastAsia="Times New Roman" w:hAnsi="Calibri" w:cs="Calibri"/>
                <w:kern w:val="0"/>
                <w:sz w:val="24"/>
                <w:szCs w:val="24"/>
                <w:lang w:eastAsia="pt-BR"/>
                <w14:ligatures w14:val="none"/>
              </w:rPr>
              <w:t>egurado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caso</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66F3B23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286C040" w14:textId="77777777" w:rsidTr="00E75B46">
        <w:tc>
          <w:tcPr>
            <w:tcW w:w="1667" w:type="pct"/>
            <w:vAlign w:val="center"/>
          </w:tcPr>
          <w:p w14:paraId="1FE8266A" w14:textId="7F6D0DF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cobertura parcial de risco: a cobertura contratada em valor parcial do benefício previsto em regulamento do plano de benefícios ou do fluxo de pagamento estimado;</w:t>
            </w:r>
          </w:p>
        </w:tc>
        <w:tc>
          <w:tcPr>
            <w:tcW w:w="1669" w:type="pct"/>
            <w:shd w:val="clear" w:color="auto" w:fill="auto"/>
            <w:noWrap/>
            <w:vAlign w:val="center"/>
            <w:hideMark/>
          </w:tcPr>
          <w:p w14:paraId="5D7A8E82" w14:textId="02BF6E3E" w:rsidR="00A6584C" w:rsidRPr="00843426" w:rsidRDefault="000D6B79"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VIII </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c</w:t>
            </w:r>
            <w:r w:rsidR="00A6584C" w:rsidRPr="00843426">
              <w:rPr>
                <w:rFonts w:ascii="Calibri" w:eastAsia="Times New Roman" w:hAnsi="Calibri" w:cs="Calibri"/>
                <w:kern w:val="0"/>
                <w:sz w:val="24"/>
                <w:szCs w:val="24"/>
                <w:lang w:eastAsia="pt-BR"/>
                <w14:ligatures w14:val="none"/>
              </w:rPr>
              <w:t>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risco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estimado</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41BA03B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E6FDC41" w14:textId="77777777" w:rsidTr="00E75B46">
        <w:tc>
          <w:tcPr>
            <w:tcW w:w="1667" w:type="pct"/>
            <w:vAlign w:val="center"/>
          </w:tcPr>
          <w:p w14:paraId="14180361" w14:textId="2113212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VI - cobertura total de risco: a cobertura contratada correspondente à totalidade do valor do benefício previsto em regulamento do plano de benefícios ou do fluxo de pagamento estimado;</w:t>
            </w:r>
          </w:p>
        </w:tc>
        <w:tc>
          <w:tcPr>
            <w:tcW w:w="1669" w:type="pct"/>
            <w:shd w:val="clear" w:color="auto" w:fill="auto"/>
            <w:noWrap/>
            <w:vAlign w:val="center"/>
            <w:hideMark/>
          </w:tcPr>
          <w:p w14:paraId="7F78BFB8" w14:textId="285B6DB3" w:rsidR="00A6584C" w:rsidRPr="00843426" w:rsidRDefault="000D6B79"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I</w:t>
            </w:r>
            <w:r w:rsidR="006E1B96">
              <w:rPr>
                <w:rFonts w:ascii="Calibri" w:eastAsia="Times New Roman" w:hAnsi="Calibri" w:cs="Calibri"/>
                <w:kern w:val="0"/>
                <w:sz w:val="24"/>
                <w:szCs w:val="24"/>
                <w:lang w:eastAsia="pt-BR"/>
                <w14:ligatures w14:val="none"/>
              </w:rPr>
              <w:t>X</w:t>
            </w:r>
            <w:r w:rsidR="0080581C">
              <w:rPr>
                <w:rFonts w:ascii="Calibri" w:eastAsia="Times New Roman" w:hAnsi="Calibri" w:cs="Calibri"/>
                <w:kern w:val="0"/>
                <w:sz w:val="24"/>
                <w:szCs w:val="24"/>
                <w:lang w:eastAsia="pt-BR"/>
                <w14:ligatures w14:val="none"/>
              </w:rPr>
              <w:t xml:space="preserve"> </w:t>
            </w:r>
            <w:r w:rsidR="002F290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c</w:t>
            </w:r>
            <w:r w:rsidR="00A6584C" w:rsidRPr="00843426">
              <w:rPr>
                <w:rFonts w:ascii="Calibri" w:eastAsia="Times New Roman" w:hAnsi="Calibri" w:cs="Calibri"/>
                <w:kern w:val="0"/>
                <w:sz w:val="24"/>
                <w:szCs w:val="24"/>
                <w:lang w:eastAsia="pt-BR"/>
                <w14:ligatures w14:val="none"/>
              </w:rPr>
              <w:t>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risco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contratada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totalidade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estimado</w:t>
            </w:r>
            <w:r w:rsidR="009F55BA">
              <w:rPr>
                <w:rFonts w:ascii="Calibri" w:eastAsia="Times New Roman" w:hAnsi="Calibri" w:cs="Calibri"/>
                <w:kern w:val="0"/>
                <w:sz w:val="24"/>
                <w:szCs w:val="24"/>
                <w:lang w:eastAsia="pt-BR"/>
                <w14:ligatures w14:val="none"/>
              </w:rPr>
              <w:t>; e</w:t>
            </w:r>
          </w:p>
        </w:tc>
        <w:tc>
          <w:tcPr>
            <w:tcW w:w="1664" w:type="pct"/>
            <w:shd w:val="clear" w:color="auto" w:fill="auto"/>
            <w:noWrap/>
            <w:vAlign w:val="center"/>
            <w:hideMark/>
          </w:tcPr>
          <w:p w14:paraId="565FF08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CEA610" w14:textId="77777777" w:rsidTr="00E75B46">
        <w:tc>
          <w:tcPr>
            <w:tcW w:w="1667" w:type="pct"/>
            <w:vAlign w:val="center"/>
          </w:tcPr>
          <w:p w14:paraId="78CDDA7C" w14:textId="6FA27A8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 - cobertura adicional de risco: a cobertura oferecida aos participantes em planos cujos benefícios decorrentes de invalidez e morte sejam estruturados unicamente com base em saldos de contas; e</w:t>
            </w:r>
          </w:p>
        </w:tc>
        <w:tc>
          <w:tcPr>
            <w:tcW w:w="1669" w:type="pct"/>
            <w:shd w:val="clear" w:color="auto" w:fill="auto"/>
            <w:noWrap/>
            <w:vAlign w:val="center"/>
            <w:hideMark/>
          </w:tcPr>
          <w:p w14:paraId="1A04F0CA" w14:textId="7E21A86F" w:rsidR="00A6584C" w:rsidRPr="00843426" w:rsidRDefault="006E1B9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X</w:t>
            </w:r>
            <w:r w:rsidR="0080581C">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BD3927">
              <w:rPr>
                <w:rFonts w:ascii="Calibri" w:eastAsia="Times New Roman" w:hAnsi="Calibri" w:cs="Calibri"/>
                <w:kern w:val="0"/>
                <w:sz w:val="24"/>
                <w:szCs w:val="24"/>
                <w:lang w:eastAsia="pt-BR"/>
                <w14:ligatures w14:val="none"/>
              </w:rPr>
              <w:t>c</w:t>
            </w:r>
            <w:r w:rsidR="00A6584C" w:rsidRPr="00843426">
              <w:rPr>
                <w:rFonts w:ascii="Calibri" w:eastAsia="Times New Roman" w:hAnsi="Calibri" w:cs="Calibri"/>
                <w:kern w:val="0"/>
                <w:sz w:val="24"/>
                <w:szCs w:val="24"/>
                <w:lang w:eastAsia="pt-BR"/>
                <w14:ligatures w14:val="none"/>
              </w:rPr>
              <w:t>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adicional</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risco</w:t>
            </w:r>
            <w:r w:rsidR="009E5362">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oferecida</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cujos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invalidez</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morte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estruturados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unicamente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saldos</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A6584C" w:rsidRPr="00843426">
              <w:rPr>
                <w:rFonts w:ascii="Calibri" w:eastAsia="Times New Roman" w:hAnsi="Calibri" w:cs="Calibri"/>
                <w:kern w:val="0"/>
                <w:sz w:val="24"/>
                <w:szCs w:val="24"/>
                <w:lang w:eastAsia="pt-BR"/>
                <w14:ligatures w14:val="none"/>
              </w:rPr>
              <w:t>contas</w:t>
            </w:r>
            <w:r w:rsidR="009F55BA">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4A96247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900FB5" w:rsidRPr="00225EB1" w14:paraId="1DFF2C2C" w14:textId="77777777" w:rsidTr="00E75B46">
        <w:tc>
          <w:tcPr>
            <w:tcW w:w="1667" w:type="pct"/>
            <w:vAlign w:val="center"/>
          </w:tcPr>
          <w:p w14:paraId="0C897180" w14:textId="66EE734F" w:rsidR="00900FB5" w:rsidRDefault="00900FB5" w:rsidP="00ED7D87">
            <w:pPr>
              <w:spacing w:after="0" w:line="240" w:lineRule="auto"/>
              <w:jc w:val="center"/>
              <w:rPr>
                <w:rFonts w:ascii="Calibri" w:hAnsi="Calibri" w:cs="Calibri"/>
                <w:b/>
                <w:sz w:val="24"/>
              </w:rPr>
            </w:pPr>
            <w:r>
              <w:rPr>
                <w:rFonts w:ascii="Calibri" w:hAnsi="Calibri" w:cs="Calibri"/>
                <w:b/>
                <w:sz w:val="24"/>
              </w:rPr>
              <w:t>Instrução Previc nº 33</w:t>
            </w:r>
            <w:r w:rsidRPr="00225EB1">
              <w:rPr>
                <w:rFonts w:ascii="Calibri" w:hAnsi="Calibri" w:cs="Calibri"/>
                <w:b/>
                <w:sz w:val="24"/>
              </w:rPr>
              <w:t>, de 2018.</w:t>
            </w:r>
          </w:p>
        </w:tc>
        <w:tc>
          <w:tcPr>
            <w:tcW w:w="1669" w:type="pct"/>
            <w:shd w:val="clear" w:color="auto" w:fill="auto"/>
            <w:noWrap/>
            <w:vAlign w:val="center"/>
          </w:tcPr>
          <w:p w14:paraId="0FD3FD5E" w14:textId="77777777" w:rsidR="00900FB5" w:rsidRPr="00843426"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c>
          <w:tcPr>
            <w:tcW w:w="1664" w:type="pct"/>
            <w:shd w:val="clear" w:color="auto" w:fill="auto"/>
            <w:noWrap/>
            <w:vAlign w:val="center"/>
          </w:tcPr>
          <w:p w14:paraId="52ABA5A9" w14:textId="77777777" w:rsidR="00900FB5" w:rsidRPr="00843426" w:rsidRDefault="00900FB5"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396E92B" w14:textId="77777777" w:rsidTr="00E75B46">
        <w:tc>
          <w:tcPr>
            <w:tcW w:w="1667" w:type="pct"/>
            <w:vAlign w:val="center"/>
          </w:tcPr>
          <w:p w14:paraId="48C5938C" w14:textId="1394A4DE"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726C2694" w14:textId="4E2939C6"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3A10F35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7EFC21A" w14:textId="77777777" w:rsidTr="00E75B46">
        <w:tc>
          <w:tcPr>
            <w:tcW w:w="1667" w:type="pct"/>
            <w:vAlign w:val="center"/>
          </w:tcPr>
          <w:p w14:paraId="120D0231" w14:textId="4885A21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61BAD1B3" w14:textId="5AAAB7FB"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Parâmetros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procedimentos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tc>
        <w:tc>
          <w:tcPr>
            <w:tcW w:w="1664" w:type="pct"/>
            <w:shd w:val="clear" w:color="auto" w:fill="auto"/>
            <w:noWrap/>
            <w:vAlign w:val="center"/>
            <w:hideMark/>
          </w:tcPr>
          <w:p w14:paraId="570BB297"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7989B1D" w14:textId="77777777" w:rsidTr="00E75B46">
        <w:tc>
          <w:tcPr>
            <w:tcW w:w="1667" w:type="pct"/>
            <w:vAlign w:val="center"/>
          </w:tcPr>
          <w:p w14:paraId="4D098C67" w14:textId="32704E8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1D5B721A" w14:textId="3E74D7D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58350E9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907ED68" w14:textId="77777777" w:rsidTr="00E75B46">
        <w:tc>
          <w:tcPr>
            <w:tcW w:w="1667" w:type="pct"/>
            <w:vAlign w:val="center"/>
          </w:tcPr>
          <w:p w14:paraId="4C364F1B" w14:textId="198127F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70A40955" w14:textId="28BA81E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Apuração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Resultado</w:t>
            </w:r>
          </w:p>
        </w:tc>
        <w:tc>
          <w:tcPr>
            <w:tcW w:w="1664" w:type="pct"/>
            <w:shd w:val="clear" w:color="auto" w:fill="auto"/>
            <w:noWrap/>
            <w:vAlign w:val="center"/>
            <w:hideMark/>
          </w:tcPr>
          <w:p w14:paraId="6006E89B"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6DF2518" w14:textId="77777777" w:rsidTr="00E75B46">
        <w:tc>
          <w:tcPr>
            <w:tcW w:w="1667" w:type="pct"/>
            <w:vAlign w:val="center"/>
          </w:tcPr>
          <w:p w14:paraId="6F27EDC3" w14:textId="0AE7454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O resultado do plano de benefícios a ser registrado no balanço patrimonial deve ser apurado mediante avaliação atuarial posicionada no encerramento de cada exercício.</w:t>
            </w:r>
          </w:p>
        </w:tc>
        <w:tc>
          <w:tcPr>
            <w:tcW w:w="1669" w:type="pct"/>
            <w:shd w:val="clear" w:color="auto" w:fill="auto"/>
            <w:noWrap/>
            <w:vAlign w:val="center"/>
            <w:hideMark/>
          </w:tcPr>
          <w:p w14:paraId="5FF35AB0" w14:textId="6E822BA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balanço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mediante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posicionada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tc>
        <w:tc>
          <w:tcPr>
            <w:tcW w:w="1664" w:type="pct"/>
            <w:shd w:val="clear" w:color="auto" w:fill="auto"/>
            <w:noWrap/>
            <w:vAlign w:val="center"/>
            <w:hideMark/>
          </w:tcPr>
          <w:p w14:paraId="15EAEA6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93EFC72" w14:textId="77777777" w:rsidTr="00E75B46">
        <w:tc>
          <w:tcPr>
            <w:tcW w:w="1667" w:type="pct"/>
            <w:vAlign w:val="center"/>
          </w:tcPr>
          <w:p w14:paraId="3A6E6FF7" w14:textId="6558F1F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ocorrência de fato relevante enseja nova avaliação atuarial, a ser realizada com base na posição de fim do mês da data de efetivação do fato relevante.</w:t>
            </w:r>
          </w:p>
        </w:tc>
        <w:tc>
          <w:tcPr>
            <w:tcW w:w="1669" w:type="pct"/>
            <w:shd w:val="clear" w:color="auto" w:fill="auto"/>
            <w:noWrap/>
            <w:vAlign w:val="center"/>
            <w:hideMark/>
          </w:tcPr>
          <w:p w14:paraId="1D8F8C1B" w14:textId="5E7ABBE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mês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p>
        </w:tc>
        <w:tc>
          <w:tcPr>
            <w:tcW w:w="1664" w:type="pct"/>
            <w:shd w:val="clear" w:color="auto" w:fill="auto"/>
            <w:noWrap/>
            <w:vAlign w:val="center"/>
            <w:hideMark/>
          </w:tcPr>
          <w:p w14:paraId="26FE9C7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64346EE" w14:textId="77777777" w:rsidTr="00E75B46">
        <w:tc>
          <w:tcPr>
            <w:tcW w:w="1667" w:type="pct"/>
            <w:vAlign w:val="center"/>
          </w:tcPr>
          <w:p w14:paraId="64A9A888" w14:textId="20471CF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w:t>
            </w:r>
          </w:p>
        </w:tc>
        <w:tc>
          <w:tcPr>
            <w:tcW w:w="1669" w:type="pct"/>
            <w:shd w:val="clear" w:color="auto" w:fill="auto"/>
            <w:noWrap/>
            <w:vAlign w:val="center"/>
            <w:hideMark/>
          </w:tcPr>
          <w:p w14:paraId="631484D8" w14:textId="36A3010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2539402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7164354" w14:textId="77777777" w:rsidTr="00E75B46">
        <w:tc>
          <w:tcPr>
            <w:tcW w:w="1667" w:type="pct"/>
            <w:vAlign w:val="center"/>
          </w:tcPr>
          <w:p w14:paraId="530FE6C3" w14:textId="632E3AB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DURAÇÃO DO PASSIVO</w:t>
            </w:r>
          </w:p>
        </w:tc>
        <w:tc>
          <w:tcPr>
            <w:tcW w:w="1669" w:type="pct"/>
            <w:shd w:val="clear" w:color="auto" w:fill="auto"/>
            <w:noWrap/>
            <w:vAlign w:val="center"/>
            <w:hideMark/>
          </w:tcPr>
          <w:p w14:paraId="23EE74F8" w14:textId="4FC51908"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Duração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Passivo</w:t>
            </w:r>
          </w:p>
        </w:tc>
        <w:tc>
          <w:tcPr>
            <w:tcW w:w="1664" w:type="pct"/>
            <w:shd w:val="clear" w:color="auto" w:fill="auto"/>
            <w:noWrap/>
            <w:vAlign w:val="center"/>
            <w:hideMark/>
          </w:tcPr>
          <w:p w14:paraId="0E0A117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CBB1DD3" w14:textId="77777777" w:rsidTr="00E75B46">
        <w:tc>
          <w:tcPr>
            <w:tcW w:w="1667" w:type="pct"/>
            <w:vAlign w:val="center"/>
          </w:tcPr>
          <w:p w14:paraId="53F0681F" w14:textId="5FA3A73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4º Os fluxos de pagamentos de benefícios de cada plano devem considerar os benefícios </w:t>
            </w:r>
            <w:r w:rsidRPr="00225EB1">
              <w:rPr>
                <w:rFonts w:ascii="Calibri" w:hAnsi="Calibri" w:cs="Calibri"/>
                <w:sz w:val="24"/>
              </w:rPr>
              <w:lastRenderedPageBreak/>
              <w:t>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tc>
        <w:tc>
          <w:tcPr>
            <w:tcW w:w="1669" w:type="pct"/>
            <w:shd w:val="clear" w:color="auto" w:fill="auto"/>
            <w:noWrap/>
            <w:vAlign w:val="center"/>
            <w:hideMark/>
          </w:tcPr>
          <w:p w14:paraId="421CF040" w14:textId="2950DA4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adquiriram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p>
        </w:tc>
        <w:tc>
          <w:tcPr>
            <w:tcW w:w="1664" w:type="pct"/>
            <w:shd w:val="clear" w:color="auto" w:fill="auto"/>
            <w:noWrap/>
            <w:vAlign w:val="center"/>
            <w:hideMark/>
          </w:tcPr>
          <w:p w14:paraId="6B39901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1A87BA" w14:textId="77777777" w:rsidTr="00E75B46">
        <w:tc>
          <w:tcPr>
            <w:tcW w:w="1667" w:type="pct"/>
            <w:vAlign w:val="center"/>
          </w:tcPr>
          <w:p w14:paraId="13F87339" w14:textId="2453BA6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5º Para fins de cálculo do Limite de Reserva de Contingência, do Limite de Déficit Técnico Acumulado e do prazo para amortização do valor a ser equacionado, a duração do passivo deve ser apurada em anos no sistema de Duração do Passivo e Ajuste de Precificação (DPAP) e ser calculada para o encerramento do exercício de referência ou para o fim do mês da data de efetivação do fato relevante.</w:t>
            </w:r>
          </w:p>
        </w:tc>
        <w:tc>
          <w:tcPr>
            <w:tcW w:w="1669" w:type="pct"/>
            <w:shd w:val="clear" w:color="auto" w:fill="auto"/>
            <w:vAlign w:val="center"/>
            <w:hideMark/>
          </w:tcPr>
          <w:p w14:paraId="3C10BB95" w14:textId="41ACC32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4º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sistema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(DPAP)</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p>
        </w:tc>
        <w:tc>
          <w:tcPr>
            <w:tcW w:w="1664" w:type="pct"/>
            <w:vMerge w:val="restart"/>
            <w:shd w:val="clear" w:color="auto" w:fill="auto"/>
            <w:noWrap/>
            <w:vAlign w:val="center"/>
            <w:hideMark/>
          </w:tcPr>
          <w:p w14:paraId="68F90B0F" w14:textId="162852F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Desdobramento em incisos para trazer maior clareza ao dispositivo</w:t>
            </w:r>
            <w:r w:rsidR="00CD5BE3">
              <w:rPr>
                <w:rFonts w:ascii="Calibri" w:eastAsia="Times New Roman" w:hAnsi="Calibri" w:cs="Calibri"/>
                <w:kern w:val="0"/>
                <w:sz w:val="24"/>
                <w:szCs w:val="24"/>
                <w:lang w:eastAsia="pt-BR"/>
                <w14:ligatures w14:val="none"/>
              </w:rPr>
              <w:t xml:space="preserve"> de quando deve ser realizada avaliação atuarial.</w:t>
            </w:r>
          </w:p>
        </w:tc>
      </w:tr>
      <w:tr w:rsidR="00225EB1" w:rsidRPr="00225EB1" w14:paraId="0F68D426" w14:textId="77777777" w:rsidTr="00E75B46">
        <w:tc>
          <w:tcPr>
            <w:tcW w:w="1667" w:type="pct"/>
            <w:vAlign w:val="center"/>
          </w:tcPr>
          <w:p w14:paraId="5446A1C7" w14:textId="3B2218A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9" w:type="pct"/>
            <w:shd w:val="clear" w:color="auto" w:fill="auto"/>
            <w:vAlign w:val="center"/>
            <w:hideMark/>
          </w:tcPr>
          <w:p w14:paraId="1828F78D" w14:textId="2420F6C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referência</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4" w:type="pct"/>
            <w:vMerge/>
            <w:vAlign w:val="center"/>
            <w:hideMark/>
          </w:tcPr>
          <w:p w14:paraId="76ADA52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6C3F734" w14:textId="77777777" w:rsidTr="00E75B46">
        <w:tc>
          <w:tcPr>
            <w:tcW w:w="1667" w:type="pct"/>
            <w:vAlign w:val="center"/>
          </w:tcPr>
          <w:p w14:paraId="1224DA14" w14:textId="2619348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9" w:type="pct"/>
            <w:shd w:val="clear" w:color="auto" w:fill="auto"/>
            <w:vAlign w:val="center"/>
            <w:hideMark/>
          </w:tcPr>
          <w:p w14:paraId="18017D1B" w14:textId="7E0DA28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mês</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efetivação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00CD5BE3" w:rsidRPr="00843426">
              <w:rPr>
                <w:rFonts w:ascii="Calibri" w:eastAsia="Times New Roman" w:hAnsi="Calibri" w:cs="Calibri"/>
                <w:kern w:val="0"/>
                <w:sz w:val="24"/>
                <w:szCs w:val="24"/>
                <w:lang w:eastAsia="pt-BR"/>
                <w14:ligatures w14:val="none"/>
              </w:rPr>
              <w:t>relevante</w:t>
            </w:r>
            <w:r w:rsidRPr="00843426">
              <w:rPr>
                <w:rFonts w:ascii="Calibri" w:eastAsia="Times New Roman" w:hAnsi="Calibri" w:cs="Calibri"/>
                <w:kern w:val="0"/>
                <w:sz w:val="24"/>
                <w:szCs w:val="24"/>
                <w:lang w:eastAsia="pt-BR"/>
                <w14:ligatures w14:val="none"/>
              </w:rPr>
              <w:t>.</w:t>
            </w:r>
          </w:p>
        </w:tc>
        <w:tc>
          <w:tcPr>
            <w:tcW w:w="1664" w:type="pct"/>
            <w:vMerge/>
            <w:vAlign w:val="center"/>
            <w:hideMark/>
          </w:tcPr>
          <w:p w14:paraId="0C293B7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CD1D21A" w14:textId="77777777" w:rsidTr="00E75B46">
        <w:tc>
          <w:tcPr>
            <w:tcW w:w="1667" w:type="pct"/>
            <w:vAlign w:val="center"/>
          </w:tcPr>
          <w:p w14:paraId="3E81BB52" w14:textId="146BDC7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 xml:space="preserve">Caso ocorra o equacionamento de déficit no próprio encerramento do exercício de apuração do resultado deficitário, a duração do passivo </w:t>
            </w:r>
            <w:r w:rsidRPr="00225EB1">
              <w:rPr>
                <w:rFonts w:ascii="Calibri" w:hAnsi="Calibri" w:cs="Calibri"/>
                <w:sz w:val="24"/>
              </w:rPr>
              <w:lastRenderedPageBreak/>
              <w:t>para fins de atendimento ao disposto no caput deve ser a calculada previamente ao lançamento do correspondente fluxo de contribuições extraordinárias futuras.</w:t>
            </w:r>
          </w:p>
        </w:tc>
        <w:tc>
          <w:tcPr>
            <w:tcW w:w="1669" w:type="pct"/>
            <w:shd w:val="clear" w:color="auto" w:fill="auto"/>
            <w:noWrap/>
            <w:vAlign w:val="center"/>
            <w:hideMark/>
          </w:tcPr>
          <w:p w14:paraId="7B406EEA" w14:textId="4C9CA4F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deficitário,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lançamento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futuras.</w:t>
            </w:r>
          </w:p>
        </w:tc>
        <w:tc>
          <w:tcPr>
            <w:tcW w:w="1664" w:type="pct"/>
            <w:shd w:val="clear" w:color="auto" w:fill="auto"/>
            <w:noWrap/>
            <w:vAlign w:val="center"/>
            <w:hideMark/>
          </w:tcPr>
          <w:p w14:paraId="71EBEEB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067A3CA" w14:textId="77777777" w:rsidTr="00E75B46">
        <w:tc>
          <w:tcPr>
            <w:tcW w:w="1667" w:type="pct"/>
            <w:vAlign w:val="center"/>
          </w:tcPr>
          <w:p w14:paraId="7CB5DFF3" w14:textId="7F8E7CC7"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II</w:t>
            </w:r>
          </w:p>
        </w:tc>
        <w:tc>
          <w:tcPr>
            <w:tcW w:w="1669" w:type="pct"/>
            <w:shd w:val="clear" w:color="auto" w:fill="auto"/>
            <w:noWrap/>
            <w:vAlign w:val="center"/>
            <w:hideMark/>
          </w:tcPr>
          <w:p w14:paraId="6659FDD0" w14:textId="747324D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4" w:type="pct"/>
            <w:shd w:val="clear" w:color="auto" w:fill="auto"/>
            <w:noWrap/>
            <w:vAlign w:val="center"/>
            <w:hideMark/>
          </w:tcPr>
          <w:p w14:paraId="256AFE2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E7E27A7" w14:textId="77777777" w:rsidTr="00E75B46">
        <w:tc>
          <w:tcPr>
            <w:tcW w:w="1667" w:type="pct"/>
            <w:vAlign w:val="center"/>
          </w:tcPr>
          <w:p w14:paraId="1101E0A1" w14:textId="1855CE6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TAXA DE JUROS PARÂMETRO</w:t>
            </w:r>
          </w:p>
        </w:tc>
        <w:tc>
          <w:tcPr>
            <w:tcW w:w="1669" w:type="pct"/>
            <w:shd w:val="clear" w:color="auto" w:fill="auto"/>
            <w:noWrap/>
            <w:vAlign w:val="center"/>
            <w:hideMark/>
          </w:tcPr>
          <w:p w14:paraId="1DA887E9" w14:textId="45BADA6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Taxa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Parâmetro</w:t>
            </w:r>
          </w:p>
        </w:tc>
        <w:tc>
          <w:tcPr>
            <w:tcW w:w="1664" w:type="pct"/>
            <w:shd w:val="clear" w:color="auto" w:fill="auto"/>
            <w:noWrap/>
            <w:vAlign w:val="center"/>
            <w:hideMark/>
          </w:tcPr>
          <w:p w14:paraId="6572C9B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FE313D2" w14:textId="77777777" w:rsidTr="00E75B46">
        <w:tc>
          <w:tcPr>
            <w:tcW w:w="1667" w:type="pct"/>
            <w:vAlign w:val="center"/>
          </w:tcPr>
          <w:p w14:paraId="52267AB9" w14:textId="2EDB7B9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6º A taxa de juros parâmetro corresponde àquela cujo ponto da Estrutura a Termo de Taxa de Juros Média (ETTJ) seja o mais próximo à duração do passivo do respectivo plano de benefícios.</w:t>
            </w:r>
          </w:p>
        </w:tc>
        <w:tc>
          <w:tcPr>
            <w:tcW w:w="1669" w:type="pct"/>
            <w:shd w:val="clear" w:color="auto" w:fill="auto"/>
            <w:noWrap/>
            <w:vAlign w:val="center"/>
            <w:hideMark/>
          </w:tcPr>
          <w:p w14:paraId="72CC3F89" w14:textId="362F561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5º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àquela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Média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próximo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20AE535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7CACE81" w14:textId="77777777" w:rsidTr="00E75B46">
        <w:tc>
          <w:tcPr>
            <w:tcW w:w="1667" w:type="pct"/>
            <w:vAlign w:val="center"/>
          </w:tcPr>
          <w:p w14:paraId="518A8F5D" w14:textId="3522131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duração do passivo para encontrar a taxa de juros referida no caput é aquela calculada considerando o fluxo projetado na avaliação de encerramento do exercício anterior ao de referência.</w:t>
            </w:r>
          </w:p>
        </w:tc>
        <w:tc>
          <w:tcPr>
            <w:tcW w:w="1669" w:type="pct"/>
            <w:shd w:val="clear" w:color="auto" w:fill="auto"/>
            <w:noWrap/>
            <w:vAlign w:val="center"/>
            <w:hideMark/>
          </w:tcPr>
          <w:p w14:paraId="209A59E9" w14:textId="79169EF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encontrar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4" w:type="pct"/>
            <w:shd w:val="clear" w:color="auto" w:fill="auto"/>
            <w:noWrap/>
            <w:vAlign w:val="center"/>
            <w:hideMark/>
          </w:tcPr>
          <w:p w14:paraId="5C78040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84C3289" w14:textId="77777777" w:rsidTr="00E75B46">
        <w:tc>
          <w:tcPr>
            <w:tcW w:w="1667" w:type="pct"/>
            <w:vAlign w:val="center"/>
          </w:tcPr>
          <w:p w14:paraId="6BD5870E" w14:textId="7743707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Na ocorrência de fato relevante que enseje a elaboração de nova avaliação atuarial, deve ser considerado o fluxo projetado que reflita a nova realidade do plano de benefícios.</w:t>
            </w:r>
          </w:p>
        </w:tc>
        <w:tc>
          <w:tcPr>
            <w:tcW w:w="1669" w:type="pct"/>
            <w:shd w:val="clear" w:color="auto" w:fill="auto"/>
            <w:noWrap/>
            <w:vAlign w:val="center"/>
            <w:hideMark/>
          </w:tcPr>
          <w:p w14:paraId="12F0959E" w14:textId="695F158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reflita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32A886D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2CD766E" w14:textId="77777777" w:rsidTr="00E75B46">
        <w:tc>
          <w:tcPr>
            <w:tcW w:w="1667" w:type="pct"/>
            <w:vAlign w:val="center"/>
          </w:tcPr>
          <w:p w14:paraId="1AC634A5" w14:textId="713F2D0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Os pontos das ETTJ serão apurados com data-base do primeiro dia útil de abril.</w:t>
            </w:r>
          </w:p>
        </w:tc>
        <w:tc>
          <w:tcPr>
            <w:tcW w:w="1669" w:type="pct"/>
            <w:shd w:val="clear" w:color="auto" w:fill="auto"/>
            <w:noWrap/>
            <w:vAlign w:val="center"/>
            <w:hideMark/>
          </w:tcPr>
          <w:p w14:paraId="3C874151" w14:textId="76AC7F0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primeiro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útil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p>
        </w:tc>
        <w:tc>
          <w:tcPr>
            <w:tcW w:w="1664" w:type="pct"/>
            <w:shd w:val="clear" w:color="auto" w:fill="auto"/>
            <w:noWrap/>
            <w:vAlign w:val="center"/>
            <w:hideMark/>
          </w:tcPr>
          <w:p w14:paraId="2BE189B5" w14:textId="0C4BB5C7" w:rsidR="00A6584C" w:rsidRPr="00843426" w:rsidRDefault="00CD5BE3"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tempo verbal.</w:t>
            </w:r>
          </w:p>
        </w:tc>
      </w:tr>
      <w:tr w:rsidR="00225EB1" w:rsidRPr="00225EB1" w14:paraId="1F4D318E" w14:textId="77777777" w:rsidTr="00E75B46">
        <w:tc>
          <w:tcPr>
            <w:tcW w:w="1667" w:type="pct"/>
            <w:vAlign w:val="center"/>
          </w:tcPr>
          <w:p w14:paraId="6539A9EA" w14:textId="1FB003B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§4º Os pontos das ETTJ e correspondentes taxas de juros parâmetro, bem como os limites inferior e superior, serão divulgados anualmente pela Previc até 30 de abril de cada exercício.</w:t>
            </w:r>
          </w:p>
        </w:tc>
        <w:tc>
          <w:tcPr>
            <w:tcW w:w="1669" w:type="pct"/>
            <w:shd w:val="clear" w:color="auto" w:fill="auto"/>
            <w:noWrap/>
            <w:vAlign w:val="center"/>
            <w:hideMark/>
          </w:tcPr>
          <w:p w14:paraId="56A2367E" w14:textId="69B583C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4º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superior,</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00CD5BE3">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abril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tc>
        <w:tc>
          <w:tcPr>
            <w:tcW w:w="1664" w:type="pct"/>
            <w:shd w:val="clear" w:color="auto" w:fill="auto"/>
            <w:noWrap/>
            <w:vAlign w:val="center"/>
            <w:hideMark/>
          </w:tcPr>
          <w:p w14:paraId="28115CC3" w14:textId="42B29F8C" w:rsidR="00A6584C" w:rsidRPr="00843426" w:rsidRDefault="00CD5BE3"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de tempo verbal.</w:t>
            </w:r>
          </w:p>
        </w:tc>
      </w:tr>
      <w:tr w:rsidR="00225EB1" w:rsidRPr="00225EB1" w14:paraId="78FBB1AB" w14:textId="77777777" w:rsidTr="00E75B46">
        <w:tc>
          <w:tcPr>
            <w:tcW w:w="1667" w:type="pct"/>
            <w:vAlign w:val="center"/>
          </w:tcPr>
          <w:p w14:paraId="473AE657" w14:textId="3E8A918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7º O cálculo da taxa de juros parâmetro deve considerar a duração do passivo com uma casa decimal, conforme definido no Anexo a esta Instrução.</w:t>
            </w:r>
          </w:p>
        </w:tc>
        <w:tc>
          <w:tcPr>
            <w:tcW w:w="1669" w:type="pct"/>
            <w:shd w:val="clear" w:color="auto" w:fill="auto"/>
            <w:noWrap/>
            <w:vAlign w:val="center"/>
            <w:hideMark/>
          </w:tcPr>
          <w:p w14:paraId="0A4FBEF0" w14:textId="7D9BBF2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6º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decimal,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Instrução.</w:t>
            </w:r>
          </w:p>
        </w:tc>
        <w:tc>
          <w:tcPr>
            <w:tcW w:w="1664" w:type="pct"/>
            <w:shd w:val="clear" w:color="auto" w:fill="auto"/>
            <w:noWrap/>
            <w:vAlign w:val="center"/>
            <w:hideMark/>
          </w:tcPr>
          <w:p w14:paraId="305CC2F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CAE4644" w14:textId="77777777" w:rsidTr="00E75B46">
        <w:tc>
          <w:tcPr>
            <w:tcW w:w="1667" w:type="pct"/>
            <w:vAlign w:val="center"/>
          </w:tcPr>
          <w:p w14:paraId="164043AD" w14:textId="64FD443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8º Independentemente da modalidade, quando o plano apresentar benefícios com características de benefício definido, a duração do passivo deve ser considerada para efeito de definição da taxa de juros parâmetro.</w:t>
            </w:r>
          </w:p>
        </w:tc>
        <w:tc>
          <w:tcPr>
            <w:tcW w:w="1669" w:type="pct"/>
            <w:shd w:val="clear" w:color="auto" w:fill="auto"/>
            <w:noWrap/>
            <w:vAlign w:val="center"/>
            <w:hideMark/>
          </w:tcPr>
          <w:p w14:paraId="36192880" w14:textId="20BF821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7º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Independentemente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p>
        </w:tc>
        <w:tc>
          <w:tcPr>
            <w:tcW w:w="1664" w:type="pct"/>
            <w:shd w:val="clear" w:color="auto" w:fill="auto"/>
            <w:noWrap/>
            <w:vAlign w:val="center"/>
            <w:hideMark/>
          </w:tcPr>
          <w:p w14:paraId="7E33840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C4CD309" w14:textId="77777777" w:rsidTr="00E75B46">
        <w:tc>
          <w:tcPr>
            <w:tcW w:w="1667" w:type="pct"/>
            <w:vAlign w:val="center"/>
          </w:tcPr>
          <w:p w14:paraId="7F46174C" w14:textId="632F45A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O plano de benefícios que apresente benefício com características de contribuição definida e utilize taxa real anual de juros em seu cálculo deve adotá-la dentro do intervalo regulatório estabelecido, considerando a duração de dez anos.</w:t>
            </w:r>
          </w:p>
        </w:tc>
        <w:tc>
          <w:tcPr>
            <w:tcW w:w="1669" w:type="pct"/>
            <w:shd w:val="clear" w:color="auto" w:fill="auto"/>
            <w:noWrap/>
            <w:vAlign w:val="center"/>
            <w:hideMark/>
          </w:tcPr>
          <w:p w14:paraId="694C6626" w14:textId="34FD693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245C">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0090245C">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dentro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p>
        </w:tc>
        <w:tc>
          <w:tcPr>
            <w:tcW w:w="1664" w:type="pct"/>
            <w:shd w:val="clear" w:color="auto" w:fill="auto"/>
            <w:noWrap/>
            <w:vAlign w:val="center"/>
            <w:hideMark/>
          </w:tcPr>
          <w:p w14:paraId="32F79BF8" w14:textId="34D5C26C" w:rsidR="00A6584C" w:rsidRPr="00843426" w:rsidRDefault="0090245C"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redacional para eliminar ambiguidade, além de adotar paralelismo com outros dispositivos da norma.</w:t>
            </w:r>
          </w:p>
        </w:tc>
      </w:tr>
      <w:tr w:rsidR="00225EB1" w:rsidRPr="00225EB1" w14:paraId="7EB314FA" w14:textId="77777777" w:rsidTr="00E75B46">
        <w:tc>
          <w:tcPr>
            <w:tcW w:w="1667" w:type="pct"/>
            <w:vAlign w:val="center"/>
          </w:tcPr>
          <w:p w14:paraId="3E2EEE1E" w14:textId="278FF6A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Caso o plano de benefícios possua fundo previdencial que utilize em sua constituição e manutenção a hipótese de taxa real anual de juros, aplicam-se os critérios de definição para a taxa de juros parâmetro previstos neste artigo, conforme evento ou risco ao qual esteja associado.</w:t>
            </w:r>
          </w:p>
        </w:tc>
        <w:tc>
          <w:tcPr>
            <w:tcW w:w="1669" w:type="pct"/>
            <w:shd w:val="clear" w:color="auto" w:fill="auto"/>
            <w:noWrap/>
            <w:vAlign w:val="center"/>
            <w:hideMark/>
          </w:tcPr>
          <w:p w14:paraId="09135E27" w14:textId="63DCDAF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aplicam-se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associado.</w:t>
            </w:r>
          </w:p>
        </w:tc>
        <w:tc>
          <w:tcPr>
            <w:tcW w:w="1664" w:type="pct"/>
            <w:shd w:val="clear" w:color="auto" w:fill="auto"/>
            <w:noWrap/>
            <w:vAlign w:val="center"/>
            <w:hideMark/>
          </w:tcPr>
          <w:p w14:paraId="470FA38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7AEE0DD" w14:textId="77777777" w:rsidTr="00E75B46">
        <w:tc>
          <w:tcPr>
            <w:tcW w:w="1667" w:type="pct"/>
            <w:vAlign w:val="center"/>
          </w:tcPr>
          <w:p w14:paraId="430AAD3C" w14:textId="58F730F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9º No caso de inviabilidade técnica para apuração da duração do passivo, o plano de benefícios deve aplicar a ETTJ considerando a duração de dez anos para efeito de definição da taxa de juros parâmetro.</w:t>
            </w:r>
          </w:p>
        </w:tc>
        <w:tc>
          <w:tcPr>
            <w:tcW w:w="1669" w:type="pct"/>
            <w:shd w:val="clear" w:color="auto" w:fill="auto"/>
            <w:noWrap/>
            <w:vAlign w:val="center"/>
            <w:hideMark/>
          </w:tcPr>
          <w:p w14:paraId="402D5452" w14:textId="698B358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8º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ETTJ</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parâmetro.</w:t>
            </w:r>
          </w:p>
        </w:tc>
        <w:tc>
          <w:tcPr>
            <w:tcW w:w="1664" w:type="pct"/>
            <w:shd w:val="clear" w:color="auto" w:fill="auto"/>
            <w:noWrap/>
            <w:vAlign w:val="center"/>
            <w:hideMark/>
          </w:tcPr>
          <w:p w14:paraId="2608AD6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B0D89CE" w14:textId="77777777" w:rsidTr="00E75B46">
        <w:tc>
          <w:tcPr>
            <w:tcW w:w="1667" w:type="pct"/>
            <w:vAlign w:val="center"/>
          </w:tcPr>
          <w:p w14:paraId="050F5F23" w14:textId="0B1D37A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 xml:space="preserve">Parágrafo </w:t>
            </w:r>
            <w:r w:rsidR="00995A43">
              <w:rPr>
                <w:rFonts w:ascii="Calibri" w:hAnsi="Calibri" w:cs="Calibri"/>
                <w:sz w:val="24"/>
              </w:rPr>
              <w:t xml:space="preserve">único.  </w:t>
            </w:r>
            <w:r w:rsidRPr="00225EB1">
              <w:rPr>
                <w:rFonts w:ascii="Calibri" w:hAnsi="Calibri" w:cs="Calibri"/>
                <w:sz w:val="24"/>
              </w:rPr>
              <w:t>Cabe ao atuário responsável pelo plano de benefícios a manifestação sobre a inviabilidade técnica nas Demonstrações Atuariais (DA).</w:t>
            </w:r>
          </w:p>
        </w:tc>
        <w:tc>
          <w:tcPr>
            <w:tcW w:w="1669" w:type="pct"/>
            <w:shd w:val="clear" w:color="auto" w:fill="auto"/>
            <w:noWrap/>
            <w:vAlign w:val="center"/>
            <w:hideMark/>
          </w:tcPr>
          <w:p w14:paraId="41076CC1" w14:textId="3EF4CB7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003203D9">
              <w:rPr>
                <w:rFonts w:ascii="Calibri" w:eastAsia="Times New Roman" w:hAnsi="Calibri" w:cs="Calibri"/>
                <w:kern w:val="0"/>
                <w:sz w:val="24"/>
                <w:szCs w:val="24"/>
                <w:lang w:eastAsia="pt-BR"/>
                <w14:ligatures w14:val="none"/>
              </w:rPr>
              <w:t>Demon</w:t>
            </w:r>
            <w:r w:rsidR="00AB31DD">
              <w:rPr>
                <w:rFonts w:ascii="Calibri" w:eastAsia="Times New Roman" w:hAnsi="Calibri" w:cs="Calibri"/>
                <w:kern w:val="0"/>
                <w:sz w:val="24"/>
                <w:szCs w:val="24"/>
                <w:lang w:eastAsia="pt-BR"/>
                <w14:ligatures w14:val="none"/>
              </w:rPr>
              <w:t>strações Atuariais (</w:t>
            </w:r>
            <w:r w:rsidRPr="00843426">
              <w:rPr>
                <w:rFonts w:ascii="Calibri" w:eastAsia="Times New Roman" w:hAnsi="Calibri" w:cs="Calibri"/>
                <w:kern w:val="0"/>
                <w:sz w:val="24"/>
                <w:szCs w:val="24"/>
                <w:lang w:eastAsia="pt-BR"/>
                <w14:ligatures w14:val="none"/>
              </w:rPr>
              <w:t>DA</w:t>
            </w:r>
            <w:r w:rsidR="00AB31DD">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54E3EFE5" w14:textId="456E7A26" w:rsidR="00A6584C" w:rsidRPr="00843426" w:rsidRDefault="0090245C"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Ajuste redacional.</w:t>
            </w:r>
          </w:p>
        </w:tc>
      </w:tr>
      <w:tr w:rsidR="00225EB1" w:rsidRPr="00225EB1" w14:paraId="212CAA3F" w14:textId="77777777" w:rsidTr="00E75B46">
        <w:tc>
          <w:tcPr>
            <w:tcW w:w="1667" w:type="pct"/>
            <w:vAlign w:val="center"/>
          </w:tcPr>
          <w:p w14:paraId="2D7D362F" w14:textId="1A62212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III</w:t>
            </w:r>
          </w:p>
        </w:tc>
        <w:tc>
          <w:tcPr>
            <w:tcW w:w="1669" w:type="pct"/>
            <w:shd w:val="clear" w:color="auto" w:fill="auto"/>
            <w:noWrap/>
            <w:vAlign w:val="center"/>
            <w:hideMark/>
          </w:tcPr>
          <w:p w14:paraId="4CE893D9" w14:textId="3CB5495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tc>
        <w:tc>
          <w:tcPr>
            <w:tcW w:w="1664" w:type="pct"/>
            <w:shd w:val="clear" w:color="auto" w:fill="auto"/>
            <w:noWrap/>
            <w:vAlign w:val="center"/>
            <w:hideMark/>
          </w:tcPr>
          <w:p w14:paraId="117CD7F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1609DD2" w14:textId="77777777" w:rsidTr="00E75B46">
        <w:tc>
          <w:tcPr>
            <w:tcW w:w="1667" w:type="pct"/>
            <w:vAlign w:val="center"/>
          </w:tcPr>
          <w:p w14:paraId="2723F81C" w14:textId="419DD44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AJUSTE DE PRECIFICAÇÃO</w:t>
            </w:r>
          </w:p>
        </w:tc>
        <w:tc>
          <w:tcPr>
            <w:tcW w:w="1669" w:type="pct"/>
            <w:shd w:val="clear" w:color="auto" w:fill="auto"/>
            <w:noWrap/>
            <w:vAlign w:val="center"/>
            <w:hideMark/>
          </w:tcPr>
          <w:p w14:paraId="570D8BEF" w14:textId="267CB2C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Ajuste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Precificação</w:t>
            </w:r>
          </w:p>
        </w:tc>
        <w:tc>
          <w:tcPr>
            <w:tcW w:w="1664" w:type="pct"/>
            <w:shd w:val="clear" w:color="auto" w:fill="auto"/>
            <w:noWrap/>
            <w:vAlign w:val="center"/>
            <w:hideMark/>
          </w:tcPr>
          <w:p w14:paraId="3DBE211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891C878" w14:textId="77777777" w:rsidTr="00E75B46">
        <w:tc>
          <w:tcPr>
            <w:tcW w:w="1667" w:type="pct"/>
            <w:vAlign w:val="center"/>
          </w:tcPr>
          <w:p w14:paraId="6A3BA584" w14:textId="5EE60AE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10. O ajuste de precificação é restrito aos títulos públicos federais atrelados a índices de preços mantidos em carteira própria ou em fundos de investimento exclusivos que atendam, cumulativamente, aos seguintes requisitos:</w:t>
            </w:r>
          </w:p>
        </w:tc>
        <w:tc>
          <w:tcPr>
            <w:tcW w:w="1669" w:type="pct"/>
            <w:shd w:val="clear" w:color="auto" w:fill="auto"/>
            <w:noWrap/>
            <w:vAlign w:val="center"/>
            <w:hideMark/>
          </w:tcPr>
          <w:p w14:paraId="05113433" w14:textId="321563B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846A7A">
              <w:rPr>
                <w:rFonts w:ascii="Calibri" w:eastAsia="Times New Roman" w:hAnsi="Calibri" w:cs="Calibri"/>
                <w:kern w:val="0"/>
                <w:sz w:val="24"/>
                <w:szCs w:val="24"/>
                <w:lang w:eastAsia="pt-BR"/>
                <w14:ligatures w14:val="none"/>
              </w:rPr>
              <w:t>9º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restrito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atrelados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índices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preços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carteira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cumulativamente,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p>
        </w:tc>
        <w:tc>
          <w:tcPr>
            <w:tcW w:w="1664" w:type="pct"/>
            <w:shd w:val="clear" w:color="auto" w:fill="auto"/>
            <w:noWrap/>
            <w:vAlign w:val="center"/>
            <w:hideMark/>
          </w:tcPr>
          <w:p w14:paraId="000C2A5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2BAF51B" w14:textId="77777777" w:rsidTr="00E75B46">
        <w:tc>
          <w:tcPr>
            <w:tcW w:w="1667" w:type="pct"/>
            <w:vAlign w:val="center"/>
          </w:tcPr>
          <w:p w14:paraId="16C71FDF" w14:textId="3A3D089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estejam classificados na categoria títulos mantidos até o vencimento;</w:t>
            </w:r>
          </w:p>
        </w:tc>
        <w:tc>
          <w:tcPr>
            <w:tcW w:w="1669" w:type="pct"/>
            <w:shd w:val="clear" w:color="auto" w:fill="auto"/>
            <w:noWrap/>
            <w:vAlign w:val="center"/>
            <w:hideMark/>
          </w:tcPr>
          <w:p w14:paraId="7AB6E4FF" w14:textId="231F135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classificados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categoria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vencimento;</w:t>
            </w:r>
          </w:p>
        </w:tc>
        <w:tc>
          <w:tcPr>
            <w:tcW w:w="1664" w:type="pct"/>
            <w:shd w:val="clear" w:color="auto" w:fill="auto"/>
            <w:noWrap/>
            <w:vAlign w:val="center"/>
            <w:hideMark/>
          </w:tcPr>
          <w:p w14:paraId="557BF32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A8C739" w14:textId="77777777" w:rsidTr="00E75B46">
        <w:tc>
          <w:tcPr>
            <w:tcW w:w="1667" w:type="pct"/>
            <w:vAlign w:val="center"/>
          </w:tcPr>
          <w:p w14:paraId="0F1B12F9" w14:textId="527FB6C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1669" w:type="pct"/>
            <w:shd w:val="clear" w:color="auto" w:fill="auto"/>
            <w:noWrap/>
            <w:vAlign w:val="center"/>
            <w:hideMark/>
          </w:tcPr>
          <w:p w14:paraId="1E3AD958" w14:textId="49EF38F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manutenção,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adquiriram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p>
        </w:tc>
        <w:tc>
          <w:tcPr>
            <w:tcW w:w="1664" w:type="pct"/>
            <w:shd w:val="clear" w:color="auto" w:fill="auto"/>
            <w:noWrap/>
            <w:vAlign w:val="center"/>
            <w:hideMark/>
          </w:tcPr>
          <w:p w14:paraId="52B0B67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FF5DA2" w14:textId="77777777" w:rsidTr="00E75B46">
        <w:tc>
          <w:tcPr>
            <w:tcW w:w="1667" w:type="pct"/>
            <w:vAlign w:val="center"/>
          </w:tcPr>
          <w:p w14:paraId="229CBE19" w14:textId="0893473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o valor presente do fluxo dos títulos públicos federais objetos do ajuste, principal e juros, seja igual ou inferior ao valor presente do fluxo de pagamento de benefícios, apurados anualmente para todo o período do fluxo;</w:t>
            </w:r>
          </w:p>
        </w:tc>
        <w:tc>
          <w:tcPr>
            <w:tcW w:w="1669" w:type="pct"/>
            <w:shd w:val="clear" w:color="auto" w:fill="auto"/>
            <w:noWrap/>
            <w:vAlign w:val="center"/>
            <w:hideMark/>
          </w:tcPr>
          <w:p w14:paraId="0010275E" w14:textId="77C39A2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principal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igual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p>
        </w:tc>
        <w:tc>
          <w:tcPr>
            <w:tcW w:w="1664" w:type="pct"/>
            <w:shd w:val="clear" w:color="auto" w:fill="auto"/>
            <w:noWrap/>
            <w:vAlign w:val="center"/>
            <w:hideMark/>
          </w:tcPr>
          <w:p w14:paraId="06C2ECC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E69725" w14:textId="77777777" w:rsidTr="00E75B46">
        <w:tc>
          <w:tcPr>
            <w:tcW w:w="1667" w:type="pct"/>
            <w:vAlign w:val="center"/>
          </w:tcPr>
          <w:p w14:paraId="11C30F52" w14:textId="15208DF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IV  - a duração do fluxo dos títulos públicos federais objetos do ajuste seja inferior à duração do fluxo de pagamento de benefícios; e</w:t>
            </w:r>
          </w:p>
        </w:tc>
        <w:tc>
          <w:tcPr>
            <w:tcW w:w="1669" w:type="pct"/>
            <w:shd w:val="clear" w:color="auto" w:fill="auto"/>
            <w:noWrap/>
            <w:vAlign w:val="center"/>
            <w:hideMark/>
          </w:tcPr>
          <w:p w14:paraId="1FFD14B2" w14:textId="61E4973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4B0FC50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8AE7EF5" w14:textId="77777777" w:rsidTr="00E75B46">
        <w:tc>
          <w:tcPr>
            <w:tcW w:w="1667" w:type="pct"/>
            <w:vAlign w:val="center"/>
          </w:tcPr>
          <w:p w14:paraId="0E4C2A63" w14:textId="1CF2BC9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esteja demonstrada a capacidade financeira de atendimento às necessidades de liquidez do plano de benefícios.</w:t>
            </w:r>
          </w:p>
        </w:tc>
        <w:tc>
          <w:tcPr>
            <w:tcW w:w="1669" w:type="pct"/>
            <w:shd w:val="clear" w:color="auto" w:fill="auto"/>
            <w:noWrap/>
            <w:vAlign w:val="center"/>
            <w:hideMark/>
          </w:tcPr>
          <w:p w14:paraId="3D00D391" w14:textId="32BF404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capacidade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63C1499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9E4ED82" w14:textId="77777777" w:rsidTr="00E75B46">
        <w:tc>
          <w:tcPr>
            <w:tcW w:w="1667" w:type="pct"/>
            <w:vAlign w:val="center"/>
          </w:tcPr>
          <w:p w14:paraId="47A488F4" w14:textId="27396C0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No cálculo do valor presente e da duração dos fluxos referidos nos incisos III e IV deste artigo, deve ser aplicada a taxa real anual de juros utilizada na avaliação atuarial de encerramento do exercício correspondente.</w:t>
            </w:r>
          </w:p>
        </w:tc>
        <w:tc>
          <w:tcPr>
            <w:tcW w:w="1669" w:type="pct"/>
            <w:shd w:val="clear" w:color="auto" w:fill="auto"/>
            <w:noWrap/>
            <w:vAlign w:val="center"/>
            <w:hideMark/>
          </w:tcPr>
          <w:p w14:paraId="68DE352C" w14:textId="07ADC8A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p>
        </w:tc>
        <w:tc>
          <w:tcPr>
            <w:tcW w:w="1664" w:type="pct"/>
            <w:shd w:val="clear" w:color="auto" w:fill="auto"/>
            <w:noWrap/>
            <w:vAlign w:val="center"/>
            <w:hideMark/>
          </w:tcPr>
          <w:p w14:paraId="2FAAC8C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189D4DF" w14:textId="77777777" w:rsidTr="00E75B46">
        <w:tc>
          <w:tcPr>
            <w:tcW w:w="1667" w:type="pct"/>
            <w:vAlign w:val="center"/>
          </w:tcPr>
          <w:p w14:paraId="2D48E723" w14:textId="60F248D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Os títulos utilizados para fins de ajuste não podem ser excluídos do cálculo dos exercícios subsequentes, exceto quando não atenderem aos requisitos constantes nos incisos I a IV deste artigo.</w:t>
            </w:r>
          </w:p>
        </w:tc>
        <w:tc>
          <w:tcPr>
            <w:tcW w:w="1669" w:type="pct"/>
            <w:shd w:val="clear" w:color="auto" w:fill="auto"/>
            <w:noWrap/>
            <w:vAlign w:val="center"/>
            <w:hideMark/>
          </w:tcPr>
          <w:p w14:paraId="6F28DC1B" w14:textId="1E70665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exceto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0D90E03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3DF1CE8" w14:textId="77777777" w:rsidTr="00E75B46">
        <w:tc>
          <w:tcPr>
            <w:tcW w:w="1667" w:type="pct"/>
            <w:vAlign w:val="center"/>
          </w:tcPr>
          <w:p w14:paraId="0564C4A9" w14:textId="49E078E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tc>
        <w:tc>
          <w:tcPr>
            <w:tcW w:w="1669" w:type="pct"/>
            <w:shd w:val="clear" w:color="auto" w:fill="auto"/>
            <w:noWrap/>
            <w:vAlign w:val="center"/>
            <w:hideMark/>
          </w:tcPr>
          <w:p w14:paraId="6AAC4253" w14:textId="1EA8A28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obrigatórias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públicos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federais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carteira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própria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enquadrem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explicativas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contábeis.</w:t>
            </w:r>
          </w:p>
        </w:tc>
        <w:tc>
          <w:tcPr>
            <w:tcW w:w="1664" w:type="pct"/>
            <w:shd w:val="clear" w:color="auto" w:fill="auto"/>
            <w:noWrap/>
            <w:vAlign w:val="center"/>
            <w:hideMark/>
          </w:tcPr>
          <w:p w14:paraId="6D79654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7354A0" w14:textId="77777777" w:rsidTr="00E75B46">
        <w:tc>
          <w:tcPr>
            <w:tcW w:w="1667" w:type="pct"/>
            <w:vAlign w:val="center"/>
          </w:tcPr>
          <w:p w14:paraId="5E1F3E82" w14:textId="605EEBE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11. A EFPC deve considerar o ajuste de precificação de títulos no cálculo do equilíbrio técnico ajustado constante das informações </w:t>
            </w:r>
            <w:r w:rsidRPr="00225EB1">
              <w:rPr>
                <w:rFonts w:ascii="Calibri" w:hAnsi="Calibri" w:cs="Calibri"/>
                <w:sz w:val="24"/>
              </w:rPr>
              <w:lastRenderedPageBreak/>
              <w:t>complementares da Demonstração do Ativo Líquido (DAL), para fins de destinação de superávit eou equacionamento de déficit da seguinte forma</w:t>
            </w:r>
            <w:r w:rsidR="0090245C">
              <w:rPr>
                <w:rFonts w:ascii="Calibri" w:hAnsi="Calibri" w:cs="Calibri"/>
                <w:sz w:val="24"/>
              </w:rPr>
              <w:t>:</w:t>
            </w:r>
          </w:p>
        </w:tc>
        <w:tc>
          <w:tcPr>
            <w:tcW w:w="1669" w:type="pct"/>
            <w:shd w:val="clear" w:color="auto" w:fill="auto"/>
            <w:noWrap/>
            <w:vAlign w:val="center"/>
            <w:hideMark/>
          </w:tcPr>
          <w:p w14:paraId="241DFF5F" w14:textId="198C14F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10</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complementares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Líquido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p>
        </w:tc>
        <w:tc>
          <w:tcPr>
            <w:tcW w:w="1664" w:type="pct"/>
            <w:shd w:val="clear" w:color="auto" w:fill="auto"/>
            <w:noWrap/>
            <w:vAlign w:val="center"/>
            <w:hideMark/>
          </w:tcPr>
          <w:p w14:paraId="2DDA92E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623347A" w14:textId="77777777" w:rsidTr="00E75B46">
        <w:tc>
          <w:tcPr>
            <w:tcW w:w="1667" w:type="pct"/>
            <w:vAlign w:val="center"/>
          </w:tcPr>
          <w:p w14:paraId="0AD656FE" w14:textId="3CB0A659" w:rsidR="00A6584C" w:rsidRPr="00225EB1" w:rsidRDefault="0090245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I - positivo ou negativo, no caso de equacionamento de déficit; ou</w:t>
            </w:r>
          </w:p>
        </w:tc>
        <w:tc>
          <w:tcPr>
            <w:tcW w:w="1669" w:type="pct"/>
            <w:shd w:val="clear" w:color="auto" w:fill="auto"/>
            <w:noWrap/>
            <w:vAlign w:val="center"/>
            <w:hideMark/>
          </w:tcPr>
          <w:p w14:paraId="3BFAF28A" w14:textId="726D726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4" w:type="pct"/>
            <w:shd w:val="clear" w:color="auto" w:fill="auto"/>
            <w:noWrap/>
            <w:vAlign w:val="center"/>
            <w:hideMark/>
          </w:tcPr>
          <w:p w14:paraId="2537760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5F63EB2" w14:textId="77777777" w:rsidTr="00E75B46">
        <w:tc>
          <w:tcPr>
            <w:tcW w:w="1667" w:type="pct"/>
            <w:vAlign w:val="center"/>
          </w:tcPr>
          <w:p w14:paraId="41C0BD12" w14:textId="5FEA77CD" w:rsidR="00A6584C" w:rsidRPr="00225EB1" w:rsidRDefault="0090245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somente negativo, no caso de destinação de superávit.</w:t>
            </w:r>
          </w:p>
        </w:tc>
        <w:tc>
          <w:tcPr>
            <w:tcW w:w="1669" w:type="pct"/>
            <w:shd w:val="clear" w:color="auto" w:fill="auto"/>
            <w:noWrap/>
            <w:vAlign w:val="center"/>
            <w:hideMark/>
          </w:tcPr>
          <w:p w14:paraId="739501E6" w14:textId="7F83329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p>
        </w:tc>
        <w:tc>
          <w:tcPr>
            <w:tcW w:w="1664" w:type="pct"/>
            <w:shd w:val="clear" w:color="auto" w:fill="auto"/>
            <w:noWrap/>
            <w:vAlign w:val="center"/>
            <w:hideMark/>
          </w:tcPr>
          <w:p w14:paraId="3676D7C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F024037" w14:textId="77777777" w:rsidTr="00E75B46">
        <w:tc>
          <w:tcPr>
            <w:tcW w:w="1667" w:type="pct"/>
            <w:vAlign w:val="center"/>
          </w:tcPr>
          <w:p w14:paraId="0A809DDA" w14:textId="3555AB4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EFPC deve apurar novo valor de ajuste de precificação na ocorrência de fato relevante, destinação de superávit ou equacionamento de déficit em data diferente da data de encerramento de exercício.</w:t>
            </w:r>
          </w:p>
        </w:tc>
        <w:tc>
          <w:tcPr>
            <w:tcW w:w="1669" w:type="pct"/>
            <w:shd w:val="clear" w:color="auto" w:fill="auto"/>
            <w:noWrap/>
            <w:vAlign w:val="center"/>
            <w:hideMark/>
          </w:tcPr>
          <w:p w14:paraId="2EB9B847" w14:textId="0C92741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superávit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encerramento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p>
        </w:tc>
        <w:tc>
          <w:tcPr>
            <w:tcW w:w="1664" w:type="pct"/>
            <w:shd w:val="clear" w:color="auto" w:fill="auto"/>
            <w:noWrap/>
            <w:vAlign w:val="center"/>
            <w:hideMark/>
          </w:tcPr>
          <w:p w14:paraId="25DF446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83DF07" w14:textId="77777777" w:rsidTr="00E75B46">
        <w:tc>
          <w:tcPr>
            <w:tcW w:w="1667" w:type="pct"/>
            <w:vAlign w:val="center"/>
          </w:tcPr>
          <w:p w14:paraId="152823F4" w14:textId="53D2C2F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12. Na ocorrência de ajuste de precificação, o atuário responsável pelo plano de benefícios deve registrá-lo no parecer atuarial constante nas DA, emitir manifestação acerca dos impactos na solvência e no equilíbrio atuarial do plano ao longo do tempo, bem como evidenciar os requisitos necessários para registro de títulos na categoria mantidos até o vencimento, especialmente em relação à capacidade financeira de atendimento às necessidades de liquidez do plano de benefícios.</w:t>
            </w:r>
          </w:p>
        </w:tc>
        <w:tc>
          <w:tcPr>
            <w:tcW w:w="1669" w:type="pct"/>
            <w:shd w:val="clear" w:color="auto" w:fill="auto"/>
            <w:noWrap/>
            <w:vAlign w:val="center"/>
            <w:hideMark/>
          </w:tcPr>
          <w:p w14:paraId="2B1714B4" w14:textId="03825A9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11</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0E4F34">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p>
        </w:tc>
        <w:tc>
          <w:tcPr>
            <w:tcW w:w="1664" w:type="pct"/>
            <w:shd w:val="clear" w:color="auto" w:fill="auto"/>
            <w:noWrap/>
            <w:vAlign w:val="center"/>
            <w:hideMark/>
          </w:tcPr>
          <w:p w14:paraId="2F82149C" w14:textId="284C94C8" w:rsidR="00A6584C" w:rsidRPr="00843426" w:rsidRDefault="000E4F34"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Desdobramento em alíneas para fica mais evidente, por meio da enumeração, quais atribuições do atuário na ocorrência de ajuste de precificação.</w:t>
            </w:r>
          </w:p>
        </w:tc>
      </w:tr>
      <w:tr w:rsidR="000E4F34" w:rsidRPr="00225EB1" w14:paraId="70E10BD8" w14:textId="77777777" w:rsidTr="00E75B46">
        <w:tc>
          <w:tcPr>
            <w:tcW w:w="1667" w:type="pct"/>
            <w:vAlign w:val="center"/>
          </w:tcPr>
          <w:p w14:paraId="20E633C4" w14:textId="77777777" w:rsidR="000E4F34" w:rsidRPr="00225EB1" w:rsidRDefault="000E4F34" w:rsidP="00EB77BF">
            <w:pPr>
              <w:spacing w:after="0" w:line="240" w:lineRule="auto"/>
              <w:jc w:val="center"/>
              <w:rPr>
                <w:rFonts w:ascii="Calibri" w:hAnsi="Calibri" w:cs="Calibri"/>
                <w:b/>
                <w:sz w:val="24"/>
              </w:rPr>
            </w:pPr>
          </w:p>
        </w:tc>
        <w:tc>
          <w:tcPr>
            <w:tcW w:w="1669" w:type="pct"/>
            <w:shd w:val="clear" w:color="auto" w:fill="auto"/>
            <w:noWrap/>
            <w:vAlign w:val="center"/>
          </w:tcPr>
          <w:p w14:paraId="3A5CAD50" w14:textId="3F5E6812" w:rsidR="000E4F34" w:rsidRPr="000E4F34" w:rsidRDefault="000E4F34" w:rsidP="000E4F34">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registrar</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ajuste</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precificação</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0E4F34">
              <w:rPr>
                <w:rFonts w:ascii="Calibri" w:eastAsia="Times New Roman" w:hAnsi="Calibri" w:cs="Calibri"/>
                <w:kern w:val="0"/>
                <w:sz w:val="24"/>
                <w:szCs w:val="24"/>
                <w:lang w:eastAsia="pt-BR"/>
                <w14:ligatures w14:val="none"/>
              </w:rPr>
              <w:t>DA;</w:t>
            </w:r>
          </w:p>
        </w:tc>
        <w:tc>
          <w:tcPr>
            <w:tcW w:w="1664" w:type="pct"/>
            <w:shd w:val="clear" w:color="auto" w:fill="auto"/>
            <w:noWrap/>
            <w:vAlign w:val="center"/>
          </w:tcPr>
          <w:p w14:paraId="10719801" w14:textId="77777777" w:rsidR="000E4F34" w:rsidRPr="00843426" w:rsidRDefault="000E4F34" w:rsidP="00EB77BF">
            <w:pPr>
              <w:spacing w:after="0" w:line="240" w:lineRule="auto"/>
              <w:jc w:val="center"/>
              <w:rPr>
                <w:rFonts w:ascii="Calibri" w:eastAsia="Times New Roman" w:hAnsi="Calibri" w:cs="Calibri"/>
                <w:b/>
                <w:bCs/>
                <w:kern w:val="0"/>
                <w:sz w:val="24"/>
                <w:szCs w:val="24"/>
                <w:lang w:eastAsia="pt-BR"/>
                <w14:ligatures w14:val="none"/>
              </w:rPr>
            </w:pPr>
          </w:p>
        </w:tc>
      </w:tr>
      <w:tr w:rsidR="000E4F34" w:rsidRPr="00225EB1" w14:paraId="6EEAE67C" w14:textId="77777777" w:rsidTr="00E75B46">
        <w:tc>
          <w:tcPr>
            <w:tcW w:w="1667" w:type="pct"/>
            <w:vAlign w:val="center"/>
          </w:tcPr>
          <w:p w14:paraId="04904121" w14:textId="77777777" w:rsidR="000E4F34" w:rsidRPr="00225EB1" w:rsidRDefault="000E4F34" w:rsidP="00EB77BF">
            <w:pPr>
              <w:spacing w:after="0" w:line="240" w:lineRule="auto"/>
              <w:jc w:val="center"/>
              <w:rPr>
                <w:rFonts w:ascii="Calibri" w:hAnsi="Calibri" w:cs="Calibri"/>
                <w:b/>
                <w:sz w:val="24"/>
              </w:rPr>
            </w:pPr>
          </w:p>
        </w:tc>
        <w:tc>
          <w:tcPr>
            <w:tcW w:w="1669" w:type="pct"/>
            <w:shd w:val="clear" w:color="auto" w:fill="auto"/>
            <w:noWrap/>
            <w:vAlign w:val="center"/>
          </w:tcPr>
          <w:p w14:paraId="2D1F3295" w14:textId="36F051D8" w:rsidR="000E4F34" w:rsidRPr="000E4F34" w:rsidRDefault="000E4F34" w:rsidP="000E4F34">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b)</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e</w:t>
            </w:r>
            <w:r w:rsidRPr="00843426">
              <w:rPr>
                <w:rFonts w:ascii="Calibri" w:eastAsia="Times New Roman" w:hAnsi="Calibri" w:cs="Calibri"/>
                <w:kern w:val="0"/>
                <w:sz w:val="24"/>
                <w:szCs w:val="24"/>
                <w:lang w:eastAsia="pt-BR"/>
                <w14:ligatures w14:val="none"/>
              </w:rPr>
              <w:t>mitir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impactos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r>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Pr>
                <w:rFonts w:ascii="Calibri" w:eastAsia="Times New Roman" w:hAnsi="Calibri" w:cs="Calibri"/>
                <w:kern w:val="0"/>
                <w:sz w:val="24"/>
                <w:szCs w:val="24"/>
                <w:lang w:eastAsia="pt-BR"/>
                <w14:ligatures w14:val="none"/>
              </w:rPr>
              <w:t>e</w:t>
            </w:r>
          </w:p>
        </w:tc>
        <w:tc>
          <w:tcPr>
            <w:tcW w:w="1664" w:type="pct"/>
            <w:shd w:val="clear" w:color="auto" w:fill="auto"/>
            <w:noWrap/>
            <w:vAlign w:val="center"/>
          </w:tcPr>
          <w:p w14:paraId="20E43C52" w14:textId="77777777" w:rsidR="000E4F34" w:rsidRPr="00843426" w:rsidRDefault="000E4F34" w:rsidP="00EB77BF">
            <w:pPr>
              <w:spacing w:after="0" w:line="240" w:lineRule="auto"/>
              <w:jc w:val="center"/>
              <w:rPr>
                <w:rFonts w:ascii="Calibri" w:eastAsia="Times New Roman" w:hAnsi="Calibri" w:cs="Calibri"/>
                <w:b/>
                <w:bCs/>
                <w:kern w:val="0"/>
                <w:sz w:val="24"/>
                <w:szCs w:val="24"/>
                <w:lang w:eastAsia="pt-BR"/>
                <w14:ligatures w14:val="none"/>
              </w:rPr>
            </w:pPr>
          </w:p>
        </w:tc>
      </w:tr>
      <w:tr w:rsidR="000E4F34" w:rsidRPr="00225EB1" w14:paraId="297D49A1" w14:textId="77777777" w:rsidTr="00E75B46">
        <w:tc>
          <w:tcPr>
            <w:tcW w:w="1667" w:type="pct"/>
            <w:vAlign w:val="center"/>
          </w:tcPr>
          <w:p w14:paraId="08E053BF" w14:textId="77777777" w:rsidR="000E4F34" w:rsidRPr="00225EB1" w:rsidRDefault="000E4F34" w:rsidP="00EB77BF">
            <w:pPr>
              <w:spacing w:after="0" w:line="240" w:lineRule="auto"/>
              <w:jc w:val="center"/>
              <w:rPr>
                <w:rFonts w:ascii="Calibri" w:hAnsi="Calibri" w:cs="Calibri"/>
                <w:b/>
                <w:sz w:val="24"/>
              </w:rPr>
            </w:pPr>
          </w:p>
        </w:tc>
        <w:tc>
          <w:tcPr>
            <w:tcW w:w="1669" w:type="pct"/>
            <w:shd w:val="clear" w:color="auto" w:fill="auto"/>
            <w:noWrap/>
            <w:vAlign w:val="center"/>
          </w:tcPr>
          <w:p w14:paraId="20F97A64" w14:textId="7CC72F0D" w:rsidR="000E4F34" w:rsidRPr="000E4F34" w:rsidRDefault="000E4F34" w:rsidP="000E4F34">
            <w:pPr>
              <w:pStyle w:val="PargrafodaLista"/>
              <w:spacing w:after="0" w:line="240" w:lineRule="auto"/>
              <w:ind w:left="0"/>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evidenciar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categoria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vencimento,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capacidade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tcPr>
          <w:p w14:paraId="1DD9040E" w14:textId="77777777" w:rsidR="000E4F34" w:rsidRPr="00843426" w:rsidRDefault="000E4F34"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62ABFD8" w14:textId="77777777" w:rsidTr="00E75B46">
        <w:tc>
          <w:tcPr>
            <w:tcW w:w="1667" w:type="pct"/>
            <w:vAlign w:val="center"/>
          </w:tcPr>
          <w:p w14:paraId="47183C7F" w14:textId="578F926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IV</w:t>
            </w:r>
          </w:p>
        </w:tc>
        <w:tc>
          <w:tcPr>
            <w:tcW w:w="1669" w:type="pct"/>
            <w:shd w:val="clear" w:color="auto" w:fill="auto"/>
            <w:noWrap/>
            <w:vAlign w:val="center"/>
            <w:hideMark/>
          </w:tcPr>
          <w:p w14:paraId="4437F79A" w14:textId="3C65208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4" w:type="pct"/>
            <w:shd w:val="clear" w:color="auto" w:fill="auto"/>
            <w:noWrap/>
            <w:vAlign w:val="center"/>
            <w:hideMark/>
          </w:tcPr>
          <w:p w14:paraId="3222A5F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B5B2BA7" w14:textId="77777777" w:rsidTr="00E75B46">
        <w:tc>
          <w:tcPr>
            <w:tcW w:w="1667" w:type="pct"/>
            <w:vAlign w:val="center"/>
          </w:tcPr>
          <w:p w14:paraId="4FC0BE67" w14:textId="39F0EE4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ADEQUAÇÃO DAS HIPÓTESES</w:t>
            </w:r>
          </w:p>
        </w:tc>
        <w:tc>
          <w:tcPr>
            <w:tcW w:w="1669" w:type="pct"/>
            <w:shd w:val="clear" w:color="auto" w:fill="auto"/>
            <w:noWrap/>
            <w:vAlign w:val="center"/>
            <w:hideMark/>
          </w:tcPr>
          <w:p w14:paraId="55035DF3" w14:textId="0CA3E60B"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Adequação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Hipóteses</w:t>
            </w:r>
          </w:p>
        </w:tc>
        <w:tc>
          <w:tcPr>
            <w:tcW w:w="1664" w:type="pct"/>
            <w:shd w:val="clear" w:color="auto" w:fill="auto"/>
            <w:noWrap/>
            <w:vAlign w:val="center"/>
            <w:hideMark/>
          </w:tcPr>
          <w:p w14:paraId="7D380CF7"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59F5D43" w14:textId="77777777" w:rsidTr="00E75B46">
        <w:tc>
          <w:tcPr>
            <w:tcW w:w="1667" w:type="pct"/>
            <w:vAlign w:val="center"/>
          </w:tcPr>
          <w:p w14:paraId="3C8FBD38" w14:textId="6AF2311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9" w:type="pct"/>
            <w:shd w:val="clear" w:color="auto" w:fill="auto"/>
            <w:noWrap/>
            <w:vAlign w:val="center"/>
            <w:hideMark/>
          </w:tcPr>
          <w:p w14:paraId="33612FDE" w14:textId="19FFE80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32762919"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0B379EA" w14:textId="77777777" w:rsidTr="00E75B46">
        <w:tc>
          <w:tcPr>
            <w:tcW w:w="1667" w:type="pct"/>
            <w:vAlign w:val="center"/>
          </w:tcPr>
          <w:p w14:paraId="77D1C289" w14:textId="6851757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Das Hipóteses Biométricas</w:t>
            </w:r>
          </w:p>
        </w:tc>
        <w:tc>
          <w:tcPr>
            <w:tcW w:w="1669" w:type="pct"/>
            <w:shd w:val="clear" w:color="auto" w:fill="auto"/>
            <w:noWrap/>
            <w:vAlign w:val="center"/>
            <w:hideMark/>
          </w:tcPr>
          <w:p w14:paraId="1DBCAC5C" w14:textId="429A1C7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Hipóteses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Biométricas</w:t>
            </w:r>
          </w:p>
        </w:tc>
        <w:tc>
          <w:tcPr>
            <w:tcW w:w="1664" w:type="pct"/>
            <w:shd w:val="clear" w:color="auto" w:fill="auto"/>
            <w:noWrap/>
            <w:vAlign w:val="center"/>
            <w:hideMark/>
          </w:tcPr>
          <w:p w14:paraId="6A2CFFA4"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0EBE3B4" w14:textId="77777777" w:rsidTr="00E75B46">
        <w:tc>
          <w:tcPr>
            <w:tcW w:w="1667" w:type="pct"/>
            <w:vAlign w:val="center"/>
          </w:tcPr>
          <w:p w14:paraId="1563F4F6" w14:textId="18149F9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13. As tábuas biométricas utilizadas nas avaliações atuariais dos planos de benefícios devem ter sua aderência atestada por meio de estudo específico, elaborado em conformidade com o Capítulo VIII desta Instrução.</w:t>
            </w:r>
          </w:p>
        </w:tc>
        <w:tc>
          <w:tcPr>
            <w:tcW w:w="1669" w:type="pct"/>
            <w:shd w:val="clear" w:color="auto" w:fill="auto"/>
            <w:noWrap/>
            <w:vAlign w:val="center"/>
            <w:hideMark/>
          </w:tcPr>
          <w:p w14:paraId="43DE00E3" w14:textId="47B4CED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12</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Seção</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VII</w:t>
            </w:r>
            <w:r w:rsidR="009068E9">
              <w:rPr>
                <w:rFonts w:ascii="Calibri" w:eastAsia="Times New Roman" w:hAnsi="Calibri" w:cs="Calibri"/>
                <w:kern w:val="0"/>
                <w:sz w:val="24"/>
                <w:szCs w:val="24"/>
                <w:lang w:eastAsia="pt-BR"/>
                <w14:ligatures w14:val="none"/>
              </w:rPr>
              <w:t xml:space="preserve"> </w:t>
            </w:r>
            <w:r w:rsidR="00B97247">
              <w:rPr>
                <w:rFonts w:ascii="Calibri" w:eastAsia="Times New Roman" w:hAnsi="Calibri" w:cs="Calibri"/>
                <w:kern w:val="0"/>
                <w:sz w:val="24"/>
                <w:szCs w:val="24"/>
                <w:lang w:eastAsia="pt-BR"/>
                <w14:ligatures w14:val="none"/>
              </w:rPr>
              <w:t>deste capítulo</w:t>
            </w:r>
            <w:r w:rsidR="00876894" w:rsidRPr="00225EB1">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36D4CCC6" w14:textId="439D73D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FE4984" w14:textId="77777777" w:rsidTr="00E75B46">
        <w:tc>
          <w:tcPr>
            <w:tcW w:w="1667" w:type="pct"/>
            <w:vAlign w:val="center"/>
          </w:tcPr>
          <w:p w14:paraId="5CC68CC2" w14:textId="6A3A33C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As tábuas de mortalidade geral referenciais para o cálculo das provisões matemáticas dos planos de benefícios devem ser "AT-2000 Básica - M" para o sexo masculino e "AT-2000 Básica - F" para o sexo feminino.</w:t>
            </w:r>
          </w:p>
        </w:tc>
        <w:tc>
          <w:tcPr>
            <w:tcW w:w="1669" w:type="pct"/>
            <w:shd w:val="clear" w:color="auto" w:fill="auto"/>
            <w:noWrap/>
            <w:vAlign w:val="center"/>
            <w:hideMark/>
          </w:tcPr>
          <w:p w14:paraId="20CA79B9" w14:textId="024D35B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"AT-2000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masculino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"AT-2000</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feminino.</w:t>
            </w:r>
          </w:p>
        </w:tc>
        <w:tc>
          <w:tcPr>
            <w:tcW w:w="1664" w:type="pct"/>
            <w:shd w:val="clear" w:color="auto" w:fill="auto"/>
            <w:noWrap/>
            <w:vAlign w:val="center"/>
            <w:hideMark/>
          </w:tcPr>
          <w:p w14:paraId="12AC6BC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F7C34D" w14:textId="77777777" w:rsidTr="00E75B46">
        <w:tc>
          <w:tcPr>
            <w:tcW w:w="1667" w:type="pct"/>
            <w:vAlign w:val="center"/>
          </w:tcPr>
          <w:p w14:paraId="12F840AB" w14:textId="55E1125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§2º No caso de impossibilidade técnica de realização de testes de aderência, os planos de benefícios não poderão adotar tábuas de </w:t>
            </w:r>
            <w:r w:rsidRPr="00225EB1">
              <w:rPr>
                <w:rFonts w:ascii="Calibri" w:hAnsi="Calibri" w:cs="Calibri"/>
                <w:sz w:val="24"/>
              </w:rPr>
              <w:lastRenderedPageBreak/>
              <w:t>mortalidade geral que gerem provisões matemáticas menores do que as tábuas referenciais mencionadas no §1º.</w:t>
            </w:r>
          </w:p>
        </w:tc>
        <w:tc>
          <w:tcPr>
            <w:tcW w:w="1669" w:type="pct"/>
            <w:shd w:val="clear" w:color="auto" w:fill="auto"/>
            <w:noWrap/>
            <w:vAlign w:val="center"/>
            <w:hideMark/>
          </w:tcPr>
          <w:p w14:paraId="29E31730" w14:textId="3F8BB8A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impossibilidade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testes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w:t>
            </w:r>
            <w:r w:rsidR="00CD5BE3">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mencionadas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p>
        </w:tc>
        <w:tc>
          <w:tcPr>
            <w:tcW w:w="1664" w:type="pct"/>
            <w:shd w:val="clear" w:color="auto" w:fill="auto"/>
            <w:noWrap/>
            <w:vAlign w:val="center"/>
            <w:hideMark/>
          </w:tcPr>
          <w:p w14:paraId="07FD6262" w14:textId="1A8BBF54" w:rsidR="00A6584C" w:rsidRPr="00843426" w:rsidRDefault="00CD5BE3"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lastRenderedPageBreak/>
              <w:t>Ajuste de tempo verbal.</w:t>
            </w:r>
          </w:p>
        </w:tc>
      </w:tr>
      <w:tr w:rsidR="00225EB1" w:rsidRPr="00225EB1" w14:paraId="30DBBBFE" w14:textId="77777777" w:rsidTr="00E75B46">
        <w:tc>
          <w:tcPr>
            <w:tcW w:w="1667" w:type="pct"/>
            <w:vAlign w:val="center"/>
          </w:tcPr>
          <w:p w14:paraId="0082D099" w14:textId="368869A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No caso de planos de benefícios que comprovem aderência das tábuas de mortalidade geral nos termos definidos no Capítulo VIII de tábuas que gerem provisões matemáticas menores que aquelas geradas pelas tábuas referenciais, é necessário que o atuário responsável pelo plano emita parecer específico, acompanhado de manifestação de ciência e concordância do Administrador Responsável pelo Plano de Benefícios (ARPB), comprovando a aderência e a razoabilidade da adoção da hipótese.</w:t>
            </w:r>
          </w:p>
        </w:tc>
        <w:tc>
          <w:tcPr>
            <w:tcW w:w="1669" w:type="pct"/>
            <w:shd w:val="clear" w:color="auto" w:fill="auto"/>
            <w:noWrap/>
            <w:vAlign w:val="center"/>
            <w:hideMark/>
          </w:tcPr>
          <w:p w14:paraId="0D5A8D05" w14:textId="4356C09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w:t>
            </w:r>
            <w:r w:rsidR="00876894"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Seção</w:t>
            </w:r>
            <w:r w:rsidR="009068E9">
              <w:rPr>
                <w:rFonts w:ascii="Calibri" w:eastAsia="Times New Roman" w:hAnsi="Calibri" w:cs="Calibri"/>
                <w:kern w:val="0"/>
                <w:sz w:val="24"/>
                <w:szCs w:val="24"/>
                <w:lang w:eastAsia="pt-BR"/>
                <w14:ligatures w14:val="none"/>
              </w:rPr>
              <w:t xml:space="preserve"> </w:t>
            </w:r>
            <w:r w:rsidR="00876894" w:rsidRPr="00225EB1">
              <w:rPr>
                <w:rFonts w:ascii="Calibri" w:eastAsia="Times New Roman" w:hAnsi="Calibri" w:cs="Calibri"/>
                <w:kern w:val="0"/>
                <w:sz w:val="24"/>
                <w:szCs w:val="24"/>
                <w:lang w:eastAsia="pt-BR"/>
                <w14:ligatures w14:val="none"/>
              </w:rPr>
              <w:t>VII</w:t>
            </w:r>
            <w:r w:rsidR="00F9060B">
              <w:rPr>
                <w:rFonts w:ascii="Calibri" w:eastAsia="Times New Roman" w:hAnsi="Calibri" w:cs="Calibri"/>
                <w:kern w:val="0"/>
                <w:sz w:val="24"/>
                <w:szCs w:val="24"/>
                <w:lang w:eastAsia="pt-BR"/>
                <w14:ligatures w14:val="none"/>
              </w:rPr>
              <w:t>,</w:t>
            </w:r>
            <w:r w:rsidR="0062427C">
              <w:rPr>
                <w:rFonts w:ascii="Calibri" w:eastAsia="Times New Roman" w:hAnsi="Calibri" w:cs="Calibri"/>
                <w:kern w:val="0"/>
                <w:sz w:val="24"/>
                <w:szCs w:val="24"/>
                <w:lang w:eastAsia="pt-BR"/>
                <w14:ligatures w14:val="none"/>
              </w:rPr>
              <w:t xml:space="preserve"> deste capítulo</w:t>
            </w:r>
            <w:r w:rsidR="00F9060B">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concordância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razoabilidade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p>
        </w:tc>
        <w:tc>
          <w:tcPr>
            <w:tcW w:w="1664" w:type="pct"/>
            <w:shd w:val="clear" w:color="auto" w:fill="auto"/>
            <w:noWrap/>
            <w:vAlign w:val="center"/>
            <w:hideMark/>
          </w:tcPr>
          <w:p w14:paraId="65E0C41E" w14:textId="6EBD27F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8F66B5F" w14:textId="77777777" w:rsidTr="00E75B46">
        <w:tc>
          <w:tcPr>
            <w:tcW w:w="1667" w:type="pct"/>
            <w:vAlign w:val="center"/>
          </w:tcPr>
          <w:p w14:paraId="2E0ADCCB" w14:textId="2A4AA0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§4º As EFPC classificadas como Entidades Sistemicamente Importantes (ESI) que administrem planos de benefícios nas modalidades benefício definido (BD) e contribuição variável (CV) devem adicionalmente calcular e manter à disposição da Previc as provisões matemáticas geradas pela utilização de tábua geracional de mortalidade geral, com respectiva escala de melhoria de longevidade, conforme diretrizes a serem divulgadas.</w:t>
            </w:r>
          </w:p>
        </w:tc>
        <w:tc>
          <w:tcPr>
            <w:tcW w:w="1669" w:type="pct"/>
            <w:shd w:val="clear" w:color="auto" w:fill="auto"/>
            <w:noWrap/>
            <w:vAlign w:val="center"/>
            <w:hideMark/>
          </w:tcPr>
          <w:p w14:paraId="58D08CA1" w14:textId="60CAEB6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Excluir</w:t>
            </w:r>
          </w:p>
        </w:tc>
        <w:tc>
          <w:tcPr>
            <w:tcW w:w="1664" w:type="pct"/>
            <w:shd w:val="clear" w:color="auto" w:fill="auto"/>
            <w:vAlign w:val="center"/>
            <w:hideMark/>
          </w:tcPr>
          <w:p w14:paraId="53AFED4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Desonerar as EFPC quanto à obrigação de realizarem testes de aderências, cálculo da reserva matemática e outros com mais de uma tábua de mortalidade. O incentivo pela utilização de tábua geracional continua em dispositivo mais abaixo, quando há dilatação do prazo de validade do estudo para aqueles que adotam tábua geracional em seus cálculos.</w:t>
            </w:r>
          </w:p>
        </w:tc>
      </w:tr>
      <w:tr w:rsidR="00225EB1" w:rsidRPr="00225EB1" w14:paraId="7792452A" w14:textId="77777777" w:rsidTr="00E75B46">
        <w:tc>
          <w:tcPr>
            <w:tcW w:w="1667" w:type="pct"/>
            <w:vAlign w:val="center"/>
          </w:tcPr>
          <w:p w14:paraId="4275DF37" w14:textId="0BFA927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lastRenderedPageBreak/>
              <w:t>Seção II</w:t>
            </w:r>
          </w:p>
        </w:tc>
        <w:tc>
          <w:tcPr>
            <w:tcW w:w="1669" w:type="pct"/>
            <w:shd w:val="clear" w:color="auto" w:fill="auto"/>
            <w:noWrap/>
            <w:vAlign w:val="center"/>
            <w:hideMark/>
          </w:tcPr>
          <w:p w14:paraId="1E94E5B7" w14:textId="2BD4441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513D60C4"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A6997D2" w14:textId="77777777" w:rsidTr="00E75B46">
        <w:tc>
          <w:tcPr>
            <w:tcW w:w="1667" w:type="pct"/>
            <w:vAlign w:val="center"/>
          </w:tcPr>
          <w:p w14:paraId="0DFD8C11" w14:textId="26D13FD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Taxa Real Anual de Juros</w:t>
            </w:r>
          </w:p>
        </w:tc>
        <w:tc>
          <w:tcPr>
            <w:tcW w:w="1669" w:type="pct"/>
            <w:shd w:val="clear" w:color="auto" w:fill="auto"/>
            <w:noWrap/>
            <w:vAlign w:val="center"/>
            <w:hideMark/>
          </w:tcPr>
          <w:p w14:paraId="1840CAA8" w14:textId="604F641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Taxa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Real</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Anual</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p>
        </w:tc>
        <w:tc>
          <w:tcPr>
            <w:tcW w:w="1664" w:type="pct"/>
            <w:shd w:val="clear" w:color="auto" w:fill="auto"/>
            <w:noWrap/>
            <w:vAlign w:val="center"/>
            <w:hideMark/>
          </w:tcPr>
          <w:p w14:paraId="08AB437D"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0285E28" w14:textId="77777777" w:rsidTr="00E75B46">
        <w:tc>
          <w:tcPr>
            <w:tcW w:w="1667" w:type="pct"/>
            <w:vAlign w:val="center"/>
          </w:tcPr>
          <w:p w14:paraId="0543FEA4" w14:textId="448ACA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14. A taxa real anual de juros a ser utilizada como taxa de desconto para apuração do valor presente dos fluxos de benefícios e contribuições do plano de benefícios deve ser:</w:t>
            </w:r>
          </w:p>
        </w:tc>
        <w:tc>
          <w:tcPr>
            <w:tcW w:w="1669" w:type="pct"/>
            <w:shd w:val="clear" w:color="auto" w:fill="auto"/>
            <w:noWrap/>
            <w:vAlign w:val="center"/>
            <w:hideMark/>
          </w:tcPr>
          <w:p w14:paraId="62D02539" w14:textId="197F76A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13</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desconto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4" w:type="pct"/>
            <w:shd w:val="clear" w:color="auto" w:fill="auto"/>
            <w:noWrap/>
            <w:vAlign w:val="center"/>
            <w:hideMark/>
          </w:tcPr>
          <w:p w14:paraId="6630F79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7A71A07" w14:textId="77777777" w:rsidTr="00E75B46">
        <w:tc>
          <w:tcPr>
            <w:tcW w:w="1667" w:type="pct"/>
            <w:vAlign w:val="center"/>
          </w:tcPr>
          <w:p w14:paraId="389DFE12" w14:textId="1B85E2E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divulgada anualmente aos participantes, aos patrocinadores e instituidores; e</w:t>
            </w:r>
          </w:p>
        </w:tc>
        <w:tc>
          <w:tcPr>
            <w:tcW w:w="1669" w:type="pct"/>
            <w:shd w:val="clear" w:color="auto" w:fill="auto"/>
            <w:noWrap/>
            <w:vAlign w:val="center"/>
            <w:hideMark/>
          </w:tcPr>
          <w:p w14:paraId="1FEEB93F" w14:textId="229E70D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vAlign w:val="center"/>
            <w:hideMark/>
          </w:tcPr>
          <w:p w14:paraId="2445685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680EE3F" w14:textId="77777777" w:rsidTr="00E75B46">
        <w:tc>
          <w:tcPr>
            <w:tcW w:w="1667" w:type="pct"/>
            <w:vAlign w:val="center"/>
          </w:tcPr>
          <w:p w14:paraId="3D6AC664" w14:textId="7A5F00D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utilizada para a transformação de saldo de conta em benefícios, se previsto no regulamento do plano de benefícios de caráter previdenciário.</w:t>
            </w:r>
          </w:p>
        </w:tc>
        <w:tc>
          <w:tcPr>
            <w:tcW w:w="1669" w:type="pct"/>
            <w:shd w:val="clear" w:color="auto" w:fill="auto"/>
            <w:noWrap/>
            <w:vAlign w:val="center"/>
            <w:hideMark/>
          </w:tcPr>
          <w:p w14:paraId="40BB7138" w14:textId="64996D3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transformação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caráter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previdenciário.</w:t>
            </w:r>
          </w:p>
        </w:tc>
        <w:tc>
          <w:tcPr>
            <w:tcW w:w="1664" w:type="pct"/>
            <w:shd w:val="clear" w:color="auto" w:fill="auto"/>
            <w:vAlign w:val="center"/>
            <w:hideMark/>
          </w:tcPr>
          <w:p w14:paraId="71F34DA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637FB3D" w14:textId="77777777" w:rsidTr="00E75B46">
        <w:tc>
          <w:tcPr>
            <w:tcW w:w="1667" w:type="pct"/>
            <w:vAlign w:val="center"/>
          </w:tcPr>
          <w:p w14:paraId="47CA55C0" w14:textId="29B1715C"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III</w:t>
            </w:r>
          </w:p>
        </w:tc>
        <w:tc>
          <w:tcPr>
            <w:tcW w:w="1669" w:type="pct"/>
            <w:shd w:val="clear" w:color="auto" w:fill="auto"/>
            <w:noWrap/>
            <w:vAlign w:val="center"/>
            <w:hideMark/>
          </w:tcPr>
          <w:p w14:paraId="61642C4D" w14:textId="1526F52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4" w:type="pct"/>
            <w:shd w:val="clear" w:color="auto" w:fill="auto"/>
            <w:noWrap/>
            <w:vAlign w:val="center"/>
            <w:hideMark/>
          </w:tcPr>
          <w:p w14:paraId="5B0466A1"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536C3BD" w14:textId="77777777" w:rsidTr="00E75B46">
        <w:tc>
          <w:tcPr>
            <w:tcW w:w="1667" w:type="pct"/>
            <w:vAlign w:val="center"/>
          </w:tcPr>
          <w:p w14:paraId="69504B90" w14:textId="1756A420"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Responsabilidade, das Vedações e da Divulgação</w:t>
            </w:r>
          </w:p>
        </w:tc>
        <w:tc>
          <w:tcPr>
            <w:tcW w:w="1669" w:type="pct"/>
            <w:shd w:val="clear" w:color="auto" w:fill="auto"/>
            <w:noWrap/>
            <w:vAlign w:val="center"/>
            <w:hideMark/>
          </w:tcPr>
          <w:p w14:paraId="648F716E" w14:textId="79FE0F5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Responsabilidade,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Vedações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Divulgação</w:t>
            </w:r>
          </w:p>
        </w:tc>
        <w:tc>
          <w:tcPr>
            <w:tcW w:w="1664" w:type="pct"/>
            <w:shd w:val="clear" w:color="auto" w:fill="auto"/>
            <w:noWrap/>
            <w:vAlign w:val="center"/>
            <w:hideMark/>
          </w:tcPr>
          <w:p w14:paraId="6DFF651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E24619A" w14:textId="77777777" w:rsidTr="00E75B46">
        <w:tc>
          <w:tcPr>
            <w:tcW w:w="1667" w:type="pct"/>
            <w:vAlign w:val="center"/>
          </w:tcPr>
          <w:p w14:paraId="29161F2C" w14:textId="71E320F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15. Sem prejuízo das responsabilidades de auditores atuariais e membros estatutários da EFPC, a proposição e a validação das hipóteses adotadas na avaliação atuarial do plano de benefícios é responsabilidade do atuário do plano.</w:t>
            </w:r>
          </w:p>
        </w:tc>
        <w:tc>
          <w:tcPr>
            <w:tcW w:w="1669" w:type="pct"/>
            <w:shd w:val="clear" w:color="auto" w:fill="auto"/>
            <w:noWrap/>
            <w:vAlign w:val="center"/>
            <w:hideMark/>
          </w:tcPr>
          <w:p w14:paraId="57FD0F88" w14:textId="4DE11EB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14</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prejuízo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2A49F6" w:rsidRPr="00225EB1">
              <w:rPr>
                <w:rFonts w:ascii="Calibri" w:eastAsia="Times New Roman" w:hAnsi="Calibri" w:cs="Calibri"/>
                <w:kern w:val="0"/>
                <w:sz w:val="24"/>
                <w:szCs w:val="24"/>
                <w:lang w:eastAsia="pt-BR"/>
                <w14:ligatures w14:val="none"/>
              </w:rPr>
              <w:t>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membros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estatutários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4" w:type="pct"/>
            <w:shd w:val="clear" w:color="auto" w:fill="auto"/>
            <w:vAlign w:val="center"/>
            <w:hideMark/>
          </w:tcPr>
          <w:p w14:paraId="2249C2A1" w14:textId="34F43114" w:rsidR="00A6584C" w:rsidRPr="00843426" w:rsidRDefault="002A49F6"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Colocar o texto normativo em ordem direta além de r</w:t>
            </w:r>
            <w:r w:rsidR="00A6584C" w:rsidRPr="00843426">
              <w:rPr>
                <w:rFonts w:ascii="Calibri" w:eastAsia="Times New Roman" w:hAnsi="Calibri" w:cs="Calibri"/>
                <w:kern w:val="0"/>
                <w:sz w:val="24"/>
                <w:szCs w:val="24"/>
                <w:lang w:eastAsia="pt-BR"/>
                <w14:ligatures w14:val="none"/>
              </w:rPr>
              <w:t>etirar a referência direta de "Auditores Atuariais", pois sua citação pode dar a ideia de obrigatoriedade de realização de auditoria atuarial na validação das hipóteses adotadas na avaliação atuarial.</w:t>
            </w:r>
          </w:p>
        </w:tc>
      </w:tr>
      <w:tr w:rsidR="00225EB1" w:rsidRPr="00225EB1" w14:paraId="4AAE4F07" w14:textId="77777777" w:rsidTr="00E75B46">
        <w:tc>
          <w:tcPr>
            <w:tcW w:w="1667" w:type="pct"/>
            <w:vAlign w:val="center"/>
          </w:tcPr>
          <w:p w14:paraId="2D99AE49" w14:textId="09D810B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responsabilidade pela proposição ou validação das hipóteses de que trata o caput também alcança as pessoas jurídicas das quais façam parte os profissionais indicados como sócios, empregados ou prestadores de serviço.</w:t>
            </w:r>
          </w:p>
        </w:tc>
        <w:tc>
          <w:tcPr>
            <w:tcW w:w="1669" w:type="pct"/>
            <w:shd w:val="clear" w:color="auto" w:fill="auto"/>
            <w:noWrap/>
            <w:vAlign w:val="center"/>
            <w:hideMark/>
          </w:tcPr>
          <w:p w14:paraId="21D062D9" w14:textId="151322C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também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alcança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pessoas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jurídicas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façam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sócios,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empregados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prestadores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w:t>
            </w:r>
          </w:p>
        </w:tc>
        <w:tc>
          <w:tcPr>
            <w:tcW w:w="1664" w:type="pct"/>
            <w:shd w:val="clear" w:color="auto" w:fill="auto"/>
            <w:noWrap/>
            <w:vAlign w:val="center"/>
            <w:hideMark/>
          </w:tcPr>
          <w:p w14:paraId="526CD2E8"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4A3510F" w14:textId="77777777" w:rsidTr="00E75B46">
        <w:tc>
          <w:tcPr>
            <w:tcW w:w="1667" w:type="pct"/>
            <w:vAlign w:val="center"/>
          </w:tcPr>
          <w:p w14:paraId="37AF53E3" w14:textId="5981442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16.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1669" w:type="pct"/>
            <w:shd w:val="clear" w:color="auto" w:fill="auto"/>
            <w:noWrap/>
            <w:vAlign w:val="center"/>
            <w:hideMark/>
          </w:tcPr>
          <w:p w14:paraId="3304C332" w14:textId="7ED379B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15</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crescimento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crescimento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agravamento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desagravamento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combinação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regulatórios.</w:t>
            </w:r>
          </w:p>
        </w:tc>
        <w:tc>
          <w:tcPr>
            <w:tcW w:w="1664" w:type="pct"/>
            <w:shd w:val="clear" w:color="auto" w:fill="auto"/>
            <w:noWrap/>
            <w:vAlign w:val="center"/>
            <w:hideMark/>
          </w:tcPr>
          <w:p w14:paraId="58C1364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D6E5A47" w14:textId="77777777" w:rsidTr="00E75B46">
        <w:tc>
          <w:tcPr>
            <w:tcW w:w="1667" w:type="pct"/>
            <w:vAlign w:val="center"/>
          </w:tcPr>
          <w:p w14:paraId="78DEB29F" w14:textId="4F1FC07D"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w:t>
            </w:r>
          </w:p>
        </w:tc>
        <w:tc>
          <w:tcPr>
            <w:tcW w:w="1669" w:type="pct"/>
            <w:shd w:val="clear" w:color="auto" w:fill="auto"/>
            <w:noWrap/>
            <w:vAlign w:val="center"/>
            <w:hideMark/>
          </w:tcPr>
          <w:p w14:paraId="27433E54" w14:textId="60C4E89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tc>
        <w:tc>
          <w:tcPr>
            <w:tcW w:w="1664" w:type="pct"/>
            <w:shd w:val="clear" w:color="auto" w:fill="auto"/>
            <w:noWrap/>
            <w:vAlign w:val="center"/>
            <w:hideMark/>
          </w:tcPr>
          <w:p w14:paraId="59BADD07"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0B86E93" w14:textId="77777777" w:rsidTr="00E75B46">
        <w:tc>
          <w:tcPr>
            <w:tcW w:w="1667" w:type="pct"/>
            <w:vAlign w:val="center"/>
          </w:tcPr>
          <w:p w14:paraId="79A44A95" w14:textId="10286A1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CUSTEIO E DA UTILIZAÇÃO DO EQUILÍBRIO TÉCNICO AJUSTADO</w:t>
            </w:r>
          </w:p>
        </w:tc>
        <w:tc>
          <w:tcPr>
            <w:tcW w:w="1669" w:type="pct"/>
            <w:shd w:val="clear" w:color="auto" w:fill="auto"/>
            <w:noWrap/>
            <w:vAlign w:val="center"/>
            <w:hideMark/>
          </w:tcPr>
          <w:p w14:paraId="5A6CA321" w14:textId="735B9D7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Custeio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utilização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equilíbrio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ajustado</w:t>
            </w:r>
          </w:p>
        </w:tc>
        <w:tc>
          <w:tcPr>
            <w:tcW w:w="1664" w:type="pct"/>
            <w:shd w:val="clear" w:color="auto" w:fill="auto"/>
            <w:noWrap/>
            <w:vAlign w:val="center"/>
            <w:hideMark/>
          </w:tcPr>
          <w:p w14:paraId="14BAFF3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6A5F6B0" w14:textId="77777777" w:rsidTr="00E75B46">
        <w:tc>
          <w:tcPr>
            <w:tcW w:w="1667" w:type="pct"/>
            <w:vAlign w:val="center"/>
          </w:tcPr>
          <w:p w14:paraId="0CF7B26F" w14:textId="797A65F7"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9" w:type="pct"/>
            <w:shd w:val="clear" w:color="auto" w:fill="auto"/>
            <w:noWrap/>
            <w:vAlign w:val="center"/>
            <w:hideMark/>
          </w:tcPr>
          <w:p w14:paraId="78A56767" w14:textId="0F11D06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7C7CD26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D96E9FA" w14:textId="77777777" w:rsidTr="00E75B46">
        <w:tc>
          <w:tcPr>
            <w:tcW w:w="1667" w:type="pct"/>
            <w:vAlign w:val="center"/>
          </w:tcPr>
          <w:p w14:paraId="4509CCC3" w14:textId="67A6B9BA"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Custeio do Plano</w:t>
            </w:r>
          </w:p>
        </w:tc>
        <w:tc>
          <w:tcPr>
            <w:tcW w:w="1669" w:type="pct"/>
            <w:shd w:val="clear" w:color="auto" w:fill="auto"/>
            <w:noWrap/>
            <w:vAlign w:val="center"/>
            <w:hideMark/>
          </w:tcPr>
          <w:p w14:paraId="7A5FFAED" w14:textId="04A489B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Custeio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p>
        </w:tc>
        <w:tc>
          <w:tcPr>
            <w:tcW w:w="1664" w:type="pct"/>
            <w:shd w:val="clear" w:color="auto" w:fill="auto"/>
            <w:noWrap/>
            <w:vAlign w:val="center"/>
            <w:hideMark/>
          </w:tcPr>
          <w:p w14:paraId="4F2A4CD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264546E" w14:textId="77777777" w:rsidTr="00E75B46">
        <w:tc>
          <w:tcPr>
            <w:tcW w:w="1667" w:type="pct"/>
            <w:vAlign w:val="center"/>
          </w:tcPr>
          <w:p w14:paraId="372F8F4E" w14:textId="022FFE4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17.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1669" w:type="pct"/>
            <w:shd w:val="clear" w:color="auto" w:fill="auto"/>
            <w:noWrap/>
            <w:vAlign w:val="center"/>
            <w:hideMark/>
          </w:tcPr>
          <w:p w14:paraId="3344C0B6" w14:textId="4D18FBA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16</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exigências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p>
        </w:tc>
        <w:tc>
          <w:tcPr>
            <w:tcW w:w="1664" w:type="pct"/>
            <w:shd w:val="clear" w:color="auto" w:fill="auto"/>
            <w:noWrap/>
            <w:vAlign w:val="center"/>
            <w:hideMark/>
          </w:tcPr>
          <w:p w14:paraId="6FA1E4A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2728378" w14:textId="77777777" w:rsidTr="00E75B46">
        <w:tc>
          <w:tcPr>
            <w:tcW w:w="1667" w:type="pct"/>
            <w:vAlign w:val="center"/>
          </w:tcPr>
          <w:p w14:paraId="00E36CE9" w14:textId="063B686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§1º Ao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w:t>
            </w:r>
            <w:r w:rsidRPr="00225EB1">
              <w:rPr>
                <w:rFonts w:ascii="Calibri" w:hAnsi="Calibri" w:cs="Calibri"/>
                <w:sz w:val="24"/>
              </w:rPr>
              <w:lastRenderedPageBreak/>
              <w:t>reserva de contingência, nem utilização de resultado do exercício em desacordo com as definições regulatórias.</w:t>
            </w:r>
          </w:p>
        </w:tc>
        <w:tc>
          <w:tcPr>
            <w:tcW w:w="1669" w:type="pct"/>
            <w:shd w:val="clear" w:color="auto" w:fill="auto"/>
            <w:noWrap/>
            <w:vAlign w:val="center"/>
            <w:hideMark/>
          </w:tcPr>
          <w:p w14:paraId="03109092" w14:textId="3CDA21C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preservem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método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financiamento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caracterizar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contabilizado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desacordo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p>
        </w:tc>
        <w:tc>
          <w:tcPr>
            <w:tcW w:w="1664" w:type="pct"/>
            <w:shd w:val="clear" w:color="auto" w:fill="auto"/>
            <w:noWrap/>
            <w:vAlign w:val="center"/>
            <w:hideMark/>
          </w:tcPr>
          <w:p w14:paraId="2D86F50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897EC3" w14:textId="77777777" w:rsidTr="00E75B46">
        <w:tc>
          <w:tcPr>
            <w:tcW w:w="1667" w:type="pct"/>
            <w:vAlign w:val="center"/>
          </w:tcPr>
          <w:p w14:paraId="314C1BAA" w14:textId="3020F32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tc>
        <w:tc>
          <w:tcPr>
            <w:tcW w:w="1669" w:type="pct"/>
            <w:shd w:val="clear" w:color="auto" w:fill="auto"/>
            <w:noWrap/>
            <w:vAlign w:val="center"/>
            <w:hideMark/>
          </w:tcPr>
          <w:p w14:paraId="5C6B5991" w14:textId="3E5045C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002F0AE6">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efetuada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4" w:type="pct"/>
            <w:shd w:val="clear" w:color="auto" w:fill="auto"/>
            <w:noWrap/>
            <w:vAlign w:val="center"/>
            <w:hideMark/>
          </w:tcPr>
          <w:p w14:paraId="1D57E5E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B276350" w14:textId="77777777" w:rsidTr="00E75B46">
        <w:tc>
          <w:tcPr>
            <w:tcW w:w="1667" w:type="pct"/>
            <w:vAlign w:val="center"/>
          </w:tcPr>
          <w:p w14:paraId="57F2C4CA" w14:textId="7B1C6DA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No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1669" w:type="pct"/>
            <w:shd w:val="clear" w:color="auto" w:fill="auto"/>
            <w:noWrap/>
            <w:vAlign w:val="center"/>
            <w:hideMark/>
          </w:tcPr>
          <w:p w14:paraId="64D40EB8" w14:textId="5C06216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possibilidade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3645A4E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768006A" w14:textId="77777777" w:rsidTr="00E75B46">
        <w:tc>
          <w:tcPr>
            <w:tcW w:w="1667" w:type="pct"/>
            <w:vAlign w:val="center"/>
          </w:tcPr>
          <w:p w14:paraId="7ACC5390" w14:textId="0CA6A7F9"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w:t>
            </w:r>
          </w:p>
        </w:tc>
        <w:tc>
          <w:tcPr>
            <w:tcW w:w="1669" w:type="pct"/>
            <w:shd w:val="clear" w:color="auto" w:fill="auto"/>
            <w:noWrap/>
            <w:vAlign w:val="center"/>
            <w:hideMark/>
          </w:tcPr>
          <w:p w14:paraId="03C10D64" w14:textId="79244CB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202B64D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6637C11" w14:textId="77777777" w:rsidTr="00E75B46">
        <w:tc>
          <w:tcPr>
            <w:tcW w:w="1667" w:type="pct"/>
            <w:vAlign w:val="center"/>
          </w:tcPr>
          <w:p w14:paraId="0A636BD4" w14:textId="7086BBA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Revisão do Plano de Custeio</w:t>
            </w:r>
          </w:p>
        </w:tc>
        <w:tc>
          <w:tcPr>
            <w:tcW w:w="1669" w:type="pct"/>
            <w:shd w:val="clear" w:color="auto" w:fill="auto"/>
            <w:noWrap/>
            <w:vAlign w:val="center"/>
            <w:hideMark/>
          </w:tcPr>
          <w:p w14:paraId="34F1DC2D" w14:textId="3642D13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Custeio</w:t>
            </w:r>
          </w:p>
        </w:tc>
        <w:tc>
          <w:tcPr>
            <w:tcW w:w="1664" w:type="pct"/>
            <w:shd w:val="clear" w:color="auto" w:fill="auto"/>
            <w:noWrap/>
            <w:vAlign w:val="center"/>
            <w:hideMark/>
          </w:tcPr>
          <w:p w14:paraId="3D988B61"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4900DC1" w14:textId="77777777" w:rsidTr="00E75B46">
        <w:tc>
          <w:tcPr>
            <w:tcW w:w="1667" w:type="pct"/>
            <w:vAlign w:val="center"/>
          </w:tcPr>
          <w:p w14:paraId="6B3D3CC4" w14:textId="7BDA828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18. A utilização do equilíbrio técnico ajustado positivo para fins de revisão do plano de custeio em relação às contribuições extraordinárias, na forma prevista no art. 17 desta Instrução, deve ser justificada em parecer do atuário responsável e aprovada pelas instâncias competentes da EFPC.</w:t>
            </w:r>
          </w:p>
        </w:tc>
        <w:tc>
          <w:tcPr>
            <w:tcW w:w="1669" w:type="pct"/>
            <w:shd w:val="clear" w:color="auto" w:fill="auto"/>
            <w:noWrap/>
            <w:vAlign w:val="center"/>
            <w:hideMark/>
          </w:tcPr>
          <w:p w14:paraId="2FD6FFC3" w14:textId="2A7AA77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17</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16</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justificada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instâncias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competentes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4" w:type="pct"/>
            <w:shd w:val="clear" w:color="auto" w:fill="auto"/>
            <w:noWrap/>
            <w:vAlign w:val="center"/>
            <w:hideMark/>
          </w:tcPr>
          <w:p w14:paraId="661EADF6" w14:textId="27C31A9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13E974" w14:textId="77777777" w:rsidTr="00E75B46">
        <w:tc>
          <w:tcPr>
            <w:tcW w:w="1667" w:type="pct"/>
            <w:vAlign w:val="center"/>
          </w:tcPr>
          <w:p w14:paraId="0DE52658" w14:textId="08CDAAF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§1º A utilização referida no caput deve ser precedida da segregação entre o montante atribuível aos participantes e assistidos, de </w:t>
            </w:r>
            <w:r w:rsidRPr="00225EB1">
              <w:rPr>
                <w:rFonts w:ascii="Calibri" w:hAnsi="Calibri" w:cs="Calibri"/>
                <w:sz w:val="24"/>
              </w:rPr>
              <w:lastRenderedPageBreak/>
              <w:t>um lado, e ao patrocinador, de outro, observada a proporção contributiva do período em que se deu a constituição do equilíbrio técnico ajustado positivo, ressalvado o disposto no § 2º, do art. 30 desta Instrução.</w:t>
            </w:r>
          </w:p>
        </w:tc>
        <w:tc>
          <w:tcPr>
            <w:tcW w:w="1669" w:type="pct"/>
            <w:shd w:val="clear" w:color="auto" w:fill="auto"/>
            <w:noWrap/>
            <w:vAlign w:val="center"/>
            <w:hideMark/>
          </w:tcPr>
          <w:p w14:paraId="1E7CD655" w14:textId="2B6FE17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precedida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atribuível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ressalvado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29</w:t>
            </w:r>
            <w:r w:rsidRPr="00843426">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363733C0" w14:textId="12A8A44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237FB96" w14:textId="77777777" w:rsidTr="00E75B46">
        <w:tc>
          <w:tcPr>
            <w:tcW w:w="1667" w:type="pct"/>
            <w:vAlign w:val="center"/>
          </w:tcPr>
          <w:p w14:paraId="54FB350E" w14:textId="5523A0D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Em caso de vigência de dois ou mais planos de equacionamento em curso, a utilização do equilíbrio técnico ajustado positivo deve ser realizada de forma proporcional às respectivas provisões a constituir remanescentes.</w:t>
            </w:r>
          </w:p>
        </w:tc>
        <w:tc>
          <w:tcPr>
            <w:tcW w:w="1669" w:type="pct"/>
            <w:shd w:val="clear" w:color="auto" w:fill="auto"/>
            <w:noWrap/>
            <w:vAlign w:val="center"/>
            <w:hideMark/>
          </w:tcPr>
          <w:p w14:paraId="0749DA89" w14:textId="120848F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curso,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remanescentes.</w:t>
            </w:r>
          </w:p>
        </w:tc>
        <w:tc>
          <w:tcPr>
            <w:tcW w:w="1664" w:type="pct"/>
            <w:shd w:val="clear" w:color="auto" w:fill="auto"/>
            <w:noWrap/>
            <w:vAlign w:val="center"/>
            <w:hideMark/>
          </w:tcPr>
          <w:p w14:paraId="375169A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F155E05" w14:textId="77777777" w:rsidTr="00E75B46">
        <w:tc>
          <w:tcPr>
            <w:tcW w:w="1667" w:type="pct"/>
            <w:vAlign w:val="center"/>
          </w:tcPr>
          <w:p w14:paraId="44E8C2EB" w14:textId="52DD2D6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19. Não são admitidos como fonte de recursos para o equacionamento de déficit resultados oriundos de alterações de hipóteses atuariais, de regimes financeiros ou de métodos de financiamento.</w:t>
            </w:r>
          </w:p>
        </w:tc>
        <w:tc>
          <w:tcPr>
            <w:tcW w:w="1669" w:type="pct"/>
            <w:shd w:val="clear" w:color="auto" w:fill="auto"/>
            <w:noWrap/>
            <w:vAlign w:val="center"/>
            <w:hideMark/>
          </w:tcPr>
          <w:p w14:paraId="1D60DC23" w14:textId="2AF31C4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18</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regimes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métodos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financiamento.</w:t>
            </w:r>
          </w:p>
        </w:tc>
        <w:tc>
          <w:tcPr>
            <w:tcW w:w="1664" w:type="pct"/>
            <w:shd w:val="clear" w:color="auto" w:fill="auto"/>
            <w:noWrap/>
            <w:vAlign w:val="center"/>
            <w:hideMark/>
          </w:tcPr>
          <w:p w14:paraId="27E9E80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99B8707" w14:textId="77777777" w:rsidTr="00E75B46">
        <w:tc>
          <w:tcPr>
            <w:tcW w:w="1667" w:type="pct"/>
            <w:vAlign w:val="center"/>
          </w:tcPr>
          <w:p w14:paraId="04DF2769" w14:textId="0A24444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VI</w:t>
            </w:r>
          </w:p>
        </w:tc>
        <w:tc>
          <w:tcPr>
            <w:tcW w:w="1669" w:type="pct"/>
            <w:shd w:val="clear" w:color="auto" w:fill="auto"/>
            <w:noWrap/>
            <w:vAlign w:val="center"/>
            <w:hideMark/>
          </w:tcPr>
          <w:p w14:paraId="7B8E2906" w14:textId="0FAD429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w:t>
            </w:r>
          </w:p>
        </w:tc>
        <w:tc>
          <w:tcPr>
            <w:tcW w:w="1664" w:type="pct"/>
            <w:shd w:val="clear" w:color="auto" w:fill="auto"/>
            <w:noWrap/>
            <w:vAlign w:val="center"/>
            <w:hideMark/>
          </w:tcPr>
          <w:p w14:paraId="17C8BD7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48DD7A3" w14:textId="77777777" w:rsidTr="00E75B46">
        <w:tc>
          <w:tcPr>
            <w:tcW w:w="1667" w:type="pct"/>
            <w:vAlign w:val="center"/>
          </w:tcPr>
          <w:p w14:paraId="2930606A" w14:textId="2C5B380C"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REVISÃO DO PLANO DE BENEFÍCIOS E DA DESTINAÇÃO DA RESERVA ESPECIAL</w:t>
            </w:r>
          </w:p>
        </w:tc>
        <w:tc>
          <w:tcPr>
            <w:tcW w:w="1669" w:type="pct"/>
            <w:shd w:val="clear" w:color="auto" w:fill="auto"/>
            <w:noWrap/>
            <w:vAlign w:val="center"/>
            <w:hideMark/>
          </w:tcPr>
          <w:p w14:paraId="40F0EABC" w14:textId="60A4323C"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Benefícios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Destinação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Reserva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Especial</w:t>
            </w:r>
          </w:p>
        </w:tc>
        <w:tc>
          <w:tcPr>
            <w:tcW w:w="1664" w:type="pct"/>
            <w:shd w:val="clear" w:color="auto" w:fill="auto"/>
            <w:noWrap/>
            <w:vAlign w:val="center"/>
            <w:hideMark/>
          </w:tcPr>
          <w:p w14:paraId="756A0AAE"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4A6B5BB" w14:textId="77777777" w:rsidTr="00E75B46">
        <w:tc>
          <w:tcPr>
            <w:tcW w:w="1667" w:type="pct"/>
            <w:vAlign w:val="center"/>
          </w:tcPr>
          <w:p w14:paraId="336338EF" w14:textId="4281F44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758A33EB" w14:textId="17BC9CE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51F6C3AB"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9A0446E" w14:textId="77777777" w:rsidTr="00E75B46">
        <w:tc>
          <w:tcPr>
            <w:tcW w:w="1667" w:type="pct"/>
            <w:vAlign w:val="center"/>
          </w:tcPr>
          <w:p w14:paraId="5F15FD2B" w14:textId="0E864D4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067F3E65" w14:textId="605245B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Revisão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obrigatório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Benefícios</w:t>
            </w:r>
          </w:p>
        </w:tc>
        <w:tc>
          <w:tcPr>
            <w:tcW w:w="1664" w:type="pct"/>
            <w:shd w:val="clear" w:color="auto" w:fill="auto"/>
            <w:noWrap/>
            <w:vAlign w:val="center"/>
            <w:hideMark/>
          </w:tcPr>
          <w:p w14:paraId="5A89536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78E6A0D" w14:textId="77777777" w:rsidTr="00E75B46">
        <w:tc>
          <w:tcPr>
            <w:tcW w:w="1667" w:type="pct"/>
            <w:vAlign w:val="center"/>
          </w:tcPr>
          <w:p w14:paraId="6AA85692" w14:textId="514F305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20. A revisão obrigatória do plano de benefícios deve destinar, no mínimo, até o final do exercício subsequente, o valor integral da reserva especial registrado nos últimos três exercícios.</w:t>
            </w:r>
          </w:p>
        </w:tc>
        <w:tc>
          <w:tcPr>
            <w:tcW w:w="1669" w:type="pct"/>
            <w:shd w:val="clear" w:color="auto" w:fill="auto"/>
            <w:vAlign w:val="center"/>
            <w:hideMark/>
          </w:tcPr>
          <w:p w14:paraId="03FB2661" w14:textId="550B763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19</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4D33" w:rsidRPr="00225EB1">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registrar</w:t>
            </w:r>
            <w:r w:rsidR="009068E9">
              <w:rPr>
                <w:rFonts w:ascii="Calibri" w:eastAsia="Times New Roman" w:hAnsi="Calibri" w:cs="Calibri"/>
                <w:kern w:val="0"/>
                <w:sz w:val="24"/>
                <w:szCs w:val="24"/>
                <w:lang w:eastAsia="pt-BR"/>
                <w14:ligatures w14:val="none"/>
              </w:rPr>
              <w:t xml:space="preserve"> </w:t>
            </w:r>
            <w:r w:rsidR="00CD4D33"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p>
        </w:tc>
        <w:tc>
          <w:tcPr>
            <w:tcW w:w="1664" w:type="pct"/>
            <w:shd w:val="clear" w:color="auto" w:fill="auto"/>
            <w:noWrap/>
            <w:vAlign w:val="center"/>
            <w:hideMark/>
          </w:tcPr>
          <w:p w14:paraId="54FBF9EE" w14:textId="3725B823" w:rsidR="00A6584C" w:rsidRPr="00843426" w:rsidRDefault="00CD4D33"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225EB1" w:rsidRPr="00225EB1" w14:paraId="3B4934DA" w14:textId="77777777" w:rsidTr="00E75B46">
        <w:tc>
          <w:tcPr>
            <w:tcW w:w="1667" w:type="pct"/>
            <w:vAlign w:val="center"/>
          </w:tcPr>
          <w:p w14:paraId="5CFD4A39" w14:textId="65FEAFD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9" w:type="pct"/>
            <w:shd w:val="clear" w:color="auto" w:fill="auto"/>
            <w:vAlign w:val="center"/>
            <w:hideMark/>
          </w:tcPr>
          <w:p w14:paraId="74128176" w14:textId="1CDD3FE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obrigatória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00CD4D33" w:rsidRPr="00225EB1">
              <w:rPr>
                <w:rFonts w:ascii="Calibri" w:eastAsia="Times New Roman" w:hAnsi="Calibri" w:cs="Calibri"/>
                <w:kern w:val="0"/>
                <w:sz w:val="24"/>
                <w:szCs w:val="24"/>
                <w:lang w:eastAsia="pt-BR"/>
                <w14:ligatures w14:val="none"/>
              </w:rPr>
              <w:t>registrado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últimos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três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exercícios.</w:t>
            </w:r>
          </w:p>
        </w:tc>
        <w:tc>
          <w:tcPr>
            <w:tcW w:w="1664" w:type="pct"/>
            <w:shd w:val="clear" w:color="auto" w:fill="auto"/>
            <w:noWrap/>
            <w:vAlign w:val="center"/>
            <w:hideMark/>
          </w:tcPr>
          <w:p w14:paraId="04FD8268" w14:textId="725B950E" w:rsidR="00A6584C" w:rsidRPr="00843426" w:rsidRDefault="00CD4D33"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Trazer maior clareza ao dispositivo além de dividir a obrigação de revisão do valor mínimo a destinar.</w:t>
            </w:r>
          </w:p>
        </w:tc>
      </w:tr>
      <w:tr w:rsidR="00225EB1" w:rsidRPr="00225EB1" w14:paraId="50D859FB" w14:textId="77777777" w:rsidTr="00E75B46">
        <w:tc>
          <w:tcPr>
            <w:tcW w:w="1667" w:type="pct"/>
            <w:vAlign w:val="center"/>
          </w:tcPr>
          <w:p w14:paraId="41A57D84" w14:textId="76AC4EA0"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53161EE5" w14:textId="173DB58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12AC0E69"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EB3F140" w14:textId="77777777" w:rsidTr="00E75B46">
        <w:tc>
          <w:tcPr>
            <w:tcW w:w="1667" w:type="pct"/>
            <w:vAlign w:val="center"/>
          </w:tcPr>
          <w:p w14:paraId="26684BF7" w14:textId="4B513E9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38618D07" w14:textId="13236FD1"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Destinação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reserva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especial</w:t>
            </w:r>
          </w:p>
        </w:tc>
        <w:tc>
          <w:tcPr>
            <w:tcW w:w="1664" w:type="pct"/>
            <w:shd w:val="clear" w:color="auto" w:fill="auto"/>
            <w:noWrap/>
            <w:vAlign w:val="center"/>
            <w:hideMark/>
          </w:tcPr>
          <w:p w14:paraId="116C157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50128EE" w14:textId="77777777" w:rsidTr="00E75B46">
        <w:tc>
          <w:tcPr>
            <w:tcW w:w="1667" w:type="pct"/>
            <w:vAlign w:val="center"/>
          </w:tcPr>
          <w:p w14:paraId="1EA6165D" w14:textId="06DA36F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bookmarkStart w:id="0" w:name="_Hlk138195902"/>
            <w:r w:rsidRPr="00225EB1">
              <w:rPr>
                <w:rFonts w:ascii="Calibri" w:hAnsi="Calibri" w:cs="Calibri"/>
                <w:sz w:val="24"/>
              </w:rPr>
              <w:t>Art. 21. Caso o plano adote hipóteses atuariais cuja aplicação resulte em provisões matemáticas inferiores às obtidas com a aplicação das hipóteses especificadas a seguir, anteriormente à destinação, devem ser deduzidos da reserva especial, para fins de cálculo do montante a ser destinado, os valores correspondentes à diferença entre as provisões matemáticas calculadas com as hipóteses efetivamente adotadas pelo plano e aquelas calculadas com as seguintes hipóteses, de forma combinada:</w:t>
            </w:r>
          </w:p>
        </w:tc>
        <w:tc>
          <w:tcPr>
            <w:tcW w:w="1669" w:type="pct"/>
            <w:shd w:val="clear" w:color="auto" w:fill="auto"/>
            <w:noWrap/>
            <w:vAlign w:val="center"/>
            <w:hideMark/>
          </w:tcPr>
          <w:p w14:paraId="1430550C" w14:textId="77777777" w:rsidR="004811C0" w:rsidRDefault="004811C0" w:rsidP="004811C0">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20</w:t>
            </w:r>
            <w:r w:rsidRPr="00225EB1">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Devem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deduzidos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diferença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efetivamente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Pr>
                <w:rFonts w:ascii="Calibri" w:eastAsia="Times New Roman" w:hAnsi="Calibri" w:cs="Calibri"/>
                <w:kern w:val="0"/>
                <w:sz w:val="24"/>
                <w:szCs w:val="24"/>
                <w:lang w:eastAsia="pt-BR"/>
                <w14:ligatures w14:val="none"/>
              </w:rPr>
              <w:t xml:space="preserve"> adotando </w:t>
            </w:r>
            <w:r w:rsidRPr="00843426">
              <w:rPr>
                <w:rFonts w:ascii="Calibri" w:eastAsia="Times New Roman" w:hAnsi="Calibri" w:cs="Calibri"/>
                <w:kern w:val="0"/>
                <w:sz w:val="24"/>
                <w:szCs w:val="24"/>
                <w:lang w:eastAsia="pt-BR"/>
                <w14:ligatures w14:val="none"/>
              </w:rPr>
              <w:t>tábuas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longevidade,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exceto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daqueles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feminino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2000</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Básica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sexo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masculino,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ambas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desagravamento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dez</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cento</w:t>
            </w:r>
            <w:r>
              <w:rPr>
                <w:rFonts w:ascii="Calibri" w:eastAsia="Times New Roman" w:hAnsi="Calibri" w:cs="Calibri"/>
                <w:kern w:val="0"/>
                <w:sz w:val="24"/>
                <w:szCs w:val="24"/>
                <w:lang w:eastAsia="pt-BR"/>
                <w14:ligatures w14:val="none"/>
              </w:rPr>
              <w:t>.</w:t>
            </w:r>
          </w:p>
          <w:p w14:paraId="2B64F4A2" w14:textId="00A08F5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5B09ABF7" w14:textId="77D2A5C0" w:rsidR="00A6584C" w:rsidRPr="00843426" w:rsidRDefault="004811C0"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Reescrita do caput para adequar-se à exclusão do inciso II (redução em ponto percentual da taxa de juros)</w:t>
            </w:r>
          </w:p>
        </w:tc>
      </w:tr>
      <w:tr w:rsidR="00225EB1" w:rsidRPr="00225EB1" w14:paraId="16B1E238" w14:textId="77777777" w:rsidTr="00E75B46">
        <w:tc>
          <w:tcPr>
            <w:tcW w:w="1667" w:type="pct"/>
            <w:vAlign w:val="center"/>
          </w:tcPr>
          <w:p w14:paraId="0BA7BABE" w14:textId="7C7C5A7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tábuas biométricas de mortalidade geral utilizadas para projeção da longevidade, exceto daqueles na condição de inválidos: "AT 2000 Básica - F" para o sexo feminino e "AT 2000 Básica - M" para o sexo masculino, ambas com desagravamento de dez por cento; e</w:t>
            </w:r>
          </w:p>
        </w:tc>
        <w:tc>
          <w:tcPr>
            <w:tcW w:w="1669" w:type="pct"/>
            <w:shd w:val="clear" w:color="auto" w:fill="auto"/>
            <w:noWrap/>
            <w:vAlign w:val="center"/>
            <w:hideMark/>
          </w:tcPr>
          <w:p w14:paraId="287DDF6A" w14:textId="6F315F5D" w:rsidR="00A6584C" w:rsidRDefault="00A6584C" w:rsidP="00EB77BF">
            <w:pPr>
              <w:spacing w:after="0" w:line="240" w:lineRule="auto"/>
              <w:jc w:val="both"/>
              <w:rPr>
                <w:rFonts w:ascii="Calibri" w:eastAsia="Times New Roman" w:hAnsi="Calibri" w:cs="Calibri"/>
                <w:kern w:val="0"/>
                <w:sz w:val="24"/>
                <w:szCs w:val="24"/>
                <w:lang w:eastAsia="pt-BR"/>
                <w14:ligatures w14:val="none"/>
              </w:rPr>
            </w:pPr>
          </w:p>
          <w:p w14:paraId="12CC5A90" w14:textId="6BEB7560" w:rsidR="004811C0" w:rsidRPr="00813D6B" w:rsidRDefault="004811C0" w:rsidP="00EB77BF">
            <w:pPr>
              <w:spacing w:after="0" w:line="240" w:lineRule="auto"/>
              <w:jc w:val="both"/>
            </w:pPr>
            <w:r>
              <w:rPr>
                <w:rFonts w:ascii="Calibri" w:eastAsia="Times New Roman" w:hAnsi="Calibri" w:cs="Calibri"/>
                <w:kern w:val="0"/>
                <w:sz w:val="24"/>
                <w:szCs w:val="24"/>
                <w:lang w:eastAsia="pt-BR"/>
                <w14:ligatures w14:val="none"/>
              </w:rPr>
              <w:t xml:space="preserve">Parágrafo único.  O disposto no </w:t>
            </w:r>
            <w:r w:rsidRPr="008C484C">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 xml:space="preserve"> não se aplica ao plano de benefícios que </w:t>
            </w:r>
            <w:r w:rsidRPr="00843426">
              <w:rPr>
                <w:rFonts w:ascii="Calibri" w:eastAsia="Times New Roman" w:hAnsi="Calibri" w:cs="Calibri"/>
                <w:kern w:val="0"/>
                <w:sz w:val="24"/>
                <w:szCs w:val="24"/>
                <w:lang w:eastAsia="pt-BR"/>
                <w14:ligatures w14:val="none"/>
              </w:rPr>
              <w:t>adote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resulte</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Pr>
                <w:rFonts w:ascii="Calibri" w:eastAsia="Times New Roman" w:hAnsi="Calibri" w:cs="Calibri"/>
                <w:kern w:val="0"/>
                <w:sz w:val="24"/>
                <w:szCs w:val="24"/>
                <w:lang w:eastAsia="pt-BR"/>
                <w14:ligatures w14:val="none"/>
              </w:rPr>
              <w:t xml:space="preserve"> </w:t>
            </w:r>
            <w:r w:rsidR="001D34B9">
              <w:rPr>
                <w:rFonts w:ascii="Calibri" w:eastAsia="Times New Roman" w:hAnsi="Calibri" w:cs="Calibri"/>
                <w:kern w:val="0"/>
                <w:sz w:val="24"/>
                <w:szCs w:val="24"/>
                <w:lang w:eastAsia="pt-BR"/>
                <w14:ligatures w14:val="none"/>
              </w:rPr>
              <w:t>superiores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obtidas</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Pr>
                <w:rFonts w:ascii="Calibri" w:eastAsia="Times New Roman" w:hAnsi="Calibri" w:cs="Calibri"/>
                <w:kern w:val="0"/>
                <w:sz w:val="24"/>
                <w:szCs w:val="24"/>
                <w:lang w:eastAsia="pt-BR"/>
                <w14:ligatures w14:val="none"/>
              </w:rPr>
              <w:t xml:space="preserve"> referida no </w:t>
            </w:r>
            <w:r w:rsidRPr="008C484C">
              <w:rPr>
                <w:rFonts w:ascii="Calibri" w:eastAsia="Times New Roman" w:hAnsi="Calibri" w:cs="Calibri"/>
                <w:b/>
                <w:bCs/>
                <w:kern w:val="0"/>
                <w:sz w:val="24"/>
                <w:szCs w:val="24"/>
                <w:lang w:eastAsia="pt-BR"/>
                <w14:ligatures w14:val="none"/>
              </w:rPr>
              <w:t>caput</w:t>
            </w:r>
            <w:r>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44BB064D" w14:textId="503A6B08" w:rsidR="00A6584C" w:rsidRPr="00843426" w:rsidRDefault="004811C0"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Transformação do inciso I em parágrafo único para contemplar exclusão do inciso II (redução em um ponto percentual a taxa de juros)</w:t>
            </w:r>
            <w:r w:rsidR="00D721F8">
              <w:rPr>
                <w:rFonts w:ascii="Calibri" w:eastAsia="Times New Roman" w:hAnsi="Calibri" w:cs="Calibri"/>
                <w:kern w:val="0"/>
                <w:sz w:val="24"/>
                <w:szCs w:val="24"/>
                <w:lang w:eastAsia="pt-BR"/>
                <w14:ligatures w14:val="none"/>
              </w:rPr>
              <w:t>.</w:t>
            </w:r>
          </w:p>
        </w:tc>
      </w:tr>
      <w:bookmarkEnd w:id="0"/>
      <w:tr w:rsidR="00225EB1" w:rsidRPr="00225EB1" w14:paraId="334A9FB4" w14:textId="77777777" w:rsidTr="00E75B46">
        <w:tc>
          <w:tcPr>
            <w:tcW w:w="1667" w:type="pct"/>
            <w:vAlign w:val="center"/>
          </w:tcPr>
          <w:p w14:paraId="475DAC94" w14:textId="49A800F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 - taxa real anual de juros correspondente ao teto do intervalo regulatório estabelecido para o respectivo plano de benefícios, reduzida em um ponto percentual.</w:t>
            </w:r>
          </w:p>
        </w:tc>
        <w:tc>
          <w:tcPr>
            <w:tcW w:w="1669" w:type="pct"/>
            <w:shd w:val="clear" w:color="auto" w:fill="auto"/>
            <w:noWrap/>
            <w:vAlign w:val="center"/>
            <w:hideMark/>
          </w:tcPr>
          <w:p w14:paraId="5584E6C4" w14:textId="3A15969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6695CF22" w14:textId="64E18FF5" w:rsidR="00A6584C" w:rsidRPr="00843426" w:rsidRDefault="006408E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Excluir o dispositivo porque, em tese, os planos de benefícios já adotam taxa real anua</w:t>
            </w:r>
            <w:r w:rsidR="000276E5">
              <w:rPr>
                <w:rFonts w:ascii="Calibri" w:eastAsia="Times New Roman" w:hAnsi="Calibri" w:cs="Calibri"/>
                <w:kern w:val="0"/>
                <w:sz w:val="24"/>
                <w:szCs w:val="24"/>
                <w:lang w:eastAsia="pt-BR"/>
                <w14:ligatures w14:val="none"/>
              </w:rPr>
              <w:t>l</w:t>
            </w:r>
            <w:r>
              <w:rPr>
                <w:rFonts w:ascii="Calibri" w:eastAsia="Times New Roman" w:hAnsi="Calibri" w:cs="Calibri"/>
                <w:kern w:val="0"/>
                <w:sz w:val="24"/>
                <w:szCs w:val="24"/>
                <w:lang w:eastAsia="pt-BR"/>
                <w14:ligatures w14:val="none"/>
              </w:rPr>
              <w:t xml:space="preserve"> de juros embasada em estudo técnico de convergência</w:t>
            </w:r>
            <w:r w:rsidR="00F44ABF">
              <w:rPr>
                <w:rFonts w:ascii="Calibri" w:eastAsia="Times New Roman" w:hAnsi="Calibri" w:cs="Calibri"/>
                <w:kern w:val="0"/>
                <w:sz w:val="24"/>
                <w:szCs w:val="24"/>
                <w:lang w:eastAsia="pt-BR"/>
                <w14:ligatures w14:val="none"/>
              </w:rPr>
              <w:t xml:space="preserve">, não havendo mais necessidade de utilizar taxas inferiores a adotadas para o efeito de </w:t>
            </w:r>
            <w:r w:rsidR="000721AD">
              <w:rPr>
                <w:rFonts w:ascii="Calibri" w:eastAsia="Times New Roman" w:hAnsi="Calibri" w:cs="Calibri"/>
                <w:kern w:val="0"/>
                <w:sz w:val="24"/>
                <w:szCs w:val="24"/>
                <w:lang w:eastAsia="pt-BR"/>
                <w14:ligatures w14:val="none"/>
              </w:rPr>
              <w:t xml:space="preserve">destinação de </w:t>
            </w:r>
            <w:r w:rsidR="00F44ABF">
              <w:rPr>
                <w:rFonts w:ascii="Calibri" w:eastAsia="Times New Roman" w:hAnsi="Calibri" w:cs="Calibri"/>
                <w:kern w:val="0"/>
                <w:sz w:val="24"/>
                <w:szCs w:val="24"/>
                <w:lang w:eastAsia="pt-BR"/>
                <w14:ligatures w14:val="none"/>
              </w:rPr>
              <w:t>superávit.</w:t>
            </w:r>
          </w:p>
        </w:tc>
      </w:tr>
      <w:tr w:rsidR="00225EB1" w:rsidRPr="00225EB1" w14:paraId="0B2B9A3B" w14:textId="77777777" w:rsidTr="00E75B46">
        <w:tc>
          <w:tcPr>
            <w:tcW w:w="1667" w:type="pct"/>
            <w:vAlign w:val="center"/>
          </w:tcPr>
          <w:p w14:paraId="034BA9B9" w14:textId="4D39ED4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22. Para fins de destinação da reserva especial, devem ser observadas as seguintes condições:</w:t>
            </w:r>
          </w:p>
        </w:tc>
        <w:tc>
          <w:tcPr>
            <w:tcW w:w="1669" w:type="pct"/>
            <w:shd w:val="clear" w:color="auto" w:fill="auto"/>
            <w:noWrap/>
            <w:vAlign w:val="center"/>
            <w:hideMark/>
          </w:tcPr>
          <w:p w14:paraId="7BA478FF" w14:textId="1417FBD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21</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p>
        </w:tc>
        <w:tc>
          <w:tcPr>
            <w:tcW w:w="1664" w:type="pct"/>
            <w:shd w:val="clear" w:color="auto" w:fill="auto"/>
            <w:noWrap/>
            <w:vAlign w:val="center"/>
            <w:hideMark/>
          </w:tcPr>
          <w:p w14:paraId="6FC2DA1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568E8E8" w14:textId="77777777" w:rsidTr="00E75B46">
        <w:tc>
          <w:tcPr>
            <w:tcW w:w="1667" w:type="pct"/>
            <w:vAlign w:val="center"/>
          </w:tcPr>
          <w:p w14:paraId="6F0A26BE" w14:textId="4251A08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considerar apenas as provisões matemáticas de benefício definido de participantes e assistidos na destinação da parcela da reserva especial, quando se der com base nas reservas matemáticas individuais;</w:t>
            </w:r>
          </w:p>
        </w:tc>
        <w:tc>
          <w:tcPr>
            <w:tcW w:w="1669" w:type="pct"/>
            <w:shd w:val="clear" w:color="auto" w:fill="auto"/>
            <w:noWrap/>
            <w:vAlign w:val="center"/>
            <w:hideMark/>
          </w:tcPr>
          <w:p w14:paraId="14CA9CB1" w14:textId="51286D3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apenas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individuais;</w:t>
            </w:r>
          </w:p>
        </w:tc>
        <w:tc>
          <w:tcPr>
            <w:tcW w:w="1664" w:type="pct"/>
            <w:shd w:val="clear" w:color="auto" w:fill="auto"/>
            <w:noWrap/>
            <w:vAlign w:val="center"/>
            <w:hideMark/>
          </w:tcPr>
          <w:p w14:paraId="3BE9EA9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99C70C" w14:textId="77777777" w:rsidTr="00E75B46">
        <w:tc>
          <w:tcPr>
            <w:tcW w:w="1667" w:type="pct"/>
            <w:vAlign w:val="center"/>
          </w:tcPr>
          <w:p w14:paraId="79EFFBED" w14:textId="50892B8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1669" w:type="pct"/>
            <w:shd w:val="clear" w:color="auto" w:fill="auto"/>
            <w:noWrap/>
            <w:vAlign w:val="center"/>
            <w:hideMark/>
          </w:tcPr>
          <w:p w14:paraId="26E9CE98" w14:textId="36B30EF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redução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contemplar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prioritariamente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72A76EA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E750358" w14:textId="77777777" w:rsidTr="00E75B46">
        <w:tc>
          <w:tcPr>
            <w:tcW w:w="1667" w:type="pct"/>
            <w:vAlign w:val="center"/>
          </w:tcPr>
          <w:p w14:paraId="2048139A" w14:textId="39586A0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a cobertura integral do valor presente dos benefícios do plano deve considerar apenas aqueles com características de benefício definido.</w:t>
            </w:r>
          </w:p>
        </w:tc>
        <w:tc>
          <w:tcPr>
            <w:tcW w:w="1669" w:type="pct"/>
            <w:shd w:val="clear" w:color="auto" w:fill="auto"/>
            <w:noWrap/>
            <w:vAlign w:val="center"/>
            <w:hideMark/>
          </w:tcPr>
          <w:p w14:paraId="71E27625" w14:textId="577C7E0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apenas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p>
        </w:tc>
        <w:tc>
          <w:tcPr>
            <w:tcW w:w="1664" w:type="pct"/>
            <w:shd w:val="clear" w:color="auto" w:fill="auto"/>
            <w:noWrap/>
            <w:vAlign w:val="center"/>
            <w:hideMark/>
          </w:tcPr>
          <w:p w14:paraId="17DB711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FD8111C" w14:textId="77777777" w:rsidTr="00E75B46">
        <w:tc>
          <w:tcPr>
            <w:tcW w:w="1667" w:type="pct"/>
            <w:vAlign w:val="center"/>
          </w:tcPr>
          <w:p w14:paraId="0165DC08" w14:textId="0FE89C6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§1º A utilização dos fundos previdenciais de revisão do plano deve ocorrer de forma concomitante e proporcional entre os fundos atribuídos aos participantes, assistidos e patrocinador constituídos para essa finalidade.</w:t>
            </w:r>
          </w:p>
        </w:tc>
        <w:tc>
          <w:tcPr>
            <w:tcW w:w="1669" w:type="pct"/>
            <w:shd w:val="clear" w:color="auto" w:fill="auto"/>
            <w:noWrap/>
            <w:vAlign w:val="center"/>
            <w:hideMark/>
          </w:tcPr>
          <w:p w14:paraId="4EA23E8A" w14:textId="781575A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concomitante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atribuídos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constituídos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p>
        </w:tc>
        <w:tc>
          <w:tcPr>
            <w:tcW w:w="1664" w:type="pct"/>
            <w:shd w:val="clear" w:color="auto" w:fill="auto"/>
            <w:noWrap/>
            <w:vAlign w:val="center"/>
            <w:hideMark/>
          </w:tcPr>
          <w:p w14:paraId="4146028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CB4CA85" w14:textId="77777777" w:rsidTr="00E75B46">
        <w:tc>
          <w:tcPr>
            <w:tcW w:w="1667" w:type="pct"/>
            <w:vAlign w:val="center"/>
          </w:tcPr>
          <w:p w14:paraId="54847CB9" w14:textId="69C42F8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No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tc>
        <w:tc>
          <w:tcPr>
            <w:tcW w:w="1669" w:type="pct"/>
            <w:shd w:val="clear" w:color="auto" w:fill="auto"/>
            <w:noWrap/>
            <w:vAlign w:val="center"/>
            <w:hideMark/>
          </w:tcPr>
          <w:p w14:paraId="15FADDEF" w14:textId="141BDD2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sujeito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Complementar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108,</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2001,</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previdenciais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diferente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artigo,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benéfico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mediante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prévia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p>
        </w:tc>
        <w:tc>
          <w:tcPr>
            <w:tcW w:w="1664" w:type="pct"/>
            <w:shd w:val="clear" w:color="auto" w:fill="auto"/>
            <w:noWrap/>
            <w:vAlign w:val="center"/>
            <w:hideMark/>
          </w:tcPr>
          <w:p w14:paraId="5420D09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D7F478F" w14:textId="77777777" w:rsidTr="00E75B46">
        <w:tc>
          <w:tcPr>
            <w:tcW w:w="1667" w:type="pct"/>
            <w:vAlign w:val="center"/>
          </w:tcPr>
          <w:p w14:paraId="1F967DA8" w14:textId="265FEBF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23.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1669" w:type="pct"/>
            <w:shd w:val="clear" w:color="auto" w:fill="auto"/>
            <w:noWrap/>
            <w:vAlign w:val="center"/>
            <w:hideMark/>
          </w:tcPr>
          <w:p w14:paraId="366A8B6F" w14:textId="6AFC922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22</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promover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prévia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auditoria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independente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garantidores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provisões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matemáticas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reserva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envolver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reversão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p>
        </w:tc>
        <w:tc>
          <w:tcPr>
            <w:tcW w:w="1664" w:type="pct"/>
            <w:shd w:val="clear" w:color="auto" w:fill="auto"/>
            <w:noWrap/>
            <w:vAlign w:val="center"/>
            <w:hideMark/>
          </w:tcPr>
          <w:p w14:paraId="3073EA3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C81BFC" w14:textId="77777777" w:rsidTr="00E75B46">
        <w:tc>
          <w:tcPr>
            <w:tcW w:w="1667" w:type="pct"/>
            <w:vAlign w:val="center"/>
          </w:tcPr>
          <w:p w14:paraId="559AFE33" w14:textId="48EB423C"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VII</w:t>
            </w:r>
          </w:p>
        </w:tc>
        <w:tc>
          <w:tcPr>
            <w:tcW w:w="1669" w:type="pct"/>
            <w:shd w:val="clear" w:color="auto" w:fill="auto"/>
            <w:noWrap/>
            <w:vAlign w:val="center"/>
            <w:hideMark/>
          </w:tcPr>
          <w:p w14:paraId="6FBBEC4F" w14:textId="4C03F13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w:t>
            </w:r>
          </w:p>
        </w:tc>
        <w:tc>
          <w:tcPr>
            <w:tcW w:w="1664" w:type="pct"/>
            <w:shd w:val="clear" w:color="auto" w:fill="auto"/>
            <w:noWrap/>
            <w:vAlign w:val="center"/>
            <w:hideMark/>
          </w:tcPr>
          <w:p w14:paraId="17657F2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505C138A" w14:textId="77777777" w:rsidTr="00E75B46">
        <w:tc>
          <w:tcPr>
            <w:tcW w:w="1667" w:type="pct"/>
            <w:vAlign w:val="center"/>
          </w:tcPr>
          <w:p w14:paraId="0C911B5B" w14:textId="0458CEC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EQUACIONAMENTO DE DÉFICIT</w:t>
            </w:r>
          </w:p>
        </w:tc>
        <w:tc>
          <w:tcPr>
            <w:tcW w:w="1669" w:type="pct"/>
            <w:shd w:val="clear" w:color="auto" w:fill="auto"/>
            <w:noWrap/>
            <w:vAlign w:val="center"/>
            <w:hideMark/>
          </w:tcPr>
          <w:p w14:paraId="3D1D2AEF" w14:textId="4F58660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Equacionamento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Déficit</w:t>
            </w:r>
          </w:p>
        </w:tc>
        <w:tc>
          <w:tcPr>
            <w:tcW w:w="1664" w:type="pct"/>
            <w:shd w:val="clear" w:color="auto" w:fill="auto"/>
            <w:noWrap/>
            <w:vAlign w:val="center"/>
            <w:hideMark/>
          </w:tcPr>
          <w:p w14:paraId="2304EFF6"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6940CFF8" w14:textId="77777777" w:rsidTr="00E75B46">
        <w:tc>
          <w:tcPr>
            <w:tcW w:w="1667" w:type="pct"/>
            <w:vAlign w:val="center"/>
          </w:tcPr>
          <w:p w14:paraId="4191076D" w14:textId="5E01F0CD"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9" w:type="pct"/>
            <w:shd w:val="clear" w:color="auto" w:fill="auto"/>
            <w:noWrap/>
            <w:vAlign w:val="center"/>
            <w:hideMark/>
          </w:tcPr>
          <w:p w14:paraId="2B7E2B84" w14:textId="566A9A4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22582FD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C3DE21C" w14:textId="77777777" w:rsidTr="00E75B46">
        <w:tc>
          <w:tcPr>
            <w:tcW w:w="1667" w:type="pct"/>
            <w:vAlign w:val="center"/>
          </w:tcPr>
          <w:p w14:paraId="2847C5DF" w14:textId="0B7FC50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Valor a Equacionar</w:t>
            </w:r>
          </w:p>
        </w:tc>
        <w:tc>
          <w:tcPr>
            <w:tcW w:w="1669" w:type="pct"/>
            <w:shd w:val="clear" w:color="auto" w:fill="auto"/>
            <w:noWrap/>
            <w:vAlign w:val="center"/>
            <w:hideMark/>
          </w:tcPr>
          <w:p w14:paraId="003E890A" w14:textId="56F1156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Valor</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Equacionar</w:t>
            </w:r>
          </w:p>
        </w:tc>
        <w:tc>
          <w:tcPr>
            <w:tcW w:w="1664" w:type="pct"/>
            <w:shd w:val="clear" w:color="auto" w:fill="auto"/>
            <w:noWrap/>
            <w:vAlign w:val="center"/>
            <w:hideMark/>
          </w:tcPr>
          <w:p w14:paraId="7A1BE45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E753DBE" w14:textId="77777777" w:rsidTr="00E75B46">
        <w:tc>
          <w:tcPr>
            <w:tcW w:w="1667" w:type="pct"/>
            <w:vAlign w:val="center"/>
          </w:tcPr>
          <w:p w14:paraId="11EC4C5D" w14:textId="3FB5C41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24. O valor do déficit a ser equacionado deve ser apurado na avaliação atuarial realizada ao final de cada exercício social.</w:t>
            </w:r>
          </w:p>
        </w:tc>
        <w:tc>
          <w:tcPr>
            <w:tcW w:w="1669" w:type="pct"/>
            <w:shd w:val="clear" w:color="auto" w:fill="auto"/>
            <w:noWrap/>
            <w:vAlign w:val="center"/>
            <w:hideMark/>
          </w:tcPr>
          <w:p w14:paraId="13EF40ED" w14:textId="6790747A"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23</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social.</w:t>
            </w:r>
          </w:p>
        </w:tc>
        <w:tc>
          <w:tcPr>
            <w:tcW w:w="1664" w:type="pct"/>
            <w:shd w:val="clear" w:color="auto" w:fill="auto"/>
            <w:vAlign w:val="center"/>
            <w:hideMark/>
          </w:tcPr>
          <w:p w14:paraId="5C9A6FE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De qual exercício, o da apuração ou da aprovação do plano de equacionamento?</w:t>
            </w:r>
          </w:p>
        </w:tc>
      </w:tr>
      <w:tr w:rsidR="00225EB1" w:rsidRPr="00225EB1" w14:paraId="16EF1AE6" w14:textId="77777777" w:rsidTr="00E75B46">
        <w:tc>
          <w:tcPr>
            <w:tcW w:w="1667" w:type="pct"/>
            <w:vAlign w:val="center"/>
          </w:tcPr>
          <w:p w14:paraId="6F7744A0" w14:textId="3B3011C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§1º O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tc>
        <w:tc>
          <w:tcPr>
            <w:tcW w:w="1669" w:type="pct"/>
            <w:shd w:val="clear" w:color="auto" w:fill="auto"/>
            <w:noWrap/>
            <w:vAlign w:val="center"/>
            <w:hideMark/>
          </w:tcPr>
          <w:p w14:paraId="43CCD220" w14:textId="4746E08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corrigido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nominal,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consignado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p>
        </w:tc>
        <w:tc>
          <w:tcPr>
            <w:tcW w:w="1664" w:type="pct"/>
            <w:shd w:val="clear" w:color="auto" w:fill="auto"/>
            <w:noWrap/>
            <w:vAlign w:val="center"/>
            <w:hideMark/>
          </w:tcPr>
          <w:p w14:paraId="23A5E2B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55DD834" w14:textId="77777777" w:rsidTr="00E75B46">
        <w:tc>
          <w:tcPr>
            <w:tcW w:w="1667" w:type="pct"/>
            <w:vAlign w:val="center"/>
          </w:tcPr>
          <w:p w14:paraId="63EF14CC" w14:textId="3E25CE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Admite-se o reposicionamento do déficit a ser equacionado em momento posterior ao indicado no caput em caso de realização de avaliação atuarial por fato relevante, conforme determinado pelos §§ 1º e 2º do art. 2º desta Instrução.</w:t>
            </w:r>
          </w:p>
        </w:tc>
        <w:tc>
          <w:tcPr>
            <w:tcW w:w="1669" w:type="pct"/>
            <w:shd w:val="clear" w:color="auto" w:fill="auto"/>
            <w:noWrap/>
            <w:vAlign w:val="center"/>
            <w:hideMark/>
          </w:tcPr>
          <w:p w14:paraId="7AA6607A" w14:textId="6EC3885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reposicionamento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dispõe</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2º</w:t>
            </w:r>
            <w:r w:rsidRPr="00843426">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5BD0202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471EA7" w14:textId="77777777" w:rsidTr="00E75B46">
        <w:tc>
          <w:tcPr>
            <w:tcW w:w="1667" w:type="pct"/>
            <w:vAlign w:val="center"/>
          </w:tcPr>
          <w:p w14:paraId="465617AE" w14:textId="4B6E6B4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25.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1669" w:type="pct"/>
            <w:shd w:val="clear" w:color="auto" w:fill="auto"/>
            <w:noWrap/>
            <w:vAlign w:val="center"/>
            <w:hideMark/>
          </w:tcPr>
          <w:p w14:paraId="09040EF1" w14:textId="5C48E8B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24</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faculdade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aquele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preferencialmente,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absoluto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acumulado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4" w:type="pct"/>
            <w:shd w:val="clear" w:color="auto" w:fill="auto"/>
            <w:noWrap/>
            <w:vAlign w:val="center"/>
            <w:hideMark/>
          </w:tcPr>
          <w:p w14:paraId="7BBDF32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3DF476" w14:textId="77777777" w:rsidTr="00E75B46">
        <w:tc>
          <w:tcPr>
            <w:tcW w:w="1667" w:type="pct"/>
            <w:vAlign w:val="center"/>
          </w:tcPr>
          <w:p w14:paraId="35311C4C" w14:textId="661701B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w:t>
            </w:r>
          </w:p>
        </w:tc>
        <w:tc>
          <w:tcPr>
            <w:tcW w:w="1669" w:type="pct"/>
            <w:shd w:val="clear" w:color="auto" w:fill="auto"/>
            <w:noWrap/>
            <w:vAlign w:val="center"/>
            <w:hideMark/>
          </w:tcPr>
          <w:p w14:paraId="6768949A" w14:textId="5A0847E0"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3219C1D2"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4F4C2CA2" w14:textId="77777777" w:rsidTr="00E75B46">
        <w:tc>
          <w:tcPr>
            <w:tcW w:w="1667" w:type="pct"/>
            <w:vAlign w:val="center"/>
          </w:tcPr>
          <w:p w14:paraId="673DA95F" w14:textId="1BA9079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Plano de Equacionamento</w:t>
            </w:r>
          </w:p>
        </w:tc>
        <w:tc>
          <w:tcPr>
            <w:tcW w:w="1669" w:type="pct"/>
            <w:shd w:val="clear" w:color="auto" w:fill="auto"/>
            <w:noWrap/>
            <w:vAlign w:val="center"/>
            <w:hideMark/>
          </w:tcPr>
          <w:p w14:paraId="2A4083F7" w14:textId="693AF4E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Plano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Equacionamento</w:t>
            </w:r>
          </w:p>
        </w:tc>
        <w:tc>
          <w:tcPr>
            <w:tcW w:w="1664" w:type="pct"/>
            <w:shd w:val="clear" w:color="auto" w:fill="auto"/>
            <w:noWrap/>
            <w:vAlign w:val="center"/>
            <w:hideMark/>
          </w:tcPr>
          <w:p w14:paraId="0813752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88E13EC" w14:textId="77777777" w:rsidTr="00E75B46">
        <w:tc>
          <w:tcPr>
            <w:tcW w:w="1667" w:type="pct"/>
            <w:vAlign w:val="center"/>
          </w:tcPr>
          <w:p w14:paraId="66D00BE5" w14:textId="3E961F3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26. O início do plano de equacionamento corresponde à data de aplicação das formas </w:t>
            </w:r>
            <w:r w:rsidRPr="00225EB1">
              <w:rPr>
                <w:rFonts w:ascii="Calibri" w:hAnsi="Calibri" w:cs="Calibri"/>
                <w:sz w:val="24"/>
              </w:rPr>
              <w:lastRenderedPageBreak/>
              <w:t>adotadas para o equacionamento do déficit do plano de benefícios e deve ocorrer até o início de vigência do plano de custeio, no ano subsequente à aprovação do plano de equacionamento.</w:t>
            </w:r>
          </w:p>
        </w:tc>
        <w:tc>
          <w:tcPr>
            <w:tcW w:w="1669" w:type="pct"/>
            <w:shd w:val="clear" w:color="auto" w:fill="auto"/>
            <w:noWrap/>
            <w:vAlign w:val="center"/>
            <w:hideMark/>
          </w:tcPr>
          <w:p w14:paraId="083C5BF2" w14:textId="41040B3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25</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subsequente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tc>
        <w:tc>
          <w:tcPr>
            <w:tcW w:w="1664" w:type="pct"/>
            <w:shd w:val="clear" w:color="auto" w:fill="auto"/>
            <w:noWrap/>
            <w:vAlign w:val="center"/>
            <w:hideMark/>
          </w:tcPr>
          <w:p w14:paraId="0EA00A2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C46C347" w14:textId="77777777" w:rsidTr="00E75B46">
        <w:tc>
          <w:tcPr>
            <w:tcW w:w="1667" w:type="pct"/>
            <w:vAlign w:val="center"/>
          </w:tcPr>
          <w:p w14:paraId="685EC9CB" w14:textId="2037C97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27.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tc>
        <w:tc>
          <w:tcPr>
            <w:tcW w:w="1669" w:type="pct"/>
            <w:shd w:val="clear" w:color="auto" w:fill="auto"/>
            <w:noWrap/>
            <w:vAlign w:val="center"/>
            <w:hideMark/>
          </w:tcPr>
          <w:p w14:paraId="2AA66FBC" w14:textId="25E556C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26</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contemple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decrescente,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implementação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compatíveis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4E1955C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98C913F" w14:textId="77777777" w:rsidTr="00E75B46">
        <w:tc>
          <w:tcPr>
            <w:tcW w:w="1667" w:type="pct"/>
            <w:vAlign w:val="center"/>
          </w:tcPr>
          <w:p w14:paraId="682B6639" w14:textId="32FE0F8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Caso o plano de equacionamento estabeleça contribuições extraordinárias em termos de percentual aplicável sobre salários ou benefícios, a comprovação de que trata o caput será pelo percentual de contribuição, constante ou decrescente.</w:t>
            </w:r>
          </w:p>
        </w:tc>
        <w:tc>
          <w:tcPr>
            <w:tcW w:w="1669" w:type="pct"/>
            <w:shd w:val="clear" w:color="auto" w:fill="auto"/>
            <w:noWrap/>
            <w:vAlign w:val="center"/>
            <w:hideMark/>
          </w:tcPr>
          <w:p w14:paraId="754265B6" w14:textId="023DF49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extraordinárias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salários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percentual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decrescente.</w:t>
            </w:r>
          </w:p>
        </w:tc>
        <w:tc>
          <w:tcPr>
            <w:tcW w:w="1664" w:type="pct"/>
            <w:shd w:val="clear" w:color="auto" w:fill="auto"/>
            <w:noWrap/>
            <w:vAlign w:val="center"/>
            <w:hideMark/>
          </w:tcPr>
          <w:p w14:paraId="0F44E4B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DA56B8B" w14:textId="77777777" w:rsidTr="00E75B46">
        <w:tc>
          <w:tcPr>
            <w:tcW w:w="1667" w:type="pct"/>
            <w:vAlign w:val="center"/>
          </w:tcPr>
          <w:p w14:paraId="1DB7DC7C" w14:textId="6C3471D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28. A EFPC deve comprovar, anualmente, se o plano de equacionamento de déficit apresenta resultados efetivos, cabendo, em caso contrário, a adequação do plano, respeitando todas as condições regulatórias.</w:t>
            </w:r>
          </w:p>
        </w:tc>
        <w:tc>
          <w:tcPr>
            <w:tcW w:w="1669" w:type="pct"/>
            <w:shd w:val="clear" w:color="auto" w:fill="auto"/>
            <w:noWrap/>
            <w:vAlign w:val="center"/>
            <w:hideMark/>
          </w:tcPr>
          <w:p w14:paraId="1467EBDC" w14:textId="0CE9C22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27</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apresenta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resultados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efetivos,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respeitando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p>
        </w:tc>
        <w:tc>
          <w:tcPr>
            <w:tcW w:w="1664" w:type="pct"/>
            <w:shd w:val="clear" w:color="auto" w:fill="auto"/>
            <w:noWrap/>
            <w:vAlign w:val="center"/>
            <w:hideMark/>
          </w:tcPr>
          <w:p w14:paraId="71D0008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48BE392" w14:textId="77777777" w:rsidTr="00E75B46">
        <w:tc>
          <w:tcPr>
            <w:tcW w:w="1667" w:type="pct"/>
            <w:vAlign w:val="center"/>
          </w:tcPr>
          <w:p w14:paraId="27C96A2F" w14:textId="3301485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III</w:t>
            </w:r>
          </w:p>
        </w:tc>
        <w:tc>
          <w:tcPr>
            <w:tcW w:w="1669" w:type="pct"/>
            <w:shd w:val="clear" w:color="auto" w:fill="auto"/>
            <w:noWrap/>
            <w:vAlign w:val="center"/>
            <w:hideMark/>
          </w:tcPr>
          <w:p w14:paraId="1723868F" w14:textId="1A2433E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III</w:t>
            </w:r>
          </w:p>
        </w:tc>
        <w:tc>
          <w:tcPr>
            <w:tcW w:w="1664" w:type="pct"/>
            <w:shd w:val="clear" w:color="auto" w:fill="auto"/>
            <w:noWrap/>
            <w:vAlign w:val="center"/>
            <w:hideMark/>
          </w:tcPr>
          <w:p w14:paraId="48EDDDB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ED4C392" w14:textId="77777777" w:rsidTr="00E75B46">
        <w:tc>
          <w:tcPr>
            <w:tcW w:w="1667" w:type="pct"/>
            <w:vAlign w:val="center"/>
          </w:tcPr>
          <w:p w14:paraId="2F1004EB" w14:textId="5340DA4A"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lastRenderedPageBreak/>
              <w:t>Do Prazo de Amortização</w:t>
            </w:r>
          </w:p>
        </w:tc>
        <w:tc>
          <w:tcPr>
            <w:tcW w:w="1669" w:type="pct"/>
            <w:shd w:val="clear" w:color="auto" w:fill="auto"/>
            <w:noWrap/>
            <w:vAlign w:val="center"/>
            <w:hideMark/>
          </w:tcPr>
          <w:p w14:paraId="77B13763" w14:textId="7256520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Prazo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Amortização</w:t>
            </w:r>
          </w:p>
        </w:tc>
        <w:tc>
          <w:tcPr>
            <w:tcW w:w="1664" w:type="pct"/>
            <w:shd w:val="clear" w:color="auto" w:fill="auto"/>
            <w:noWrap/>
            <w:vAlign w:val="center"/>
            <w:hideMark/>
          </w:tcPr>
          <w:p w14:paraId="64A6D8A8"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8A5874E" w14:textId="77777777" w:rsidTr="00E75B46">
        <w:tc>
          <w:tcPr>
            <w:tcW w:w="1667" w:type="pct"/>
            <w:vAlign w:val="center"/>
          </w:tcPr>
          <w:p w14:paraId="79132E18" w14:textId="7A033AE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29.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tc>
        <w:tc>
          <w:tcPr>
            <w:tcW w:w="1669" w:type="pct"/>
            <w:shd w:val="clear" w:color="auto" w:fill="auto"/>
            <w:noWrap/>
            <w:vAlign w:val="center"/>
            <w:hideMark/>
          </w:tcPr>
          <w:p w14:paraId="4AC7C218" w14:textId="3B9953F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28</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déficit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receitas,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despesas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patrimônio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integralizar,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correspondente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evidenciado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6C6DE65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211F756" w14:textId="77777777" w:rsidTr="00E75B46">
        <w:tc>
          <w:tcPr>
            <w:tcW w:w="1667" w:type="pct"/>
            <w:vAlign w:val="center"/>
          </w:tcPr>
          <w:p w14:paraId="4325F9BE" w14:textId="7C09F54D"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Na ocorrência de nova insuficiência de cobertura patrimonial, que demande equacionamento antes do término da amortização referida no caput, deve ser realizada nova operação de equacionamento.</w:t>
            </w:r>
          </w:p>
        </w:tc>
        <w:tc>
          <w:tcPr>
            <w:tcW w:w="1669" w:type="pct"/>
            <w:shd w:val="clear" w:color="auto" w:fill="auto"/>
            <w:noWrap/>
            <w:vAlign w:val="center"/>
            <w:hideMark/>
          </w:tcPr>
          <w:p w14:paraId="0BF7BCA2" w14:textId="41E2637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patrimonial,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demande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término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amortização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operação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tc>
        <w:tc>
          <w:tcPr>
            <w:tcW w:w="1664" w:type="pct"/>
            <w:shd w:val="clear" w:color="auto" w:fill="auto"/>
            <w:noWrap/>
            <w:vAlign w:val="center"/>
            <w:hideMark/>
          </w:tcPr>
          <w:p w14:paraId="3A0C5251"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43E9F23" w14:textId="77777777" w:rsidTr="00E75B46">
        <w:tc>
          <w:tcPr>
            <w:tcW w:w="1667" w:type="pct"/>
            <w:vAlign w:val="center"/>
          </w:tcPr>
          <w:p w14:paraId="520957DB" w14:textId="1ACBFFE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IV</w:t>
            </w:r>
          </w:p>
        </w:tc>
        <w:tc>
          <w:tcPr>
            <w:tcW w:w="1669" w:type="pct"/>
            <w:shd w:val="clear" w:color="auto" w:fill="auto"/>
            <w:noWrap/>
            <w:vAlign w:val="center"/>
            <w:hideMark/>
          </w:tcPr>
          <w:p w14:paraId="3A385B86" w14:textId="2557AE7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IV</w:t>
            </w:r>
          </w:p>
        </w:tc>
        <w:tc>
          <w:tcPr>
            <w:tcW w:w="1664" w:type="pct"/>
            <w:shd w:val="clear" w:color="auto" w:fill="auto"/>
            <w:noWrap/>
            <w:vAlign w:val="center"/>
            <w:hideMark/>
          </w:tcPr>
          <w:p w14:paraId="1F1BED30"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99AF6FB" w14:textId="77777777" w:rsidTr="00E75B46">
        <w:tc>
          <w:tcPr>
            <w:tcW w:w="1667" w:type="pct"/>
            <w:vAlign w:val="center"/>
          </w:tcPr>
          <w:p w14:paraId="6E9E46D6" w14:textId="1F24829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Dos Instrumentos Contratuais</w:t>
            </w:r>
          </w:p>
        </w:tc>
        <w:tc>
          <w:tcPr>
            <w:tcW w:w="1669" w:type="pct"/>
            <w:shd w:val="clear" w:color="auto" w:fill="auto"/>
            <w:noWrap/>
            <w:vAlign w:val="center"/>
            <w:hideMark/>
          </w:tcPr>
          <w:p w14:paraId="55F83890" w14:textId="68D1EC45"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Instrumentos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Contratuais</w:t>
            </w:r>
          </w:p>
        </w:tc>
        <w:tc>
          <w:tcPr>
            <w:tcW w:w="1664" w:type="pct"/>
            <w:shd w:val="clear" w:color="auto" w:fill="auto"/>
            <w:noWrap/>
            <w:vAlign w:val="center"/>
            <w:hideMark/>
          </w:tcPr>
          <w:p w14:paraId="2E9EC31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7767ABD" w14:textId="77777777" w:rsidTr="00E75B46">
        <w:tc>
          <w:tcPr>
            <w:tcW w:w="1667" w:type="pct"/>
            <w:vAlign w:val="center"/>
          </w:tcPr>
          <w:p w14:paraId="1B3D9C9F" w14:textId="56B23CCF"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30.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tc>
        <w:tc>
          <w:tcPr>
            <w:tcW w:w="1669" w:type="pct"/>
            <w:shd w:val="clear" w:color="auto" w:fill="auto"/>
            <w:noWrap/>
            <w:vAlign w:val="center"/>
            <w:hideMark/>
          </w:tcPr>
          <w:p w14:paraId="0A444BBA" w14:textId="7893910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29</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firmados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cláusula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automática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ganhos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vinculada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7919DCC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132B99E" w14:textId="77777777" w:rsidTr="00E75B46">
        <w:tc>
          <w:tcPr>
            <w:tcW w:w="1667" w:type="pct"/>
            <w:vAlign w:val="center"/>
          </w:tcPr>
          <w:p w14:paraId="1EB0A8B7" w14:textId="0ED3B14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§1º O valor do equilíbrio técnico ajustado negativo somente pode ser incorporado ao </w:t>
            </w:r>
            <w:r w:rsidRPr="00225EB1">
              <w:rPr>
                <w:rFonts w:ascii="Calibri" w:hAnsi="Calibri" w:cs="Calibri"/>
                <w:sz w:val="24"/>
              </w:rPr>
              <w:lastRenderedPageBreak/>
              <w:t>saldo devedor dos instrumentos contratuais de dívida dos patrocinadores quando o prazo remanescente da dívida for igual ou inferior ao prazo máximo de equacionamento.</w:t>
            </w:r>
          </w:p>
        </w:tc>
        <w:tc>
          <w:tcPr>
            <w:tcW w:w="1669" w:type="pct"/>
            <w:shd w:val="clear" w:color="auto" w:fill="auto"/>
            <w:noWrap/>
            <w:vAlign w:val="center"/>
            <w:hideMark/>
          </w:tcPr>
          <w:p w14:paraId="74C2C926" w14:textId="7203693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incorporado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remanescente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igual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máximo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equacionamento.</w:t>
            </w:r>
          </w:p>
        </w:tc>
        <w:tc>
          <w:tcPr>
            <w:tcW w:w="1664" w:type="pct"/>
            <w:shd w:val="clear" w:color="auto" w:fill="auto"/>
            <w:noWrap/>
            <w:vAlign w:val="center"/>
            <w:hideMark/>
          </w:tcPr>
          <w:p w14:paraId="6FABAE8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9CA95FA" w14:textId="77777777" w:rsidTr="00E75B46">
        <w:tc>
          <w:tcPr>
            <w:tcW w:w="1667" w:type="pct"/>
            <w:vAlign w:val="center"/>
          </w:tcPr>
          <w:p w14:paraId="1D886136" w14:textId="6A44059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O valor do equilíbrio técnico ajustado positivo ou negativo utilizado para revisão anual do saldo devedor da dívida do patrocinador, na forma do caput, deve observar as proporções contributivas definidas para o rateio da insuficiência entre participantes, assistidos e patrocinadores.</w:t>
            </w:r>
          </w:p>
        </w:tc>
        <w:tc>
          <w:tcPr>
            <w:tcW w:w="1669" w:type="pct"/>
            <w:shd w:val="clear" w:color="auto" w:fill="auto"/>
            <w:noWrap/>
            <w:vAlign w:val="center"/>
            <w:hideMark/>
          </w:tcPr>
          <w:p w14:paraId="07982A40" w14:textId="7966192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equilíbrio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ajustado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positivo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negativo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dívida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proporções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definidas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rateio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p>
        </w:tc>
        <w:tc>
          <w:tcPr>
            <w:tcW w:w="1664" w:type="pct"/>
            <w:shd w:val="clear" w:color="auto" w:fill="auto"/>
            <w:noWrap/>
            <w:vAlign w:val="center"/>
            <w:hideMark/>
          </w:tcPr>
          <w:p w14:paraId="739995A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36034FE" w14:textId="77777777" w:rsidTr="00E75B46">
        <w:tc>
          <w:tcPr>
            <w:tcW w:w="1667" w:type="pct"/>
            <w:vAlign w:val="center"/>
          </w:tcPr>
          <w:p w14:paraId="60F75CE1" w14:textId="4E968EA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§3º O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1669" w:type="pct"/>
            <w:shd w:val="clear" w:color="auto" w:fill="auto"/>
            <w:noWrap/>
            <w:vAlign w:val="center"/>
            <w:hideMark/>
          </w:tcPr>
          <w:p w14:paraId="4A111029" w14:textId="3530F1C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3º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receitas,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despesas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patrimônio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matéria.</w:t>
            </w:r>
          </w:p>
        </w:tc>
        <w:tc>
          <w:tcPr>
            <w:tcW w:w="1664" w:type="pct"/>
            <w:shd w:val="clear" w:color="auto" w:fill="auto"/>
            <w:noWrap/>
            <w:vAlign w:val="center"/>
            <w:hideMark/>
          </w:tcPr>
          <w:p w14:paraId="0BA5C36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B6BCAFE" w14:textId="77777777" w:rsidTr="00E75B46">
        <w:tc>
          <w:tcPr>
            <w:tcW w:w="1667" w:type="pct"/>
            <w:vAlign w:val="center"/>
          </w:tcPr>
          <w:p w14:paraId="2BC01BB2" w14:textId="00EB63A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VIII</w:t>
            </w:r>
          </w:p>
        </w:tc>
        <w:tc>
          <w:tcPr>
            <w:tcW w:w="1669" w:type="pct"/>
            <w:shd w:val="clear" w:color="auto" w:fill="auto"/>
            <w:noWrap/>
            <w:vAlign w:val="center"/>
            <w:hideMark/>
          </w:tcPr>
          <w:p w14:paraId="2C0441B0" w14:textId="79F1EC8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VII</w:t>
            </w:r>
          </w:p>
        </w:tc>
        <w:tc>
          <w:tcPr>
            <w:tcW w:w="1664" w:type="pct"/>
            <w:shd w:val="clear" w:color="auto" w:fill="auto"/>
            <w:noWrap/>
            <w:vAlign w:val="center"/>
            <w:hideMark/>
          </w:tcPr>
          <w:p w14:paraId="3A58D62E"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E6EFB1B" w14:textId="77777777" w:rsidTr="00E75B46">
        <w:tc>
          <w:tcPr>
            <w:tcW w:w="1667" w:type="pct"/>
            <w:vAlign w:val="center"/>
          </w:tcPr>
          <w:p w14:paraId="10D18831" w14:textId="6159CB7D"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DO ESTUDO TÉCNICO DE ADEQUAÇÃO DAS HIPÓTESES ATUARIAIS</w:t>
            </w:r>
          </w:p>
        </w:tc>
        <w:tc>
          <w:tcPr>
            <w:tcW w:w="1669" w:type="pct"/>
            <w:shd w:val="clear" w:color="auto" w:fill="auto"/>
            <w:noWrap/>
            <w:vAlign w:val="center"/>
            <w:hideMark/>
          </w:tcPr>
          <w:p w14:paraId="4F516A89" w14:textId="1312C396"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Estudo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Técnico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Adequação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das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Hipóteses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Atuariais</w:t>
            </w:r>
          </w:p>
        </w:tc>
        <w:tc>
          <w:tcPr>
            <w:tcW w:w="1664" w:type="pct"/>
            <w:shd w:val="clear" w:color="auto" w:fill="auto"/>
            <w:noWrap/>
            <w:vAlign w:val="center"/>
            <w:hideMark/>
          </w:tcPr>
          <w:p w14:paraId="0170F4EC"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37348AC" w14:textId="77777777" w:rsidTr="00E75B46">
        <w:tc>
          <w:tcPr>
            <w:tcW w:w="1667" w:type="pct"/>
            <w:vAlign w:val="center"/>
          </w:tcPr>
          <w:p w14:paraId="62074EC0" w14:textId="4CE0567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Seção I</w:t>
            </w:r>
          </w:p>
        </w:tc>
        <w:tc>
          <w:tcPr>
            <w:tcW w:w="1669" w:type="pct"/>
            <w:shd w:val="clear" w:color="auto" w:fill="auto"/>
            <w:noWrap/>
            <w:vAlign w:val="center"/>
            <w:hideMark/>
          </w:tcPr>
          <w:p w14:paraId="212C350E" w14:textId="031F6FD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37FC27C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03F00DE3" w14:textId="77777777" w:rsidTr="00E75B46">
        <w:tc>
          <w:tcPr>
            <w:tcW w:w="1667" w:type="pct"/>
            <w:vAlign w:val="center"/>
          </w:tcPr>
          <w:p w14:paraId="1F2BB515" w14:textId="5563348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Das Definições e dos Requisitos Gerais</w:t>
            </w:r>
          </w:p>
        </w:tc>
        <w:tc>
          <w:tcPr>
            <w:tcW w:w="1669" w:type="pct"/>
            <w:shd w:val="clear" w:color="auto" w:fill="auto"/>
            <w:noWrap/>
            <w:vAlign w:val="center"/>
            <w:hideMark/>
          </w:tcPr>
          <w:p w14:paraId="00A4115F" w14:textId="0A967688"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Requisitos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Gerais</w:t>
            </w:r>
          </w:p>
        </w:tc>
        <w:tc>
          <w:tcPr>
            <w:tcW w:w="1664" w:type="pct"/>
            <w:shd w:val="clear" w:color="auto" w:fill="auto"/>
            <w:noWrap/>
            <w:vAlign w:val="center"/>
            <w:hideMark/>
          </w:tcPr>
          <w:p w14:paraId="313B254E" w14:textId="1D1241CE" w:rsidR="00A6584C" w:rsidRPr="00843426" w:rsidRDefault="006E1B96" w:rsidP="00EB77BF">
            <w:pPr>
              <w:spacing w:after="0" w:line="240" w:lineRule="auto"/>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Ajuste redacional.</w:t>
            </w:r>
          </w:p>
        </w:tc>
      </w:tr>
      <w:tr w:rsidR="00225EB1" w:rsidRPr="00225EB1" w14:paraId="337A2C9A" w14:textId="77777777" w:rsidTr="00E75B46">
        <w:tc>
          <w:tcPr>
            <w:tcW w:w="1667" w:type="pct"/>
            <w:vAlign w:val="center"/>
          </w:tcPr>
          <w:p w14:paraId="3DB1FF3C" w14:textId="59E2280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31. Toda a hipótese atuarial adotada para avaliação atuarial de plano de benefícios deve estar embasada em estudo técnico de adequação.</w:t>
            </w:r>
          </w:p>
        </w:tc>
        <w:tc>
          <w:tcPr>
            <w:tcW w:w="1669" w:type="pct"/>
            <w:shd w:val="clear" w:color="auto" w:fill="auto"/>
            <w:noWrap/>
            <w:vAlign w:val="center"/>
            <w:hideMark/>
          </w:tcPr>
          <w:p w14:paraId="4361B923" w14:textId="10BD937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30</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p>
        </w:tc>
        <w:tc>
          <w:tcPr>
            <w:tcW w:w="1664" w:type="pct"/>
            <w:shd w:val="clear" w:color="auto" w:fill="auto"/>
            <w:noWrap/>
            <w:vAlign w:val="center"/>
            <w:hideMark/>
          </w:tcPr>
          <w:p w14:paraId="17084E15" w14:textId="06A0B2B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119A8F4" w14:textId="77777777" w:rsidTr="00E75B46">
        <w:tc>
          <w:tcPr>
            <w:tcW w:w="1667" w:type="pct"/>
            <w:vAlign w:val="center"/>
          </w:tcPr>
          <w:p w14:paraId="203B78C0" w14:textId="5427903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32. O estudo técnico de adequação é o instrumento técnico de responsabilidade da EFPC, no qual devem ser demonstradas para cada plano de benefícios:</w:t>
            </w:r>
          </w:p>
        </w:tc>
        <w:tc>
          <w:tcPr>
            <w:tcW w:w="1669" w:type="pct"/>
            <w:shd w:val="clear" w:color="auto" w:fill="auto"/>
            <w:noWrap/>
            <w:vAlign w:val="center"/>
            <w:hideMark/>
          </w:tcPr>
          <w:p w14:paraId="7B02FBEF" w14:textId="4E90371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31</w:t>
            </w:r>
            <w:r w:rsidR="00BE61B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instrumento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3C87EA4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7301BE3" w14:textId="77777777" w:rsidTr="00E75B46">
        <w:tc>
          <w:tcPr>
            <w:tcW w:w="1667" w:type="pct"/>
            <w:vAlign w:val="center"/>
          </w:tcPr>
          <w:p w14:paraId="0C32CFEE" w14:textId="0CD4030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tc>
        <w:tc>
          <w:tcPr>
            <w:tcW w:w="1669" w:type="pct"/>
            <w:shd w:val="clear" w:color="auto" w:fill="auto"/>
            <w:noWrap/>
            <w:vAlign w:val="center"/>
            <w:hideMark/>
          </w:tcPr>
          <w:p w14:paraId="09601B69" w14:textId="7D57599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retorno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garantidores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relacionados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nível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47083C7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18226AD" w14:textId="77777777" w:rsidTr="00E75B46">
        <w:tc>
          <w:tcPr>
            <w:tcW w:w="1667" w:type="pct"/>
            <w:vAlign w:val="center"/>
          </w:tcPr>
          <w:p w14:paraId="295850F7" w14:textId="3C8582E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 aderência das demais hipóteses biométricas, demográficas, econômicas e financeiras às características da massa de participantes e assistidos e do plano de benefícios.</w:t>
            </w:r>
          </w:p>
        </w:tc>
        <w:tc>
          <w:tcPr>
            <w:tcW w:w="1669" w:type="pct"/>
            <w:shd w:val="clear" w:color="auto" w:fill="auto"/>
            <w:noWrap/>
            <w:vAlign w:val="center"/>
            <w:hideMark/>
          </w:tcPr>
          <w:p w14:paraId="19C3914C" w14:textId="2CE32276"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demográficas,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características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7EA9CAA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08FC71A" w14:textId="77777777" w:rsidTr="00E75B46">
        <w:tc>
          <w:tcPr>
            <w:tcW w:w="1667" w:type="pct"/>
            <w:vAlign w:val="center"/>
          </w:tcPr>
          <w:p w14:paraId="31E5329B" w14:textId="68FBC3D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33. O estudo técnico de adequação deve:</w:t>
            </w:r>
          </w:p>
        </w:tc>
        <w:tc>
          <w:tcPr>
            <w:tcW w:w="1669" w:type="pct"/>
            <w:shd w:val="clear" w:color="auto" w:fill="auto"/>
            <w:noWrap/>
            <w:vAlign w:val="center"/>
            <w:hideMark/>
          </w:tcPr>
          <w:p w14:paraId="3D8ACABA" w14:textId="33EC1AC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9443F4">
              <w:rPr>
                <w:rFonts w:ascii="Calibri" w:eastAsia="Times New Roman" w:hAnsi="Calibri" w:cs="Calibri"/>
                <w:kern w:val="0"/>
                <w:sz w:val="24"/>
                <w:szCs w:val="24"/>
                <w:lang w:eastAsia="pt-BR"/>
                <w14:ligatures w14:val="none"/>
              </w:rPr>
              <w:t>32</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tc>
        <w:tc>
          <w:tcPr>
            <w:tcW w:w="1664" w:type="pct"/>
            <w:shd w:val="clear" w:color="auto" w:fill="auto"/>
            <w:noWrap/>
            <w:vAlign w:val="center"/>
            <w:hideMark/>
          </w:tcPr>
          <w:p w14:paraId="1090044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33A36C6" w14:textId="77777777" w:rsidTr="00E75B46">
        <w:tc>
          <w:tcPr>
            <w:tcW w:w="1667" w:type="pct"/>
            <w:vAlign w:val="center"/>
          </w:tcPr>
          <w:p w14:paraId="434874BE" w14:textId="1D93F1F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estar acompanhado de parecer conclusivo do atuário acerca do conjunto de hipóteses tecnicamente adequado ao plano de benefícios, considerando a aderência e a convergência verificadas nos estudos;</w:t>
            </w:r>
          </w:p>
        </w:tc>
        <w:tc>
          <w:tcPr>
            <w:tcW w:w="1669" w:type="pct"/>
            <w:shd w:val="clear" w:color="auto" w:fill="auto"/>
            <w:noWrap/>
            <w:vAlign w:val="center"/>
            <w:hideMark/>
          </w:tcPr>
          <w:p w14:paraId="7C4831A7" w14:textId="3B0B25B4"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acompanhado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conclusivo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tecnicamente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verificadas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estudos;</w:t>
            </w:r>
          </w:p>
        </w:tc>
        <w:tc>
          <w:tcPr>
            <w:tcW w:w="1664" w:type="pct"/>
            <w:shd w:val="clear" w:color="auto" w:fill="auto"/>
            <w:noWrap/>
            <w:vAlign w:val="center"/>
            <w:hideMark/>
          </w:tcPr>
          <w:p w14:paraId="78A5C016"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E79E5DA" w14:textId="77777777" w:rsidTr="00E75B46">
        <w:tc>
          <w:tcPr>
            <w:tcW w:w="1667" w:type="pct"/>
            <w:vAlign w:val="center"/>
          </w:tcPr>
          <w:p w14:paraId="668986F3" w14:textId="4FB707D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possuir atestado de validação, expedido pelo Administrador Estatutário Tecnicamente Qualificado (AETQ), relativo às informações de investimento utilizadas no estudo técnico; e</w:t>
            </w:r>
          </w:p>
        </w:tc>
        <w:tc>
          <w:tcPr>
            <w:tcW w:w="1669" w:type="pct"/>
            <w:shd w:val="clear" w:color="auto" w:fill="auto"/>
            <w:noWrap/>
            <w:vAlign w:val="center"/>
            <w:hideMark/>
          </w:tcPr>
          <w:p w14:paraId="58A5DA85" w14:textId="71B4E35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expedido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Administrador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Estatutário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Tecnicamente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Qualificado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(AETQ),</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6DBD0F0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57E8EA" w14:textId="77777777" w:rsidTr="00E75B46">
        <w:tc>
          <w:tcPr>
            <w:tcW w:w="1667" w:type="pct"/>
            <w:vAlign w:val="center"/>
          </w:tcPr>
          <w:p w14:paraId="6F4341BE" w14:textId="3BB4C54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III - possuir atestado de validação, expedido pelo ARPB, relativo aos dados cadastrais e demais informações referentes ao passivo atuarial utilizados no estudo técnico.</w:t>
            </w:r>
          </w:p>
        </w:tc>
        <w:tc>
          <w:tcPr>
            <w:tcW w:w="1669" w:type="pct"/>
            <w:shd w:val="clear" w:color="auto" w:fill="auto"/>
            <w:noWrap/>
            <w:vAlign w:val="center"/>
            <w:hideMark/>
          </w:tcPr>
          <w:p w14:paraId="6F8E389D" w14:textId="5E04008B"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possuir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atestado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expedido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p>
        </w:tc>
        <w:tc>
          <w:tcPr>
            <w:tcW w:w="1664" w:type="pct"/>
            <w:shd w:val="clear" w:color="auto" w:fill="auto"/>
            <w:noWrap/>
            <w:vAlign w:val="center"/>
            <w:hideMark/>
          </w:tcPr>
          <w:p w14:paraId="3E1ECE9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5509A03" w14:textId="77777777" w:rsidTr="00E75B46">
        <w:tc>
          <w:tcPr>
            <w:tcW w:w="1667" w:type="pct"/>
            <w:vAlign w:val="center"/>
          </w:tcPr>
          <w:p w14:paraId="780AE37C" w14:textId="21003C03"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34. Em relação ao procedimento de elaboração, o estudo técnico de adequação deve ser:</w:t>
            </w:r>
          </w:p>
        </w:tc>
        <w:tc>
          <w:tcPr>
            <w:tcW w:w="1669" w:type="pct"/>
            <w:shd w:val="clear" w:color="auto" w:fill="auto"/>
            <w:noWrap/>
            <w:vAlign w:val="center"/>
            <w:hideMark/>
          </w:tcPr>
          <w:p w14:paraId="755105D1" w14:textId="6D55064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33</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procedimento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4" w:type="pct"/>
            <w:shd w:val="clear" w:color="auto" w:fill="auto"/>
            <w:noWrap/>
            <w:vAlign w:val="center"/>
            <w:hideMark/>
          </w:tcPr>
          <w:p w14:paraId="40591BA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F35AB7E" w14:textId="77777777" w:rsidTr="00E75B46">
        <w:tc>
          <w:tcPr>
            <w:tcW w:w="1667" w:type="pct"/>
            <w:vAlign w:val="center"/>
          </w:tcPr>
          <w:p w14:paraId="764036F1" w14:textId="210AFA1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elaborado pelo atuário habilitado e legalmente responsável pelo plano de benefícios;</w:t>
            </w:r>
          </w:p>
        </w:tc>
        <w:tc>
          <w:tcPr>
            <w:tcW w:w="1669" w:type="pct"/>
            <w:shd w:val="clear" w:color="auto" w:fill="auto"/>
            <w:noWrap/>
            <w:vAlign w:val="center"/>
            <w:hideMark/>
          </w:tcPr>
          <w:p w14:paraId="1A04DD58" w14:textId="73BC9DB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47AC312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98206BA" w14:textId="77777777" w:rsidTr="00E75B46">
        <w:tc>
          <w:tcPr>
            <w:tcW w:w="1667" w:type="pct"/>
            <w:vAlign w:val="center"/>
          </w:tcPr>
          <w:p w14:paraId="63648183" w14:textId="3D27E96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embasado em informações fornecidas pela EFPC e pelo respectivo patrocinador ou instituidor.</w:t>
            </w:r>
          </w:p>
        </w:tc>
        <w:tc>
          <w:tcPr>
            <w:tcW w:w="1669" w:type="pct"/>
            <w:shd w:val="clear" w:color="auto" w:fill="auto"/>
            <w:noWrap/>
            <w:vAlign w:val="center"/>
            <w:hideMark/>
          </w:tcPr>
          <w:p w14:paraId="4915491C" w14:textId="7FD1A82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fornecidas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w:t>
            </w:r>
          </w:p>
        </w:tc>
        <w:tc>
          <w:tcPr>
            <w:tcW w:w="1664" w:type="pct"/>
            <w:shd w:val="clear" w:color="auto" w:fill="auto"/>
            <w:noWrap/>
            <w:vAlign w:val="center"/>
            <w:hideMark/>
          </w:tcPr>
          <w:p w14:paraId="50A2A5E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FC291E0" w14:textId="77777777" w:rsidTr="00E75B46">
        <w:tc>
          <w:tcPr>
            <w:tcW w:w="1667" w:type="pct"/>
            <w:vAlign w:val="center"/>
          </w:tcPr>
          <w:p w14:paraId="29248228" w14:textId="3F326AC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Os dados cadastrais e demais informações referentes ao passivo atuarial devem ser providenciados pelo ARPB e as informações relativas aos investimentos devem ser providenciadas pelo AETQ.</w:t>
            </w:r>
          </w:p>
        </w:tc>
        <w:tc>
          <w:tcPr>
            <w:tcW w:w="1669" w:type="pct"/>
            <w:shd w:val="clear" w:color="auto" w:fill="auto"/>
            <w:noWrap/>
            <w:vAlign w:val="center"/>
            <w:hideMark/>
          </w:tcPr>
          <w:p w14:paraId="7FB20CA1" w14:textId="74F7829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cadastrais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providenciados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investimentos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providenciadas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AETQ.</w:t>
            </w:r>
          </w:p>
        </w:tc>
        <w:tc>
          <w:tcPr>
            <w:tcW w:w="1664" w:type="pct"/>
            <w:shd w:val="clear" w:color="auto" w:fill="auto"/>
            <w:vAlign w:val="center"/>
            <w:hideMark/>
          </w:tcPr>
          <w:p w14:paraId="6C9B80B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5270024" w14:textId="77777777" w:rsidTr="00E75B46">
        <w:tc>
          <w:tcPr>
            <w:tcW w:w="1667" w:type="pct"/>
            <w:vAlign w:val="center"/>
          </w:tcPr>
          <w:p w14:paraId="50795E9B" w14:textId="0C3794B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caput.</w:t>
            </w:r>
          </w:p>
        </w:tc>
        <w:tc>
          <w:tcPr>
            <w:tcW w:w="1669" w:type="pct"/>
            <w:shd w:val="clear" w:color="auto" w:fill="auto"/>
            <w:noWrap/>
            <w:vAlign w:val="center"/>
            <w:hideMark/>
          </w:tcPr>
          <w:p w14:paraId="78E43D73" w14:textId="5903621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solicitar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manifestação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fundamentada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acerca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guardem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atividades,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subsídio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dessas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67166DAB"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F96D226" w14:textId="77777777" w:rsidTr="00E75B46">
        <w:tc>
          <w:tcPr>
            <w:tcW w:w="1667" w:type="pct"/>
            <w:vAlign w:val="center"/>
          </w:tcPr>
          <w:p w14:paraId="62223FD6" w14:textId="4B50CEF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35. Em relação ao prazo de validade, o estudo técnico de adequação deve ter:</w:t>
            </w:r>
          </w:p>
        </w:tc>
        <w:tc>
          <w:tcPr>
            <w:tcW w:w="1669" w:type="pct"/>
            <w:shd w:val="clear" w:color="auto" w:fill="auto"/>
            <w:noWrap/>
            <w:vAlign w:val="center"/>
            <w:hideMark/>
          </w:tcPr>
          <w:p w14:paraId="774329A7" w14:textId="3647744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34</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p>
        </w:tc>
        <w:tc>
          <w:tcPr>
            <w:tcW w:w="1664" w:type="pct"/>
            <w:shd w:val="clear" w:color="auto" w:fill="auto"/>
            <w:noWrap/>
            <w:vAlign w:val="center"/>
            <w:hideMark/>
          </w:tcPr>
          <w:p w14:paraId="66A1E62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CA1EABF" w14:textId="77777777" w:rsidTr="00E75B46">
        <w:tc>
          <w:tcPr>
            <w:tcW w:w="1667" w:type="pct"/>
            <w:vAlign w:val="center"/>
          </w:tcPr>
          <w:p w14:paraId="4588DAAF" w14:textId="762123E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I - validade geral máxima de três anos, contados a partir da data de sua realização, cabendo ao ARPB avaliar e indicar a necessidade de realização em menor período, conforme parecer do atuário habilitado e legalmente responsável pelo plano de benefícios.</w:t>
            </w:r>
          </w:p>
        </w:tc>
        <w:tc>
          <w:tcPr>
            <w:tcW w:w="1669" w:type="pct"/>
            <w:shd w:val="clear" w:color="auto" w:fill="auto"/>
            <w:noWrap/>
            <w:vAlign w:val="center"/>
            <w:hideMark/>
          </w:tcPr>
          <w:p w14:paraId="44F918AC" w14:textId="318969F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máxima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três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cabendo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ARPB</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menor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período,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conforme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parecer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habilitado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responsável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2334504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B114655" w14:textId="77777777" w:rsidTr="00E75B46">
        <w:tc>
          <w:tcPr>
            <w:tcW w:w="1667" w:type="pct"/>
            <w:vAlign w:val="center"/>
          </w:tcPr>
          <w:p w14:paraId="78F70651" w14:textId="706A97D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validade específica em relação à hipótese de taxa real anual de juros de um ano.</w:t>
            </w:r>
          </w:p>
        </w:tc>
        <w:tc>
          <w:tcPr>
            <w:tcW w:w="1669" w:type="pct"/>
            <w:shd w:val="clear" w:color="auto" w:fill="auto"/>
            <w:noWrap/>
            <w:vAlign w:val="center"/>
            <w:hideMark/>
          </w:tcPr>
          <w:p w14:paraId="3925C7D3" w14:textId="0AF1413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p>
        </w:tc>
        <w:tc>
          <w:tcPr>
            <w:tcW w:w="1664" w:type="pct"/>
            <w:shd w:val="clear" w:color="auto" w:fill="auto"/>
            <w:noWrap/>
            <w:vAlign w:val="center"/>
            <w:hideMark/>
          </w:tcPr>
          <w:p w14:paraId="796FC270"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374F05C" w14:textId="77777777" w:rsidTr="00E75B46">
        <w:tc>
          <w:tcPr>
            <w:tcW w:w="1667" w:type="pct"/>
            <w:vAlign w:val="center"/>
          </w:tcPr>
          <w:p w14:paraId="131425D1" w14:textId="3A70F38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validade do estudo técnico de adequação para a hipótese de tábua de mortalidade geral, que trata o inciso I deste artigo, será de cinco anos para os planos de benefícios que adotarem tábua geracional de mortalidade geral com a respectiva escala de melhoria de longevidade.</w:t>
            </w:r>
          </w:p>
        </w:tc>
        <w:tc>
          <w:tcPr>
            <w:tcW w:w="1669" w:type="pct"/>
            <w:shd w:val="clear" w:color="auto" w:fill="auto"/>
            <w:noWrap/>
            <w:vAlign w:val="center"/>
            <w:hideMark/>
          </w:tcPr>
          <w:p w14:paraId="7073D12B" w14:textId="526C30A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001E5561">
              <w:rPr>
                <w:rFonts w:ascii="Calibri" w:eastAsia="Times New Roman" w:hAnsi="Calibri" w:cs="Calibri"/>
                <w:kern w:val="0"/>
                <w:sz w:val="24"/>
                <w:szCs w:val="24"/>
                <w:lang w:eastAsia="pt-BR"/>
                <w14:ligatures w14:val="none"/>
              </w:rPr>
              <w:t xml:space="preserve">do </w:t>
            </w:r>
            <w:r w:rsidR="001E5561" w:rsidRPr="001E5561">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será</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cinco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tábua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escala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melhoria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longevidade.</w:t>
            </w:r>
          </w:p>
        </w:tc>
        <w:tc>
          <w:tcPr>
            <w:tcW w:w="1664" w:type="pct"/>
            <w:shd w:val="clear" w:color="auto" w:fill="auto"/>
            <w:noWrap/>
            <w:vAlign w:val="center"/>
            <w:hideMark/>
          </w:tcPr>
          <w:p w14:paraId="262C443A"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E6AD23" w14:textId="77777777" w:rsidTr="00E75B46">
        <w:tc>
          <w:tcPr>
            <w:tcW w:w="1667" w:type="pct"/>
            <w:vAlign w:val="center"/>
          </w:tcPr>
          <w:p w14:paraId="43DC7109" w14:textId="5A4D4D5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36. Na ocorrência de fato relevante que enseje a elaboração de nova avaliação atuarial, o estudo técnico de adequação deve refletir a nova realidade do plano de benefícios.</w:t>
            </w:r>
          </w:p>
        </w:tc>
        <w:tc>
          <w:tcPr>
            <w:tcW w:w="1669" w:type="pct"/>
            <w:shd w:val="clear" w:color="auto" w:fill="auto"/>
            <w:noWrap/>
            <w:vAlign w:val="center"/>
            <w:hideMark/>
          </w:tcPr>
          <w:p w14:paraId="2D0C4418" w14:textId="300F7AD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35</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relevante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enseje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refletir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4A9D25E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0AB8EF6" w14:textId="77777777" w:rsidTr="00E75B46">
        <w:tc>
          <w:tcPr>
            <w:tcW w:w="1667" w:type="pct"/>
            <w:vAlign w:val="center"/>
          </w:tcPr>
          <w:p w14:paraId="0EAB1AD3" w14:textId="629D06C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37. A Previc pode determinar, a qualquer tempo, a realização de novo estudo técnico de adequação caso o estudo original seja avaliado como inconsistente ou insuficiente, apontando especificamente as inconsistências ou insuficiências a serem </w:t>
            </w:r>
            <w:r w:rsidRPr="00225EB1">
              <w:rPr>
                <w:rFonts w:ascii="Calibri" w:hAnsi="Calibri" w:cs="Calibri"/>
                <w:sz w:val="24"/>
              </w:rPr>
              <w:lastRenderedPageBreak/>
              <w:t>sanadas, bem como o devido embasamento técnico ou normativo.</w:t>
            </w:r>
          </w:p>
        </w:tc>
        <w:tc>
          <w:tcPr>
            <w:tcW w:w="1669" w:type="pct"/>
            <w:shd w:val="clear" w:color="auto" w:fill="auto"/>
            <w:noWrap/>
            <w:vAlign w:val="center"/>
            <w:hideMark/>
          </w:tcPr>
          <w:p w14:paraId="4D15FA90" w14:textId="2EDA9FB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36</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tempo,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original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inconsistente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apontando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inconsistências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insuficiências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sanadas,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embasamento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normativo.</w:t>
            </w:r>
          </w:p>
        </w:tc>
        <w:tc>
          <w:tcPr>
            <w:tcW w:w="1664" w:type="pct"/>
            <w:shd w:val="clear" w:color="auto" w:fill="auto"/>
            <w:noWrap/>
            <w:vAlign w:val="center"/>
            <w:hideMark/>
          </w:tcPr>
          <w:p w14:paraId="5F3A379C"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053990A" w14:textId="77777777" w:rsidTr="00E75B46">
        <w:tc>
          <w:tcPr>
            <w:tcW w:w="1667" w:type="pct"/>
            <w:vAlign w:val="center"/>
          </w:tcPr>
          <w:p w14:paraId="23B9A5FF" w14:textId="3D19EA0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38. Em relação à governança e à divulgação, o estudo técnico de adequação do plano de benefícios deve ser:</w:t>
            </w:r>
          </w:p>
        </w:tc>
        <w:tc>
          <w:tcPr>
            <w:tcW w:w="1669" w:type="pct"/>
            <w:shd w:val="clear" w:color="auto" w:fill="auto"/>
            <w:noWrap/>
            <w:vAlign w:val="center"/>
            <w:hideMark/>
          </w:tcPr>
          <w:p w14:paraId="65AB4A51" w14:textId="3FD2C448"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37</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governança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p>
        </w:tc>
        <w:tc>
          <w:tcPr>
            <w:tcW w:w="1664" w:type="pct"/>
            <w:shd w:val="clear" w:color="auto" w:fill="auto"/>
            <w:noWrap/>
            <w:vAlign w:val="center"/>
            <w:hideMark/>
          </w:tcPr>
          <w:p w14:paraId="774EE242"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81933FE" w14:textId="77777777" w:rsidTr="00E75B46">
        <w:tc>
          <w:tcPr>
            <w:tcW w:w="1667" w:type="pct"/>
            <w:vAlign w:val="center"/>
          </w:tcPr>
          <w:p w14:paraId="600C4870" w14:textId="2633809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aprovado pela Diretoria Executiva e pelo Conselho Deliberativo da EFPC;</w:t>
            </w:r>
          </w:p>
        </w:tc>
        <w:tc>
          <w:tcPr>
            <w:tcW w:w="1669" w:type="pct"/>
            <w:shd w:val="clear" w:color="auto" w:fill="auto"/>
            <w:noWrap/>
            <w:vAlign w:val="center"/>
            <w:hideMark/>
          </w:tcPr>
          <w:p w14:paraId="5EC1E1CE" w14:textId="26001FE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4" w:type="pct"/>
            <w:shd w:val="clear" w:color="auto" w:fill="auto"/>
            <w:noWrap/>
            <w:vAlign w:val="center"/>
            <w:hideMark/>
          </w:tcPr>
          <w:p w14:paraId="4F007D04"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04D032A2" w14:textId="77777777" w:rsidTr="00E75B46">
        <w:tc>
          <w:tcPr>
            <w:tcW w:w="1667" w:type="pct"/>
            <w:vAlign w:val="center"/>
          </w:tcPr>
          <w:p w14:paraId="56FFD269" w14:textId="20D99C6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acompanhado de parecer emitido pelo Conselho Fiscal; e</w:t>
            </w:r>
          </w:p>
        </w:tc>
        <w:tc>
          <w:tcPr>
            <w:tcW w:w="1669" w:type="pct"/>
            <w:shd w:val="clear" w:color="auto" w:fill="auto"/>
            <w:noWrap/>
            <w:vAlign w:val="center"/>
            <w:hideMark/>
          </w:tcPr>
          <w:p w14:paraId="5F4DA546" w14:textId="12FDF297" w:rsidR="00A6584C" w:rsidRPr="00843426" w:rsidRDefault="00EF3611"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II </w:t>
            </w:r>
            <w:r w:rsidR="00C63842">
              <w:rPr>
                <w:rFonts w:ascii="Calibri" w:eastAsia="Times New Roman" w:hAnsi="Calibri" w:cs="Calibri"/>
                <w:kern w:val="0"/>
                <w:sz w:val="24"/>
                <w:szCs w:val="24"/>
                <w:lang w:eastAsia="pt-BR"/>
                <w14:ligatures w14:val="none"/>
              </w:rPr>
              <w:t>–</w:t>
            </w:r>
            <w:r>
              <w:rPr>
                <w:rFonts w:ascii="Calibri" w:eastAsia="Times New Roman" w:hAnsi="Calibri" w:cs="Calibri"/>
                <w:kern w:val="0"/>
                <w:sz w:val="24"/>
                <w:szCs w:val="24"/>
                <w:lang w:eastAsia="pt-BR"/>
                <w14:ligatures w14:val="none"/>
              </w:rPr>
              <w:t xml:space="preserve"> </w:t>
            </w:r>
            <w:r w:rsidR="00C63842">
              <w:rPr>
                <w:rFonts w:ascii="Calibri" w:eastAsia="Times New Roman" w:hAnsi="Calibri" w:cs="Calibri"/>
                <w:kern w:val="0"/>
                <w:sz w:val="24"/>
                <w:szCs w:val="24"/>
                <w:lang w:eastAsia="pt-BR"/>
                <w14:ligatures w14:val="none"/>
              </w:rPr>
              <w:t>disponibilizado ao Conselho Fiscal; e</w:t>
            </w:r>
          </w:p>
        </w:tc>
        <w:tc>
          <w:tcPr>
            <w:tcW w:w="1664" w:type="pct"/>
            <w:shd w:val="clear" w:color="auto" w:fill="auto"/>
            <w:noWrap/>
            <w:vAlign w:val="center"/>
            <w:hideMark/>
          </w:tcPr>
          <w:p w14:paraId="40CA6A23" w14:textId="678143CB" w:rsidR="00A6584C" w:rsidRPr="00843426" w:rsidRDefault="009C51F0"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A alteração justifica-se p</w:t>
            </w:r>
            <w:r w:rsidR="002248E8">
              <w:rPr>
                <w:rFonts w:ascii="Calibri" w:eastAsia="Times New Roman" w:hAnsi="Calibri" w:cs="Calibri"/>
                <w:kern w:val="0"/>
                <w:sz w:val="24"/>
                <w:szCs w:val="24"/>
                <w:lang w:eastAsia="pt-BR"/>
                <w14:ligatures w14:val="none"/>
              </w:rPr>
              <w:t>ara não vincular a realização do estudo a</w:t>
            </w:r>
            <w:r w:rsidR="00153168">
              <w:rPr>
                <w:rFonts w:ascii="Calibri" w:eastAsia="Times New Roman" w:hAnsi="Calibri" w:cs="Calibri"/>
                <w:kern w:val="0"/>
                <w:sz w:val="24"/>
                <w:szCs w:val="24"/>
                <w:lang w:eastAsia="pt-BR"/>
                <w14:ligatures w14:val="none"/>
              </w:rPr>
              <w:t xml:space="preserve"> um</w:t>
            </w:r>
            <w:r w:rsidR="002248E8">
              <w:rPr>
                <w:rFonts w:ascii="Calibri" w:eastAsia="Times New Roman" w:hAnsi="Calibri" w:cs="Calibri"/>
                <w:kern w:val="0"/>
                <w:sz w:val="24"/>
                <w:szCs w:val="24"/>
                <w:lang w:eastAsia="pt-BR"/>
                <w14:ligatures w14:val="none"/>
              </w:rPr>
              <w:t xml:space="preserve"> parecer do Conselho Fiscal</w:t>
            </w:r>
            <w:r w:rsidR="00153168">
              <w:rPr>
                <w:rFonts w:ascii="Calibri" w:eastAsia="Times New Roman" w:hAnsi="Calibri" w:cs="Calibri"/>
                <w:kern w:val="0"/>
                <w:sz w:val="24"/>
                <w:szCs w:val="24"/>
                <w:lang w:eastAsia="pt-BR"/>
                <w14:ligatures w14:val="none"/>
              </w:rPr>
              <w:t>,</w:t>
            </w:r>
            <w:r w:rsidR="002248E8">
              <w:rPr>
                <w:rFonts w:ascii="Calibri" w:eastAsia="Times New Roman" w:hAnsi="Calibri" w:cs="Calibri"/>
                <w:kern w:val="0"/>
                <w:sz w:val="24"/>
                <w:szCs w:val="24"/>
                <w:lang w:eastAsia="pt-BR"/>
                <w14:ligatures w14:val="none"/>
              </w:rPr>
              <w:t xml:space="preserve"> cuja atuação, em regra, </w:t>
            </w:r>
            <w:r w:rsidR="00153168">
              <w:rPr>
                <w:rFonts w:ascii="Calibri" w:eastAsia="Times New Roman" w:hAnsi="Calibri" w:cs="Calibri"/>
                <w:kern w:val="0"/>
                <w:sz w:val="24"/>
                <w:szCs w:val="24"/>
                <w:lang w:eastAsia="pt-BR"/>
                <w14:ligatures w14:val="none"/>
              </w:rPr>
              <w:t>deve se dar a</w:t>
            </w:r>
            <w:r w:rsidR="002248E8">
              <w:rPr>
                <w:rFonts w:ascii="Calibri" w:eastAsia="Times New Roman" w:hAnsi="Calibri" w:cs="Calibri"/>
                <w:kern w:val="0"/>
                <w:sz w:val="24"/>
                <w:szCs w:val="24"/>
                <w:lang w:eastAsia="pt-BR"/>
                <w14:ligatures w14:val="none"/>
              </w:rPr>
              <w:t xml:space="preserve"> posteriori </w:t>
            </w:r>
            <w:r w:rsidR="00F47D20">
              <w:rPr>
                <w:rFonts w:ascii="Calibri" w:eastAsia="Times New Roman" w:hAnsi="Calibri" w:cs="Calibri"/>
                <w:kern w:val="0"/>
                <w:sz w:val="24"/>
                <w:szCs w:val="24"/>
                <w:lang w:eastAsia="pt-BR"/>
                <w14:ligatures w14:val="none"/>
              </w:rPr>
              <w:t>da tomada de decisão do Conselho Deliberativo e da Diretoria Executiva.</w:t>
            </w:r>
            <w:r w:rsidR="00CA11AA">
              <w:rPr>
                <w:rFonts w:ascii="Calibri" w:eastAsia="Times New Roman" w:hAnsi="Calibri" w:cs="Calibri"/>
                <w:kern w:val="0"/>
                <w:sz w:val="24"/>
                <w:szCs w:val="24"/>
                <w:lang w:eastAsia="pt-BR"/>
                <w14:ligatures w14:val="none"/>
              </w:rPr>
              <w:t xml:space="preserve"> </w:t>
            </w:r>
            <w:r w:rsidR="000707BA">
              <w:rPr>
                <w:rFonts w:ascii="Calibri" w:eastAsia="Times New Roman" w:hAnsi="Calibri" w:cs="Calibri"/>
                <w:kern w:val="0"/>
                <w:sz w:val="24"/>
                <w:szCs w:val="24"/>
                <w:lang w:eastAsia="pt-BR"/>
                <w14:ligatures w14:val="none"/>
              </w:rPr>
              <w:t>Assim, a obrigação que deve constar é a de que estudo deve ser disponibilizado ao Conselho Fiscal.</w:t>
            </w:r>
          </w:p>
        </w:tc>
      </w:tr>
      <w:tr w:rsidR="00225EB1" w:rsidRPr="00225EB1" w14:paraId="67989D40" w14:textId="77777777" w:rsidTr="00E75B46">
        <w:tc>
          <w:tcPr>
            <w:tcW w:w="1667" w:type="pct"/>
            <w:vAlign w:val="center"/>
          </w:tcPr>
          <w:p w14:paraId="643BF37C" w14:textId="57517940"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disponibilizado, quando requisitado, aos participantes, aos assistidos, aos patrocinadores, aos instituidores e à Previc.</w:t>
            </w:r>
          </w:p>
        </w:tc>
        <w:tc>
          <w:tcPr>
            <w:tcW w:w="1669" w:type="pct"/>
            <w:shd w:val="clear" w:color="auto" w:fill="auto"/>
            <w:noWrap/>
            <w:vAlign w:val="center"/>
            <w:hideMark/>
          </w:tcPr>
          <w:p w14:paraId="32C86CCD" w14:textId="3350541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C63842">
              <w:rPr>
                <w:rFonts w:ascii="Calibri" w:eastAsia="Times New Roman" w:hAnsi="Calibri" w:cs="Calibri"/>
                <w:kern w:val="0"/>
                <w:sz w:val="24"/>
                <w:szCs w:val="24"/>
                <w:lang w:eastAsia="pt-BR"/>
                <w14:ligatures w14:val="none"/>
              </w:rPr>
              <w:t>I</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disponibilizado,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patrocinadores,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instituidores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4" w:type="pct"/>
            <w:shd w:val="clear" w:color="auto" w:fill="auto"/>
            <w:noWrap/>
            <w:vAlign w:val="center"/>
            <w:hideMark/>
          </w:tcPr>
          <w:p w14:paraId="4E02B74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C22ABFD" w14:textId="77777777" w:rsidTr="00E75B46">
        <w:tc>
          <w:tcPr>
            <w:tcW w:w="1667" w:type="pct"/>
            <w:vAlign w:val="center"/>
          </w:tcPr>
          <w:p w14:paraId="3E907F99" w14:textId="6BA56CA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§1º A aprovação referida no inciso I deste artigo não exime o atuário do plano da responsabilidade técnica sobre estudos, cálculos e serviços por ele prestados.</w:t>
            </w:r>
          </w:p>
        </w:tc>
        <w:tc>
          <w:tcPr>
            <w:tcW w:w="1669" w:type="pct"/>
            <w:shd w:val="clear" w:color="auto" w:fill="auto"/>
            <w:noWrap/>
            <w:vAlign w:val="center"/>
            <w:hideMark/>
          </w:tcPr>
          <w:p w14:paraId="6767BEB6" w14:textId="44EB13E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001E5561">
              <w:rPr>
                <w:rFonts w:ascii="Calibri" w:eastAsia="Times New Roman" w:hAnsi="Calibri" w:cs="Calibri"/>
                <w:kern w:val="0"/>
                <w:sz w:val="24"/>
                <w:szCs w:val="24"/>
                <w:lang w:eastAsia="pt-BR"/>
                <w14:ligatures w14:val="none"/>
              </w:rPr>
              <w:t xml:space="preserve">do </w:t>
            </w:r>
            <w:r w:rsidR="001E5561" w:rsidRPr="001E5561">
              <w:rPr>
                <w:rFonts w:ascii="Calibri" w:eastAsia="Times New Roman" w:hAnsi="Calibri" w:cs="Calibri"/>
                <w:b/>
                <w:bCs/>
                <w:kern w:val="0"/>
                <w:sz w:val="24"/>
                <w:szCs w:val="24"/>
                <w:lang w:eastAsia="pt-BR"/>
                <w14:ligatures w14:val="none"/>
              </w:rPr>
              <w:t>caput</w:t>
            </w:r>
            <w:r w:rsidR="001E5561">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serviços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prestados.</w:t>
            </w:r>
          </w:p>
        </w:tc>
        <w:tc>
          <w:tcPr>
            <w:tcW w:w="1664" w:type="pct"/>
            <w:shd w:val="clear" w:color="auto" w:fill="auto"/>
            <w:noWrap/>
            <w:vAlign w:val="center"/>
            <w:hideMark/>
          </w:tcPr>
          <w:p w14:paraId="120C4A7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1FF50D5" w14:textId="77777777" w:rsidTr="00E75B46">
        <w:tc>
          <w:tcPr>
            <w:tcW w:w="1667" w:type="pct"/>
            <w:vAlign w:val="center"/>
          </w:tcPr>
          <w:p w14:paraId="4F135827" w14:textId="444746A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§2º O estudo técnico de adequação deve ficar arquivado na EFPC, à disposição da Previc.</w:t>
            </w:r>
          </w:p>
        </w:tc>
        <w:tc>
          <w:tcPr>
            <w:tcW w:w="1669" w:type="pct"/>
            <w:shd w:val="clear" w:color="auto" w:fill="auto"/>
            <w:noWrap/>
            <w:vAlign w:val="center"/>
            <w:hideMark/>
          </w:tcPr>
          <w:p w14:paraId="669C5864" w14:textId="2BB5AF0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arquivado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823270">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4" w:type="pct"/>
            <w:shd w:val="clear" w:color="auto" w:fill="auto"/>
            <w:noWrap/>
            <w:vAlign w:val="center"/>
            <w:hideMark/>
          </w:tcPr>
          <w:p w14:paraId="16F7DB0F"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4E689D9" w14:textId="77777777" w:rsidTr="00E75B46">
        <w:tc>
          <w:tcPr>
            <w:tcW w:w="1667" w:type="pct"/>
            <w:vAlign w:val="center"/>
          </w:tcPr>
          <w:p w14:paraId="34AAA756" w14:textId="7D6E1675"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CAPÍTULO IX</w:t>
            </w:r>
          </w:p>
        </w:tc>
        <w:tc>
          <w:tcPr>
            <w:tcW w:w="1669" w:type="pct"/>
            <w:shd w:val="clear" w:color="auto" w:fill="auto"/>
            <w:noWrap/>
            <w:vAlign w:val="center"/>
            <w:hideMark/>
          </w:tcPr>
          <w:p w14:paraId="53D13529" w14:textId="0687DA8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VIII</w:t>
            </w:r>
          </w:p>
        </w:tc>
        <w:tc>
          <w:tcPr>
            <w:tcW w:w="1664" w:type="pct"/>
            <w:shd w:val="clear" w:color="auto" w:fill="auto"/>
            <w:noWrap/>
            <w:vAlign w:val="center"/>
            <w:hideMark/>
          </w:tcPr>
          <w:p w14:paraId="1BF14A73"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E9D4B9A" w14:textId="77777777" w:rsidTr="00E75B46">
        <w:tc>
          <w:tcPr>
            <w:tcW w:w="1667" w:type="pct"/>
            <w:vAlign w:val="center"/>
          </w:tcPr>
          <w:p w14:paraId="0F157008" w14:textId="036083A3"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DA AUTORIZAÇÃO PARA ADOÇÃO DE TAXA DE JUROS FORA DO INTERVALO</w:t>
            </w:r>
          </w:p>
        </w:tc>
        <w:tc>
          <w:tcPr>
            <w:tcW w:w="1669" w:type="pct"/>
            <w:shd w:val="clear" w:color="auto" w:fill="auto"/>
            <w:noWrap/>
            <w:vAlign w:val="center"/>
            <w:hideMark/>
          </w:tcPr>
          <w:p w14:paraId="176E57B2" w14:textId="4632C40D"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Autorização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para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Adoção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Taxa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Juros</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fora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Intervalo</w:t>
            </w:r>
          </w:p>
        </w:tc>
        <w:tc>
          <w:tcPr>
            <w:tcW w:w="1664" w:type="pct"/>
            <w:shd w:val="clear" w:color="auto" w:fill="auto"/>
            <w:noWrap/>
            <w:vAlign w:val="center"/>
            <w:hideMark/>
          </w:tcPr>
          <w:p w14:paraId="7F2703D4"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FF5B36D" w14:textId="77777777" w:rsidTr="00E75B46">
        <w:tc>
          <w:tcPr>
            <w:tcW w:w="1667" w:type="pct"/>
            <w:vAlign w:val="center"/>
          </w:tcPr>
          <w:p w14:paraId="20ADFABE" w14:textId="28A6C4E1"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39. Caso pretenda adotar taxa real anual de juros fora do intervalo regulatório estabelecido, a EFPC deve enviar à Previc:</w:t>
            </w:r>
          </w:p>
        </w:tc>
        <w:tc>
          <w:tcPr>
            <w:tcW w:w="1669" w:type="pct"/>
            <w:shd w:val="clear" w:color="auto" w:fill="auto"/>
            <w:noWrap/>
            <w:vAlign w:val="center"/>
            <w:hideMark/>
          </w:tcPr>
          <w:p w14:paraId="1B9B4312" w14:textId="0C75B6E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38</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pretenda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enviar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4" w:type="pct"/>
            <w:shd w:val="clear" w:color="auto" w:fill="auto"/>
            <w:noWrap/>
            <w:vAlign w:val="center"/>
            <w:hideMark/>
          </w:tcPr>
          <w:p w14:paraId="2E68CE8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55E6CB1" w14:textId="77777777" w:rsidTr="00E75B46">
        <w:tc>
          <w:tcPr>
            <w:tcW w:w="1667" w:type="pct"/>
            <w:vAlign w:val="center"/>
          </w:tcPr>
          <w:p w14:paraId="6995C79A" w14:textId="20DBBC3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requerimento de autorização assinado pelo representante legal da EFPC;</w:t>
            </w:r>
          </w:p>
        </w:tc>
        <w:tc>
          <w:tcPr>
            <w:tcW w:w="1669" w:type="pct"/>
            <w:shd w:val="clear" w:color="auto" w:fill="auto"/>
            <w:noWrap/>
            <w:vAlign w:val="center"/>
            <w:hideMark/>
          </w:tcPr>
          <w:p w14:paraId="0E393590" w14:textId="316F111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representante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4" w:type="pct"/>
            <w:shd w:val="clear" w:color="auto" w:fill="auto"/>
            <w:noWrap/>
            <w:vAlign w:val="center"/>
            <w:hideMark/>
          </w:tcPr>
          <w:p w14:paraId="43C89B2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34B065B" w14:textId="77777777" w:rsidTr="00E75B46">
        <w:tc>
          <w:tcPr>
            <w:tcW w:w="1667" w:type="pct"/>
            <w:vAlign w:val="center"/>
          </w:tcPr>
          <w:p w14:paraId="44F42060" w14:textId="28D0409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cópia do estudo técnico de adequação; e</w:t>
            </w:r>
          </w:p>
        </w:tc>
        <w:tc>
          <w:tcPr>
            <w:tcW w:w="1669" w:type="pct"/>
            <w:shd w:val="clear" w:color="auto" w:fill="auto"/>
            <w:noWrap/>
            <w:vAlign w:val="center"/>
            <w:hideMark/>
          </w:tcPr>
          <w:p w14:paraId="4BCB6666" w14:textId="50E1145C"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cópia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55242833"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0D090D9" w14:textId="77777777" w:rsidTr="00E75B46">
        <w:tc>
          <w:tcPr>
            <w:tcW w:w="1667" w:type="pct"/>
            <w:vAlign w:val="center"/>
          </w:tcPr>
          <w:p w14:paraId="35C94A70" w14:textId="584B3DB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demais documentos necessários.</w:t>
            </w:r>
          </w:p>
        </w:tc>
        <w:tc>
          <w:tcPr>
            <w:tcW w:w="1669" w:type="pct"/>
            <w:shd w:val="clear" w:color="auto" w:fill="auto"/>
            <w:noWrap/>
            <w:vAlign w:val="center"/>
            <w:hideMark/>
          </w:tcPr>
          <w:p w14:paraId="01A7CCB2" w14:textId="5218B2F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necessários.</w:t>
            </w:r>
          </w:p>
        </w:tc>
        <w:tc>
          <w:tcPr>
            <w:tcW w:w="1664" w:type="pct"/>
            <w:shd w:val="clear" w:color="auto" w:fill="auto"/>
            <w:noWrap/>
            <w:vAlign w:val="center"/>
            <w:hideMark/>
          </w:tcPr>
          <w:p w14:paraId="1D64801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77BF509" w14:textId="77777777" w:rsidTr="00E75B46">
        <w:tc>
          <w:tcPr>
            <w:tcW w:w="1667" w:type="pct"/>
            <w:vAlign w:val="center"/>
          </w:tcPr>
          <w:p w14:paraId="5F10F934" w14:textId="598C8E25"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40. O requerimento de autorização para adoção de taxa real anual de juros referido no inciso I do art. 39 desta Instrução deve ser encaminhado à Previc em formulário padrão juntamente com os seguintes documentos:</w:t>
            </w:r>
          </w:p>
        </w:tc>
        <w:tc>
          <w:tcPr>
            <w:tcW w:w="1669" w:type="pct"/>
            <w:shd w:val="clear" w:color="auto" w:fill="auto"/>
            <w:noWrap/>
            <w:vAlign w:val="center"/>
            <w:hideMark/>
          </w:tcPr>
          <w:p w14:paraId="0A14880A" w14:textId="62A74FC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39</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38</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encaminhado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formulário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padrão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p>
        </w:tc>
        <w:tc>
          <w:tcPr>
            <w:tcW w:w="1664" w:type="pct"/>
            <w:shd w:val="clear" w:color="auto" w:fill="auto"/>
            <w:noWrap/>
            <w:vAlign w:val="center"/>
            <w:hideMark/>
          </w:tcPr>
          <w:p w14:paraId="50B3A28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6903CC9" w14:textId="77777777" w:rsidTr="00E75B46">
        <w:tc>
          <w:tcPr>
            <w:tcW w:w="1667" w:type="pct"/>
            <w:vAlign w:val="center"/>
          </w:tcPr>
          <w:p w14:paraId="5DE8F803" w14:textId="0035FF68"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ata de reunião da Diretoria Executiva, contendo aprovação ao estudo técnico de adequação e ao requerimento de autorização, bem como encaminhamento ao Conselho Deliberativo;</w:t>
            </w:r>
          </w:p>
        </w:tc>
        <w:tc>
          <w:tcPr>
            <w:tcW w:w="1669" w:type="pct"/>
            <w:shd w:val="clear" w:color="auto" w:fill="auto"/>
            <w:noWrap/>
            <w:vAlign w:val="center"/>
            <w:hideMark/>
          </w:tcPr>
          <w:p w14:paraId="79F63D45" w14:textId="55E8B399"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encaminhamento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p>
        </w:tc>
        <w:tc>
          <w:tcPr>
            <w:tcW w:w="1664" w:type="pct"/>
            <w:shd w:val="clear" w:color="auto" w:fill="auto"/>
            <w:noWrap/>
            <w:vAlign w:val="center"/>
            <w:hideMark/>
          </w:tcPr>
          <w:p w14:paraId="76996A1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65982A8" w14:textId="77777777" w:rsidTr="00E75B46">
        <w:tc>
          <w:tcPr>
            <w:tcW w:w="1667" w:type="pct"/>
            <w:vAlign w:val="center"/>
          </w:tcPr>
          <w:p w14:paraId="1023B896" w14:textId="3293E3B7"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ata da reunião do Conselho Deliberativo, contendo aprovação ao estudo técnico de adequação e ao requerimento de autorização; e</w:t>
            </w:r>
          </w:p>
        </w:tc>
        <w:tc>
          <w:tcPr>
            <w:tcW w:w="1669" w:type="pct"/>
            <w:shd w:val="clear" w:color="auto" w:fill="auto"/>
            <w:noWrap/>
            <w:vAlign w:val="center"/>
            <w:hideMark/>
          </w:tcPr>
          <w:p w14:paraId="2572D51E" w14:textId="6F2AB9A2"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reunião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41669685"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3E4D685" w14:textId="77777777" w:rsidTr="00E75B46">
        <w:tc>
          <w:tcPr>
            <w:tcW w:w="1667" w:type="pct"/>
            <w:vAlign w:val="center"/>
          </w:tcPr>
          <w:p w14:paraId="6A2B8A04" w14:textId="6E93C064"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parecer a que se refere o inciso II do art. 38 desta Instrução, bem como ata da reunião Conselho Fiscal atestando a sua ciência do requerimento de autorização.</w:t>
            </w:r>
          </w:p>
        </w:tc>
        <w:tc>
          <w:tcPr>
            <w:tcW w:w="1669" w:type="pct"/>
            <w:shd w:val="clear" w:color="auto" w:fill="auto"/>
            <w:noWrap/>
            <w:vAlign w:val="center"/>
            <w:hideMark/>
          </w:tcPr>
          <w:p w14:paraId="28DCF31C" w14:textId="2D6A9344" w:rsidR="00A6584C" w:rsidRPr="00843426" w:rsidRDefault="0085289B"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Excluir</w:t>
            </w:r>
          </w:p>
        </w:tc>
        <w:tc>
          <w:tcPr>
            <w:tcW w:w="1664" w:type="pct"/>
            <w:shd w:val="clear" w:color="auto" w:fill="auto"/>
            <w:noWrap/>
            <w:vAlign w:val="center"/>
            <w:hideMark/>
          </w:tcPr>
          <w:p w14:paraId="3F67430D" w14:textId="1828FA55" w:rsidR="00A6584C" w:rsidRPr="00843426" w:rsidRDefault="00761DDF"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 xml:space="preserve">O dispositivo está sendo excluído para não dá margem à interpretação de que </w:t>
            </w:r>
            <w:r w:rsidR="00505151">
              <w:rPr>
                <w:rFonts w:ascii="Calibri" w:eastAsia="Times New Roman" w:hAnsi="Calibri" w:cs="Calibri"/>
                <w:kern w:val="0"/>
                <w:sz w:val="24"/>
                <w:szCs w:val="24"/>
                <w:lang w:eastAsia="pt-BR"/>
                <w14:ligatures w14:val="none"/>
              </w:rPr>
              <w:t xml:space="preserve">o conhecimento do Conselho Fiscal seja uma etapa prévia </w:t>
            </w:r>
            <w:r w:rsidR="00E80A19">
              <w:rPr>
                <w:rFonts w:ascii="Calibri" w:eastAsia="Times New Roman" w:hAnsi="Calibri" w:cs="Calibri"/>
                <w:kern w:val="0"/>
                <w:sz w:val="24"/>
                <w:szCs w:val="24"/>
                <w:lang w:eastAsia="pt-BR"/>
                <w14:ligatures w14:val="none"/>
              </w:rPr>
              <w:t>à tomada de decisão do Conselho Deliberativo e da Diretoria Executiva.</w:t>
            </w:r>
          </w:p>
        </w:tc>
      </w:tr>
      <w:tr w:rsidR="00225EB1" w:rsidRPr="00225EB1" w14:paraId="255E63D3" w14:textId="77777777" w:rsidTr="00E75B46">
        <w:tc>
          <w:tcPr>
            <w:tcW w:w="1667" w:type="pct"/>
            <w:vAlign w:val="center"/>
          </w:tcPr>
          <w:p w14:paraId="6AD76EB1" w14:textId="3548AD8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41. O indeferimento do requerimento de autorização para adoção da taxa real anual de juros do plano de benefícios implica utilização de taxa dentro do intervalo regulatório estabelecido.</w:t>
            </w:r>
          </w:p>
        </w:tc>
        <w:tc>
          <w:tcPr>
            <w:tcW w:w="1669" w:type="pct"/>
            <w:shd w:val="clear" w:color="auto" w:fill="auto"/>
            <w:noWrap/>
            <w:vAlign w:val="center"/>
            <w:hideMark/>
          </w:tcPr>
          <w:p w14:paraId="6CA7B2A3" w14:textId="4067596E"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40</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00250A56">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indeferimento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requerimento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implica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utilização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dentro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p>
        </w:tc>
        <w:tc>
          <w:tcPr>
            <w:tcW w:w="1664" w:type="pct"/>
            <w:shd w:val="clear" w:color="auto" w:fill="auto"/>
            <w:noWrap/>
            <w:vAlign w:val="center"/>
            <w:hideMark/>
          </w:tcPr>
          <w:p w14:paraId="787D090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AE793B9" w14:textId="77777777" w:rsidTr="00E75B46">
        <w:tc>
          <w:tcPr>
            <w:tcW w:w="1667" w:type="pct"/>
            <w:vAlign w:val="center"/>
          </w:tcPr>
          <w:p w14:paraId="563C5F24" w14:textId="38101A4C"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Previc pode determinar, nos termos do art. 37 desta Instrução, a realização de novo estudo técnico de adequação.</w:t>
            </w:r>
          </w:p>
        </w:tc>
        <w:tc>
          <w:tcPr>
            <w:tcW w:w="1669" w:type="pct"/>
            <w:shd w:val="clear" w:color="auto" w:fill="auto"/>
            <w:noWrap/>
            <w:vAlign w:val="center"/>
            <w:hideMark/>
          </w:tcPr>
          <w:p w14:paraId="046B8E99" w14:textId="24ABEF9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determinar,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termos</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36</w:t>
            </w:r>
            <w:r w:rsidR="00E5641A"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p>
        </w:tc>
        <w:tc>
          <w:tcPr>
            <w:tcW w:w="1664" w:type="pct"/>
            <w:shd w:val="clear" w:color="auto" w:fill="auto"/>
            <w:noWrap/>
            <w:vAlign w:val="center"/>
            <w:hideMark/>
          </w:tcPr>
          <w:p w14:paraId="2D4A2740" w14:textId="69B2DC2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DC7A230" w14:textId="77777777" w:rsidTr="00E75B46">
        <w:tc>
          <w:tcPr>
            <w:tcW w:w="1667" w:type="pct"/>
            <w:vAlign w:val="center"/>
          </w:tcPr>
          <w:p w14:paraId="18D1E491" w14:textId="09992166"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42.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1669" w:type="pct"/>
            <w:shd w:val="clear" w:color="auto" w:fill="auto"/>
            <w:noWrap/>
            <w:vAlign w:val="center"/>
            <w:hideMark/>
          </w:tcPr>
          <w:p w14:paraId="017F3820" w14:textId="1F81CBE3"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41</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concedida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exclusivamente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exime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gestores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profissionais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tenham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contribuído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trabalho,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princípios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segurança,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rentabilidade,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transparência,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respondendo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seus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atos.</w:t>
            </w:r>
          </w:p>
        </w:tc>
        <w:tc>
          <w:tcPr>
            <w:tcW w:w="1664" w:type="pct"/>
            <w:shd w:val="clear" w:color="auto" w:fill="auto"/>
            <w:noWrap/>
            <w:vAlign w:val="center"/>
            <w:hideMark/>
          </w:tcPr>
          <w:p w14:paraId="0898CBDD"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F5C6433" w14:textId="77777777" w:rsidTr="00E75B46">
        <w:tc>
          <w:tcPr>
            <w:tcW w:w="1667" w:type="pct"/>
            <w:vAlign w:val="center"/>
          </w:tcPr>
          <w:p w14:paraId="35075F9E" w14:textId="5918613B"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A autorização referida no caput é válida somente para a avaliação atuarial do ano de referência.</w:t>
            </w:r>
          </w:p>
        </w:tc>
        <w:tc>
          <w:tcPr>
            <w:tcW w:w="1669" w:type="pct"/>
            <w:shd w:val="clear" w:color="auto" w:fill="auto"/>
            <w:noWrap/>
            <w:vAlign w:val="center"/>
            <w:hideMark/>
          </w:tcPr>
          <w:p w14:paraId="46F8BDBB" w14:textId="18441561"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é</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válida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referência.</w:t>
            </w:r>
          </w:p>
        </w:tc>
        <w:tc>
          <w:tcPr>
            <w:tcW w:w="1664" w:type="pct"/>
            <w:shd w:val="clear" w:color="auto" w:fill="auto"/>
            <w:noWrap/>
            <w:vAlign w:val="center"/>
            <w:hideMark/>
          </w:tcPr>
          <w:p w14:paraId="4F9379C9"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9A7EE46" w14:textId="77777777" w:rsidTr="00E75B46">
        <w:tc>
          <w:tcPr>
            <w:tcW w:w="1667" w:type="pct"/>
            <w:vAlign w:val="center"/>
          </w:tcPr>
          <w:p w14:paraId="14B22ABD" w14:textId="4F350022"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CAPÍTULO X</w:t>
            </w:r>
          </w:p>
        </w:tc>
        <w:tc>
          <w:tcPr>
            <w:tcW w:w="1669" w:type="pct"/>
            <w:shd w:val="clear" w:color="auto" w:fill="auto"/>
            <w:noWrap/>
            <w:vAlign w:val="center"/>
            <w:hideMark/>
          </w:tcPr>
          <w:p w14:paraId="7F0424B0" w14:textId="0DFBF48D"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Excluir</w:t>
            </w:r>
          </w:p>
        </w:tc>
        <w:tc>
          <w:tcPr>
            <w:tcW w:w="1664" w:type="pct"/>
            <w:shd w:val="clear" w:color="auto" w:fill="auto"/>
            <w:noWrap/>
            <w:vAlign w:val="center"/>
            <w:hideMark/>
          </w:tcPr>
          <w:p w14:paraId="5D006707"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BC1235D" w14:textId="77777777" w:rsidTr="00E75B46">
        <w:tc>
          <w:tcPr>
            <w:tcW w:w="1667" w:type="pct"/>
            <w:vAlign w:val="center"/>
          </w:tcPr>
          <w:p w14:paraId="118875D6" w14:textId="3F52F0FE"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DISPOSIÇÕES FINAIS</w:t>
            </w:r>
          </w:p>
        </w:tc>
        <w:tc>
          <w:tcPr>
            <w:tcW w:w="1669" w:type="pct"/>
            <w:shd w:val="clear" w:color="auto" w:fill="auto"/>
            <w:noWrap/>
            <w:vAlign w:val="center"/>
            <w:hideMark/>
          </w:tcPr>
          <w:p w14:paraId="0958E524" w14:textId="11F8538F"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Excluir</w:t>
            </w:r>
          </w:p>
        </w:tc>
        <w:tc>
          <w:tcPr>
            <w:tcW w:w="1664" w:type="pct"/>
            <w:shd w:val="clear" w:color="auto" w:fill="auto"/>
            <w:noWrap/>
            <w:vAlign w:val="center"/>
            <w:hideMark/>
          </w:tcPr>
          <w:p w14:paraId="325B498E" w14:textId="77777777"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5CCA597" w14:textId="77777777" w:rsidTr="00E75B46">
        <w:tc>
          <w:tcPr>
            <w:tcW w:w="1667" w:type="pct"/>
            <w:vAlign w:val="center"/>
          </w:tcPr>
          <w:p w14:paraId="4CE601AA" w14:textId="6BF4158A"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43. Os documentos elaborados para atendimento ao estabelecido nesta Instrução devem ser mantidos na EFPC à disposição da Previc.</w:t>
            </w:r>
          </w:p>
        </w:tc>
        <w:tc>
          <w:tcPr>
            <w:tcW w:w="1669" w:type="pct"/>
            <w:shd w:val="clear" w:color="auto" w:fill="auto"/>
            <w:noWrap/>
            <w:vAlign w:val="center"/>
            <w:hideMark/>
          </w:tcPr>
          <w:p w14:paraId="12DC3114" w14:textId="0B0B7E65"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24539985" w14:textId="52FC8F47" w:rsidR="00A6584C" w:rsidRPr="00843426" w:rsidRDefault="001E5561"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Deslocado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w:t>
            </w:r>
          </w:p>
        </w:tc>
      </w:tr>
      <w:tr w:rsidR="00225EB1" w:rsidRPr="00225EB1" w14:paraId="20FF7209" w14:textId="77777777" w:rsidTr="00E75B46">
        <w:tc>
          <w:tcPr>
            <w:tcW w:w="1667" w:type="pct"/>
            <w:vAlign w:val="center"/>
          </w:tcPr>
          <w:p w14:paraId="520456F5" w14:textId="0DEB4419" w:rsidR="00A6584C" w:rsidRPr="00225EB1" w:rsidRDefault="00A6584C" w:rsidP="00EB77BF">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44.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Fiscalização e Monitoramento - DIFIS.</w:t>
            </w:r>
          </w:p>
        </w:tc>
        <w:tc>
          <w:tcPr>
            <w:tcW w:w="1669" w:type="pct"/>
            <w:shd w:val="clear" w:color="auto" w:fill="auto"/>
            <w:noWrap/>
            <w:vAlign w:val="center"/>
            <w:hideMark/>
          </w:tcPr>
          <w:p w14:paraId="64545D2C" w14:textId="7B9CDA40" w:rsidR="00A6584C" w:rsidRPr="00843426" w:rsidRDefault="00A6584C" w:rsidP="00EB77BF">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42</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adequação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convergência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pedido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autorização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intervalo,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cumprir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requisitos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especificados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Portaria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003C460A">
              <w:rPr>
                <w:rFonts w:ascii="Calibri" w:eastAsia="Times New Roman" w:hAnsi="Calibri" w:cs="Calibri"/>
                <w:kern w:val="0"/>
                <w:sz w:val="24"/>
                <w:szCs w:val="24"/>
                <w:lang w:eastAsia="pt-BR"/>
                <w14:ligatures w14:val="none"/>
              </w:rPr>
              <w:t>–Diretoria de Normas - Dinor</w:t>
            </w:r>
            <w:r w:rsidRPr="00843426">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13874AF0" w14:textId="0F3ECD32" w:rsidR="00A6584C" w:rsidRPr="00843426" w:rsidRDefault="00E75946" w:rsidP="00EB77BF">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Como a análise dos pedidos de taxas fora do intervalo ficarão a cargo da Dinor, faz-se necessário ajustar a remissão de qual diretoria será responsável por emitir as regras do processo.</w:t>
            </w:r>
          </w:p>
        </w:tc>
      </w:tr>
      <w:tr w:rsidR="003872D3" w:rsidRPr="00225EB1" w14:paraId="596C765A" w14:textId="77777777" w:rsidTr="00E75B46">
        <w:tc>
          <w:tcPr>
            <w:tcW w:w="1667" w:type="pct"/>
            <w:vAlign w:val="center"/>
          </w:tcPr>
          <w:p w14:paraId="2A250C8B" w14:textId="3B936825" w:rsidR="003872D3" w:rsidRPr="003872D3" w:rsidRDefault="003872D3" w:rsidP="003872D3">
            <w:pPr>
              <w:spacing w:after="0" w:line="240" w:lineRule="auto"/>
              <w:jc w:val="both"/>
              <w:rPr>
                <w:rFonts w:ascii="Calibri" w:hAnsi="Calibri" w:cs="Calibri"/>
                <w:b/>
                <w:sz w:val="24"/>
              </w:rPr>
            </w:pPr>
            <w:r>
              <w:rPr>
                <w:rFonts w:ascii="Calibri" w:hAnsi="Calibri" w:cs="Calibri"/>
                <w:b/>
                <w:sz w:val="24"/>
              </w:rPr>
              <w:t>Resolução Previc nº 8, de 2022</w:t>
            </w:r>
            <w:r w:rsidRPr="00225EB1">
              <w:rPr>
                <w:rFonts w:ascii="Calibri" w:hAnsi="Calibri" w:cs="Calibri"/>
                <w:b/>
                <w:sz w:val="24"/>
              </w:rPr>
              <w:t>.</w:t>
            </w:r>
          </w:p>
        </w:tc>
        <w:tc>
          <w:tcPr>
            <w:tcW w:w="1669" w:type="pct"/>
            <w:shd w:val="clear" w:color="auto" w:fill="auto"/>
            <w:noWrap/>
            <w:vAlign w:val="center"/>
          </w:tcPr>
          <w:p w14:paraId="6A5F0D1B" w14:textId="77777777" w:rsidR="003872D3" w:rsidRPr="00843426" w:rsidRDefault="003872D3" w:rsidP="00EB77BF">
            <w:pPr>
              <w:spacing w:after="0" w:line="240" w:lineRule="auto"/>
              <w:jc w:val="center"/>
              <w:rPr>
                <w:rFonts w:ascii="Calibri" w:eastAsia="Times New Roman" w:hAnsi="Calibri" w:cs="Calibri"/>
                <w:b/>
                <w:bCs/>
                <w:kern w:val="0"/>
                <w:sz w:val="24"/>
                <w:szCs w:val="24"/>
                <w:lang w:eastAsia="pt-BR"/>
                <w14:ligatures w14:val="none"/>
              </w:rPr>
            </w:pPr>
          </w:p>
        </w:tc>
        <w:tc>
          <w:tcPr>
            <w:tcW w:w="1664" w:type="pct"/>
            <w:shd w:val="clear" w:color="auto" w:fill="auto"/>
            <w:noWrap/>
            <w:vAlign w:val="center"/>
          </w:tcPr>
          <w:p w14:paraId="5B86B221" w14:textId="77777777" w:rsidR="003872D3" w:rsidRPr="00843426" w:rsidRDefault="003872D3"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4813E3E" w14:textId="77777777" w:rsidTr="00E75B46">
        <w:tc>
          <w:tcPr>
            <w:tcW w:w="1667" w:type="pct"/>
            <w:vAlign w:val="center"/>
          </w:tcPr>
          <w:p w14:paraId="3E5280F4" w14:textId="15A03B64"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05DFAF11" w14:textId="1132D32F"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X</w:t>
            </w:r>
          </w:p>
        </w:tc>
        <w:tc>
          <w:tcPr>
            <w:tcW w:w="1664" w:type="pct"/>
            <w:shd w:val="clear" w:color="auto" w:fill="auto"/>
            <w:noWrap/>
            <w:vAlign w:val="center"/>
            <w:hideMark/>
          </w:tcPr>
          <w:p w14:paraId="714BD07A"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79CDDB5A" w14:textId="77777777" w:rsidTr="00E75B46">
        <w:tc>
          <w:tcPr>
            <w:tcW w:w="1667" w:type="pct"/>
            <w:vAlign w:val="center"/>
          </w:tcPr>
          <w:p w14:paraId="7E8B56B5" w14:textId="3F1329AB"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vAlign w:val="center"/>
            <w:hideMark/>
          </w:tcPr>
          <w:p w14:paraId="716C5D71" w14:textId="3F7D65F8"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Contratação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em</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planos</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00CD4D33" w:rsidRPr="00225EB1">
              <w:rPr>
                <w:rFonts w:ascii="Calibri" w:eastAsia="Times New Roman" w:hAnsi="Calibri" w:cs="Calibri"/>
                <w:b/>
                <w:bCs/>
                <w:kern w:val="0"/>
                <w:sz w:val="24"/>
                <w:szCs w:val="24"/>
                <w:lang w:eastAsia="pt-BR"/>
                <w14:ligatures w14:val="none"/>
              </w:rPr>
              <w:t>benefícios</w:t>
            </w:r>
          </w:p>
        </w:tc>
        <w:tc>
          <w:tcPr>
            <w:tcW w:w="1664" w:type="pct"/>
            <w:shd w:val="clear" w:color="auto" w:fill="auto"/>
            <w:noWrap/>
            <w:vAlign w:val="center"/>
            <w:hideMark/>
          </w:tcPr>
          <w:p w14:paraId="6549AA3D"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3E6D5EC" w14:textId="77777777" w:rsidTr="00E75B46">
        <w:tc>
          <w:tcPr>
            <w:tcW w:w="1667" w:type="pct"/>
            <w:vAlign w:val="center"/>
          </w:tcPr>
          <w:p w14:paraId="478643D2" w14:textId="12B56E6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3º A EFPC pode contratar seguro específico para cobertura dos seguintes riscos em planos de benefícios:</w:t>
            </w:r>
          </w:p>
        </w:tc>
        <w:tc>
          <w:tcPr>
            <w:tcW w:w="1669" w:type="pct"/>
            <w:shd w:val="clear" w:color="auto" w:fill="auto"/>
            <w:noWrap/>
            <w:vAlign w:val="center"/>
            <w:hideMark/>
          </w:tcPr>
          <w:p w14:paraId="019DE39B" w14:textId="5EAC98C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43</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2131595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48A3E01" w14:textId="77777777" w:rsidTr="00E75B46">
        <w:tc>
          <w:tcPr>
            <w:tcW w:w="1667" w:type="pct"/>
            <w:vAlign w:val="center"/>
          </w:tcPr>
          <w:p w14:paraId="19636A5F" w14:textId="4924D03C"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invalidez de participante;</w:t>
            </w:r>
          </w:p>
        </w:tc>
        <w:tc>
          <w:tcPr>
            <w:tcW w:w="1669" w:type="pct"/>
            <w:shd w:val="clear" w:color="auto" w:fill="auto"/>
            <w:noWrap/>
            <w:vAlign w:val="center"/>
            <w:hideMark/>
          </w:tcPr>
          <w:p w14:paraId="3FA6A37C" w14:textId="48FBC2A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p>
        </w:tc>
        <w:tc>
          <w:tcPr>
            <w:tcW w:w="1664" w:type="pct"/>
            <w:shd w:val="clear" w:color="auto" w:fill="auto"/>
            <w:noWrap/>
            <w:vAlign w:val="center"/>
            <w:hideMark/>
          </w:tcPr>
          <w:p w14:paraId="76DAA97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B3DE17" w14:textId="77777777" w:rsidTr="00E75B46">
        <w:tc>
          <w:tcPr>
            <w:tcW w:w="1667" w:type="pct"/>
            <w:vAlign w:val="center"/>
          </w:tcPr>
          <w:p w14:paraId="5C24A1A7" w14:textId="7BCEC5E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morte de participante ou assistido;</w:t>
            </w:r>
          </w:p>
        </w:tc>
        <w:tc>
          <w:tcPr>
            <w:tcW w:w="1669" w:type="pct"/>
            <w:shd w:val="clear" w:color="auto" w:fill="auto"/>
            <w:noWrap/>
            <w:vAlign w:val="center"/>
            <w:hideMark/>
          </w:tcPr>
          <w:p w14:paraId="7E9A1537" w14:textId="4247E9EA"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p>
        </w:tc>
        <w:tc>
          <w:tcPr>
            <w:tcW w:w="1664" w:type="pct"/>
            <w:shd w:val="clear" w:color="auto" w:fill="auto"/>
            <w:noWrap/>
            <w:vAlign w:val="center"/>
            <w:hideMark/>
          </w:tcPr>
          <w:p w14:paraId="782CD297"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CFE997A" w14:textId="77777777" w:rsidTr="00E75B46">
        <w:tc>
          <w:tcPr>
            <w:tcW w:w="1667" w:type="pct"/>
            <w:vAlign w:val="center"/>
          </w:tcPr>
          <w:p w14:paraId="74673365" w14:textId="3A66501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sobrevivência do assistido;</w:t>
            </w:r>
          </w:p>
        </w:tc>
        <w:tc>
          <w:tcPr>
            <w:tcW w:w="1669" w:type="pct"/>
            <w:shd w:val="clear" w:color="auto" w:fill="auto"/>
            <w:noWrap/>
            <w:vAlign w:val="center"/>
            <w:hideMark/>
          </w:tcPr>
          <w:p w14:paraId="4E5F0429" w14:textId="350CD6F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p>
        </w:tc>
        <w:tc>
          <w:tcPr>
            <w:tcW w:w="1664" w:type="pct"/>
            <w:shd w:val="clear" w:color="auto" w:fill="auto"/>
            <w:noWrap/>
            <w:vAlign w:val="center"/>
            <w:hideMark/>
          </w:tcPr>
          <w:p w14:paraId="2E2F853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78F43E6" w14:textId="77777777" w:rsidTr="00E75B46">
        <w:tc>
          <w:tcPr>
            <w:tcW w:w="1667" w:type="pct"/>
            <w:vAlign w:val="center"/>
          </w:tcPr>
          <w:p w14:paraId="537E2674" w14:textId="50B4B50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desvios das hipóteses biométricas; e</w:t>
            </w:r>
          </w:p>
        </w:tc>
        <w:tc>
          <w:tcPr>
            <w:tcW w:w="1669" w:type="pct"/>
            <w:shd w:val="clear" w:color="auto" w:fill="auto"/>
            <w:noWrap/>
            <w:vAlign w:val="center"/>
            <w:hideMark/>
          </w:tcPr>
          <w:p w14:paraId="685F62C1" w14:textId="49C2239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desvios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2E5C72D6"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7C530E" w14:textId="77777777" w:rsidTr="00E75B46">
        <w:tc>
          <w:tcPr>
            <w:tcW w:w="1667" w:type="pct"/>
            <w:vAlign w:val="center"/>
          </w:tcPr>
          <w:p w14:paraId="1E33C8F4" w14:textId="33530266"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outros riscos atuariais ou financeiros.</w:t>
            </w:r>
          </w:p>
        </w:tc>
        <w:tc>
          <w:tcPr>
            <w:tcW w:w="1669" w:type="pct"/>
            <w:shd w:val="clear" w:color="auto" w:fill="auto"/>
            <w:noWrap/>
            <w:vAlign w:val="center"/>
            <w:hideMark/>
          </w:tcPr>
          <w:p w14:paraId="32FFCE00" w14:textId="062C22E3"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financeiros.</w:t>
            </w:r>
          </w:p>
        </w:tc>
        <w:tc>
          <w:tcPr>
            <w:tcW w:w="1664" w:type="pct"/>
            <w:shd w:val="clear" w:color="auto" w:fill="auto"/>
            <w:noWrap/>
            <w:vAlign w:val="center"/>
            <w:hideMark/>
          </w:tcPr>
          <w:p w14:paraId="1A8EA80D"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78875F" w14:textId="77777777" w:rsidTr="00E75B46">
        <w:tc>
          <w:tcPr>
            <w:tcW w:w="1667" w:type="pct"/>
            <w:vAlign w:val="center"/>
          </w:tcPr>
          <w:p w14:paraId="7C930847" w14:textId="00BD0BC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Os riscos previstos neste artigo no caput podem ter cobertura total ou parcial.</w:t>
            </w:r>
          </w:p>
        </w:tc>
        <w:tc>
          <w:tcPr>
            <w:tcW w:w="1669" w:type="pct"/>
            <w:shd w:val="clear" w:color="auto" w:fill="auto"/>
            <w:noWrap/>
            <w:vAlign w:val="center"/>
            <w:hideMark/>
          </w:tcPr>
          <w:p w14:paraId="64322461" w14:textId="2A305ED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no</w:t>
            </w:r>
            <w:r w:rsidR="009068E9">
              <w:rPr>
                <w:rFonts w:ascii="Calibri" w:eastAsia="Times New Roman" w:hAnsi="Calibri" w:cs="Calibri"/>
                <w:b/>
                <w:bCs/>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parcial.</w:t>
            </w:r>
          </w:p>
        </w:tc>
        <w:tc>
          <w:tcPr>
            <w:tcW w:w="1664" w:type="pct"/>
            <w:shd w:val="clear" w:color="auto" w:fill="auto"/>
            <w:noWrap/>
            <w:vAlign w:val="center"/>
            <w:hideMark/>
          </w:tcPr>
          <w:p w14:paraId="72AA8A6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66E6C18" w14:textId="77777777" w:rsidTr="00E75B46">
        <w:tc>
          <w:tcPr>
            <w:tcW w:w="1667" w:type="pct"/>
            <w:vAlign w:val="center"/>
          </w:tcPr>
          <w:p w14:paraId="04DC51A9" w14:textId="5D3263C1"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3786910D" w14:textId="11F76E92"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w:t>
            </w:r>
          </w:p>
        </w:tc>
        <w:tc>
          <w:tcPr>
            <w:tcW w:w="1664" w:type="pct"/>
            <w:shd w:val="clear" w:color="auto" w:fill="auto"/>
            <w:noWrap/>
            <w:vAlign w:val="center"/>
            <w:hideMark/>
          </w:tcPr>
          <w:p w14:paraId="4077643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256BDCB3" w14:textId="77777777" w:rsidTr="00E75B46">
        <w:tc>
          <w:tcPr>
            <w:tcW w:w="1667" w:type="pct"/>
            <w:vAlign w:val="center"/>
          </w:tcPr>
          <w:p w14:paraId="50081DCC" w14:textId="73169606"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Contrato de seguro</w:t>
            </w:r>
          </w:p>
        </w:tc>
        <w:tc>
          <w:tcPr>
            <w:tcW w:w="1669" w:type="pct"/>
            <w:shd w:val="clear" w:color="auto" w:fill="auto"/>
            <w:noWrap/>
            <w:vAlign w:val="center"/>
            <w:hideMark/>
          </w:tcPr>
          <w:p w14:paraId="6BF8FB5C" w14:textId="120A8AA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Contrato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de</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p>
        </w:tc>
        <w:tc>
          <w:tcPr>
            <w:tcW w:w="1664" w:type="pct"/>
            <w:shd w:val="clear" w:color="auto" w:fill="auto"/>
            <w:noWrap/>
            <w:vAlign w:val="center"/>
            <w:hideMark/>
          </w:tcPr>
          <w:p w14:paraId="49CFF301"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835CF94" w14:textId="77777777" w:rsidTr="00E75B46">
        <w:tc>
          <w:tcPr>
            <w:tcW w:w="1667" w:type="pct"/>
            <w:vAlign w:val="center"/>
          </w:tcPr>
          <w:p w14:paraId="01AA8E90" w14:textId="712DA7B6"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Art. 4º O contrato de seguro, em relação a cada plano de benefícios, deve dispor, no mínimo, sobre:</w:t>
            </w:r>
          </w:p>
        </w:tc>
        <w:tc>
          <w:tcPr>
            <w:tcW w:w="1669" w:type="pct"/>
            <w:shd w:val="clear" w:color="auto" w:fill="auto"/>
            <w:noWrap/>
            <w:vAlign w:val="center"/>
            <w:hideMark/>
          </w:tcPr>
          <w:p w14:paraId="77300449" w14:textId="661EE0F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44</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p>
        </w:tc>
        <w:tc>
          <w:tcPr>
            <w:tcW w:w="1664" w:type="pct"/>
            <w:shd w:val="clear" w:color="auto" w:fill="auto"/>
            <w:noWrap/>
            <w:vAlign w:val="center"/>
            <w:hideMark/>
          </w:tcPr>
          <w:p w14:paraId="0821604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9974AE7" w14:textId="77777777" w:rsidTr="00E75B46">
        <w:tc>
          <w:tcPr>
            <w:tcW w:w="1667" w:type="pct"/>
            <w:vAlign w:val="center"/>
          </w:tcPr>
          <w:p w14:paraId="352A6FDB" w14:textId="19F1AE9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descrição das coberturas, indicando as importâncias seguradas de responsabilidade da sociedade seguradora, bem como as formas de atualização ou recálculo;</w:t>
            </w:r>
          </w:p>
        </w:tc>
        <w:tc>
          <w:tcPr>
            <w:tcW w:w="1669" w:type="pct"/>
            <w:shd w:val="clear" w:color="auto" w:fill="auto"/>
            <w:noWrap/>
            <w:vAlign w:val="center"/>
            <w:hideMark/>
          </w:tcPr>
          <w:p w14:paraId="7B40E545" w14:textId="1476BF03"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indicando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importâncias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responsabilidade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recálculo;</w:t>
            </w:r>
          </w:p>
        </w:tc>
        <w:tc>
          <w:tcPr>
            <w:tcW w:w="1664" w:type="pct"/>
            <w:shd w:val="clear" w:color="auto" w:fill="auto"/>
            <w:noWrap/>
            <w:vAlign w:val="center"/>
            <w:hideMark/>
          </w:tcPr>
          <w:p w14:paraId="03A88CF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E037438" w14:textId="77777777" w:rsidTr="00E75B46">
        <w:tc>
          <w:tcPr>
            <w:tcW w:w="1667" w:type="pct"/>
            <w:vAlign w:val="center"/>
          </w:tcPr>
          <w:p w14:paraId="7C289D0B" w14:textId="7A05764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previsão de emissão de endosso alterando a EFPC de origem para a EFPC de destino, sem solução de continuidade das coberturas e condições contratadas, na hipótese de transferência de gerenciamento do plano de benefícios para outra EFPC;</w:t>
            </w:r>
          </w:p>
        </w:tc>
        <w:tc>
          <w:tcPr>
            <w:tcW w:w="1669" w:type="pct"/>
            <w:shd w:val="clear" w:color="auto" w:fill="auto"/>
            <w:noWrap/>
            <w:vAlign w:val="center"/>
            <w:hideMark/>
          </w:tcPr>
          <w:p w14:paraId="1F59D6EF" w14:textId="72EE408C"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endosso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origem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transferência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gerenciamento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outra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4" w:type="pct"/>
            <w:shd w:val="clear" w:color="auto" w:fill="auto"/>
            <w:noWrap/>
            <w:vAlign w:val="center"/>
            <w:hideMark/>
          </w:tcPr>
          <w:p w14:paraId="54976344" w14:textId="76E0E437" w:rsidR="00A6584C" w:rsidRPr="00843426" w:rsidRDefault="00CD4D33"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eastAsia="Times New Roman" w:hAnsi="Calibri" w:cs="Calibri"/>
                <w:kern w:val="0"/>
                <w:sz w:val="24"/>
                <w:szCs w:val="24"/>
                <w:lang w:eastAsia="pt-BR"/>
                <w14:ligatures w14:val="none"/>
              </w:rPr>
              <w:t>Deixar mais claro que</w:t>
            </w:r>
            <w:r w:rsidR="002A49F6" w:rsidRPr="00225EB1">
              <w:rPr>
                <w:rFonts w:ascii="Calibri" w:eastAsia="Times New Roman" w:hAnsi="Calibri" w:cs="Calibri"/>
                <w:kern w:val="0"/>
                <w:sz w:val="24"/>
                <w:szCs w:val="24"/>
                <w:lang w:eastAsia="pt-BR"/>
                <w14:ligatures w14:val="none"/>
              </w:rPr>
              <w:t xml:space="preserve"> se</w:t>
            </w:r>
            <w:r w:rsidRPr="00225EB1">
              <w:rPr>
                <w:rFonts w:ascii="Calibri" w:eastAsia="Times New Roman" w:hAnsi="Calibri" w:cs="Calibri"/>
                <w:kern w:val="0"/>
                <w:sz w:val="24"/>
                <w:szCs w:val="24"/>
                <w:lang w:eastAsia="pt-BR"/>
                <w14:ligatures w14:val="none"/>
              </w:rPr>
              <w:t xml:space="preserve"> trata de uma operação de transferência.</w:t>
            </w:r>
          </w:p>
        </w:tc>
      </w:tr>
      <w:tr w:rsidR="00225EB1" w:rsidRPr="00225EB1" w14:paraId="252DDD88" w14:textId="77777777" w:rsidTr="00E75B46">
        <w:tc>
          <w:tcPr>
            <w:tcW w:w="1667" w:type="pct"/>
            <w:vAlign w:val="center"/>
          </w:tcPr>
          <w:p w14:paraId="06FFA53E" w14:textId="309FCCCC"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1669" w:type="pct"/>
            <w:shd w:val="clear" w:color="auto" w:fill="auto"/>
            <w:noWrap/>
            <w:vAlign w:val="center"/>
            <w:hideMark/>
          </w:tcPr>
          <w:p w14:paraId="2E2255BA" w14:textId="16418B21"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emissão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endosso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beneficiário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gozo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solução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retirada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patrocínio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liquidação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legislação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p>
        </w:tc>
        <w:tc>
          <w:tcPr>
            <w:tcW w:w="1664" w:type="pct"/>
            <w:shd w:val="clear" w:color="auto" w:fill="auto"/>
            <w:noWrap/>
            <w:vAlign w:val="center"/>
            <w:hideMark/>
          </w:tcPr>
          <w:p w14:paraId="763F96E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A1595B8" w14:textId="77777777" w:rsidTr="00E75B46">
        <w:tc>
          <w:tcPr>
            <w:tcW w:w="1667" w:type="pct"/>
            <w:vAlign w:val="center"/>
          </w:tcPr>
          <w:p w14:paraId="3853980F" w14:textId="462BAF9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prazo de vigência do contrato, que não pode ser indeterminado;</w:t>
            </w:r>
          </w:p>
        </w:tc>
        <w:tc>
          <w:tcPr>
            <w:tcW w:w="1669" w:type="pct"/>
            <w:shd w:val="clear" w:color="auto" w:fill="auto"/>
            <w:noWrap/>
            <w:vAlign w:val="center"/>
            <w:hideMark/>
          </w:tcPr>
          <w:p w14:paraId="5719CAA1" w14:textId="7B5AC7E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vigência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indeterminado;</w:t>
            </w:r>
          </w:p>
        </w:tc>
        <w:tc>
          <w:tcPr>
            <w:tcW w:w="1664" w:type="pct"/>
            <w:shd w:val="clear" w:color="auto" w:fill="auto"/>
            <w:noWrap/>
            <w:vAlign w:val="center"/>
            <w:hideMark/>
          </w:tcPr>
          <w:p w14:paraId="137F7881"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7909C72" w14:textId="77777777" w:rsidTr="00E75B46">
        <w:tc>
          <w:tcPr>
            <w:tcW w:w="1667" w:type="pct"/>
            <w:vAlign w:val="center"/>
          </w:tcPr>
          <w:p w14:paraId="343C1C98" w14:textId="48389DA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previsão de pagamento das rendas contratadas junto à sociedade seguradora, no caso de rescisão ou não renovação do contrato;</w:t>
            </w:r>
          </w:p>
        </w:tc>
        <w:tc>
          <w:tcPr>
            <w:tcW w:w="1669" w:type="pct"/>
            <w:shd w:val="clear" w:color="auto" w:fill="auto"/>
            <w:noWrap/>
            <w:vAlign w:val="center"/>
            <w:hideMark/>
          </w:tcPr>
          <w:p w14:paraId="3C658686" w14:textId="7C7F734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rescisão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p>
        </w:tc>
        <w:tc>
          <w:tcPr>
            <w:tcW w:w="1664" w:type="pct"/>
            <w:shd w:val="clear" w:color="auto" w:fill="auto"/>
            <w:noWrap/>
            <w:vAlign w:val="center"/>
            <w:hideMark/>
          </w:tcPr>
          <w:p w14:paraId="1DE6A76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EA06A6C" w14:textId="77777777" w:rsidTr="00E75B46">
        <w:tc>
          <w:tcPr>
            <w:tcW w:w="1667" w:type="pct"/>
            <w:vAlign w:val="center"/>
          </w:tcPr>
          <w:p w14:paraId="29E9D48F" w14:textId="1BE3127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VI - previsão de prazos de pagamento dos prêmios e das indenizações; e</w:t>
            </w:r>
          </w:p>
        </w:tc>
        <w:tc>
          <w:tcPr>
            <w:tcW w:w="1669" w:type="pct"/>
            <w:shd w:val="clear" w:color="auto" w:fill="auto"/>
            <w:noWrap/>
            <w:vAlign w:val="center"/>
            <w:hideMark/>
          </w:tcPr>
          <w:p w14:paraId="7A5E37A0" w14:textId="0C96AA3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prazos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0B89012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C9567E2" w14:textId="77777777" w:rsidTr="00E75B46">
        <w:tc>
          <w:tcPr>
            <w:tcW w:w="1667" w:type="pct"/>
            <w:vAlign w:val="center"/>
          </w:tcPr>
          <w:p w14:paraId="77A5EE23" w14:textId="573B5266"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 - descrição dos riscos excluídos e dos não cobertos, caso previstos.</w:t>
            </w:r>
          </w:p>
        </w:tc>
        <w:tc>
          <w:tcPr>
            <w:tcW w:w="1669" w:type="pct"/>
            <w:shd w:val="clear" w:color="auto" w:fill="auto"/>
            <w:noWrap/>
            <w:vAlign w:val="center"/>
            <w:hideMark/>
          </w:tcPr>
          <w:p w14:paraId="376018D6" w14:textId="53C144EA"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excluídos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p>
        </w:tc>
        <w:tc>
          <w:tcPr>
            <w:tcW w:w="1664" w:type="pct"/>
            <w:shd w:val="clear" w:color="auto" w:fill="auto"/>
            <w:noWrap/>
            <w:vAlign w:val="center"/>
            <w:hideMark/>
          </w:tcPr>
          <w:p w14:paraId="7CA5932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632988D" w14:textId="77777777" w:rsidTr="00E75B46">
        <w:tc>
          <w:tcPr>
            <w:tcW w:w="1667" w:type="pct"/>
            <w:vAlign w:val="center"/>
          </w:tcPr>
          <w:p w14:paraId="5969A264" w14:textId="17D8E72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5º Previamente à celebração ou à renovação de contrato de seguro, a diretoria executiva e o conselho deliberativo da EFPC devem aprovar estudo técnico que demonstre a sua viabilidade econômico-financeira e atuarial para cada plano de benefícios.</w:t>
            </w:r>
          </w:p>
        </w:tc>
        <w:tc>
          <w:tcPr>
            <w:tcW w:w="1669" w:type="pct"/>
            <w:shd w:val="clear" w:color="auto" w:fill="auto"/>
            <w:noWrap/>
            <w:vAlign w:val="center"/>
            <w:hideMark/>
          </w:tcPr>
          <w:p w14:paraId="647ED78B" w14:textId="6E2AB204"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45</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celebração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diretoria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executiva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conselho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deliberativo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aprovar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econômico-financeira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711FCE21"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F88031A" w14:textId="77777777" w:rsidTr="00E75B46">
        <w:tc>
          <w:tcPr>
            <w:tcW w:w="1667" w:type="pct"/>
            <w:vAlign w:val="center"/>
          </w:tcPr>
          <w:p w14:paraId="2AD26760" w14:textId="5A13B718"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O estudo técnico previsto no caput deve conter, no mínimo:</w:t>
            </w:r>
          </w:p>
        </w:tc>
        <w:tc>
          <w:tcPr>
            <w:tcW w:w="1669" w:type="pct"/>
            <w:shd w:val="clear" w:color="auto" w:fill="auto"/>
            <w:noWrap/>
            <w:vAlign w:val="center"/>
            <w:hideMark/>
          </w:tcPr>
          <w:p w14:paraId="02EF9A79" w14:textId="24EB8DD0"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mínimo:</w:t>
            </w:r>
          </w:p>
        </w:tc>
        <w:tc>
          <w:tcPr>
            <w:tcW w:w="1664" w:type="pct"/>
            <w:shd w:val="clear" w:color="auto" w:fill="auto"/>
            <w:noWrap/>
            <w:vAlign w:val="center"/>
            <w:hideMark/>
          </w:tcPr>
          <w:p w14:paraId="3D05D3B9"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0FAFB3C" w14:textId="77777777" w:rsidTr="00E75B46">
        <w:tc>
          <w:tcPr>
            <w:tcW w:w="1667" w:type="pct"/>
            <w:vAlign w:val="center"/>
          </w:tcPr>
          <w:p w14:paraId="3CFA2B7C" w14:textId="3488B6FF"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a descrição das bases, das fórmulas de cálculo e dos critérios de atualização dos valores referentes aos benefícios previstos no regulamento e passíveis de contratação de cobertura de riscos com sociedade seguradora;</w:t>
            </w:r>
          </w:p>
        </w:tc>
        <w:tc>
          <w:tcPr>
            <w:tcW w:w="1669" w:type="pct"/>
            <w:shd w:val="clear" w:color="auto" w:fill="auto"/>
            <w:noWrap/>
            <w:vAlign w:val="center"/>
            <w:hideMark/>
          </w:tcPr>
          <w:p w14:paraId="304611B3" w14:textId="33DB948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descrição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fórmulas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cálculo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critérios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atualização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valores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passíveis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tc>
        <w:tc>
          <w:tcPr>
            <w:tcW w:w="1664" w:type="pct"/>
            <w:shd w:val="clear" w:color="auto" w:fill="auto"/>
            <w:noWrap/>
            <w:vAlign w:val="center"/>
            <w:hideMark/>
          </w:tcPr>
          <w:p w14:paraId="0B21CE2E"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4BBC348" w14:textId="77777777" w:rsidTr="00E75B46">
        <w:tc>
          <w:tcPr>
            <w:tcW w:w="1667" w:type="pct"/>
            <w:vAlign w:val="center"/>
          </w:tcPr>
          <w:p w14:paraId="7C0AF553" w14:textId="09170C1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a estimativa de gastos com prêmios futuros; e</w:t>
            </w:r>
          </w:p>
        </w:tc>
        <w:tc>
          <w:tcPr>
            <w:tcW w:w="1669" w:type="pct"/>
            <w:shd w:val="clear" w:color="auto" w:fill="auto"/>
            <w:noWrap/>
            <w:vAlign w:val="center"/>
            <w:hideMark/>
          </w:tcPr>
          <w:p w14:paraId="5AD976B3" w14:textId="776CE1B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estimativa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gastos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futuros;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63AB9880"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2267FD9" w14:textId="77777777" w:rsidTr="00E75B46">
        <w:tc>
          <w:tcPr>
            <w:tcW w:w="1667" w:type="pct"/>
            <w:vAlign w:val="center"/>
          </w:tcPr>
          <w:p w14:paraId="2F3C1EA3" w14:textId="1761DA12"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a avaliação de custos e de riscos que indiquem a necessidade e a vantagem de contratação de seguro para a cobertura do respectivo risco objeto.</w:t>
            </w:r>
          </w:p>
        </w:tc>
        <w:tc>
          <w:tcPr>
            <w:tcW w:w="1669" w:type="pct"/>
            <w:shd w:val="clear" w:color="auto" w:fill="auto"/>
            <w:noWrap/>
            <w:vAlign w:val="center"/>
            <w:hideMark/>
          </w:tcPr>
          <w:p w14:paraId="567EAB0A" w14:textId="5D63D6C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custos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indiquem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necessidade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vantagem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objeto.</w:t>
            </w:r>
          </w:p>
        </w:tc>
        <w:tc>
          <w:tcPr>
            <w:tcW w:w="1664" w:type="pct"/>
            <w:shd w:val="clear" w:color="auto" w:fill="auto"/>
            <w:noWrap/>
            <w:vAlign w:val="center"/>
            <w:hideMark/>
          </w:tcPr>
          <w:p w14:paraId="54747BEB"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CF6BDA0" w14:textId="77777777" w:rsidTr="00E75B46">
        <w:tc>
          <w:tcPr>
            <w:tcW w:w="1667" w:type="pct"/>
            <w:vAlign w:val="center"/>
          </w:tcPr>
          <w:p w14:paraId="434C4DAF" w14:textId="77DD6B2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Fica dispensado o estudo técnico previsto no caput quando da contratação das coberturas adicionais de que trata o art. 7º.</w:t>
            </w:r>
          </w:p>
        </w:tc>
        <w:tc>
          <w:tcPr>
            <w:tcW w:w="1669" w:type="pct"/>
            <w:shd w:val="clear" w:color="auto" w:fill="auto"/>
            <w:noWrap/>
            <w:vAlign w:val="center"/>
            <w:hideMark/>
          </w:tcPr>
          <w:p w14:paraId="2DACA32B" w14:textId="3FCA398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dispensado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estudo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técnico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w:t>
            </w:r>
            <w:r w:rsidR="00E5641A" w:rsidRPr="00225EB1">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47</w:t>
            </w:r>
            <w:r w:rsidR="009E5362">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52FC78CB" w14:textId="612114F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11651E0" w14:textId="77777777" w:rsidTr="00E75B46">
        <w:tc>
          <w:tcPr>
            <w:tcW w:w="1667" w:type="pct"/>
            <w:vAlign w:val="center"/>
          </w:tcPr>
          <w:p w14:paraId="6249E53F" w14:textId="7129CCC2"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c>
          <w:tcPr>
            <w:tcW w:w="1669" w:type="pct"/>
            <w:shd w:val="clear" w:color="auto" w:fill="auto"/>
            <w:noWrap/>
            <w:vAlign w:val="center"/>
            <w:hideMark/>
          </w:tcPr>
          <w:p w14:paraId="289B3BBD" w14:textId="163E9FB9"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Subseção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II</w:t>
            </w:r>
          </w:p>
        </w:tc>
        <w:tc>
          <w:tcPr>
            <w:tcW w:w="1664" w:type="pct"/>
            <w:shd w:val="clear" w:color="auto" w:fill="auto"/>
            <w:noWrap/>
            <w:vAlign w:val="center"/>
            <w:hideMark/>
          </w:tcPr>
          <w:p w14:paraId="664F7835"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3C6C0E42" w14:textId="77777777" w:rsidTr="00E75B46">
        <w:tc>
          <w:tcPr>
            <w:tcW w:w="1667" w:type="pct"/>
            <w:vAlign w:val="center"/>
          </w:tcPr>
          <w:p w14:paraId="2B6AC5A5" w14:textId="1396E72F" w:rsidR="00A6584C" w:rsidRPr="00225EB1"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225EB1">
              <w:rPr>
                <w:rFonts w:ascii="Calibri" w:hAnsi="Calibri" w:cs="Calibri"/>
                <w:sz w:val="24"/>
              </w:rPr>
              <w:t>Cobertura do seguro</w:t>
            </w:r>
          </w:p>
        </w:tc>
        <w:tc>
          <w:tcPr>
            <w:tcW w:w="1669" w:type="pct"/>
            <w:shd w:val="clear" w:color="auto" w:fill="auto"/>
            <w:noWrap/>
            <w:vAlign w:val="center"/>
            <w:hideMark/>
          </w:tcPr>
          <w:p w14:paraId="2E43AEFF" w14:textId="1693AC03"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r w:rsidRPr="00843426">
              <w:rPr>
                <w:rFonts w:ascii="Calibri" w:eastAsia="Times New Roman" w:hAnsi="Calibri" w:cs="Calibri"/>
                <w:b/>
                <w:bCs/>
                <w:kern w:val="0"/>
                <w:sz w:val="24"/>
                <w:szCs w:val="24"/>
                <w:lang w:eastAsia="pt-BR"/>
                <w14:ligatures w14:val="none"/>
              </w:rPr>
              <w:t>Cobertura</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do</w:t>
            </w:r>
            <w:r w:rsidR="009068E9">
              <w:rPr>
                <w:rFonts w:ascii="Calibri" w:eastAsia="Times New Roman" w:hAnsi="Calibri" w:cs="Calibri"/>
                <w:b/>
                <w:bCs/>
                <w:kern w:val="0"/>
                <w:sz w:val="24"/>
                <w:szCs w:val="24"/>
                <w:lang w:eastAsia="pt-BR"/>
                <w14:ligatures w14:val="none"/>
              </w:rPr>
              <w:t xml:space="preserve"> </w:t>
            </w:r>
            <w:r w:rsidRPr="00843426">
              <w:rPr>
                <w:rFonts w:ascii="Calibri" w:eastAsia="Times New Roman" w:hAnsi="Calibri" w:cs="Calibri"/>
                <w:b/>
                <w:bCs/>
                <w:kern w:val="0"/>
                <w:sz w:val="24"/>
                <w:szCs w:val="24"/>
                <w:lang w:eastAsia="pt-BR"/>
                <w14:ligatures w14:val="none"/>
              </w:rPr>
              <w:t>seguro</w:t>
            </w:r>
          </w:p>
        </w:tc>
        <w:tc>
          <w:tcPr>
            <w:tcW w:w="1664" w:type="pct"/>
            <w:shd w:val="clear" w:color="auto" w:fill="auto"/>
            <w:noWrap/>
            <w:vAlign w:val="center"/>
            <w:hideMark/>
          </w:tcPr>
          <w:p w14:paraId="759D481F" w14:textId="77777777" w:rsidR="00A6584C" w:rsidRPr="00843426" w:rsidRDefault="00A6584C" w:rsidP="00EB77BF">
            <w:pPr>
              <w:spacing w:after="0" w:line="240" w:lineRule="auto"/>
              <w:jc w:val="center"/>
              <w:rPr>
                <w:rFonts w:ascii="Calibri" w:eastAsia="Times New Roman" w:hAnsi="Calibri" w:cs="Calibri"/>
                <w:b/>
                <w:bCs/>
                <w:kern w:val="0"/>
                <w:sz w:val="24"/>
                <w:szCs w:val="24"/>
                <w:lang w:eastAsia="pt-BR"/>
                <w14:ligatures w14:val="none"/>
              </w:rPr>
            </w:pPr>
          </w:p>
        </w:tc>
      </w:tr>
      <w:tr w:rsidR="00225EB1" w:rsidRPr="00225EB1" w14:paraId="1F63C0B5" w14:textId="77777777" w:rsidTr="00E75B46">
        <w:tc>
          <w:tcPr>
            <w:tcW w:w="1667" w:type="pct"/>
            <w:vAlign w:val="center"/>
          </w:tcPr>
          <w:p w14:paraId="2A2C0FE5" w14:textId="0570D667"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6º Os contratos de seguro para a cobertura dos riscos referidos nos incisos I e II do art. 3º podem prever a indenização na forma de pagamento único ou de renda continuada.</w:t>
            </w:r>
          </w:p>
        </w:tc>
        <w:tc>
          <w:tcPr>
            <w:tcW w:w="1669" w:type="pct"/>
            <w:shd w:val="clear" w:color="auto" w:fill="auto"/>
            <w:noWrap/>
            <w:vAlign w:val="center"/>
            <w:hideMark/>
          </w:tcPr>
          <w:p w14:paraId="5A9C8D8E" w14:textId="3CCA888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46</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43</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p>
        </w:tc>
        <w:tc>
          <w:tcPr>
            <w:tcW w:w="1664" w:type="pct"/>
            <w:shd w:val="clear" w:color="auto" w:fill="auto"/>
            <w:noWrap/>
            <w:vAlign w:val="center"/>
            <w:hideMark/>
          </w:tcPr>
          <w:p w14:paraId="42EF77B9" w14:textId="2FA17B5A"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C1EE8FB" w14:textId="77777777" w:rsidTr="00E75B46">
        <w:tc>
          <w:tcPr>
            <w:tcW w:w="1667" w:type="pct"/>
            <w:vAlign w:val="center"/>
          </w:tcPr>
          <w:p w14:paraId="65DABE95" w14:textId="5FFDD7D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7º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tc>
        <w:tc>
          <w:tcPr>
            <w:tcW w:w="1669" w:type="pct"/>
            <w:shd w:val="clear" w:color="auto" w:fill="auto"/>
            <w:noWrap/>
            <w:vAlign w:val="center"/>
            <w:hideMark/>
          </w:tcPr>
          <w:p w14:paraId="01FDE95D" w14:textId="7657423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47</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cujos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estruturados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unicamente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junto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essa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possibilidade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opcional.</w:t>
            </w:r>
          </w:p>
        </w:tc>
        <w:tc>
          <w:tcPr>
            <w:tcW w:w="1664" w:type="pct"/>
            <w:shd w:val="clear" w:color="auto" w:fill="auto"/>
            <w:noWrap/>
            <w:vAlign w:val="center"/>
            <w:hideMark/>
          </w:tcPr>
          <w:p w14:paraId="04EE382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82A4CE6" w14:textId="77777777" w:rsidTr="00E75B46">
        <w:tc>
          <w:tcPr>
            <w:tcW w:w="1667" w:type="pct"/>
            <w:vAlign w:val="center"/>
          </w:tcPr>
          <w:p w14:paraId="3AEEBD33" w14:textId="074B295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1º O regulamento deve dispor sobre eventuais situações que causem a suspensão da cobertura a que se refere o caput, inclusive em decorrência de rescisão ou não renovação do contrato com a sociedade seguradora.</w:t>
            </w:r>
          </w:p>
        </w:tc>
        <w:tc>
          <w:tcPr>
            <w:tcW w:w="1669" w:type="pct"/>
            <w:shd w:val="clear" w:color="auto" w:fill="auto"/>
            <w:noWrap/>
            <w:vAlign w:val="center"/>
            <w:hideMark/>
          </w:tcPr>
          <w:p w14:paraId="7301B2DD" w14:textId="66F8F324"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eventuais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situações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causem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suspensão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inclusive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rescisão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renovação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p>
        </w:tc>
        <w:tc>
          <w:tcPr>
            <w:tcW w:w="1664" w:type="pct"/>
            <w:shd w:val="clear" w:color="auto" w:fill="auto"/>
            <w:noWrap/>
            <w:vAlign w:val="center"/>
            <w:hideMark/>
          </w:tcPr>
          <w:p w14:paraId="2337B096"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0A0A60F" w14:textId="77777777" w:rsidTr="00E75B46">
        <w:tc>
          <w:tcPr>
            <w:tcW w:w="1667" w:type="pct"/>
            <w:vAlign w:val="center"/>
          </w:tcPr>
          <w:p w14:paraId="4CD1C277" w14:textId="6A878C0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Para as coberturas adicionais tratadas no caput não se aplica o disposto no art. 10.</w:t>
            </w:r>
          </w:p>
        </w:tc>
        <w:tc>
          <w:tcPr>
            <w:tcW w:w="1669" w:type="pct"/>
            <w:shd w:val="clear" w:color="auto" w:fill="auto"/>
            <w:noWrap/>
            <w:vAlign w:val="center"/>
            <w:hideMark/>
          </w:tcPr>
          <w:p w14:paraId="5540BB2E" w14:textId="32526B1E"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adicionais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disposto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00E5641A" w:rsidRPr="00225EB1">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68</w:t>
            </w:r>
            <w:r w:rsidR="00E5641A" w:rsidRPr="00225EB1">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2F59B831" w14:textId="476FF3B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1F77FCB" w14:textId="77777777" w:rsidTr="00E75B46">
        <w:tc>
          <w:tcPr>
            <w:tcW w:w="1667" w:type="pct"/>
            <w:vAlign w:val="center"/>
          </w:tcPr>
          <w:p w14:paraId="2677D5BA" w14:textId="543EB5A7"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8º O contrato de seguro para a cobertura do risco referido no inciso III do art. 3º tem por objetivo assegurar o pagamento de renda continuada, nas condições contratadas, após </w:t>
            </w:r>
            <w:r w:rsidRPr="00225EB1">
              <w:rPr>
                <w:rFonts w:ascii="Calibri" w:hAnsi="Calibri" w:cs="Calibri"/>
                <w:sz w:val="24"/>
              </w:rPr>
              <w:lastRenderedPageBreak/>
              <w:t>o término do pagamento do benefício pela EFPC.</w:t>
            </w:r>
          </w:p>
        </w:tc>
        <w:tc>
          <w:tcPr>
            <w:tcW w:w="1669" w:type="pct"/>
            <w:shd w:val="clear" w:color="auto" w:fill="auto"/>
            <w:noWrap/>
            <w:vAlign w:val="center"/>
            <w:hideMark/>
          </w:tcPr>
          <w:p w14:paraId="745B20F2" w14:textId="04E86DF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48</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B06E16">
              <w:rPr>
                <w:rFonts w:ascii="Calibri" w:eastAsia="Times New Roman" w:hAnsi="Calibri" w:cs="Calibri"/>
                <w:kern w:val="0"/>
                <w:sz w:val="24"/>
                <w:szCs w:val="24"/>
                <w:lang w:eastAsia="pt-BR"/>
                <w14:ligatures w14:val="none"/>
              </w:rPr>
              <w:t>43</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assegurar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renda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continuada,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contratadas,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após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término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p>
        </w:tc>
        <w:tc>
          <w:tcPr>
            <w:tcW w:w="1664" w:type="pct"/>
            <w:shd w:val="clear" w:color="auto" w:fill="auto"/>
            <w:noWrap/>
            <w:vAlign w:val="center"/>
          </w:tcPr>
          <w:p w14:paraId="670BD820" w14:textId="04B2C080"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BB274D7" w14:textId="77777777" w:rsidTr="00E75B46">
        <w:tc>
          <w:tcPr>
            <w:tcW w:w="1667" w:type="pct"/>
            <w:vAlign w:val="center"/>
          </w:tcPr>
          <w:p w14:paraId="2CF1A80A" w14:textId="6F9025D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Parágrafo </w:t>
            </w:r>
            <w:r w:rsidR="00995A43">
              <w:rPr>
                <w:rFonts w:ascii="Calibri" w:hAnsi="Calibri" w:cs="Calibri"/>
                <w:sz w:val="24"/>
              </w:rPr>
              <w:t xml:space="preserve">único.  </w:t>
            </w:r>
            <w:r w:rsidRPr="00225EB1">
              <w:rPr>
                <w:rFonts w:ascii="Calibri" w:hAnsi="Calibri" w:cs="Calibri"/>
                <w:sz w:val="24"/>
              </w:rPr>
              <w:t>O pagamento do prêmio para cobertura do risco referido no inciso III do art. 3º pode advir das seguintes fontes:</w:t>
            </w:r>
          </w:p>
        </w:tc>
        <w:tc>
          <w:tcPr>
            <w:tcW w:w="1669" w:type="pct"/>
            <w:shd w:val="clear" w:color="auto" w:fill="auto"/>
            <w:noWrap/>
            <w:vAlign w:val="center"/>
            <w:hideMark/>
          </w:tcPr>
          <w:p w14:paraId="2C58D95F" w14:textId="61746B5E"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Parágrafo</w:t>
            </w:r>
            <w:r w:rsidR="009068E9">
              <w:rPr>
                <w:rFonts w:ascii="Calibri" w:eastAsia="Times New Roman" w:hAnsi="Calibri" w:cs="Calibri"/>
                <w:kern w:val="0"/>
                <w:sz w:val="24"/>
                <w:szCs w:val="24"/>
                <w:lang w:eastAsia="pt-BR"/>
                <w14:ligatures w14:val="none"/>
              </w:rPr>
              <w:t xml:space="preserve"> </w:t>
            </w:r>
            <w:r w:rsidR="00995A43">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advir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seguintes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fontes:</w:t>
            </w:r>
          </w:p>
        </w:tc>
        <w:tc>
          <w:tcPr>
            <w:tcW w:w="1664" w:type="pct"/>
            <w:shd w:val="clear" w:color="auto" w:fill="auto"/>
            <w:noWrap/>
            <w:vAlign w:val="center"/>
          </w:tcPr>
          <w:p w14:paraId="6797D279" w14:textId="588F8EB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6FB5928" w14:textId="77777777" w:rsidTr="00E75B46">
        <w:tc>
          <w:tcPr>
            <w:tcW w:w="1667" w:type="pct"/>
            <w:vAlign w:val="center"/>
          </w:tcPr>
          <w:p w14:paraId="715CBBF0" w14:textId="5346939E"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contribuição normal e periódica com finalidade específica;</w:t>
            </w:r>
          </w:p>
        </w:tc>
        <w:tc>
          <w:tcPr>
            <w:tcW w:w="1669" w:type="pct"/>
            <w:shd w:val="clear" w:color="auto" w:fill="auto"/>
            <w:noWrap/>
            <w:vAlign w:val="center"/>
            <w:hideMark/>
          </w:tcPr>
          <w:p w14:paraId="17BDD0A1" w14:textId="5AE2EA8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normal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periódica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p>
        </w:tc>
        <w:tc>
          <w:tcPr>
            <w:tcW w:w="1664" w:type="pct"/>
            <w:shd w:val="clear" w:color="auto" w:fill="auto"/>
            <w:noWrap/>
            <w:vAlign w:val="center"/>
            <w:hideMark/>
          </w:tcPr>
          <w:p w14:paraId="67F96935"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835B590" w14:textId="77777777" w:rsidTr="00E75B46">
        <w:tc>
          <w:tcPr>
            <w:tcW w:w="1667" w:type="pct"/>
            <w:vAlign w:val="center"/>
          </w:tcPr>
          <w:p w14:paraId="2F22FDE1" w14:textId="0FE4CE59"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contribuição em forma de aporte único com finalidade específica; ou</w:t>
            </w:r>
          </w:p>
        </w:tc>
        <w:tc>
          <w:tcPr>
            <w:tcW w:w="1669" w:type="pct"/>
            <w:shd w:val="clear" w:color="auto" w:fill="auto"/>
            <w:noWrap/>
            <w:vAlign w:val="center"/>
            <w:hideMark/>
          </w:tcPr>
          <w:p w14:paraId="5F66062D" w14:textId="17D86F0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contribuição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aporte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único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específica;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4" w:type="pct"/>
            <w:shd w:val="clear" w:color="auto" w:fill="auto"/>
            <w:noWrap/>
            <w:vAlign w:val="center"/>
            <w:hideMark/>
          </w:tcPr>
          <w:p w14:paraId="6807E24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69F2064" w14:textId="77777777" w:rsidTr="00E75B46">
        <w:tc>
          <w:tcPr>
            <w:tcW w:w="1667" w:type="pct"/>
            <w:vAlign w:val="center"/>
          </w:tcPr>
          <w:p w14:paraId="0877DB8E" w14:textId="6C8CF90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segregação de parcela do saldo de conta total, a partir da concessão do benefício programado previsto no regulamento do plano de benefícios.</w:t>
            </w:r>
          </w:p>
        </w:tc>
        <w:tc>
          <w:tcPr>
            <w:tcW w:w="1669" w:type="pct"/>
            <w:shd w:val="clear" w:color="auto" w:fill="auto"/>
            <w:noWrap/>
            <w:vAlign w:val="center"/>
            <w:hideMark/>
          </w:tcPr>
          <w:p w14:paraId="27F1DCDB" w14:textId="77C47CB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segregação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parcela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saldo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total,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concessão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programado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regulamento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p>
        </w:tc>
        <w:tc>
          <w:tcPr>
            <w:tcW w:w="1664" w:type="pct"/>
            <w:shd w:val="clear" w:color="auto" w:fill="auto"/>
            <w:noWrap/>
            <w:vAlign w:val="center"/>
            <w:hideMark/>
          </w:tcPr>
          <w:p w14:paraId="04B28D8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9C362BA" w14:textId="77777777" w:rsidTr="00E75B46">
        <w:tc>
          <w:tcPr>
            <w:tcW w:w="1667" w:type="pct"/>
            <w:vAlign w:val="center"/>
          </w:tcPr>
          <w:p w14:paraId="30327EB0" w14:textId="0D5BE639"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9º O contrato de seguro para a cobertura do risco referido no inciso IV do art. 3º tem por objetivo limitar a variabilidade do fluxo de pagamentos dos benefícios decorrentes dos compromissos assumidos perante os participantes e assistidos, de forma isolada ou conjunta, decorrentes de:</w:t>
            </w:r>
          </w:p>
        </w:tc>
        <w:tc>
          <w:tcPr>
            <w:tcW w:w="1669" w:type="pct"/>
            <w:shd w:val="clear" w:color="auto" w:fill="auto"/>
            <w:noWrap/>
            <w:vAlign w:val="center"/>
            <w:hideMark/>
          </w:tcPr>
          <w:p w14:paraId="35919CD2" w14:textId="4299B1AD"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49</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risco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referido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inciso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43 </w:t>
            </w:r>
            <w:r w:rsidRPr="00843426">
              <w:rPr>
                <w:rFonts w:ascii="Calibri" w:eastAsia="Times New Roman" w:hAnsi="Calibri" w:cs="Calibri"/>
                <w:kern w:val="0"/>
                <w:sz w:val="24"/>
                <w:szCs w:val="24"/>
                <w:lang w:eastAsia="pt-BR"/>
                <w14:ligatures w14:val="none"/>
              </w:rPr>
              <w:t>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objetivo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limitar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variabilidade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compromissos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assumidos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perante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isolada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conjunta,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decorrentes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p>
        </w:tc>
        <w:tc>
          <w:tcPr>
            <w:tcW w:w="1664" w:type="pct"/>
            <w:shd w:val="clear" w:color="auto" w:fill="auto"/>
            <w:noWrap/>
            <w:vAlign w:val="center"/>
            <w:hideMark/>
          </w:tcPr>
          <w:p w14:paraId="2E39E8ED" w14:textId="3C8AEC0B"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AC78B5" w14:textId="77777777" w:rsidTr="00E75B46">
        <w:tc>
          <w:tcPr>
            <w:tcW w:w="1667" w:type="pct"/>
            <w:vAlign w:val="center"/>
          </w:tcPr>
          <w:p w14:paraId="714DB412" w14:textId="0BD4D7A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entrada em invalidez;</w:t>
            </w:r>
          </w:p>
        </w:tc>
        <w:tc>
          <w:tcPr>
            <w:tcW w:w="1669" w:type="pct"/>
            <w:shd w:val="clear" w:color="auto" w:fill="auto"/>
            <w:noWrap/>
            <w:vAlign w:val="center"/>
            <w:hideMark/>
          </w:tcPr>
          <w:p w14:paraId="17C4DE2A" w14:textId="23505C7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invalidez;</w:t>
            </w:r>
          </w:p>
        </w:tc>
        <w:tc>
          <w:tcPr>
            <w:tcW w:w="1664" w:type="pct"/>
            <w:shd w:val="clear" w:color="auto" w:fill="auto"/>
            <w:noWrap/>
            <w:vAlign w:val="center"/>
            <w:hideMark/>
          </w:tcPr>
          <w:p w14:paraId="768BBA9C"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4C6307" w14:textId="77777777" w:rsidTr="00E75B46">
        <w:tc>
          <w:tcPr>
            <w:tcW w:w="1667" w:type="pct"/>
            <w:vAlign w:val="center"/>
          </w:tcPr>
          <w:p w14:paraId="1CA4A928" w14:textId="58CA246D"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mortalidade de inválidos;</w:t>
            </w:r>
          </w:p>
        </w:tc>
        <w:tc>
          <w:tcPr>
            <w:tcW w:w="1669" w:type="pct"/>
            <w:shd w:val="clear" w:color="auto" w:fill="auto"/>
            <w:noWrap/>
            <w:vAlign w:val="center"/>
            <w:hideMark/>
          </w:tcPr>
          <w:p w14:paraId="0BE7BA73" w14:textId="6F5980BF"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p>
        </w:tc>
        <w:tc>
          <w:tcPr>
            <w:tcW w:w="1664" w:type="pct"/>
            <w:shd w:val="clear" w:color="auto" w:fill="auto"/>
            <w:noWrap/>
            <w:vAlign w:val="center"/>
            <w:hideMark/>
          </w:tcPr>
          <w:p w14:paraId="53E8784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27FD0C5" w14:textId="77777777" w:rsidTr="00E75B46">
        <w:tc>
          <w:tcPr>
            <w:tcW w:w="1667" w:type="pct"/>
            <w:vAlign w:val="center"/>
          </w:tcPr>
          <w:p w14:paraId="5F7B9A8C" w14:textId="19BF689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mortalidade geral;</w:t>
            </w:r>
          </w:p>
        </w:tc>
        <w:tc>
          <w:tcPr>
            <w:tcW w:w="1669" w:type="pct"/>
            <w:shd w:val="clear" w:color="auto" w:fill="auto"/>
            <w:noWrap/>
            <w:vAlign w:val="center"/>
            <w:hideMark/>
          </w:tcPr>
          <w:p w14:paraId="07976536" w14:textId="757BF01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mortalidade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p>
        </w:tc>
        <w:tc>
          <w:tcPr>
            <w:tcW w:w="1664" w:type="pct"/>
            <w:shd w:val="clear" w:color="auto" w:fill="auto"/>
            <w:noWrap/>
            <w:vAlign w:val="center"/>
            <w:hideMark/>
          </w:tcPr>
          <w:p w14:paraId="561287B5"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23EFFA3C" w14:textId="77777777" w:rsidTr="00E75B46">
        <w:tc>
          <w:tcPr>
            <w:tcW w:w="1667" w:type="pct"/>
            <w:vAlign w:val="center"/>
          </w:tcPr>
          <w:p w14:paraId="19EA3FA5" w14:textId="35E75A9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sobrevivência de inválidos; ou</w:t>
            </w:r>
          </w:p>
        </w:tc>
        <w:tc>
          <w:tcPr>
            <w:tcW w:w="1669" w:type="pct"/>
            <w:shd w:val="clear" w:color="auto" w:fill="auto"/>
            <w:noWrap/>
            <w:vAlign w:val="center"/>
            <w:hideMark/>
          </w:tcPr>
          <w:p w14:paraId="367CFE88" w14:textId="7F4D0F3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inválidos;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p>
        </w:tc>
        <w:tc>
          <w:tcPr>
            <w:tcW w:w="1664" w:type="pct"/>
            <w:shd w:val="clear" w:color="auto" w:fill="auto"/>
            <w:noWrap/>
            <w:vAlign w:val="center"/>
            <w:hideMark/>
          </w:tcPr>
          <w:p w14:paraId="743D7674"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E69EE21" w14:textId="77777777" w:rsidTr="00E75B46">
        <w:tc>
          <w:tcPr>
            <w:tcW w:w="1667" w:type="pct"/>
            <w:vAlign w:val="center"/>
          </w:tcPr>
          <w:p w14:paraId="28B4D718" w14:textId="6C7E695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 - sobrevivência geral.</w:t>
            </w:r>
          </w:p>
        </w:tc>
        <w:tc>
          <w:tcPr>
            <w:tcW w:w="1669" w:type="pct"/>
            <w:shd w:val="clear" w:color="auto" w:fill="auto"/>
            <w:noWrap/>
            <w:vAlign w:val="center"/>
            <w:hideMark/>
          </w:tcPr>
          <w:p w14:paraId="2D74C019" w14:textId="1699A491"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V</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sobrevivência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geral.</w:t>
            </w:r>
          </w:p>
        </w:tc>
        <w:tc>
          <w:tcPr>
            <w:tcW w:w="1664" w:type="pct"/>
            <w:shd w:val="clear" w:color="auto" w:fill="auto"/>
            <w:noWrap/>
            <w:vAlign w:val="center"/>
            <w:hideMark/>
          </w:tcPr>
          <w:p w14:paraId="72FA50D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DD8DD94" w14:textId="77777777" w:rsidTr="00E75B46">
        <w:tc>
          <w:tcPr>
            <w:tcW w:w="1667" w:type="pct"/>
            <w:vAlign w:val="center"/>
          </w:tcPr>
          <w:p w14:paraId="355728B9" w14:textId="16A3347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 1º A EFPC deve considerar o fluxo de pagamento dos benefícios projetados a partir das hipóteses atuariais aderentes adotadas </w:t>
            </w:r>
            <w:r w:rsidRPr="00225EB1">
              <w:rPr>
                <w:rFonts w:ascii="Calibri" w:hAnsi="Calibri" w:cs="Calibri"/>
                <w:sz w:val="24"/>
              </w:rPr>
              <w:lastRenderedPageBreak/>
              <w:t>na avaliação atuarial do exercício anterior, para fins de demonstração da viabilidade econômico-financeira e atuarial da contratação do seguro de que trata o caput.</w:t>
            </w:r>
          </w:p>
        </w:tc>
        <w:tc>
          <w:tcPr>
            <w:tcW w:w="1669" w:type="pct"/>
            <w:shd w:val="clear" w:color="auto" w:fill="auto"/>
            <w:noWrap/>
            <w:vAlign w:val="center"/>
            <w:hideMark/>
          </w:tcPr>
          <w:p w14:paraId="31A2155A" w14:textId="5E9C6394"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1º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considerar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fluxo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projetados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atuariais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aderentes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adotadas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avaliação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exercício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anterior,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demonstração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viabilidade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econômico-financeira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atuarial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00CD5BE3" w:rsidRPr="00CD5BE3">
              <w:rPr>
                <w:rFonts w:ascii="Calibri" w:eastAsia="Times New Roman" w:hAnsi="Calibri" w:cs="Calibri"/>
                <w:b/>
                <w:bCs/>
                <w:kern w:val="0"/>
                <w:sz w:val="24"/>
                <w:szCs w:val="24"/>
                <w:lang w:eastAsia="pt-BR"/>
                <w14:ligatures w14:val="none"/>
              </w:rPr>
              <w:t>caput</w:t>
            </w:r>
            <w:r w:rsidRPr="00843426">
              <w:rPr>
                <w:rFonts w:ascii="Calibri" w:eastAsia="Times New Roman" w:hAnsi="Calibri" w:cs="Calibri"/>
                <w:kern w:val="0"/>
                <w:sz w:val="24"/>
                <w:szCs w:val="24"/>
                <w:lang w:eastAsia="pt-BR"/>
                <w14:ligatures w14:val="none"/>
              </w:rPr>
              <w:t>.</w:t>
            </w:r>
          </w:p>
        </w:tc>
        <w:tc>
          <w:tcPr>
            <w:tcW w:w="1664" w:type="pct"/>
            <w:shd w:val="clear" w:color="auto" w:fill="auto"/>
            <w:noWrap/>
            <w:vAlign w:val="center"/>
            <w:hideMark/>
          </w:tcPr>
          <w:p w14:paraId="3219DEE3"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99FBE65" w14:textId="77777777" w:rsidTr="00E75B46">
        <w:tc>
          <w:tcPr>
            <w:tcW w:w="1667" w:type="pct"/>
            <w:vAlign w:val="center"/>
          </w:tcPr>
          <w:p w14:paraId="7E8A94B6" w14:textId="6D167C9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2º A cobertura para desvio de hipóteses biométricas pode ser contratada, alternativamente, por meio de seguro de índice biométrico, no qual as indenizações sejam calculadas com base nas taxas biométricas observadas e estimadas.</w:t>
            </w:r>
          </w:p>
        </w:tc>
        <w:tc>
          <w:tcPr>
            <w:tcW w:w="1669" w:type="pct"/>
            <w:shd w:val="clear" w:color="auto" w:fill="auto"/>
            <w:noWrap/>
            <w:vAlign w:val="center"/>
            <w:hideMark/>
          </w:tcPr>
          <w:p w14:paraId="7CF629E2" w14:textId="6976C296"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2º</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cobertura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desvio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alternativamente,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meio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índice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calculadas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base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taxas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biométricas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estimadas.</w:t>
            </w:r>
          </w:p>
        </w:tc>
        <w:tc>
          <w:tcPr>
            <w:tcW w:w="1664" w:type="pct"/>
            <w:shd w:val="clear" w:color="auto" w:fill="auto"/>
            <w:noWrap/>
            <w:vAlign w:val="center"/>
            <w:hideMark/>
          </w:tcPr>
          <w:p w14:paraId="0AB1B48C"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485073B4" w14:textId="77777777" w:rsidTr="00E75B46">
        <w:tc>
          <w:tcPr>
            <w:tcW w:w="1667" w:type="pct"/>
            <w:vAlign w:val="center"/>
          </w:tcPr>
          <w:p w14:paraId="70C4A69F" w14:textId="739E53A1"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11.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1669" w:type="pct"/>
            <w:shd w:val="clear" w:color="auto" w:fill="auto"/>
            <w:noWrap/>
            <w:vAlign w:val="center"/>
            <w:hideMark/>
          </w:tcPr>
          <w:p w14:paraId="1F392240" w14:textId="7EB384B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50</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Nenhum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recurso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financeiro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prêmio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pode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transitar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diretamente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ou</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ressalvada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hipótese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ausência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vínculo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entre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observada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legislação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aplicável.</w:t>
            </w:r>
          </w:p>
        </w:tc>
        <w:tc>
          <w:tcPr>
            <w:tcW w:w="1664" w:type="pct"/>
            <w:shd w:val="clear" w:color="auto" w:fill="auto"/>
            <w:noWrap/>
            <w:vAlign w:val="center"/>
            <w:hideMark/>
          </w:tcPr>
          <w:p w14:paraId="6DE3B34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28E778" w14:textId="77777777" w:rsidTr="00E75B46">
        <w:tc>
          <w:tcPr>
            <w:tcW w:w="1667" w:type="pct"/>
            <w:vAlign w:val="center"/>
          </w:tcPr>
          <w:p w14:paraId="5736F99A" w14:textId="0FB85D1F"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12. Qualquer pagamento da sociedade seguradora à EFPC, que não seja a título de indenização, deve:</w:t>
            </w:r>
          </w:p>
        </w:tc>
        <w:tc>
          <w:tcPr>
            <w:tcW w:w="1669" w:type="pct"/>
            <w:shd w:val="clear" w:color="auto" w:fill="auto"/>
            <w:noWrap/>
            <w:vAlign w:val="center"/>
            <w:hideMark/>
          </w:tcPr>
          <w:p w14:paraId="6F40DC5F" w14:textId="261C2939"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51</w:t>
            </w:r>
            <w:r w:rsidR="00512EC1"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Qualquer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pagamento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sociedade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seguradora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seja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título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indenização,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p>
        </w:tc>
        <w:tc>
          <w:tcPr>
            <w:tcW w:w="1664" w:type="pct"/>
            <w:shd w:val="clear" w:color="auto" w:fill="auto"/>
            <w:noWrap/>
            <w:vAlign w:val="center"/>
            <w:hideMark/>
          </w:tcPr>
          <w:p w14:paraId="265321BF"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76E36169" w14:textId="77777777" w:rsidTr="00E75B46">
        <w:tc>
          <w:tcPr>
            <w:tcW w:w="1667" w:type="pct"/>
            <w:vAlign w:val="center"/>
          </w:tcPr>
          <w:p w14:paraId="7A711BF5" w14:textId="5A9CC515"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ter previsão contratual;</w:t>
            </w:r>
          </w:p>
        </w:tc>
        <w:tc>
          <w:tcPr>
            <w:tcW w:w="1669" w:type="pct"/>
            <w:shd w:val="clear" w:color="auto" w:fill="auto"/>
            <w:noWrap/>
            <w:vAlign w:val="center"/>
            <w:hideMark/>
          </w:tcPr>
          <w:p w14:paraId="505C6990" w14:textId="7D0B44EC"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ter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previsão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contratual;</w:t>
            </w:r>
          </w:p>
        </w:tc>
        <w:tc>
          <w:tcPr>
            <w:tcW w:w="1664" w:type="pct"/>
            <w:shd w:val="clear" w:color="auto" w:fill="auto"/>
            <w:noWrap/>
            <w:vAlign w:val="center"/>
            <w:hideMark/>
          </w:tcPr>
          <w:p w14:paraId="044AABE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36F6716B" w14:textId="77777777" w:rsidTr="00E75B46">
        <w:tc>
          <w:tcPr>
            <w:tcW w:w="1667" w:type="pct"/>
            <w:vAlign w:val="center"/>
          </w:tcPr>
          <w:p w14:paraId="2C20789F" w14:textId="2DE8766A"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ser destinado ao respectivo plano de benefícios; e</w:t>
            </w:r>
          </w:p>
        </w:tc>
        <w:tc>
          <w:tcPr>
            <w:tcW w:w="1669" w:type="pct"/>
            <w:shd w:val="clear" w:color="auto" w:fill="auto"/>
            <w:noWrap/>
            <w:vAlign w:val="center"/>
            <w:hideMark/>
          </w:tcPr>
          <w:p w14:paraId="3B3A9DCF" w14:textId="2270F715"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destinado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p>
        </w:tc>
        <w:tc>
          <w:tcPr>
            <w:tcW w:w="1664" w:type="pct"/>
            <w:shd w:val="clear" w:color="auto" w:fill="auto"/>
            <w:noWrap/>
            <w:vAlign w:val="center"/>
            <w:hideMark/>
          </w:tcPr>
          <w:p w14:paraId="52C4D1A2"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A3FCAE0" w14:textId="77777777" w:rsidTr="00E75B46">
        <w:tc>
          <w:tcPr>
            <w:tcW w:w="1667" w:type="pct"/>
            <w:vAlign w:val="center"/>
          </w:tcPr>
          <w:p w14:paraId="42623E77" w14:textId="690768B0"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ser divulgado aos participantes e assistidos no Relatório Anual de Informações.</w:t>
            </w:r>
          </w:p>
        </w:tc>
        <w:tc>
          <w:tcPr>
            <w:tcW w:w="1669" w:type="pct"/>
            <w:shd w:val="clear" w:color="auto" w:fill="auto"/>
            <w:noWrap/>
            <w:vAlign w:val="center"/>
            <w:hideMark/>
          </w:tcPr>
          <w:p w14:paraId="018B630B" w14:textId="53098FC0"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III</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divulgado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Relatório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Anual</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Informações.</w:t>
            </w:r>
          </w:p>
        </w:tc>
        <w:tc>
          <w:tcPr>
            <w:tcW w:w="1664" w:type="pct"/>
            <w:shd w:val="clear" w:color="auto" w:fill="auto"/>
            <w:noWrap/>
            <w:vAlign w:val="center"/>
            <w:hideMark/>
          </w:tcPr>
          <w:p w14:paraId="5B635438"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63A3C0C3" w14:textId="77777777" w:rsidTr="00E75B46">
        <w:tc>
          <w:tcPr>
            <w:tcW w:w="1667" w:type="pct"/>
            <w:vAlign w:val="center"/>
          </w:tcPr>
          <w:p w14:paraId="4AB522C7" w14:textId="55E2AE24" w:rsidR="00A6584C" w:rsidRPr="00225EB1" w:rsidRDefault="00A6584C" w:rsidP="00CD4D33">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 xml:space="preserve">Art. 13. A EFPC deve dar publicidade aos participantes e assistidos sobre a contratação </w:t>
            </w:r>
            <w:r w:rsidRPr="00225EB1">
              <w:rPr>
                <w:rFonts w:ascii="Calibri" w:hAnsi="Calibri" w:cs="Calibri"/>
                <w:sz w:val="24"/>
              </w:rPr>
              <w:lastRenderedPageBreak/>
              <w:t>do seguro, informando as respectivas condições e formas de acesso, quando houver.</w:t>
            </w:r>
          </w:p>
        </w:tc>
        <w:tc>
          <w:tcPr>
            <w:tcW w:w="1669" w:type="pct"/>
            <w:shd w:val="clear" w:color="auto" w:fill="auto"/>
            <w:noWrap/>
            <w:vAlign w:val="center"/>
            <w:hideMark/>
          </w:tcPr>
          <w:p w14:paraId="04F3733F" w14:textId="6693DFB8"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lastRenderedPageBreak/>
              <w:t>Art.</w:t>
            </w:r>
            <w:r w:rsidR="009068E9">
              <w:rPr>
                <w:rFonts w:ascii="Calibri" w:eastAsia="Times New Roman" w:hAnsi="Calibri" w:cs="Calibri"/>
                <w:kern w:val="0"/>
                <w:sz w:val="24"/>
                <w:szCs w:val="24"/>
                <w:lang w:eastAsia="pt-BR"/>
                <w14:ligatures w14:val="none"/>
              </w:rPr>
              <w:t xml:space="preserve"> 52</w:t>
            </w:r>
            <w:r w:rsidR="00BC2200"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deve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publicidade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participantes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assistidos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contratação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lastRenderedPageBreak/>
              <w:t>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seguro,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informando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respectivas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condições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formas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acesso,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quando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houver.</w:t>
            </w:r>
          </w:p>
        </w:tc>
        <w:tc>
          <w:tcPr>
            <w:tcW w:w="1664" w:type="pct"/>
            <w:shd w:val="clear" w:color="auto" w:fill="auto"/>
            <w:noWrap/>
            <w:vAlign w:val="center"/>
            <w:hideMark/>
          </w:tcPr>
          <w:p w14:paraId="0A98E12D" w14:textId="77777777" w:rsidR="00A6584C" w:rsidRPr="00843426" w:rsidRDefault="00A6584C" w:rsidP="00CD4D33">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189A2CE2" w14:textId="77777777" w:rsidTr="00E75B46">
        <w:tc>
          <w:tcPr>
            <w:tcW w:w="1667" w:type="pct"/>
            <w:vAlign w:val="center"/>
          </w:tcPr>
          <w:p w14:paraId="256BAFB0" w14:textId="44F4A877"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10. A nota técnica atuarial e o plano de custeio de cada plano de benefícios objeto de contrato de seguro devem prever o tratamento a ser dado às seguintes situações:</w:t>
            </w:r>
          </w:p>
        </w:tc>
        <w:tc>
          <w:tcPr>
            <w:tcW w:w="1669" w:type="pct"/>
            <w:shd w:val="clear" w:color="auto" w:fill="auto"/>
            <w:noWrap/>
            <w:vAlign w:val="center"/>
          </w:tcPr>
          <w:p w14:paraId="611839F5" w14:textId="7B855396"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79745294" w14:textId="7B14ED73" w:rsidR="002A49F6" w:rsidRPr="00843426" w:rsidRDefault="00A92A85"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capítulo que trata dos dados atuariais, contábeis e de investimentos.</w:t>
            </w:r>
          </w:p>
        </w:tc>
      </w:tr>
      <w:tr w:rsidR="00225EB1" w:rsidRPr="00225EB1" w14:paraId="57F0E6DB" w14:textId="77777777" w:rsidTr="00E75B46">
        <w:tc>
          <w:tcPr>
            <w:tcW w:w="1667" w:type="pct"/>
            <w:vAlign w:val="center"/>
          </w:tcPr>
          <w:p w14:paraId="53C489F1" w14:textId="022182D9"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exclusão de determinados riscos pela sociedade seguradora; e</w:t>
            </w:r>
          </w:p>
        </w:tc>
        <w:tc>
          <w:tcPr>
            <w:tcW w:w="1669" w:type="pct"/>
            <w:shd w:val="clear" w:color="auto" w:fill="auto"/>
            <w:noWrap/>
            <w:vAlign w:val="center"/>
          </w:tcPr>
          <w:p w14:paraId="293F048B" w14:textId="3ACEE955"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719E1033" w14:textId="68F88F6A" w:rsidR="002A49F6" w:rsidRPr="00843426" w:rsidRDefault="00A92A85"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capítulo que trata dos dados atuariais, contábeis e de investimentos.</w:t>
            </w:r>
          </w:p>
        </w:tc>
      </w:tr>
      <w:tr w:rsidR="00225EB1" w:rsidRPr="00225EB1" w14:paraId="0722DDB3" w14:textId="77777777" w:rsidTr="00E75B46">
        <w:tc>
          <w:tcPr>
            <w:tcW w:w="1667" w:type="pct"/>
            <w:vAlign w:val="center"/>
          </w:tcPr>
          <w:p w14:paraId="285426C1" w14:textId="3B7DB468"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recusa de participantes ou assistidos pela sociedade seguradora.</w:t>
            </w:r>
          </w:p>
        </w:tc>
        <w:tc>
          <w:tcPr>
            <w:tcW w:w="1669" w:type="pct"/>
            <w:shd w:val="clear" w:color="auto" w:fill="auto"/>
            <w:noWrap/>
            <w:vAlign w:val="center"/>
          </w:tcPr>
          <w:p w14:paraId="453A9D44" w14:textId="57D23FA1"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74B01111" w14:textId="326CDEE3" w:rsidR="002A49F6" w:rsidRPr="00843426" w:rsidRDefault="00A92A85"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o capítulo que trata dos dados atuariais, contábeis e de investimentos.</w:t>
            </w:r>
          </w:p>
        </w:tc>
      </w:tr>
      <w:tr w:rsidR="00900FB5" w:rsidRPr="00225EB1" w14:paraId="3407002E" w14:textId="77777777" w:rsidTr="00E75B46">
        <w:tc>
          <w:tcPr>
            <w:tcW w:w="1667" w:type="pct"/>
            <w:vAlign w:val="center"/>
          </w:tcPr>
          <w:p w14:paraId="700F80DA" w14:textId="335E3C34"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2º Para fins desta Resolução, considera-se:</w:t>
            </w:r>
          </w:p>
        </w:tc>
        <w:tc>
          <w:tcPr>
            <w:tcW w:w="1669" w:type="pct"/>
            <w:shd w:val="clear" w:color="auto" w:fill="auto"/>
            <w:noWrap/>
            <w:vAlign w:val="center"/>
          </w:tcPr>
          <w:p w14:paraId="48B50C21" w14:textId="6FFBA2B1"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649F3443" w14:textId="79F28FB7"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591D3E1C" w14:textId="77777777" w:rsidTr="00E75B46">
        <w:tc>
          <w:tcPr>
            <w:tcW w:w="1667" w:type="pct"/>
            <w:vAlign w:val="center"/>
          </w:tcPr>
          <w:p w14:paraId="24A699AA" w14:textId="2AFF21FD"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 - indenização: pagamento efetuado por sociedade seguradora à EFPC referente às coberturas contratadas;</w:t>
            </w:r>
          </w:p>
        </w:tc>
        <w:tc>
          <w:tcPr>
            <w:tcW w:w="1669" w:type="pct"/>
            <w:shd w:val="clear" w:color="auto" w:fill="auto"/>
            <w:noWrap/>
            <w:vAlign w:val="center"/>
          </w:tcPr>
          <w:p w14:paraId="4052C597" w14:textId="239D43F5"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4272FF08" w14:textId="7A684AF9"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2B48BE3F" w14:textId="77777777" w:rsidTr="00E75B46">
        <w:tc>
          <w:tcPr>
            <w:tcW w:w="1667" w:type="pct"/>
            <w:vAlign w:val="center"/>
          </w:tcPr>
          <w:p w14:paraId="17DB19DA" w14:textId="41AA9DE3"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 - prêmio: importância paga pela EFPC à sociedade seguradora, na forma prevista em contrato;</w:t>
            </w:r>
          </w:p>
        </w:tc>
        <w:tc>
          <w:tcPr>
            <w:tcW w:w="1669" w:type="pct"/>
            <w:shd w:val="clear" w:color="auto" w:fill="auto"/>
            <w:noWrap/>
            <w:vAlign w:val="center"/>
          </w:tcPr>
          <w:p w14:paraId="4D56F286" w14:textId="6344D7F5"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1BA2E901" w14:textId="45586923"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7C8BBE47" w14:textId="77777777" w:rsidTr="00E75B46">
        <w:tc>
          <w:tcPr>
            <w:tcW w:w="1667" w:type="pct"/>
            <w:vAlign w:val="center"/>
          </w:tcPr>
          <w:p w14:paraId="1E7D7C07" w14:textId="1A025537"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III - saldo de conta total: valor correspondente à totalidade dos recursos alocados em nome do participante ou assistido com o objetivo de pagamento de benefícios, na forma prevista em regulamento do plano de benefícios;</w:t>
            </w:r>
          </w:p>
        </w:tc>
        <w:tc>
          <w:tcPr>
            <w:tcW w:w="1669" w:type="pct"/>
            <w:shd w:val="clear" w:color="auto" w:fill="auto"/>
            <w:noWrap/>
            <w:vAlign w:val="center"/>
          </w:tcPr>
          <w:p w14:paraId="6D945F36" w14:textId="631DB68E"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70159665" w14:textId="30F1CE37"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5B51AFE6" w14:textId="77777777" w:rsidTr="00E75B46">
        <w:tc>
          <w:tcPr>
            <w:tcW w:w="1667" w:type="pct"/>
            <w:vAlign w:val="center"/>
          </w:tcPr>
          <w:p w14:paraId="6855CDE8" w14:textId="1E5D556F"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IV - segurado: o participante, o assistido ou a EFPC, conforme o caso;</w:t>
            </w:r>
          </w:p>
        </w:tc>
        <w:tc>
          <w:tcPr>
            <w:tcW w:w="1669" w:type="pct"/>
            <w:shd w:val="clear" w:color="auto" w:fill="auto"/>
            <w:noWrap/>
            <w:vAlign w:val="center"/>
          </w:tcPr>
          <w:p w14:paraId="783928CA" w14:textId="05F15CA7"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43DEB77B" w14:textId="3464CEAD"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35A326AC" w14:textId="77777777" w:rsidTr="00E75B46">
        <w:tc>
          <w:tcPr>
            <w:tcW w:w="1667" w:type="pct"/>
            <w:vAlign w:val="center"/>
          </w:tcPr>
          <w:p w14:paraId="797D1A5B" w14:textId="7DBE76FF"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lastRenderedPageBreak/>
              <w:t>V - cobertura parcial de risco: a cobertura contratada em valor parcial do benefício previsto em regulamento do plano de benefícios ou do fluxo de pagamento estimado;</w:t>
            </w:r>
          </w:p>
        </w:tc>
        <w:tc>
          <w:tcPr>
            <w:tcW w:w="1669" w:type="pct"/>
            <w:shd w:val="clear" w:color="auto" w:fill="auto"/>
            <w:noWrap/>
            <w:vAlign w:val="center"/>
          </w:tcPr>
          <w:p w14:paraId="55A38E54" w14:textId="177C17D6"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7E981064" w14:textId="76D20C2A"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54557ED0" w14:textId="77777777" w:rsidTr="00E75B46">
        <w:tc>
          <w:tcPr>
            <w:tcW w:w="1667" w:type="pct"/>
            <w:vAlign w:val="center"/>
          </w:tcPr>
          <w:p w14:paraId="7602F358" w14:textId="79714278"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 - cobertura total de risco: a cobertura contratada correspondente à totalidade do valor do benefício previsto em regulamento do plano de benefícios ou do fluxo de pagamento estimado;</w:t>
            </w:r>
          </w:p>
        </w:tc>
        <w:tc>
          <w:tcPr>
            <w:tcW w:w="1669" w:type="pct"/>
            <w:shd w:val="clear" w:color="auto" w:fill="auto"/>
            <w:noWrap/>
            <w:vAlign w:val="center"/>
          </w:tcPr>
          <w:p w14:paraId="4BF92BD4" w14:textId="0EAB23D1"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31134B91" w14:textId="1E16021E"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10476A5A" w14:textId="77777777" w:rsidTr="00E75B46">
        <w:tc>
          <w:tcPr>
            <w:tcW w:w="1667" w:type="pct"/>
            <w:vAlign w:val="center"/>
          </w:tcPr>
          <w:p w14:paraId="6B508272" w14:textId="42B497AF"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 - cobertura adicional de risco: a cobertura oferecida aos participantes em planos cujos benefícios decorrentes de invalidez e morte sejam estruturados unicamente com base em saldos de contas; e</w:t>
            </w:r>
          </w:p>
        </w:tc>
        <w:tc>
          <w:tcPr>
            <w:tcW w:w="1669" w:type="pct"/>
            <w:shd w:val="clear" w:color="auto" w:fill="auto"/>
            <w:noWrap/>
            <w:vAlign w:val="center"/>
          </w:tcPr>
          <w:p w14:paraId="3B981EA4" w14:textId="15288622"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55DC4614" w14:textId="5F7E7762"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74A07BA7" w14:textId="77777777" w:rsidTr="00E75B46">
        <w:tc>
          <w:tcPr>
            <w:tcW w:w="1667" w:type="pct"/>
            <w:vAlign w:val="center"/>
          </w:tcPr>
          <w:p w14:paraId="28E50491" w14:textId="20FBCEF8" w:rsidR="00900FB5" w:rsidRPr="00225EB1" w:rsidRDefault="00900FB5" w:rsidP="00900FB5">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VIII - contrato de seguro: instrumento firmado entre a EFPC e a sociedade seguradora com a finalidade exclusiva de disciplinar a contratação de seguro para cobertura de riscos de plano de benefícios.</w:t>
            </w:r>
          </w:p>
        </w:tc>
        <w:tc>
          <w:tcPr>
            <w:tcW w:w="1669" w:type="pct"/>
            <w:shd w:val="clear" w:color="auto" w:fill="auto"/>
            <w:noWrap/>
            <w:vAlign w:val="center"/>
          </w:tcPr>
          <w:p w14:paraId="1B93D27B" w14:textId="4EAE745B" w:rsidR="00900FB5" w:rsidRPr="00843426" w:rsidRDefault="00900FB5" w:rsidP="00900FB5">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hideMark/>
          </w:tcPr>
          <w:p w14:paraId="10FE851D" w14:textId="2E865319" w:rsidR="00900FB5" w:rsidRPr="00843426" w:rsidRDefault="001E5561" w:rsidP="00900FB5">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Deslocado para a Seção I - Conceitos e definições</w:t>
            </w:r>
          </w:p>
        </w:tc>
      </w:tr>
      <w:tr w:rsidR="00900FB5" w:rsidRPr="00225EB1" w14:paraId="74B8325D" w14:textId="77777777" w:rsidTr="00E75B46">
        <w:tc>
          <w:tcPr>
            <w:tcW w:w="1667" w:type="pct"/>
            <w:vAlign w:val="center"/>
          </w:tcPr>
          <w:p w14:paraId="7C04DD64" w14:textId="37FE1E9C" w:rsidR="00900FB5" w:rsidRDefault="00900FB5" w:rsidP="00900FB5">
            <w:pPr>
              <w:spacing w:after="0" w:line="240" w:lineRule="auto"/>
              <w:jc w:val="both"/>
              <w:rPr>
                <w:rFonts w:ascii="Calibri" w:hAnsi="Calibri" w:cs="Calibri"/>
                <w:b/>
                <w:sz w:val="24"/>
              </w:rPr>
            </w:pPr>
            <w:r>
              <w:rPr>
                <w:rFonts w:ascii="Calibri" w:hAnsi="Calibri" w:cs="Calibri"/>
                <w:b/>
                <w:sz w:val="24"/>
              </w:rPr>
              <w:t>Instrução Previc nº 33</w:t>
            </w:r>
            <w:r w:rsidRPr="00225EB1">
              <w:rPr>
                <w:rFonts w:ascii="Calibri" w:hAnsi="Calibri" w:cs="Calibri"/>
                <w:b/>
                <w:sz w:val="24"/>
              </w:rPr>
              <w:t>, de 2018.</w:t>
            </w:r>
          </w:p>
        </w:tc>
        <w:tc>
          <w:tcPr>
            <w:tcW w:w="1669" w:type="pct"/>
            <w:shd w:val="clear" w:color="auto" w:fill="auto"/>
            <w:noWrap/>
            <w:vAlign w:val="center"/>
          </w:tcPr>
          <w:p w14:paraId="61AE3EC9" w14:textId="77777777" w:rsidR="00900FB5" w:rsidRPr="00843426" w:rsidRDefault="00900FB5" w:rsidP="002A49F6">
            <w:pPr>
              <w:spacing w:after="0" w:line="240" w:lineRule="auto"/>
              <w:jc w:val="both"/>
              <w:rPr>
                <w:rFonts w:ascii="Calibri" w:eastAsia="Times New Roman" w:hAnsi="Calibri" w:cs="Calibri"/>
                <w:kern w:val="0"/>
                <w:sz w:val="24"/>
                <w:szCs w:val="24"/>
                <w:lang w:eastAsia="pt-BR"/>
                <w14:ligatures w14:val="none"/>
              </w:rPr>
            </w:pPr>
          </w:p>
        </w:tc>
        <w:tc>
          <w:tcPr>
            <w:tcW w:w="1664" w:type="pct"/>
            <w:shd w:val="clear" w:color="auto" w:fill="auto"/>
            <w:noWrap/>
            <w:vAlign w:val="center"/>
          </w:tcPr>
          <w:p w14:paraId="74AB8FCA" w14:textId="77777777" w:rsidR="00900FB5" w:rsidRDefault="00900FB5" w:rsidP="002A49F6">
            <w:pPr>
              <w:spacing w:after="0" w:line="240" w:lineRule="auto"/>
              <w:jc w:val="both"/>
              <w:rPr>
                <w:rFonts w:ascii="Calibri" w:eastAsia="Times New Roman" w:hAnsi="Calibri" w:cs="Calibri"/>
                <w:kern w:val="0"/>
                <w:sz w:val="24"/>
                <w:szCs w:val="24"/>
                <w:lang w:eastAsia="pt-BR"/>
                <w14:ligatures w14:val="none"/>
              </w:rPr>
            </w:pPr>
          </w:p>
        </w:tc>
      </w:tr>
      <w:tr w:rsidR="00225EB1" w:rsidRPr="00225EB1" w14:paraId="5D6979A7" w14:textId="77777777" w:rsidTr="00E75B46">
        <w:tc>
          <w:tcPr>
            <w:tcW w:w="1667" w:type="pct"/>
            <w:vAlign w:val="center"/>
          </w:tcPr>
          <w:p w14:paraId="4FB67BDB" w14:textId="2624D296"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225EB1">
              <w:rPr>
                <w:rFonts w:ascii="Calibri" w:hAnsi="Calibri" w:cs="Calibri"/>
                <w:sz w:val="24"/>
              </w:rPr>
              <w:t>Art. 43. Os documentos elaborados para atendimento ao estabelecido nesta Instrução devem ser mantidos na EFPC à disposição da Previc.</w:t>
            </w:r>
          </w:p>
        </w:tc>
        <w:tc>
          <w:tcPr>
            <w:tcW w:w="1669" w:type="pct"/>
            <w:shd w:val="clear" w:color="auto" w:fill="auto"/>
            <w:noWrap/>
            <w:vAlign w:val="center"/>
            <w:hideMark/>
          </w:tcPr>
          <w:p w14:paraId="721E4592" w14:textId="4152A586" w:rsidR="002A49F6" w:rsidRPr="00843426" w:rsidRDefault="002A49F6" w:rsidP="002A49F6">
            <w:pPr>
              <w:spacing w:after="0" w:line="240" w:lineRule="auto"/>
              <w:jc w:val="both"/>
              <w:rPr>
                <w:rFonts w:ascii="Calibri" w:eastAsia="Times New Roman" w:hAnsi="Calibri" w:cs="Calibri"/>
                <w:kern w:val="0"/>
                <w:sz w:val="24"/>
                <w:szCs w:val="24"/>
                <w:lang w:eastAsia="pt-BR"/>
                <w14:ligatures w14:val="none"/>
              </w:rPr>
            </w:pPr>
            <w:r w:rsidRPr="00843426">
              <w:rPr>
                <w:rFonts w:ascii="Calibri" w:eastAsia="Times New Roman" w:hAnsi="Calibri" w:cs="Calibri"/>
                <w:kern w:val="0"/>
                <w:sz w:val="24"/>
                <w:szCs w:val="24"/>
                <w:lang w:eastAsia="pt-BR"/>
                <w14:ligatures w14:val="none"/>
              </w:rPr>
              <w:t>Art.</w:t>
            </w:r>
            <w:r w:rsidR="009068E9">
              <w:rPr>
                <w:rFonts w:ascii="Calibri" w:eastAsia="Times New Roman" w:hAnsi="Calibri" w:cs="Calibri"/>
                <w:kern w:val="0"/>
                <w:sz w:val="24"/>
                <w:szCs w:val="24"/>
                <w:lang w:eastAsia="pt-BR"/>
                <w14:ligatures w14:val="none"/>
              </w:rPr>
              <w:t xml:space="preserve"> </w:t>
            </w:r>
            <w:r w:rsidR="00FE1BA4">
              <w:rPr>
                <w:rFonts w:ascii="Calibri" w:eastAsia="Times New Roman" w:hAnsi="Calibri" w:cs="Calibri"/>
                <w:kern w:val="0"/>
                <w:sz w:val="24"/>
                <w:szCs w:val="24"/>
                <w:lang w:eastAsia="pt-BR"/>
                <w14:ligatures w14:val="none"/>
              </w:rPr>
              <w:t>53</w:t>
            </w:r>
            <w:r w:rsidRPr="00225EB1">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documentos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elaborados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para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atendimento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estabelecido</w:t>
            </w:r>
            <w:r w:rsidR="009068E9">
              <w:rPr>
                <w:rFonts w:ascii="Calibri" w:eastAsia="Times New Roman" w:hAnsi="Calibri" w:cs="Calibri"/>
                <w:kern w:val="0"/>
                <w:sz w:val="24"/>
                <w:szCs w:val="24"/>
                <w:lang w:eastAsia="pt-BR"/>
                <w14:ligatures w14:val="none"/>
              </w:rPr>
              <w:t xml:space="preserve"> </w:t>
            </w:r>
            <w:r w:rsidR="00121E2D">
              <w:rPr>
                <w:rFonts w:ascii="Calibri" w:eastAsia="Times New Roman" w:hAnsi="Calibri" w:cs="Calibri"/>
                <w:kern w:val="0"/>
                <w:sz w:val="24"/>
                <w:szCs w:val="24"/>
                <w:lang w:eastAsia="pt-BR"/>
                <w14:ligatures w14:val="none"/>
              </w:rPr>
              <w:t>neste</w:t>
            </w:r>
            <w:r w:rsidR="009068E9">
              <w:rPr>
                <w:rFonts w:ascii="Calibri" w:eastAsia="Times New Roman" w:hAnsi="Calibri" w:cs="Calibri"/>
                <w:kern w:val="0"/>
                <w:sz w:val="24"/>
                <w:szCs w:val="24"/>
                <w:lang w:eastAsia="pt-BR"/>
                <w14:ligatures w14:val="none"/>
              </w:rPr>
              <w:t xml:space="preserve"> </w:t>
            </w:r>
            <w:r w:rsidR="00121E2D">
              <w:rPr>
                <w:rFonts w:ascii="Calibri" w:eastAsia="Times New Roman" w:hAnsi="Calibri" w:cs="Calibri"/>
                <w:kern w:val="0"/>
                <w:sz w:val="24"/>
                <w:szCs w:val="24"/>
                <w:lang w:eastAsia="pt-BR"/>
                <w14:ligatures w14:val="none"/>
              </w:rPr>
              <w:t>Capítulo</w:t>
            </w:r>
            <w:r w:rsidR="009068E9">
              <w:rPr>
                <w:rFonts w:ascii="Calibri" w:eastAsia="Times New Roman" w:hAnsi="Calibri" w:cs="Calibri"/>
                <w:kern w:val="0"/>
                <w:sz w:val="24"/>
                <w:szCs w:val="24"/>
                <w:lang w:eastAsia="pt-BR"/>
                <w14:ligatures w14:val="none"/>
              </w:rPr>
              <w:t xml:space="preserve"> </w:t>
            </w:r>
            <w:r w:rsidR="00121E2D">
              <w:rPr>
                <w:rFonts w:ascii="Calibri" w:eastAsia="Times New Roman" w:hAnsi="Calibri" w:cs="Calibri"/>
                <w:kern w:val="0"/>
                <w:sz w:val="24"/>
                <w:szCs w:val="24"/>
                <w:lang w:eastAsia="pt-BR"/>
                <w14:ligatures w14:val="none"/>
              </w:rPr>
              <w:t>devem</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ser</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mantidos</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na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EFPC</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à</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disposição</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da</w:t>
            </w:r>
            <w:r w:rsidR="009068E9">
              <w:rPr>
                <w:rFonts w:ascii="Calibri" w:eastAsia="Times New Roman" w:hAnsi="Calibri" w:cs="Calibri"/>
                <w:kern w:val="0"/>
                <w:sz w:val="24"/>
                <w:szCs w:val="24"/>
                <w:lang w:eastAsia="pt-BR"/>
                <w14:ligatures w14:val="none"/>
              </w:rPr>
              <w:t xml:space="preserve"> </w:t>
            </w:r>
            <w:r w:rsidRPr="00843426">
              <w:rPr>
                <w:rFonts w:ascii="Calibri" w:eastAsia="Times New Roman" w:hAnsi="Calibri" w:cs="Calibri"/>
                <w:kern w:val="0"/>
                <w:sz w:val="24"/>
                <w:szCs w:val="24"/>
                <w:lang w:eastAsia="pt-BR"/>
                <w14:ligatures w14:val="none"/>
              </w:rPr>
              <w:t>Previc.</w:t>
            </w:r>
          </w:p>
        </w:tc>
        <w:tc>
          <w:tcPr>
            <w:tcW w:w="1664" w:type="pct"/>
            <w:shd w:val="clear" w:color="auto" w:fill="auto"/>
            <w:noWrap/>
            <w:vAlign w:val="center"/>
            <w:hideMark/>
          </w:tcPr>
          <w:p w14:paraId="0E5FF35E" w14:textId="2645B2A4" w:rsidR="002A49F6" w:rsidRPr="00843426" w:rsidRDefault="00995A43" w:rsidP="002A49F6">
            <w:pPr>
              <w:spacing w:after="0" w:line="240" w:lineRule="auto"/>
              <w:jc w:val="both"/>
              <w:rPr>
                <w:rFonts w:ascii="Calibri" w:eastAsia="Times New Roman" w:hAnsi="Calibri" w:cs="Calibri"/>
                <w:kern w:val="0"/>
                <w:sz w:val="24"/>
                <w:szCs w:val="24"/>
                <w:lang w:eastAsia="pt-BR"/>
                <w14:ligatures w14:val="none"/>
              </w:rPr>
            </w:pPr>
            <w:r>
              <w:rPr>
                <w:rFonts w:ascii="Calibri" w:eastAsia="Times New Roman" w:hAnsi="Calibri" w:cs="Calibri"/>
                <w:kern w:val="0"/>
                <w:sz w:val="24"/>
                <w:szCs w:val="24"/>
                <w:lang w:eastAsia="pt-BR"/>
                <w14:ligatures w14:val="none"/>
              </w:rPr>
              <w:t>Trazido para o final da Resolução, uma vez que trata de todos os documentos de forma genérica.</w:t>
            </w:r>
          </w:p>
        </w:tc>
      </w:tr>
      <w:tr w:rsidR="00225EB1" w:rsidRPr="00225EB1" w14:paraId="4F3B299B" w14:textId="77777777" w:rsidTr="00E75B46">
        <w:tc>
          <w:tcPr>
            <w:tcW w:w="1667" w:type="pct"/>
            <w:vAlign w:val="center"/>
          </w:tcPr>
          <w:p w14:paraId="3D136A8A" w14:textId="74631A22" w:rsidR="002A49F6" w:rsidRPr="00225EB1" w:rsidRDefault="002A49F6" w:rsidP="002A49F6">
            <w:pPr>
              <w:spacing w:after="0" w:line="240" w:lineRule="auto"/>
              <w:jc w:val="center"/>
              <w:rPr>
                <w:rFonts w:ascii="Calibri" w:hAnsi="Calibri" w:cs="Calibri"/>
                <w:b/>
                <w:sz w:val="24"/>
              </w:rPr>
            </w:pPr>
            <w:r w:rsidRPr="00225EB1">
              <w:rPr>
                <w:rFonts w:ascii="Calibri" w:hAnsi="Calibri" w:cs="Calibri"/>
                <w:b/>
                <w:sz w:val="24"/>
              </w:rPr>
              <w:t>Anexo</w:t>
            </w:r>
          </w:p>
        </w:tc>
        <w:tc>
          <w:tcPr>
            <w:tcW w:w="1669" w:type="pct"/>
            <w:shd w:val="clear" w:color="auto" w:fill="auto"/>
            <w:noWrap/>
            <w:vAlign w:val="center"/>
          </w:tcPr>
          <w:p w14:paraId="2CEB00E8" w14:textId="616226A9" w:rsidR="002A49F6" w:rsidRPr="00225EB1" w:rsidRDefault="002A49F6" w:rsidP="002A49F6">
            <w:pPr>
              <w:spacing w:after="0" w:line="240" w:lineRule="auto"/>
              <w:jc w:val="center"/>
              <w:rPr>
                <w:rFonts w:ascii="Calibri" w:eastAsia="Times New Roman" w:hAnsi="Calibri" w:cs="Calibri"/>
                <w:b/>
                <w:kern w:val="0"/>
                <w:sz w:val="24"/>
                <w:szCs w:val="24"/>
                <w:lang w:eastAsia="pt-BR"/>
                <w14:ligatures w14:val="none"/>
              </w:rPr>
            </w:pPr>
            <w:r w:rsidRPr="00225EB1">
              <w:rPr>
                <w:rFonts w:ascii="Calibri" w:eastAsia="Times New Roman" w:hAnsi="Calibri" w:cs="Calibri"/>
                <w:b/>
                <w:kern w:val="0"/>
                <w:sz w:val="24"/>
                <w:szCs w:val="24"/>
                <w:lang w:eastAsia="pt-BR"/>
                <w14:ligatures w14:val="none"/>
              </w:rPr>
              <w:t>Anexo</w:t>
            </w:r>
          </w:p>
        </w:tc>
        <w:tc>
          <w:tcPr>
            <w:tcW w:w="1664" w:type="pct"/>
            <w:shd w:val="clear" w:color="auto" w:fill="auto"/>
            <w:noWrap/>
            <w:vAlign w:val="center"/>
          </w:tcPr>
          <w:p w14:paraId="4E8E96C7" w14:textId="77777777" w:rsidR="002A49F6" w:rsidRPr="00225EB1" w:rsidRDefault="002A49F6" w:rsidP="002A49F6">
            <w:pPr>
              <w:spacing w:after="0" w:line="240" w:lineRule="auto"/>
              <w:jc w:val="center"/>
              <w:rPr>
                <w:rFonts w:ascii="Calibri" w:eastAsia="Times New Roman" w:hAnsi="Calibri" w:cs="Calibri"/>
                <w:b/>
                <w:kern w:val="0"/>
                <w:sz w:val="24"/>
                <w:szCs w:val="24"/>
                <w:lang w:eastAsia="pt-BR"/>
                <w14:ligatures w14:val="none"/>
              </w:rPr>
            </w:pPr>
          </w:p>
        </w:tc>
      </w:tr>
      <w:tr w:rsidR="00225EB1" w:rsidRPr="00225EB1" w14:paraId="3B0CAA42" w14:textId="1B39E6FB" w:rsidTr="00E75B46">
        <w:trPr>
          <w:trHeight w:val="2310"/>
        </w:trPr>
        <w:tc>
          <w:tcPr>
            <w:tcW w:w="1667" w:type="pct"/>
            <w:shd w:val="clear" w:color="auto" w:fill="auto"/>
            <w:noWrap/>
            <w:vAlign w:val="bottom"/>
            <w:hideMark/>
          </w:tcPr>
          <w:p w14:paraId="2FA3D41A" w14:textId="59B9D640" w:rsidR="001E5561" w:rsidRPr="00116AD8" w:rsidRDefault="001E5561" w:rsidP="001E5561">
            <w:pPr>
              <w:spacing w:after="0" w:line="240" w:lineRule="auto"/>
              <w:rPr>
                <w:rFonts w:ascii="Calibri" w:eastAsia="Times New Roman" w:hAnsi="Calibri" w:cs="Calibri"/>
                <w:kern w:val="0"/>
                <w:sz w:val="24"/>
                <w:lang w:eastAsia="pt-BR"/>
                <w14:ligatures w14:val="none"/>
              </w:rPr>
            </w:pPr>
            <w:r w:rsidRPr="00225EB1">
              <w:rPr>
                <w:rFonts w:ascii="Calibri" w:eastAsia="Times New Roman" w:hAnsi="Calibri" w:cs="Calibri"/>
                <w:noProof/>
                <w:kern w:val="0"/>
                <w:sz w:val="24"/>
                <w:lang w:eastAsia="pt-BR"/>
                <w14:ligatures w14:val="none"/>
              </w:rPr>
              <w:lastRenderedPageBreak/>
              <w:drawing>
                <wp:anchor distT="0" distB="0" distL="114300" distR="114300" simplePos="0" relativeHeight="251667456" behindDoc="0" locked="0" layoutInCell="1" allowOverlap="1" wp14:anchorId="67D7A895" wp14:editId="2F2908BB">
                  <wp:simplePos x="0" y="0"/>
                  <wp:positionH relativeFrom="column">
                    <wp:posOffset>-7620</wp:posOffset>
                  </wp:positionH>
                  <wp:positionV relativeFrom="paragraph">
                    <wp:posOffset>-961390</wp:posOffset>
                  </wp:positionV>
                  <wp:extent cx="2800985" cy="1095375"/>
                  <wp:effectExtent l="0" t="0" r="0" b="9525"/>
                  <wp:wrapNone/>
                  <wp:docPr id="3" name="Imagem 1" descr="Tabela&#10;&#10;Descrição gerada automaticamente com confiança média">
                    <a:extLst xmlns:a="http://schemas.openxmlformats.org/drawingml/2006/main">
                      <a:ext uri="{FF2B5EF4-FFF2-40B4-BE49-F238E27FC236}">
                        <a16:creationId xmlns:a16="http://schemas.microsoft.com/office/drawing/2014/main" id="{5D3EC22A-7CC1-428C-981C-248ED870033B}"/>
                      </a:ext>
                    </a:extLst>
                  </wp:docPr>
                  <wp:cNvGraphicFramePr/>
                  <a:graphic xmlns:a="http://schemas.openxmlformats.org/drawingml/2006/main">
                    <a:graphicData uri="http://schemas.openxmlformats.org/drawingml/2006/picture">
                      <pic:pic xmlns:pic="http://schemas.openxmlformats.org/drawingml/2006/picture">
                        <pic:nvPicPr>
                          <pic:cNvPr id="3" name="Imagem 1" descr="Tabela&#10;&#10;Descrição gerada automaticamente com confiança média">
                            <a:extLst>
                              <a:ext uri="{FF2B5EF4-FFF2-40B4-BE49-F238E27FC236}">
                                <a16:creationId xmlns:a16="http://schemas.microsoft.com/office/drawing/2014/main" id="{5D3EC22A-7CC1-428C-981C-248ED870033B}"/>
                              </a:ext>
                            </a:extLs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00985" cy="1095375"/>
                          </a:xfrm>
                          <a:prstGeom prst="rect">
                            <a:avLst/>
                          </a:prstGeom>
                          <a:noFill/>
                        </pic:spPr>
                      </pic:pic>
                    </a:graphicData>
                  </a:graphic>
                  <wp14:sizeRelH relativeFrom="page">
                    <wp14:pctWidth>0</wp14:pctWidth>
                  </wp14:sizeRelH>
                  <wp14:sizeRelV relativeFrom="page">
                    <wp14:pctHeight>0</wp14:pctHeight>
                  </wp14:sizeRelV>
                </wp:anchor>
              </w:drawing>
            </w:r>
          </w:p>
        </w:tc>
        <w:tc>
          <w:tcPr>
            <w:tcW w:w="1669" w:type="pct"/>
            <w:vAlign w:val="bottom"/>
          </w:tcPr>
          <w:p w14:paraId="4B816FFC" w14:textId="5B0AFA7B" w:rsidR="002A49F6" w:rsidRPr="00116AD8" w:rsidRDefault="001E5561" w:rsidP="002A49F6">
            <w:pPr>
              <w:spacing w:after="0" w:line="240" w:lineRule="auto"/>
              <w:rPr>
                <w:rFonts w:ascii="Calibri" w:eastAsia="Times New Roman" w:hAnsi="Calibri" w:cs="Calibri"/>
                <w:kern w:val="0"/>
                <w:sz w:val="24"/>
                <w:lang w:eastAsia="pt-BR"/>
                <w14:ligatures w14:val="none"/>
              </w:rPr>
            </w:pPr>
            <w:r w:rsidRPr="00225EB1">
              <w:rPr>
                <w:rFonts w:ascii="Calibri" w:eastAsia="Times New Roman" w:hAnsi="Calibri" w:cs="Calibri"/>
                <w:noProof/>
                <w:kern w:val="0"/>
                <w:sz w:val="24"/>
                <w:lang w:eastAsia="pt-BR"/>
                <w14:ligatures w14:val="none"/>
              </w:rPr>
              <w:drawing>
                <wp:anchor distT="0" distB="0" distL="114300" distR="114300" simplePos="0" relativeHeight="251668480" behindDoc="0" locked="0" layoutInCell="1" allowOverlap="1" wp14:anchorId="3FB1E320" wp14:editId="12C74E67">
                  <wp:simplePos x="0" y="0"/>
                  <wp:positionH relativeFrom="column">
                    <wp:posOffset>-15240</wp:posOffset>
                  </wp:positionH>
                  <wp:positionV relativeFrom="paragraph">
                    <wp:posOffset>-850900</wp:posOffset>
                  </wp:positionV>
                  <wp:extent cx="2819400" cy="1095375"/>
                  <wp:effectExtent l="0" t="0" r="0" b="9525"/>
                  <wp:wrapNone/>
                  <wp:docPr id="1621727991" name="Imagem 1621727991" descr="Tabela&#10;&#10;Descrição gerada automaticamente com confiança média">
                    <a:extLst xmlns:a="http://schemas.openxmlformats.org/drawingml/2006/main">
                      <a:ext uri="{FF2B5EF4-FFF2-40B4-BE49-F238E27FC236}">
                        <a16:creationId xmlns:a16="http://schemas.microsoft.com/office/drawing/2014/main" id="{5D3EC22A-7CC1-428C-981C-248ED870033B}"/>
                      </a:ext>
                    </a:extLst>
                  </wp:docPr>
                  <wp:cNvGraphicFramePr/>
                  <a:graphic xmlns:a="http://schemas.openxmlformats.org/drawingml/2006/main">
                    <a:graphicData uri="http://schemas.openxmlformats.org/drawingml/2006/picture">
                      <pic:pic xmlns:pic="http://schemas.openxmlformats.org/drawingml/2006/picture">
                        <pic:nvPicPr>
                          <pic:cNvPr id="3" name="Imagem 1" descr="Tabela&#10;&#10;Descrição gerada automaticamente com confiança média">
                            <a:extLst>
                              <a:ext uri="{FF2B5EF4-FFF2-40B4-BE49-F238E27FC236}">
                                <a16:creationId xmlns:a16="http://schemas.microsoft.com/office/drawing/2014/main" id="{5D3EC22A-7CC1-428C-981C-248ED870033B}"/>
                              </a:ext>
                            </a:extLs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19400" cy="1095375"/>
                          </a:xfrm>
                          <a:prstGeom prst="rect">
                            <a:avLst/>
                          </a:prstGeom>
                          <a:noFill/>
                        </pic:spPr>
                      </pic:pic>
                    </a:graphicData>
                  </a:graphic>
                  <wp14:sizeRelH relativeFrom="page">
                    <wp14:pctWidth>0</wp14:pctWidth>
                  </wp14:sizeRelH>
                  <wp14:sizeRelV relativeFrom="page">
                    <wp14:pctHeight>0</wp14:pctHeight>
                  </wp14:sizeRelV>
                </wp:anchor>
              </w:drawing>
            </w:r>
          </w:p>
          <w:p w14:paraId="2392A2EF" w14:textId="29D950A2" w:rsidR="002A49F6" w:rsidRPr="00225EB1" w:rsidRDefault="002A49F6" w:rsidP="002A49F6">
            <w:pPr>
              <w:rPr>
                <w:rFonts w:ascii="Calibri" w:eastAsia="Times New Roman" w:hAnsi="Calibri" w:cs="Times New Roman"/>
                <w:kern w:val="0"/>
                <w:sz w:val="24"/>
                <w:szCs w:val="20"/>
                <w:lang w:eastAsia="pt-BR"/>
                <w14:ligatures w14:val="none"/>
              </w:rPr>
            </w:pPr>
          </w:p>
        </w:tc>
        <w:tc>
          <w:tcPr>
            <w:tcW w:w="1664" w:type="pct"/>
            <w:vAlign w:val="bottom"/>
          </w:tcPr>
          <w:p w14:paraId="2E264458" w14:textId="02213C7F" w:rsidR="002A49F6" w:rsidRPr="00116AD8" w:rsidRDefault="002A49F6" w:rsidP="002A49F6">
            <w:pPr>
              <w:spacing w:after="0" w:line="240" w:lineRule="auto"/>
              <w:rPr>
                <w:rFonts w:ascii="Calibri" w:eastAsia="Times New Roman" w:hAnsi="Calibri" w:cs="Calibri"/>
                <w:kern w:val="0"/>
                <w:sz w:val="24"/>
                <w:lang w:eastAsia="pt-BR"/>
                <w14:ligatures w14:val="none"/>
              </w:rPr>
            </w:pPr>
          </w:p>
          <w:p w14:paraId="175EE28F" w14:textId="77777777" w:rsidR="002A49F6" w:rsidRPr="00225EB1" w:rsidRDefault="002A49F6" w:rsidP="002A49F6">
            <w:pPr>
              <w:rPr>
                <w:rFonts w:ascii="Calibri" w:eastAsia="Times New Roman" w:hAnsi="Calibri" w:cs="Times New Roman"/>
                <w:kern w:val="0"/>
                <w:sz w:val="24"/>
                <w:szCs w:val="20"/>
                <w:lang w:eastAsia="pt-BR"/>
                <w14:ligatures w14:val="none"/>
              </w:rPr>
            </w:pPr>
          </w:p>
        </w:tc>
      </w:tr>
      <w:tr w:rsidR="00225EB1" w:rsidRPr="00225EB1" w14:paraId="00DE822E" w14:textId="3AA9D4DC" w:rsidTr="00E75B46">
        <w:tc>
          <w:tcPr>
            <w:tcW w:w="1667" w:type="pct"/>
            <w:shd w:val="clear" w:color="auto" w:fill="auto"/>
            <w:noWrap/>
            <w:vAlign w:val="center"/>
          </w:tcPr>
          <w:p w14:paraId="6B3F925A" w14:textId="58871130" w:rsidR="002A49F6" w:rsidRPr="00225EB1" w:rsidRDefault="002A49F6" w:rsidP="002A49F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Fi = somatório dos pagamentos de benefícios de cada plano, líquidos de contribuições incidentes sobre esses benefícios, relativos ao i-ésimo prazo;</w:t>
            </w:r>
          </w:p>
        </w:tc>
        <w:tc>
          <w:tcPr>
            <w:tcW w:w="1669" w:type="pct"/>
            <w:vAlign w:val="center"/>
          </w:tcPr>
          <w:p w14:paraId="1649D1A6" w14:textId="495D13D3" w:rsidR="002A49F6" w:rsidRPr="001E5561" w:rsidRDefault="002A49F6" w:rsidP="001E5561">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Fi</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somatório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pagamentos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cada</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plano,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líquidos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contribuições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incidentes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sobre</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esses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benefícios,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i-ésimo</w:t>
            </w:r>
            <w:r w:rsidR="009068E9">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prazo;</w:t>
            </w:r>
          </w:p>
        </w:tc>
        <w:tc>
          <w:tcPr>
            <w:tcW w:w="1664" w:type="pct"/>
            <w:vAlign w:val="center"/>
          </w:tcPr>
          <w:p w14:paraId="2057CA99" w14:textId="77777777" w:rsidR="002A49F6" w:rsidRPr="00225EB1" w:rsidRDefault="002A49F6" w:rsidP="002A49F6">
            <w:pPr>
              <w:jc w:val="both"/>
              <w:rPr>
                <w:rFonts w:ascii="Calibri" w:eastAsia="Times New Roman" w:hAnsi="Calibri" w:cs="Times New Roman"/>
                <w:kern w:val="0"/>
                <w:sz w:val="24"/>
                <w:szCs w:val="20"/>
                <w:lang w:eastAsia="pt-BR"/>
                <w14:ligatures w14:val="none"/>
              </w:rPr>
            </w:pPr>
          </w:p>
        </w:tc>
      </w:tr>
      <w:tr w:rsidR="00B06E16" w:rsidRPr="00225EB1" w14:paraId="5F9F9EB5" w14:textId="301DB846" w:rsidTr="00E75B46">
        <w:tc>
          <w:tcPr>
            <w:tcW w:w="1667" w:type="pct"/>
            <w:shd w:val="clear" w:color="auto" w:fill="auto"/>
            <w:noWrap/>
            <w:vAlign w:val="center"/>
            <w:hideMark/>
          </w:tcPr>
          <w:p w14:paraId="6FEC8462" w14:textId="5C0FC89B"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TA = a taxa real anual de juros aplicada no ano anterior pelo respectivo plano de benefícios.</w:t>
            </w:r>
          </w:p>
        </w:tc>
        <w:tc>
          <w:tcPr>
            <w:tcW w:w="1669" w:type="pct"/>
            <w:vAlign w:val="center"/>
          </w:tcPr>
          <w:p w14:paraId="259A1694" w14:textId="4B3D30FA"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TA = a taxa real anual de juros aplicada no ano anterior pelo respectivo plano de benefícios.</w:t>
            </w:r>
          </w:p>
        </w:tc>
        <w:tc>
          <w:tcPr>
            <w:tcW w:w="1664" w:type="pct"/>
            <w:vAlign w:val="center"/>
          </w:tcPr>
          <w:p w14:paraId="7F331231" w14:textId="3F19F0FD"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5DE406FD" w14:textId="27FC5C56" w:rsidTr="00E75B46">
        <w:tc>
          <w:tcPr>
            <w:tcW w:w="1667" w:type="pct"/>
            <w:shd w:val="clear" w:color="auto" w:fill="auto"/>
            <w:noWrap/>
            <w:vAlign w:val="center"/>
            <w:hideMark/>
          </w:tcPr>
          <w:p w14:paraId="250F7ABA"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 o cálculo do arredondamento do algarismo da casa decimal de que trata o art. 7º devem ser considerados os algarismos relativos à primeira e segunda casas decimais, efetuando-se o arredondamento da seguinte forma:</w:t>
            </w:r>
          </w:p>
        </w:tc>
        <w:tc>
          <w:tcPr>
            <w:tcW w:w="1669" w:type="pct"/>
            <w:vAlign w:val="center"/>
          </w:tcPr>
          <w:p w14:paraId="70E5C089" w14:textId="3B9ABED2"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cálculo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arredondamento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decimal</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trata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art.</w:t>
            </w:r>
            <w:r>
              <w:rPr>
                <w:rFonts w:ascii="Calibri" w:eastAsia="Times New Roman" w:hAnsi="Calibri" w:cs="Calibri"/>
                <w:kern w:val="0"/>
                <w:sz w:val="24"/>
                <w:szCs w:val="24"/>
                <w:lang w:eastAsia="pt-BR"/>
                <w14:ligatures w14:val="none"/>
              </w:rPr>
              <w:t xml:space="preserve"> 6º </w:t>
            </w:r>
            <w:r w:rsidRPr="00116AD8">
              <w:rPr>
                <w:rFonts w:ascii="Calibri" w:eastAsia="Times New Roman" w:hAnsi="Calibri" w:cs="Calibri"/>
                <w:kern w:val="0"/>
                <w:sz w:val="24"/>
                <w:szCs w:val="24"/>
                <w:lang w:eastAsia="pt-BR"/>
                <w14:ligatures w14:val="none"/>
              </w:rPr>
              <w:t>devem</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ser</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considerados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efetuando-se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arredondamento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seguinte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forma:</w:t>
            </w:r>
          </w:p>
        </w:tc>
        <w:tc>
          <w:tcPr>
            <w:tcW w:w="1664" w:type="pct"/>
            <w:vAlign w:val="center"/>
          </w:tcPr>
          <w:p w14:paraId="176F080A" w14:textId="44DAF849"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106A9FC5" w14:textId="65CEE594" w:rsidTr="00E75B46">
        <w:tc>
          <w:tcPr>
            <w:tcW w:w="1667" w:type="pct"/>
            <w:shd w:val="clear" w:color="auto" w:fill="auto"/>
            <w:noWrap/>
            <w:vAlign w:val="center"/>
            <w:hideMark/>
          </w:tcPr>
          <w:p w14:paraId="0FECF473"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2.1.</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 para o número inteiro inferior, quando os algarismos relativos à primeira e segunda casas decimais estiverem compreendidos no intervalo de 01 a 24;</w:t>
            </w:r>
          </w:p>
        </w:tc>
        <w:tc>
          <w:tcPr>
            <w:tcW w:w="1669" w:type="pct"/>
            <w:vAlign w:val="center"/>
          </w:tcPr>
          <w:p w14:paraId="7BC307C5" w14:textId="09B18B75"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2.1.</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número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inteiro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inferior,</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estiverem</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compreendidos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01</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24;</w:t>
            </w:r>
          </w:p>
        </w:tc>
        <w:tc>
          <w:tcPr>
            <w:tcW w:w="1664" w:type="pct"/>
            <w:vAlign w:val="center"/>
          </w:tcPr>
          <w:p w14:paraId="4D4A4797" w14:textId="1F73F47E"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7AA73BA5" w14:textId="3A8D27B5" w:rsidTr="00E75B46">
        <w:tc>
          <w:tcPr>
            <w:tcW w:w="1667" w:type="pct"/>
            <w:shd w:val="clear" w:color="auto" w:fill="auto"/>
            <w:noWrap/>
            <w:vAlign w:val="center"/>
            <w:hideMark/>
          </w:tcPr>
          <w:p w14:paraId="658000B0"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2.2.</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 xml:space="preserve">Arredonda-se o algarismo relativo à primeira casa decimal para cinco, quando os </w:t>
            </w:r>
            <w:r w:rsidRPr="00116AD8">
              <w:rPr>
                <w:rFonts w:ascii="Calibri" w:eastAsia="Times New Roman" w:hAnsi="Calibri" w:cs="Calibri"/>
                <w:kern w:val="0"/>
                <w:sz w:val="24"/>
                <w:szCs w:val="24"/>
                <w:lang w:eastAsia="pt-BR"/>
                <w14:ligatures w14:val="none"/>
              </w:rPr>
              <w:lastRenderedPageBreak/>
              <w:t>algarismos relativos à primeira e segunda casas decimais estiverem compreendidos no intervalo de 25 a 74; e</w:t>
            </w:r>
          </w:p>
        </w:tc>
        <w:tc>
          <w:tcPr>
            <w:tcW w:w="1669" w:type="pct"/>
            <w:vAlign w:val="center"/>
          </w:tcPr>
          <w:p w14:paraId="0FDA0D0D" w14:textId="3A973FA1"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lastRenderedPageBreak/>
              <w:t>2.2.</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decimal</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cinco,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lastRenderedPageBreak/>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estiverem</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compreendidos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25</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74;</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p>
        </w:tc>
        <w:tc>
          <w:tcPr>
            <w:tcW w:w="1664" w:type="pct"/>
            <w:vAlign w:val="center"/>
          </w:tcPr>
          <w:p w14:paraId="5439172E" w14:textId="3E7755CC" w:rsidR="00B06E16" w:rsidRPr="00225EB1" w:rsidRDefault="00B06E16" w:rsidP="00B06E16">
            <w:pPr>
              <w:jc w:val="both"/>
              <w:rPr>
                <w:rFonts w:ascii="Calibri" w:eastAsia="Times New Roman" w:hAnsi="Calibri" w:cs="Times New Roman"/>
                <w:kern w:val="0"/>
                <w:sz w:val="24"/>
                <w:szCs w:val="20"/>
                <w:lang w:eastAsia="pt-BR"/>
                <w14:ligatures w14:val="none"/>
              </w:rPr>
            </w:pPr>
          </w:p>
        </w:tc>
      </w:tr>
      <w:tr w:rsidR="00B06E16" w:rsidRPr="00225EB1" w14:paraId="5C222C76" w14:textId="50E275CA" w:rsidTr="00E75B46">
        <w:tc>
          <w:tcPr>
            <w:tcW w:w="1667" w:type="pct"/>
            <w:shd w:val="clear" w:color="auto" w:fill="auto"/>
            <w:noWrap/>
            <w:vAlign w:val="center"/>
            <w:hideMark/>
          </w:tcPr>
          <w:p w14:paraId="7CA835BA" w14:textId="77777777" w:rsidR="00B06E16" w:rsidRPr="00116AD8" w:rsidRDefault="00B06E16" w:rsidP="00B06E16">
            <w:pPr>
              <w:spacing w:after="0" w:line="240" w:lineRule="auto"/>
              <w:jc w:val="both"/>
              <w:rPr>
                <w:rFonts w:ascii="Calibri" w:eastAsia="Times New Roman" w:hAnsi="Calibri" w:cs="Calibri"/>
                <w:kern w:val="0"/>
                <w:sz w:val="24"/>
                <w:szCs w:val="24"/>
                <w:lang w:eastAsia="pt-BR"/>
                <w14:ligatures w14:val="none"/>
              </w:rPr>
            </w:pPr>
            <w:r w:rsidRPr="00116AD8">
              <w:rPr>
                <w:rFonts w:ascii="Calibri" w:eastAsia="Times New Roman" w:hAnsi="Calibri" w:cs="Calibri"/>
                <w:kern w:val="0"/>
                <w:sz w:val="24"/>
                <w:szCs w:val="24"/>
                <w:lang w:eastAsia="pt-BR"/>
                <w14:ligatures w14:val="none"/>
              </w:rPr>
              <w:t>2.3.</w:t>
            </w:r>
            <w:r w:rsidRPr="00116AD8">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 para o número inteiro imediatamente superior, quando os algarismos relativos à primeira e segunda casas decimais estiverem compreendidos no intervalo de 75 a 99.</w:t>
            </w:r>
          </w:p>
        </w:tc>
        <w:tc>
          <w:tcPr>
            <w:tcW w:w="1669" w:type="pct"/>
            <w:vAlign w:val="center"/>
          </w:tcPr>
          <w:p w14:paraId="4DC42D06" w14:textId="5770C5F3"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2.3.</w:t>
            </w:r>
            <w:r>
              <w:rPr>
                <w:rFonts w:ascii="Calibri" w:eastAsia="Times New Roman" w:hAnsi="Calibri" w:cs="Times New Roman"/>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Arredonda-se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para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número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inteiro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imediatamente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superior,</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quando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algarismos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relativos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à</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primeira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segunda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casas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decimais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estiverem</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compreendidos</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no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intervalo</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de</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75</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a</w:t>
            </w:r>
            <w:r>
              <w:rPr>
                <w:rFonts w:ascii="Calibri" w:eastAsia="Times New Roman" w:hAnsi="Calibri" w:cs="Calibri"/>
                <w:kern w:val="0"/>
                <w:sz w:val="24"/>
                <w:szCs w:val="24"/>
                <w:lang w:eastAsia="pt-BR"/>
                <w14:ligatures w14:val="none"/>
              </w:rPr>
              <w:t xml:space="preserve"> </w:t>
            </w:r>
            <w:r w:rsidRPr="00116AD8">
              <w:rPr>
                <w:rFonts w:ascii="Calibri" w:eastAsia="Times New Roman" w:hAnsi="Calibri" w:cs="Calibri"/>
                <w:kern w:val="0"/>
                <w:sz w:val="24"/>
                <w:szCs w:val="24"/>
                <w:lang w:eastAsia="pt-BR"/>
                <w14:ligatures w14:val="none"/>
              </w:rPr>
              <w:t>99.</w:t>
            </w:r>
          </w:p>
        </w:tc>
        <w:tc>
          <w:tcPr>
            <w:tcW w:w="1664" w:type="pct"/>
            <w:vAlign w:val="center"/>
          </w:tcPr>
          <w:p w14:paraId="1ACD9E47" w14:textId="4A30EE88" w:rsidR="00B06E16" w:rsidRPr="00225EB1" w:rsidRDefault="00B06E16" w:rsidP="00B06E16">
            <w:pPr>
              <w:jc w:val="both"/>
              <w:rPr>
                <w:rFonts w:ascii="Calibri" w:eastAsia="Times New Roman" w:hAnsi="Calibri" w:cs="Times New Roman"/>
                <w:kern w:val="0"/>
                <w:sz w:val="24"/>
                <w:szCs w:val="20"/>
                <w:lang w:eastAsia="pt-BR"/>
                <w14:ligatures w14:val="none"/>
              </w:rPr>
            </w:pPr>
            <w:r w:rsidRPr="00116AD8">
              <w:rPr>
                <w:rFonts w:ascii="Calibri" w:eastAsia="Times New Roman" w:hAnsi="Calibri" w:cs="Calibri"/>
                <w:kern w:val="0"/>
                <w:sz w:val="24"/>
                <w:szCs w:val="24"/>
                <w:lang w:eastAsia="pt-BR"/>
                <w14:ligatures w14:val="none"/>
              </w:rPr>
              <w:t xml:space="preserve"> </w:t>
            </w:r>
          </w:p>
        </w:tc>
      </w:tr>
    </w:tbl>
    <w:p w14:paraId="72A4251D" w14:textId="77777777" w:rsidR="00512F76" w:rsidRPr="00225EB1" w:rsidRDefault="00512F76">
      <w:pPr>
        <w:rPr>
          <w:rFonts w:ascii="Calibri" w:hAnsi="Calibri"/>
          <w:sz w:val="24"/>
        </w:rPr>
      </w:pPr>
    </w:p>
    <w:sectPr w:rsidR="00512F76" w:rsidRPr="00225EB1" w:rsidSect="00102B08">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3953928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B08"/>
    <w:rsid w:val="000276E5"/>
    <w:rsid w:val="000707BA"/>
    <w:rsid w:val="000721AD"/>
    <w:rsid w:val="000D6B79"/>
    <w:rsid w:val="000D7196"/>
    <w:rsid w:val="000E18EE"/>
    <w:rsid w:val="000E4F34"/>
    <w:rsid w:val="00102B08"/>
    <w:rsid w:val="00116AD8"/>
    <w:rsid w:val="00121E2D"/>
    <w:rsid w:val="0012568F"/>
    <w:rsid w:val="00143074"/>
    <w:rsid w:val="00152A71"/>
    <w:rsid w:val="00153168"/>
    <w:rsid w:val="001D34B9"/>
    <w:rsid w:val="001D7A5F"/>
    <w:rsid w:val="001E1620"/>
    <w:rsid w:val="001E5561"/>
    <w:rsid w:val="001F2A25"/>
    <w:rsid w:val="002248E8"/>
    <w:rsid w:val="00225EB1"/>
    <w:rsid w:val="002373E5"/>
    <w:rsid w:val="00250A56"/>
    <w:rsid w:val="002529A4"/>
    <w:rsid w:val="002A49F6"/>
    <w:rsid w:val="002F0AE6"/>
    <w:rsid w:val="002F2906"/>
    <w:rsid w:val="00300D41"/>
    <w:rsid w:val="003203D9"/>
    <w:rsid w:val="00350AAA"/>
    <w:rsid w:val="00375DFD"/>
    <w:rsid w:val="003872D3"/>
    <w:rsid w:val="003C460A"/>
    <w:rsid w:val="00407128"/>
    <w:rsid w:val="004738B5"/>
    <w:rsid w:val="004811C0"/>
    <w:rsid w:val="004B5D38"/>
    <w:rsid w:val="00505151"/>
    <w:rsid w:val="00512EC1"/>
    <w:rsid w:val="00512F76"/>
    <w:rsid w:val="005C27CC"/>
    <w:rsid w:val="0062427C"/>
    <w:rsid w:val="006408E6"/>
    <w:rsid w:val="00676780"/>
    <w:rsid w:val="00680945"/>
    <w:rsid w:val="006E1B96"/>
    <w:rsid w:val="00761DDF"/>
    <w:rsid w:val="007637F6"/>
    <w:rsid w:val="00795F6A"/>
    <w:rsid w:val="007F7396"/>
    <w:rsid w:val="0080581C"/>
    <w:rsid w:val="00813D6B"/>
    <w:rsid w:val="00823270"/>
    <w:rsid w:val="00843426"/>
    <w:rsid w:val="00846A7A"/>
    <w:rsid w:val="008514E5"/>
    <w:rsid w:val="0085289B"/>
    <w:rsid w:val="00876894"/>
    <w:rsid w:val="00900FB5"/>
    <w:rsid w:val="0090245C"/>
    <w:rsid w:val="009068E9"/>
    <w:rsid w:val="00925DE4"/>
    <w:rsid w:val="009443F4"/>
    <w:rsid w:val="00995A43"/>
    <w:rsid w:val="009A0EFA"/>
    <w:rsid w:val="009C51F0"/>
    <w:rsid w:val="009E5362"/>
    <w:rsid w:val="009F55BA"/>
    <w:rsid w:val="00A64B2B"/>
    <w:rsid w:val="00A6584C"/>
    <w:rsid w:val="00A70D16"/>
    <w:rsid w:val="00A72E5B"/>
    <w:rsid w:val="00A9071B"/>
    <w:rsid w:val="00A92A85"/>
    <w:rsid w:val="00AB31DD"/>
    <w:rsid w:val="00AE0FD8"/>
    <w:rsid w:val="00B06E16"/>
    <w:rsid w:val="00B97247"/>
    <w:rsid w:val="00BC2200"/>
    <w:rsid w:val="00BD3927"/>
    <w:rsid w:val="00BE61B0"/>
    <w:rsid w:val="00C63842"/>
    <w:rsid w:val="00CA11AA"/>
    <w:rsid w:val="00CB0504"/>
    <w:rsid w:val="00CD4D33"/>
    <w:rsid w:val="00CD5BE3"/>
    <w:rsid w:val="00D37FDF"/>
    <w:rsid w:val="00D721F8"/>
    <w:rsid w:val="00E5641A"/>
    <w:rsid w:val="00E75946"/>
    <w:rsid w:val="00E75B46"/>
    <w:rsid w:val="00E80A19"/>
    <w:rsid w:val="00EB77BF"/>
    <w:rsid w:val="00ED799B"/>
    <w:rsid w:val="00ED7D87"/>
    <w:rsid w:val="00EF3611"/>
    <w:rsid w:val="00F02E2F"/>
    <w:rsid w:val="00F1732E"/>
    <w:rsid w:val="00F32880"/>
    <w:rsid w:val="00F44ABF"/>
    <w:rsid w:val="00F47D20"/>
    <w:rsid w:val="00F60584"/>
    <w:rsid w:val="00F9060B"/>
    <w:rsid w:val="00FE1BA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3D479"/>
  <w15:chartTrackingRefBased/>
  <w15:docId w15:val="{7B336176-3583-4297-89D5-2108F3B0B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02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843426"/>
    <w:rPr>
      <w:color w:val="0563C1"/>
      <w:u w:val="single"/>
    </w:rPr>
  </w:style>
  <w:style w:type="character" w:styleId="HiperlinkVisitado">
    <w:name w:val="FollowedHyperlink"/>
    <w:basedOn w:val="Fontepargpadro"/>
    <w:uiPriority w:val="99"/>
    <w:semiHidden/>
    <w:unhideWhenUsed/>
    <w:rsid w:val="00843426"/>
    <w:rPr>
      <w:color w:val="954F72"/>
      <w:u w:val="single"/>
    </w:rPr>
  </w:style>
  <w:style w:type="paragraph" w:customStyle="1" w:styleId="msonormal0">
    <w:name w:val="msonormal"/>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843426"/>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843426"/>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843426"/>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843426"/>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843426"/>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843426"/>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843426"/>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843426"/>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843426"/>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PargrafodaLista">
    <w:name w:val="List Paragraph"/>
    <w:basedOn w:val="Normal"/>
    <w:uiPriority w:val="34"/>
    <w:qFormat/>
    <w:rsid w:val="000E4F34"/>
    <w:pPr>
      <w:ind w:left="720"/>
      <w:contextualSpacing/>
    </w:pPr>
  </w:style>
  <w:style w:type="paragraph" w:styleId="Reviso">
    <w:name w:val="Revision"/>
    <w:hidden/>
    <w:uiPriority w:val="99"/>
    <w:semiHidden/>
    <w:rsid w:val="001E16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3501579">
      <w:bodyDiv w:val="1"/>
      <w:marLeft w:val="0"/>
      <w:marRight w:val="0"/>
      <w:marTop w:val="0"/>
      <w:marBottom w:val="0"/>
      <w:divBdr>
        <w:top w:val="none" w:sz="0" w:space="0" w:color="auto"/>
        <w:left w:val="none" w:sz="0" w:space="0" w:color="auto"/>
        <w:bottom w:val="none" w:sz="0" w:space="0" w:color="auto"/>
        <w:right w:val="none" w:sz="0" w:space="0" w:color="auto"/>
      </w:divBdr>
    </w:div>
    <w:div w:id="1393113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646</TotalTime>
  <Pages>38</Pages>
  <Words>11489</Words>
  <Characters>62043</Characters>
  <Application>Microsoft Office Word</Application>
  <DocSecurity>0</DocSecurity>
  <Lines>517</Lines>
  <Paragraphs>146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Claudemiro Quintal Júnior</cp:lastModifiedBy>
  <cp:revision>40</cp:revision>
  <dcterms:created xsi:type="dcterms:W3CDTF">2023-06-23T15:03:00Z</dcterms:created>
  <dcterms:modified xsi:type="dcterms:W3CDTF">2023-06-26T13:34:00Z</dcterms:modified>
</cp:coreProperties>
</file>