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comgrade"/>
        <w:tblW w:w="0" w:type="auto"/>
        <w:tblLook w:val="04A0" w:firstRow="1" w:lastRow="0" w:firstColumn="1" w:lastColumn="0" w:noHBand="0" w:noVBand="1"/>
      </w:tblPr>
      <w:tblGrid>
        <w:gridCol w:w="5719"/>
        <w:gridCol w:w="5451"/>
        <w:gridCol w:w="4218"/>
      </w:tblGrid>
      <w:tr w:rsidR="001B69F9" w:rsidRPr="00DC28D3" w14:paraId="3ADB37C2" w14:textId="77777777" w:rsidTr="091F0907">
        <w:tc>
          <w:tcPr>
            <w:tcW w:w="5949" w:type="dxa"/>
            <w:shd w:val="clear" w:color="auto" w:fill="E7E6E6" w:themeFill="background2"/>
          </w:tcPr>
          <w:p w14:paraId="3BF358CF" w14:textId="77777777" w:rsidR="001B69F9" w:rsidRPr="00DC28D3" w:rsidRDefault="001B69F9" w:rsidP="00264386">
            <w:pPr>
              <w:jc w:val="center"/>
              <w:rPr>
                <w:rFonts w:ascii="Calibri" w:hAnsi="Calibri" w:cs="Calibri"/>
                <w:sz w:val="24"/>
                <w:szCs w:val="24"/>
              </w:rPr>
            </w:pPr>
            <w:r w:rsidRPr="00DC28D3">
              <w:rPr>
                <w:rFonts w:ascii="Calibri" w:hAnsi="Calibri" w:cs="Calibri"/>
                <w:sz w:val="24"/>
                <w:szCs w:val="24"/>
              </w:rPr>
              <w:t>TEXTO ANTERIOR</w:t>
            </w:r>
          </w:p>
        </w:tc>
        <w:tc>
          <w:tcPr>
            <w:tcW w:w="5670" w:type="dxa"/>
            <w:shd w:val="clear" w:color="auto" w:fill="E7E6E6" w:themeFill="background2"/>
          </w:tcPr>
          <w:p w14:paraId="01A2D864" w14:textId="77777777" w:rsidR="001B69F9" w:rsidRPr="00DC28D3" w:rsidRDefault="001B69F9" w:rsidP="00264386">
            <w:pPr>
              <w:jc w:val="center"/>
              <w:rPr>
                <w:rFonts w:ascii="Calibri" w:hAnsi="Calibri" w:cs="Calibri"/>
                <w:sz w:val="24"/>
                <w:szCs w:val="24"/>
              </w:rPr>
            </w:pPr>
            <w:r w:rsidRPr="00DC28D3">
              <w:rPr>
                <w:rFonts w:ascii="Calibri" w:hAnsi="Calibri" w:cs="Calibri"/>
                <w:sz w:val="24"/>
                <w:szCs w:val="24"/>
              </w:rPr>
              <w:t>TEXTO PROPOSTO</w:t>
            </w:r>
          </w:p>
        </w:tc>
        <w:tc>
          <w:tcPr>
            <w:tcW w:w="3194" w:type="dxa"/>
            <w:shd w:val="clear" w:color="auto" w:fill="E7E6E6" w:themeFill="background2"/>
          </w:tcPr>
          <w:p w14:paraId="5F5429FA" w14:textId="77777777" w:rsidR="001B69F9" w:rsidRPr="00DC28D3" w:rsidRDefault="001B69F9" w:rsidP="00264386">
            <w:pPr>
              <w:jc w:val="center"/>
              <w:rPr>
                <w:rFonts w:ascii="Calibri" w:hAnsi="Calibri" w:cs="Calibri"/>
                <w:sz w:val="24"/>
                <w:szCs w:val="24"/>
              </w:rPr>
            </w:pPr>
            <w:r w:rsidRPr="00DC28D3">
              <w:rPr>
                <w:rFonts w:ascii="Calibri" w:hAnsi="Calibri" w:cs="Calibri"/>
                <w:sz w:val="24"/>
                <w:szCs w:val="24"/>
              </w:rPr>
              <w:t>JUSTIFICATIVAS</w:t>
            </w:r>
          </w:p>
        </w:tc>
      </w:tr>
      <w:tr w:rsidR="001B69F9" w:rsidRPr="00DC28D3" w14:paraId="73B59A06" w14:textId="77777777" w:rsidTr="091F0907">
        <w:tc>
          <w:tcPr>
            <w:tcW w:w="5949" w:type="dxa"/>
          </w:tcPr>
          <w:p w14:paraId="06F6EDEA" w14:textId="48089B68" w:rsidR="001B69F9" w:rsidRPr="00DC28D3" w:rsidRDefault="001B69F9" w:rsidP="00264386">
            <w:pPr>
              <w:jc w:val="center"/>
              <w:rPr>
                <w:rFonts w:ascii="Calibri" w:hAnsi="Calibri" w:cs="Calibri"/>
                <w:sz w:val="24"/>
                <w:szCs w:val="24"/>
              </w:rPr>
            </w:pPr>
          </w:p>
        </w:tc>
        <w:tc>
          <w:tcPr>
            <w:tcW w:w="5670" w:type="dxa"/>
          </w:tcPr>
          <w:p w14:paraId="4A11D4B7" w14:textId="2648CD97" w:rsidR="001B69F9" w:rsidRPr="00DC28D3" w:rsidRDefault="00D45114" w:rsidP="00264386">
            <w:pPr>
              <w:jc w:val="center"/>
              <w:rPr>
                <w:rFonts w:ascii="Calibri" w:hAnsi="Calibri" w:cs="Calibri"/>
                <w:b/>
                <w:bCs/>
                <w:sz w:val="24"/>
                <w:szCs w:val="24"/>
              </w:rPr>
            </w:pPr>
            <w:r w:rsidRPr="00DC28D3">
              <w:rPr>
                <w:rFonts w:ascii="Calibri" w:hAnsi="Calibri" w:cs="Calibri"/>
                <w:b/>
                <w:bCs/>
                <w:sz w:val="24"/>
                <w:szCs w:val="24"/>
              </w:rPr>
              <w:t xml:space="preserve">CAPÍTULO VII </w:t>
            </w:r>
          </w:p>
        </w:tc>
        <w:tc>
          <w:tcPr>
            <w:tcW w:w="3194" w:type="dxa"/>
          </w:tcPr>
          <w:p w14:paraId="291A5EDA" w14:textId="77777777" w:rsidR="001B69F9" w:rsidRPr="00DC28D3" w:rsidRDefault="001B69F9" w:rsidP="00264386">
            <w:pPr>
              <w:rPr>
                <w:rFonts w:ascii="Calibri" w:hAnsi="Calibri" w:cs="Calibri"/>
                <w:sz w:val="24"/>
                <w:szCs w:val="24"/>
              </w:rPr>
            </w:pPr>
          </w:p>
        </w:tc>
      </w:tr>
      <w:tr w:rsidR="00023599" w:rsidRPr="00DC28D3" w14:paraId="46EE88F3" w14:textId="77777777" w:rsidTr="091F0907">
        <w:tc>
          <w:tcPr>
            <w:tcW w:w="5949" w:type="dxa"/>
          </w:tcPr>
          <w:p w14:paraId="320D9551" w14:textId="77777777" w:rsidR="00023599" w:rsidRPr="00DC28D3" w:rsidRDefault="00023599" w:rsidP="00264386">
            <w:pPr>
              <w:jc w:val="center"/>
              <w:rPr>
                <w:rFonts w:ascii="Calibri" w:hAnsi="Calibri" w:cs="Calibri"/>
                <w:sz w:val="24"/>
                <w:szCs w:val="24"/>
              </w:rPr>
            </w:pPr>
          </w:p>
        </w:tc>
        <w:tc>
          <w:tcPr>
            <w:tcW w:w="5670" w:type="dxa"/>
          </w:tcPr>
          <w:p w14:paraId="4E261593" w14:textId="68631386" w:rsidR="00023599" w:rsidRPr="00DC28D3" w:rsidRDefault="00177546" w:rsidP="00264386">
            <w:pPr>
              <w:jc w:val="center"/>
              <w:rPr>
                <w:rFonts w:ascii="Calibri" w:hAnsi="Calibri" w:cs="Calibri"/>
                <w:sz w:val="24"/>
                <w:szCs w:val="24"/>
              </w:rPr>
            </w:pPr>
            <w:r w:rsidRPr="00DC28D3">
              <w:rPr>
                <w:rFonts w:ascii="Calibri" w:hAnsi="Calibri" w:cs="Calibri"/>
                <w:b/>
                <w:bCs/>
                <w:sz w:val="24"/>
                <w:szCs w:val="24"/>
              </w:rPr>
              <w:t>CONSULTAS E PARTICIPAÇÃO SOCIAL</w:t>
            </w:r>
          </w:p>
        </w:tc>
        <w:tc>
          <w:tcPr>
            <w:tcW w:w="3194" w:type="dxa"/>
          </w:tcPr>
          <w:p w14:paraId="26167761" w14:textId="77777777" w:rsidR="00023599" w:rsidRPr="00DC28D3" w:rsidRDefault="00023599" w:rsidP="00264386">
            <w:pPr>
              <w:rPr>
                <w:rFonts w:ascii="Calibri" w:hAnsi="Calibri" w:cs="Calibri"/>
                <w:sz w:val="24"/>
                <w:szCs w:val="24"/>
              </w:rPr>
            </w:pPr>
          </w:p>
        </w:tc>
      </w:tr>
      <w:tr w:rsidR="009600B5" w:rsidRPr="00DC28D3" w14:paraId="1CE260F7" w14:textId="77777777" w:rsidTr="091F0907">
        <w:tc>
          <w:tcPr>
            <w:tcW w:w="5949" w:type="dxa"/>
          </w:tcPr>
          <w:p w14:paraId="0A5D15B6" w14:textId="77777777" w:rsidR="009600B5" w:rsidRPr="00DC28D3" w:rsidRDefault="009600B5" w:rsidP="00052F65">
            <w:pPr>
              <w:jc w:val="both"/>
              <w:rPr>
                <w:rFonts w:ascii="Calibri" w:hAnsi="Calibri" w:cs="Calibri"/>
                <w:b/>
                <w:bCs/>
                <w:color w:val="162937"/>
                <w:sz w:val="24"/>
                <w:szCs w:val="24"/>
                <w14:ligatures w14:val="standardContextual"/>
              </w:rPr>
            </w:pPr>
          </w:p>
        </w:tc>
        <w:tc>
          <w:tcPr>
            <w:tcW w:w="5670" w:type="dxa"/>
          </w:tcPr>
          <w:p w14:paraId="674290AB" w14:textId="77777777" w:rsidR="009600B5" w:rsidRPr="00DC28D3" w:rsidRDefault="00890F6B" w:rsidP="00264386">
            <w:pPr>
              <w:jc w:val="both"/>
              <w:rPr>
                <w:rFonts w:ascii="Calibri" w:eastAsia="Times New Roman" w:hAnsi="Calibri" w:cs="Calibri"/>
                <w:color w:val="FF0000"/>
                <w:sz w:val="24"/>
                <w:szCs w:val="24"/>
                <w:lang w:eastAsia="pt-BR"/>
              </w:rPr>
            </w:pPr>
            <w:r w:rsidRPr="00DC28D3">
              <w:rPr>
                <w:rFonts w:ascii="Calibri" w:eastAsia="Times New Roman" w:hAnsi="Calibri" w:cs="Calibri"/>
                <w:color w:val="FF0000"/>
                <w:sz w:val="24"/>
                <w:szCs w:val="24"/>
                <w:lang w:eastAsia="pt-BR"/>
              </w:rPr>
              <w:t>Art. 823 Ficam revogadas:</w:t>
            </w:r>
          </w:p>
          <w:p w14:paraId="09D974DB" w14:textId="0E007818" w:rsidR="00890F6B" w:rsidRPr="00DC28D3" w:rsidRDefault="00890F6B" w:rsidP="00264386">
            <w:pPr>
              <w:jc w:val="both"/>
              <w:rPr>
                <w:rFonts w:ascii="Calibri" w:eastAsia="Times New Roman" w:hAnsi="Calibri" w:cs="Calibri"/>
                <w:color w:val="FF0000"/>
                <w:sz w:val="24"/>
                <w:szCs w:val="24"/>
                <w:lang w:eastAsia="pt-BR"/>
              </w:rPr>
            </w:pPr>
            <w:r w:rsidRPr="00DC28D3">
              <w:rPr>
                <w:rFonts w:ascii="Calibri" w:eastAsia="Times New Roman" w:hAnsi="Calibri" w:cs="Calibri"/>
                <w:color w:val="FF0000"/>
                <w:sz w:val="24"/>
                <w:szCs w:val="24"/>
                <w:lang w:eastAsia="pt-BR"/>
              </w:rPr>
              <w:t xml:space="preserve">I - </w:t>
            </w:r>
            <w:proofErr w:type="gramStart"/>
            <w:r w:rsidRPr="00DC28D3">
              <w:rPr>
                <w:rFonts w:ascii="Calibri" w:eastAsia="Times New Roman" w:hAnsi="Calibri" w:cs="Calibri"/>
                <w:color w:val="FF0000"/>
                <w:sz w:val="24"/>
                <w:szCs w:val="24"/>
                <w:lang w:eastAsia="pt-BR"/>
              </w:rPr>
              <w:t>a</w:t>
            </w:r>
            <w:proofErr w:type="gramEnd"/>
            <w:r w:rsidRPr="00DC28D3">
              <w:rPr>
                <w:rFonts w:ascii="Calibri" w:eastAsia="Times New Roman" w:hAnsi="Calibri" w:cs="Calibri"/>
                <w:color w:val="FF0000"/>
                <w:sz w:val="24"/>
                <w:szCs w:val="24"/>
                <w:lang w:eastAsia="pt-BR"/>
              </w:rPr>
              <w:t xml:space="preserve"> Resolução PREVIC nº 5, de 27 de outubro de 2021.</w:t>
            </w:r>
          </w:p>
          <w:p w14:paraId="3016A040" w14:textId="43EEE76F" w:rsidR="00890F6B" w:rsidRPr="00DC28D3" w:rsidRDefault="00890F6B" w:rsidP="00890F6B">
            <w:pPr>
              <w:jc w:val="both"/>
              <w:rPr>
                <w:rFonts w:ascii="Calibri" w:hAnsi="Calibri" w:cs="Calibri"/>
                <w:color w:val="FF0000"/>
                <w:sz w:val="24"/>
                <w:szCs w:val="24"/>
              </w:rPr>
            </w:pPr>
            <w:r w:rsidRPr="00DC28D3">
              <w:rPr>
                <w:rFonts w:ascii="Calibri" w:eastAsia="Times New Roman" w:hAnsi="Calibri" w:cs="Calibri"/>
                <w:color w:val="FF0000"/>
                <w:sz w:val="24"/>
                <w:szCs w:val="24"/>
                <w:lang w:eastAsia="pt-BR"/>
              </w:rPr>
              <w:t xml:space="preserve">II - a </w:t>
            </w:r>
            <w:r w:rsidRPr="00DC28D3">
              <w:rPr>
                <w:rFonts w:ascii="Calibri" w:hAnsi="Calibri" w:cs="Calibri"/>
                <w:color w:val="FF0000"/>
                <w:sz w:val="24"/>
                <w:szCs w:val="24"/>
                <w14:ligatures w14:val="standardContextual"/>
              </w:rPr>
              <w:t>Resolução PREVIC nº 14, de 13 de setembro de 2022.</w:t>
            </w:r>
          </w:p>
        </w:tc>
        <w:tc>
          <w:tcPr>
            <w:tcW w:w="3194" w:type="dxa"/>
          </w:tcPr>
          <w:p w14:paraId="6F0E9120" w14:textId="77777777" w:rsidR="009600B5" w:rsidRPr="00DC28D3" w:rsidRDefault="009600B5" w:rsidP="00264386">
            <w:pPr>
              <w:rPr>
                <w:rFonts w:ascii="Calibri" w:hAnsi="Calibri" w:cs="Calibri"/>
                <w:sz w:val="24"/>
                <w:szCs w:val="24"/>
              </w:rPr>
            </w:pPr>
          </w:p>
        </w:tc>
      </w:tr>
      <w:tr w:rsidR="001839A7" w:rsidRPr="00DC28D3" w14:paraId="4361EADA" w14:textId="77777777" w:rsidTr="091F0907">
        <w:tc>
          <w:tcPr>
            <w:tcW w:w="5949" w:type="dxa"/>
          </w:tcPr>
          <w:p w14:paraId="3862667E" w14:textId="77777777" w:rsidR="001839A7" w:rsidRPr="00DC28D3" w:rsidRDefault="001839A7" w:rsidP="001839A7">
            <w:pPr>
              <w:jc w:val="both"/>
              <w:rPr>
                <w:rFonts w:ascii="Calibri" w:hAnsi="Calibri" w:cs="Calibri"/>
                <w:b/>
                <w:bCs/>
                <w:color w:val="162937"/>
                <w:sz w:val="24"/>
                <w:szCs w:val="24"/>
                <w14:ligatures w14:val="standardContextual"/>
              </w:rPr>
            </w:pPr>
          </w:p>
        </w:tc>
        <w:tc>
          <w:tcPr>
            <w:tcW w:w="5670" w:type="dxa"/>
          </w:tcPr>
          <w:p w14:paraId="3202CFFC" w14:textId="716547C9" w:rsidR="001839A7" w:rsidRPr="00DC28D3" w:rsidRDefault="001839A7" w:rsidP="00982DC5">
            <w:pPr>
              <w:jc w:val="center"/>
              <w:rPr>
                <w:rFonts w:ascii="Calibri" w:hAnsi="Calibri" w:cs="Calibri"/>
                <w:sz w:val="24"/>
                <w:szCs w:val="24"/>
              </w:rPr>
            </w:pPr>
            <w:r w:rsidRPr="00DC28D3">
              <w:rPr>
                <w:rFonts w:ascii="Calibri" w:hAnsi="Calibri" w:cs="Calibri"/>
                <w:sz w:val="24"/>
                <w:szCs w:val="24"/>
              </w:rPr>
              <w:t>Seção I</w:t>
            </w:r>
          </w:p>
        </w:tc>
        <w:tc>
          <w:tcPr>
            <w:tcW w:w="3194" w:type="dxa"/>
          </w:tcPr>
          <w:p w14:paraId="30F1B2B7" w14:textId="77777777" w:rsidR="001839A7" w:rsidRPr="00DC28D3" w:rsidRDefault="001839A7" w:rsidP="001839A7">
            <w:pPr>
              <w:rPr>
                <w:rFonts w:ascii="Calibri" w:hAnsi="Calibri" w:cs="Calibri"/>
                <w:sz w:val="24"/>
                <w:szCs w:val="24"/>
              </w:rPr>
            </w:pPr>
          </w:p>
        </w:tc>
      </w:tr>
      <w:tr w:rsidR="001839A7" w:rsidRPr="00DC28D3" w14:paraId="4C3FE61E" w14:textId="77777777" w:rsidTr="091F0907">
        <w:tc>
          <w:tcPr>
            <w:tcW w:w="5949" w:type="dxa"/>
          </w:tcPr>
          <w:p w14:paraId="75190CA4" w14:textId="3E318CB7" w:rsidR="001839A7" w:rsidRPr="00DC28D3" w:rsidRDefault="001839A7" w:rsidP="001839A7">
            <w:pPr>
              <w:jc w:val="both"/>
              <w:rPr>
                <w:rFonts w:ascii="Calibri" w:hAnsi="Calibri" w:cs="Calibri"/>
                <w:sz w:val="24"/>
                <w:szCs w:val="24"/>
              </w:rPr>
            </w:pPr>
            <w:r w:rsidRPr="00DC28D3">
              <w:rPr>
                <w:rFonts w:ascii="Calibri" w:hAnsi="Calibri" w:cs="Calibri"/>
                <w:b/>
                <w:bCs/>
                <w:color w:val="162937"/>
                <w:sz w:val="24"/>
                <w:szCs w:val="24"/>
                <w14:ligatures w14:val="standardContextual"/>
              </w:rPr>
              <w:t>Resolução PREVIC nº 14, de 13 de setembro de 2022</w:t>
            </w:r>
          </w:p>
        </w:tc>
        <w:tc>
          <w:tcPr>
            <w:tcW w:w="5670" w:type="dxa"/>
          </w:tcPr>
          <w:p w14:paraId="5D06D4BB" w14:textId="557FE580" w:rsidR="001839A7" w:rsidRPr="00DC28D3" w:rsidRDefault="001839A7" w:rsidP="00982DC5">
            <w:pPr>
              <w:jc w:val="center"/>
              <w:rPr>
                <w:rFonts w:ascii="Calibri" w:hAnsi="Calibri" w:cs="Calibri"/>
                <w:sz w:val="24"/>
                <w:szCs w:val="24"/>
              </w:rPr>
            </w:pPr>
            <w:r w:rsidRPr="00DC28D3">
              <w:rPr>
                <w:rFonts w:ascii="Calibri" w:hAnsi="Calibri" w:cs="Calibri"/>
                <w:color w:val="162937"/>
                <w:sz w:val="24"/>
                <w:szCs w:val="24"/>
              </w:rPr>
              <w:t>Consultas submetidas à Superintendência Nacional de Previdência Complementar</w:t>
            </w:r>
          </w:p>
        </w:tc>
        <w:tc>
          <w:tcPr>
            <w:tcW w:w="3194" w:type="dxa"/>
          </w:tcPr>
          <w:p w14:paraId="6A1BEC2A" w14:textId="6465FE0E" w:rsidR="001839A7" w:rsidRPr="00DC28D3" w:rsidRDefault="001839A7" w:rsidP="001839A7">
            <w:pPr>
              <w:rPr>
                <w:rFonts w:ascii="Calibri" w:hAnsi="Calibri" w:cs="Calibri"/>
                <w:sz w:val="24"/>
                <w:szCs w:val="24"/>
              </w:rPr>
            </w:pPr>
          </w:p>
        </w:tc>
      </w:tr>
      <w:tr w:rsidR="001839A7" w:rsidRPr="00DC28D3" w14:paraId="57C480D4" w14:textId="77777777" w:rsidTr="091F0907">
        <w:tc>
          <w:tcPr>
            <w:tcW w:w="5949" w:type="dxa"/>
          </w:tcPr>
          <w:p w14:paraId="4A6BE517" w14:textId="7A0C9F51" w:rsidR="001839A7" w:rsidRPr="00DC28D3" w:rsidRDefault="001839A7" w:rsidP="001839A7">
            <w:pPr>
              <w:jc w:val="both"/>
              <w:rPr>
                <w:rFonts w:ascii="Calibri" w:hAnsi="Calibri" w:cs="Calibri"/>
                <w:sz w:val="24"/>
                <w:szCs w:val="24"/>
              </w:rPr>
            </w:pPr>
            <w:r w:rsidRPr="00DC28D3">
              <w:rPr>
                <w:rFonts w:ascii="Calibri" w:hAnsi="Calibri" w:cs="Calibri"/>
                <w:color w:val="162937"/>
                <w:sz w:val="24"/>
                <w:szCs w:val="24"/>
              </w:rPr>
              <w:t xml:space="preserve">Dispõe sobre as consultas submetidas </w:t>
            </w:r>
            <w:bookmarkStart w:id="0" w:name="_GoBack"/>
            <w:bookmarkEnd w:id="0"/>
            <w:r w:rsidRPr="00DC28D3">
              <w:rPr>
                <w:rFonts w:ascii="Calibri" w:hAnsi="Calibri" w:cs="Calibri"/>
                <w:color w:val="162937"/>
                <w:sz w:val="24"/>
                <w:szCs w:val="24"/>
              </w:rPr>
              <w:t>à Superintendência Nacional de Previdência Complementar pelas entidades fechadas de previdência complementar.</w:t>
            </w:r>
          </w:p>
        </w:tc>
        <w:tc>
          <w:tcPr>
            <w:tcW w:w="5670" w:type="dxa"/>
          </w:tcPr>
          <w:p w14:paraId="2840752E" w14:textId="77777777" w:rsidR="001839A7" w:rsidRPr="00DC28D3" w:rsidRDefault="001839A7" w:rsidP="001839A7">
            <w:pPr>
              <w:jc w:val="both"/>
              <w:rPr>
                <w:rFonts w:ascii="Calibri" w:hAnsi="Calibri" w:cs="Calibri"/>
                <w:sz w:val="24"/>
                <w:szCs w:val="24"/>
              </w:rPr>
            </w:pPr>
          </w:p>
        </w:tc>
        <w:tc>
          <w:tcPr>
            <w:tcW w:w="3194" w:type="dxa"/>
          </w:tcPr>
          <w:p w14:paraId="4BDC26AC" w14:textId="07F415AE" w:rsidR="001839A7" w:rsidRPr="00DC28D3" w:rsidRDefault="001839A7" w:rsidP="001839A7">
            <w:pPr>
              <w:rPr>
                <w:rFonts w:ascii="Calibri" w:hAnsi="Calibri" w:cs="Calibri"/>
                <w:sz w:val="24"/>
                <w:szCs w:val="24"/>
              </w:rPr>
            </w:pPr>
            <w:r w:rsidRPr="00DC28D3">
              <w:rPr>
                <w:rFonts w:ascii="Calibri" w:hAnsi="Calibri" w:cs="Calibri"/>
                <w:sz w:val="24"/>
                <w:szCs w:val="24"/>
              </w:rPr>
              <w:t>Excluído</w:t>
            </w:r>
          </w:p>
        </w:tc>
      </w:tr>
      <w:tr w:rsidR="001839A7" w:rsidRPr="00DC28D3" w14:paraId="71259199" w14:textId="77777777" w:rsidTr="091F0907">
        <w:tc>
          <w:tcPr>
            <w:tcW w:w="5949" w:type="dxa"/>
          </w:tcPr>
          <w:p w14:paraId="288F37E2" w14:textId="4A400D60" w:rsidR="001839A7" w:rsidRPr="00DC28D3" w:rsidRDefault="001839A7" w:rsidP="001839A7">
            <w:pPr>
              <w:jc w:val="both"/>
              <w:rPr>
                <w:rFonts w:ascii="Calibri" w:hAnsi="Calibri" w:cs="Calibri"/>
                <w:sz w:val="24"/>
                <w:szCs w:val="24"/>
              </w:rPr>
            </w:pPr>
            <w:r w:rsidRPr="00DC28D3">
              <w:rPr>
                <w:rFonts w:ascii="Calibri" w:hAnsi="Calibri" w:cs="Calibri"/>
                <w:color w:val="162937"/>
                <w:sz w:val="24"/>
                <w:szCs w:val="24"/>
              </w:rPr>
              <w:t>A DIRETORIA COLEGIADA DA SUPERINTENDÊNCIA NACIONAL DE PREVIDÊNCIA COMPLEMENTAR (PREVIC), na sessão 608ª realizada em 13 de Setembro de 2022, com fundamento no inciso III do art. 2º da Lei nº 12.154, de 23 de dezembro de 2009, no inciso III do art. 2º e no inciso VIII do art. 10 do Anexo I do Decreto nº 8.992, de 20 de fevereiro de 2017, e em conformidade com o inciso II do art. 2º do Decreto nº 10.139, de 28 de novembro de 2019, resolve:</w:t>
            </w:r>
          </w:p>
        </w:tc>
        <w:tc>
          <w:tcPr>
            <w:tcW w:w="5670" w:type="dxa"/>
          </w:tcPr>
          <w:p w14:paraId="195F9E0A" w14:textId="77777777" w:rsidR="001839A7" w:rsidRPr="00DC28D3" w:rsidRDefault="001839A7" w:rsidP="001839A7">
            <w:pPr>
              <w:jc w:val="both"/>
              <w:rPr>
                <w:rFonts w:ascii="Calibri" w:hAnsi="Calibri" w:cs="Calibri"/>
                <w:sz w:val="24"/>
                <w:szCs w:val="24"/>
              </w:rPr>
            </w:pPr>
          </w:p>
        </w:tc>
        <w:tc>
          <w:tcPr>
            <w:tcW w:w="3194" w:type="dxa"/>
          </w:tcPr>
          <w:p w14:paraId="043E9D4F" w14:textId="39F06417" w:rsidR="001839A7" w:rsidRPr="00DC28D3" w:rsidRDefault="001839A7" w:rsidP="001839A7">
            <w:pPr>
              <w:rPr>
                <w:rFonts w:ascii="Calibri" w:hAnsi="Calibri" w:cs="Calibri"/>
                <w:sz w:val="24"/>
                <w:szCs w:val="24"/>
              </w:rPr>
            </w:pPr>
            <w:r w:rsidRPr="00DC28D3">
              <w:rPr>
                <w:rFonts w:ascii="Calibri" w:hAnsi="Calibri" w:cs="Calibri"/>
                <w:sz w:val="24"/>
                <w:szCs w:val="24"/>
              </w:rPr>
              <w:t>Excluído</w:t>
            </w:r>
          </w:p>
        </w:tc>
      </w:tr>
      <w:tr w:rsidR="001839A7" w:rsidRPr="00DC28D3" w14:paraId="105983CF" w14:textId="77777777" w:rsidTr="091F0907">
        <w:tc>
          <w:tcPr>
            <w:tcW w:w="5949" w:type="dxa"/>
          </w:tcPr>
          <w:p w14:paraId="3B7319D2" w14:textId="77777777" w:rsidR="001839A7" w:rsidRPr="00DC28D3" w:rsidRDefault="001839A7" w:rsidP="001839A7">
            <w:pPr>
              <w:jc w:val="center"/>
              <w:rPr>
                <w:rFonts w:ascii="Calibri" w:hAnsi="Calibri" w:cs="Calibri"/>
                <w:color w:val="162937"/>
                <w:sz w:val="24"/>
                <w:szCs w:val="24"/>
              </w:rPr>
            </w:pPr>
            <w:r w:rsidRPr="00DC28D3">
              <w:rPr>
                <w:rFonts w:ascii="Calibri" w:hAnsi="Calibri" w:cs="Calibri"/>
                <w:color w:val="162937"/>
                <w:sz w:val="24"/>
                <w:szCs w:val="24"/>
              </w:rPr>
              <w:t>CAPÍTULO I</w:t>
            </w:r>
          </w:p>
          <w:p w14:paraId="486AEBAD" w14:textId="036539E3" w:rsidR="001839A7" w:rsidRPr="00DC28D3" w:rsidRDefault="001839A7" w:rsidP="001839A7">
            <w:pPr>
              <w:jc w:val="center"/>
              <w:rPr>
                <w:rFonts w:ascii="Calibri" w:hAnsi="Calibri" w:cs="Calibri"/>
                <w:color w:val="162937"/>
                <w:sz w:val="24"/>
                <w:szCs w:val="24"/>
              </w:rPr>
            </w:pPr>
            <w:r w:rsidRPr="00DC28D3">
              <w:rPr>
                <w:rFonts w:ascii="Calibri" w:hAnsi="Calibri" w:cs="Calibri"/>
                <w:color w:val="162937"/>
                <w:sz w:val="24"/>
                <w:szCs w:val="24"/>
              </w:rPr>
              <w:t>CONSULTA E SEU OBJETO</w:t>
            </w:r>
          </w:p>
        </w:tc>
        <w:tc>
          <w:tcPr>
            <w:tcW w:w="5670" w:type="dxa"/>
          </w:tcPr>
          <w:p w14:paraId="45F5B7BB" w14:textId="6D14928B" w:rsidR="001839A7" w:rsidRPr="00DC28D3" w:rsidRDefault="001839A7" w:rsidP="001839A7">
            <w:pPr>
              <w:jc w:val="center"/>
              <w:rPr>
                <w:rFonts w:ascii="Calibri" w:hAnsi="Calibri" w:cs="Calibri"/>
                <w:color w:val="162937"/>
                <w:sz w:val="24"/>
                <w:szCs w:val="24"/>
              </w:rPr>
            </w:pPr>
            <w:r w:rsidRPr="00DC28D3">
              <w:rPr>
                <w:rFonts w:ascii="Calibri" w:hAnsi="Calibri" w:cs="Calibri"/>
                <w:color w:val="162937"/>
                <w:sz w:val="24"/>
                <w:szCs w:val="24"/>
              </w:rPr>
              <w:t>Subseção I</w:t>
            </w:r>
          </w:p>
          <w:p w14:paraId="48E01AE6" w14:textId="3DDD5628" w:rsidR="001839A7" w:rsidRPr="00DC28D3" w:rsidRDefault="001839A7" w:rsidP="001839A7">
            <w:pPr>
              <w:jc w:val="center"/>
              <w:rPr>
                <w:rFonts w:ascii="Calibri" w:hAnsi="Calibri" w:cs="Calibri"/>
                <w:sz w:val="24"/>
                <w:szCs w:val="24"/>
              </w:rPr>
            </w:pPr>
            <w:r w:rsidRPr="00DC28D3">
              <w:rPr>
                <w:rFonts w:ascii="Calibri" w:hAnsi="Calibri" w:cs="Calibri"/>
                <w:color w:val="162937"/>
                <w:sz w:val="24"/>
                <w:szCs w:val="24"/>
              </w:rPr>
              <w:t>Consulta e seu objeto</w:t>
            </w:r>
          </w:p>
        </w:tc>
        <w:tc>
          <w:tcPr>
            <w:tcW w:w="3194" w:type="dxa"/>
          </w:tcPr>
          <w:p w14:paraId="5874B53B" w14:textId="77777777" w:rsidR="001839A7" w:rsidRPr="00DC28D3" w:rsidRDefault="001839A7" w:rsidP="001839A7">
            <w:pPr>
              <w:rPr>
                <w:rFonts w:ascii="Calibri" w:hAnsi="Calibri" w:cs="Calibri"/>
                <w:sz w:val="24"/>
                <w:szCs w:val="24"/>
              </w:rPr>
            </w:pPr>
          </w:p>
        </w:tc>
      </w:tr>
      <w:tr w:rsidR="001839A7" w:rsidRPr="00DC28D3" w14:paraId="0119A032" w14:textId="77777777" w:rsidTr="091F0907">
        <w:tc>
          <w:tcPr>
            <w:tcW w:w="5949" w:type="dxa"/>
          </w:tcPr>
          <w:p w14:paraId="55225AD7" w14:textId="59C42380" w:rsidR="001839A7" w:rsidRPr="00DC28D3" w:rsidRDefault="001839A7" w:rsidP="001839A7">
            <w:pPr>
              <w:jc w:val="both"/>
              <w:rPr>
                <w:rFonts w:ascii="Calibri" w:hAnsi="Calibri" w:cs="Calibri"/>
                <w:color w:val="162937"/>
                <w:sz w:val="24"/>
                <w:szCs w:val="24"/>
              </w:rPr>
            </w:pPr>
            <w:r w:rsidRPr="00DC28D3">
              <w:rPr>
                <w:rFonts w:ascii="Calibri" w:hAnsi="Calibri" w:cs="Calibri"/>
                <w:color w:val="162937"/>
                <w:sz w:val="24"/>
                <w:szCs w:val="24"/>
              </w:rPr>
              <w:t>Art. 1º Esta Resolução dispõe sobre as consultas submetidas à Superintendência Nacional de Previdência Complementar (</w:t>
            </w:r>
            <w:proofErr w:type="spellStart"/>
            <w:r w:rsidRPr="00DC28D3">
              <w:rPr>
                <w:rFonts w:ascii="Calibri" w:hAnsi="Calibri" w:cs="Calibri"/>
                <w:color w:val="162937"/>
                <w:sz w:val="24"/>
                <w:szCs w:val="24"/>
              </w:rPr>
              <w:t>Previc</w:t>
            </w:r>
            <w:proofErr w:type="spellEnd"/>
            <w:r w:rsidRPr="00DC28D3">
              <w:rPr>
                <w:rFonts w:ascii="Calibri" w:hAnsi="Calibri" w:cs="Calibri"/>
                <w:color w:val="162937"/>
                <w:sz w:val="24"/>
                <w:szCs w:val="24"/>
              </w:rPr>
              <w:t>) pelas entidades fechadas de previdência complementar (EFPC).</w:t>
            </w:r>
          </w:p>
        </w:tc>
        <w:tc>
          <w:tcPr>
            <w:tcW w:w="5670" w:type="dxa"/>
          </w:tcPr>
          <w:p w14:paraId="2203BE41" w14:textId="5F095E2D" w:rsidR="001839A7" w:rsidRPr="00DC28D3" w:rsidRDefault="001839A7" w:rsidP="001839A7">
            <w:pPr>
              <w:jc w:val="both"/>
              <w:rPr>
                <w:rFonts w:ascii="Calibri" w:hAnsi="Calibri" w:cs="Calibri"/>
                <w:sz w:val="24"/>
                <w:szCs w:val="24"/>
              </w:rPr>
            </w:pPr>
            <w:r w:rsidRPr="00DC28D3">
              <w:rPr>
                <w:rFonts w:ascii="Calibri" w:hAnsi="Calibri" w:cs="Calibri"/>
                <w:color w:val="162937"/>
                <w:sz w:val="24"/>
                <w:szCs w:val="24"/>
              </w:rPr>
              <w:t>Art. 801. Esta Seção dispõe sobre as consultas submetidas à Superintendência Nacional de Previdência Complementar (</w:t>
            </w:r>
            <w:proofErr w:type="spellStart"/>
            <w:r w:rsidRPr="00DC28D3">
              <w:rPr>
                <w:rFonts w:ascii="Calibri" w:hAnsi="Calibri" w:cs="Calibri"/>
                <w:color w:val="162937"/>
                <w:sz w:val="24"/>
                <w:szCs w:val="24"/>
              </w:rPr>
              <w:t>Previc</w:t>
            </w:r>
            <w:proofErr w:type="spellEnd"/>
            <w:r w:rsidRPr="00DC28D3">
              <w:rPr>
                <w:rFonts w:ascii="Calibri" w:hAnsi="Calibri" w:cs="Calibri"/>
                <w:color w:val="162937"/>
                <w:sz w:val="24"/>
                <w:szCs w:val="24"/>
              </w:rPr>
              <w:t>) pelas entidades fechadas de previdência complementar (EFPC).</w:t>
            </w:r>
          </w:p>
        </w:tc>
        <w:tc>
          <w:tcPr>
            <w:tcW w:w="3194" w:type="dxa"/>
          </w:tcPr>
          <w:p w14:paraId="04A6766B" w14:textId="1C9E781D" w:rsidR="001839A7" w:rsidRPr="00DC28D3" w:rsidRDefault="006C338D" w:rsidP="006C338D">
            <w:pPr>
              <w:rPr>
                <w:rFonts w:ascii="Calibri" w:hAnsi="Calibri" w:cs="Calibri"/>
                <w:sz w:val="24"/>
                <w:szCs w:val="24"/>
              </w:rPr>
            </w:pPr>
            <w:r>
              <w:rPr>
                <w:rFonts w:ascii="Calibri" w:hAnsi="Calibri" w:cs="Calibri"/>
                <w:sz w:val="24"/>
                <w:szCs w:val="24"/>
              </w:rPr>
              <w:t>Ajuste de redação.</w:t>
            </w:r>
          </w:p>
        </w:tc>
      </w:tr>
      <w:tr w:rsidR="001839A7" w:rsidRPr="00DC28D3" w14:paraId="29AE8B5B" w14:textId="77777777" w:rsidTr="091F0907">
        <w:tc>
          <w:tcPr>
            <w:tcW w:w="5949" w:type="dxa"/>
          </w:tcPr>
          <w:p w14:paraId="4F234FEA" w14:textId="12D25195" w:rsidR="001839A7" w:rsidRPr="00DC28D3" w:rsidRDefault="001839A7" w:rsidP="001839A7">
            <w:pPr>
              <w:jc w:val="both"/>
              <w:rPr>
                <w:rFonts w:ascii="Calibri" w:hAnsi="Calibri" w:cs="Calibri"/>
                <w:color w:val="162937"/>
                <w:sz w:val="24"/>
                <w:szCs w:val="24"/>
              </w:rPr>
            </w:pPr>
            <w:r w:rsidRPr="00DC28D3">
              <w:rPr>
                <w:rFonts w:ascii="Calibri" w:hAnsi="Calibri" w:cs="Calibri"/>
                <w:color w:val="162937"/>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5670" w:type="dxa"/>
          </w:tcPr>
          <w:p w14:paraId="18BDB53A" w14:textId="0FCB47BD" w:rsidR="001839A7" w:rsidRPr="00DC28D3" w:rsidRDefault="001839A7" w:rsidP="001839A7">
            <w:pPr>
              <w:jc w:val="both"/>
              <w:rPr>
                <w:rFonts w:ascii="Calibri" w:hAnsi="Calibri" w:cs="Calibri"/>
                <w:sz w:val="24"/>
                <w:szCs w:val="24"/>
              </w:rPr>
            </w:pPr>
            <w:r w:rsidRPr="00DC28D3">
              <w:rPr>
                <w:rFonts w:ascii="Calibri" w:hAnsi="Calibri" w:cs="Calibri"/>
                <w:color w:val="162937"/>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3194" w:type="dxa"/>
          </w:tcPr>
          <w:p w14:paraId="40DE429E" w14:textId="17233E74" w:rsidR="001839A7" w:rsidRPr="00DC28D3" w:rsidRDefault="001839A7" w:rsidP="001839A7">
            <w:pPr>
              <w:rPr>
                <w:rFonts w:ascii="Calibri" w:hAnsi="Calibri" w:cs="Calibri"/>
                <w:sz w:val="24"/>
                <w:szCs w:val="24"/>
              </w:rPr>
            </w:pPr>
            <w:r w:rsidRPr="00DC28D3">
              <w:rPr>
                <w:rFonts w:ascii="Calibri" w:hAnsi="Calibri" w:cs="Calibri"/>
                <w:sz w:val="24"/>
                <w:szCs w:val="24"/>
              </w:rPr>
              <w:t>Texto original mantido.</w:t>
            </w:r>
          </w:p>
        </w:tc>
      </w:tr>
      <w:tr w:rsidR="001839A7" w:rsidRPr="00DC28D3" w14:paraId="4F5C9726" w14:textId="77777777" w:rsidTr="091F0907">
        <w:trPr>
          <w:trHeight w:val="1050"/>
        </w:trPr>
        <w:tc>
          <w:tcPr>
            <w:tcW w:w="5949" w:type="dxa"/>
            <w:noWrap/>
            <w:hideMark/>
          </w:tcPr>
          <w:p w14:paraId="6382F267"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lastRenderedPageBreak/>
              <w:t>Art. 2º A EFPC deve encaminhar o requerimento para análise da diretoria competente, de acordo com a matéria objeto da consulta, observadas as seguintes competências:</w:t>
            </w:r>
          </w:p>
        </w:tc>
        <w:tc>
          <w:tcPr>
            <w:tcW w:w="5670" w:type="dxa"/>
            <w:noWrap/>
            <w:hideMark/>
          </w:tcPr>
          <w:p w14:paraId="319A33A2" w14:textId="14C47E1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802. A EFPC deve encaminhar o requerimento para análise da diretoria competente, de acordo com a matéria objeto da consulta, observadas as seguintes competências:</w:t>
            </w:r>
          </w:p>
        </w:tc>
        <w:tc>
          <w:tcPr>
            <w:tcW w:w="3194" w:type="dxa"/>
            <w:noWrap/>
            <w:hideMark/>
          </w:tcPr>
          <w:p w14:paraId="03BB9C01" w14:textId="27353E04"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E396A76" w14:textId="77777777" w:rsidTr="091F0907">
        <w:trPr>
          <w:trHeight w:val="350"/>
        </w:trPr>
        <w:tc>
          <w:tcPr>
            <w:tcW w:w="5949" w:type="dxa"/>
            <w:noWrap/>
            <w:hideMark/>
          </w:tcPr>
          <w:p w14:paraId="2E1F5CE8"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Diretoria de Licenciamento:</w:t>
            </w:r>
          </w:p>
        </w:tc>
        <w:tc>
          <w:tcPr>
            <w:tcW w:w="5670" w:type="dxa"/>
            <w:noWrap/>
            <w:hideMark/>
          </w:tcPr>
          <w:p w14:paraId="043BEA6E" w14:textId="3EE03A76"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Diretoria de Licenciamento:</w:t>
            </w:r>
          </w:p>
        </w:tc>
        <w:tc>
          <w:tcPr>
            <w:tcW w:w="3194" w:type="dxa"/>
            <w:noWrap/>
            <w:hideMark/>
          </w:tcPr>
          <w:p w14:paraId="099D2FA4" w14:textId="30168D1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3011DD4" w14:textId="77777777" w:rsidTr="091F0907">
        <w:trPr>
          <w:trHeight w:val="380"/>
        </w:trPr>
        <w:tc>
          <w:tcPr>
            <w:tcW w:w="5949" w:type="dxa"/>
            <w:noWrap/>
            <w:hideMark/>
          </w:tcPr>
          <w:p w14:paraId="2BB62070" w14:textId="6A3CBE02"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 constituição de EFPC;</w:t>
            </w:r>
          </w:p>
        </w:tc>
        <w:tc>
          <w:tcPr>
            <w:tcW w:w="5670" w:type="dxa"/>
            <w:noWrap/>
            <w:hideMark/>
          </w:tcPr>
          <w:p w14:paraId="05072E00" w14:textId="3B2F83A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 constituição de EFPC;</w:t>
            </w:r>
          </w:p>
        </w:tc>
        <w:tc>
          <w:tcPr>
            <w:tcW w:w="3194" w:type="dxa"/>
            <w:noWrap/>
            <w:hideMark/>
          </w:tcPr>
          <w:p w14:paraId="7F7C6A26" w14:textId="1A9D6296"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7ACFDD4F" w14:textId="77777777" w:rsidTr="091F0907">
        <w:trPr>
          <w:trHeight w:val="414"/>
        </w:trPr>
        <w:tc>
          <w:tcPr>
            <w:tcW w:w="5949" w:type="dxa"/>
            <w:noWrap/>
            <w:hideMark/>
          </w:tcPr>
          <w:p w14:paraId="3CE228C1" w14:textId="6F96076D"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b) aplicação ou alteração de estatuto;</w:t>
            </w:r>
          </w:p>
        </w:tc>
        <w:tc>
          <w:tcPr>
            <w:tcW w:w="5670" w:type="dxa"/>
            <w:noWrap/>
            <w:hideMark/>
          </w:tcPr>
          <w:p w14:paraId="4B424CAE" w14:textId="28D98B4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b) aplicação ou alteração de estatuto;</w:t>
            </w:r>
          </w:p>
        </w:tc>
        <w:tc>
          <w:tcPr>
            <w:tcW w:w="3194" w:type="dxa"/>
            <w:noWrap/>
            <w:hideMark/>
          </w:tcPr>
          <w:p w14:paraId="49847D83" w14:textId="762FA76A"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64C8C57" w14:textId="77777777" w:rsidTr="091F0907">
        <w:trPr>
          <w:trHeight w:val="420"/>
        </w:trPr>
        <w:tc>
          <w:tcPr>
            <w:tcW w:w="5949" w:type="dxa"/>
            <w:noWrap/>
            <w:hideMark/>
          </w:tcPr>
          <w:p w14:paraId="136A0DEC" w14:textId="0E5CB73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 habilitação ou certificação de dirigentes;</w:t>
            </w:r>
          </w:p>
        </w:tc>
        <w:tc>
          <w:tcPr>
            <w:tcW w:w="5670" w:type="dxa"/>
            <w:noWrap/>
            <w:hideMark/>
          </w:tcPr>
          <w:p w14:paraId="66A4D1B3" w14:textId="3CC03FA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 habilitação ou certificação de dirigentes;</w:t>
            </w:r>
          </w:p>
        </w:tc>
        <w:tc>
          <w:tcPr>
            <w:tcW w:w="3194" w:type="dxa"/>
            <w:noWrap/>
            <w:hideMark/>
          </w:tcPr>
          <w:p w14:paraId="5C0DBE5B" w14:textId="1D3694C1"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05FB6F7" w14:textId="77777777" w:rsidTr="091F0907">
        <w:trPr>
          <w:trHeight w:val="394"/>
        </w:trPr>
        <w:tc>
          <w:tcPr>
            <w:tcW w:w="5949" w:type="dxa"/>
            <w:noWrap/>
            <w:hideMark/>
          </w:tcPr>
          <w:p w14:paraId="11B0B2EF" w14:textId="06A44507" w:rsidR="001839A7" w:rsidRPr="00DC28D3" w:rsidRDefault="001839A7" w:rsidP="001839A7">
            <w:pP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 aplicação ou alteração de regulamento;</w:t>
            </w:r>
          </w:p>
        </w:tc>
        <w:tc>
          <w:tcPr>
            <w:tcW w:w="5670" w:type="dxa"/>
            <w:noWrap/>
            <w:hideMark/>
          </w:tcPr>
          <w:p w14:paraId="42CD3FAF" w14:textId="36572AA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 aplicação ou alteração de regulamento;</w:t>
            </w:r>
          </w:p>
        </w:tc>
        <w:tc>
          <w:tcPr>
            <w:tcW w:w="3194" w:type="dxa"/>
            <w:noWrap/>
            <w:hideMark/>
          </w:tcPr>
          <w:p w14:paraId="5710F3A4" w14:textId="51F584B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C4A4199" w14:textId="77777777" w:rsidTr="091F0907">
        <w:trPr>
          <w:trHeight w:val="423"/>
        </w:trPr>
        <w:tc>
          <w:tcPr>
            <w:tcW w:w="5949" w:type="dxa"/>
            <w:noWrap/>
            <w:hideMark/>
          </w:tcPr>
          <w:p w14:paraId="32FAFA26" w14:textId="7504012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e) aplicação ou alteração de convênio de adesão;</w:t>
            </w:r>
          </w:p>
        </w:tc>
        <w:tc>
          <w:tcPr>
            <w:tcW w:w="5670" w:type="dxa"/>
            <w:noWrap/>
            <w:hideMark/>
          </w:tcPr>
          <w:p w14:paraId="615B442B" w14:textId="490D51D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e) aplicação ou alteração de convênio de adesão;</w:t>
            </w:r>
          </w:p>
        </w:tc>
        <w:tc>
          <w:tcPr>
            <w:tcW w:w="3194" w:type="dxa"/>
            <w:noWrap/>
            <w:hideMark/>
          </w:tcPr>
          <w:p w14:paraId="05530097" w14:textId="5543410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4FF08D9" w14:textId="77777777" w:rsidTr="091F0907">
        <w:trPr>
          <w:trHeight w:val="423"/>
        </w:trPr>
        <w:tc>
          <w:tcPr>
            <w:tcW w:w="5949" w:type="dxa"/>
            <w:noWrap/>
            <w:hideMark/>
          </w:tcPr>
          <w:p w14:paraId="27C372E2" w14:textId="5B436F2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f) </w:t>
            </w:r>
            <w:proofErr w:type="spellStart"/>
            <w:r w:rsidRPr="00DC28D3">
              <w:rPr>
                <w:rFonts w:ascii="Calibri" w:eastAsia="Times New Roman" w:hAnsi="Calibri" w:cs="Calibri"/>
                <w:color w:val="162937"/>
                <w:sz w:val="24"/>
                <w:szCs w:val="24"/>
                <w:lang w:eastAsia="pt-BR"/>
              </w:rPr>
              <w:t>saldamento</w:t>
            </w:r>
            <w:proofErr w:type="spellEnd"/>
            <w:r w:rsidRPr="00DC28D3">
              <w:rPr>
                <w:rFonts w:ascii="Calibri" w:eastAsia="Times New Roman" w:hAnsi="Calibri" w:cs="Calibri"/>
                <w:color w:val="162937"/>
                <w:sz w:val="24"/>
                <w:szCs w:val="24"/>
                <w:lang w:eastAsia="pt-BR"/>
              </w:rPr>
              <w:t xml:space="preserve"> de plano de benefícios;</w:t>
            </w:r>
          </w:p>
        </w:tc>
        <w:tc>
          <w:tcPr>
            <w:tcW w:w="5670" w:type="dxa"/>
            <w:noWrap/>
            <w:hideMark/>
          </w:tcPr>
          <w:p w14:paraId="101B1BF3" w14:textId="1F089B64"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f) </w:t>
            </w:r>
            <w:proofErr w:type="spellStart"/>
            <w:r w:rsidRPr="00DC28D3">
              <w:rPr>
                <w:rFonts w:ascii="Calibri" w:eastAsia="Times New Roman" w:hAnsi="Calibri" w:cs="Calibri"/>
                <w:color w:val="162937"/>
                <w:sz w:val="24"/>
                <w:szCs w:val="24"/>
                <w:lang w:eastAsia="pt-BR"/>
              </w:rPr>
              <w:t>saldamento</w:t>
            </w:r>
            <w:proofErr w:type="spellEnd"/>
            <w:r w:rsidRPr="00DC28D3">
              <w:rPr>
                <w:rFonts w:ascii="Calibri" w:eastAsia="Times New Roman" w:hAnsi="Calibri" w:cs="Calibri"/>
                <w:color w:val="162937"/>
                <w:sz w:val="24"/>
                <w:szCs w:val="24"/>
                <w:lang w:eastAsia="pt-BR"/>
              </w:rPr>
              <w:t xml:space="preserve"> de plano de benefícios;</w:t>
            </w:r>
          </w:p>
        </w:tc>
        <w:tc>
          <w:tcPr>
            <w:tcW w:w="3194" w:type="dxa"/>
            <w:noWrap/>
            <w:hideMark/>
          </w:tcPr>
          <w:p w14:paraId="7B0BF691" w14:textId="10223D67"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5126CB5" w14:textId="77777777" w:rsidTr="091F0907">
        <w:trPr>
          <w:trHeight w:val="428"/>
        </w:trPr>
        <w:tc>
          <w:tcPr>
            <w:tcW w:w="5949" w:type="dxa"/>
            <w:noWrap/>
            <w:hideMark/>
          </w:tcPr>
          <w:p w14:paraId="17031D2A" w14:textId="7448766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g) transferência de gerenciamento de plano de benefícios;</w:t>
            </w:r>
          </w:p>
        </w:tc>
        <w:tc>
          <w:tcPr>
            <w:tcW w:w="5670" w:type="dxa"/>
            <w:noWrap/>
            <w:hideMark/>
          </w:tcPr>
          <w:p w14:paraId="6D828DCD" w14:textId="283E045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g) transferência de gerenciamento de plano de benefícios;</w:t>
            </w:r>
          </w:p>
        </w:tc>
        <w:tc>
          <w:tcPr>
            <w:tcW w:w="3194" w:type="dxa"/>
            <w:noWrap/>
            <w:hideMark/>
          </w:tcPr>
          <w:p w14:paraId="4486DE7E" w14:textId="0C9A5111"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8B8AD7C" w14:textId="77777777" w:rsidTr="091F0907">
        <w:trPr>
          <w:trHeight w:val="692"/>
        </w:trPr>
        <w:tc>
          <w:tcPr>
            <w:tcW w:w="5949" w:type="dxa"/>
            <w:noWrap/>
            <w:hideMark/>
          </w:tcPr>
          <w:p w14:paraId="2EE10291" w14:textId="7340335C"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h) fusão, cisão e incorporação de planos de benefícios e de EFPC;</w:t>
            </w:r>
          </w:p>
        </w:tc>
        <w:tc>
          <w:tcPr>
            <w:tcW w:w="5670" w:type="dxa"/>
            <w:noWrap/>
            <w:hideMark/>
          </w:tcPr>
          <w:p w14:paraId="092C51F7" w14:textId="6E39ACE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h) fusão, cisão e incorporação de planos de benefícios e de EFPC;</w:t>
            </w:r>
          </w:p>
        </w:tc>
        <w:tc>
          <w:tcPr>
            <w:tcW w:w="3194" w:type="dxa"/>
            <w:noWrap/>
            <w:hideMark/>
          </w:tcPr>
          <w:p w14:paraId="045129AE" w14:textId="1724B8F1"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9407A3E" w14:textId="77777777" w:rsidTr="091F0907">
        <w:trPr>
          <w:trHeight w:val="450"/>
        </w:trPr>
        <w:tc>
          <w:tcPr>
            <w:tcW w:w="5949" w:type="dxa"/>
            <w:noWrap/>
            <w:hideMark/>
          </w:tcPr>
          <w:p w14:paraId="1FE44D82" w14:textId="77554CB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migração de participantes e assistidos;</w:t>
            </w:r>
          </w:p>
        </w:tc>
        <w:tc>
          <w:tcPr>
            <w:tcW w:w="5670" w:type="dxa"/>
            <w:noWrap/>
            <w:hideMark/>
          </w:tcPr>
          <w:p w14:paraId="147E3771" w14:textId="35AC4E8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migração de participantes e assistidos;</w:t>
            </w:r>
          </w:p>
        </w:tc>
        <w:tc>
          <w:tcPr>
            <w:tcW w:w="3194" w:type="dxa"/>
            <w:noWrap/>
            <w:hideMark/>
          </w:tcPr>
          <w:p w14:paraId="49219AE7" w14:textId="76D7BF21"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3F0C943" w14:textId="77777777" w:rsidTr="091F0907">
        <w:trPr>
          <w:trHeight w:val="414"/>
        </w:trPr>
        <w:tc>
          <w:tcPr>
            <w:tcW w:w="5949" w:type="dxa"/>
            <w:noWrap/>
            <w:hideMark/>
          </w:tcPr>
          <w:p w14:paraId="299E6CB3" w14:textId="4C22FB5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j) operações estruturais relacionadas;</w:t>
            </w:r>
          </w:p>
        </w:tc>
        <w:tc>
          <w:tcPr>
            <w:tcW w:w="5670" w:type="dxa"/>
            <w:noWrap/>
            <w:hideMark/>
          </w:tcPr>
          <w:p w14:paraId="3DBCD024" w14:textId="2E4D54B4"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j) operações estruturais relacionadas;</w:t>
            </w:r>
          </w:p>
        </w:tc>
        <w:tc>
          <w:tcPr>
            <w:tcW w:w="3194" w:type="dxa"/>
            <w:noWrap/>
            <w:hideMark/>
          </w:tcPr>
          <w:p w14:paraId="0F89C900" w14:textId="4DCC3D1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B1072F4" w14:textId="77777777" w:rsidTr="091F0907">
        <w:trPr>
          <w:trHeight w:val="423"/>
        </w:trPr>
        <w:tc>
          <w:tcPr>
            <w:tcW w:w="5949" w:type="dxa"/>
            <w:noWrap/>
            <w:hideMark/>
          </w:tcPr>
          <w:p w14:paraId="3765D506" w14:textId="2E06950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k) retirada de patrocínio;</w:t>
            </w:r>
          </w:p>
        </w:tc>
        <w:tc>
          <w:tcPr>
            <w:tcW w:w="5670" w:type="dxa"/>
            <w:noWrap/>
            <w:hideMark/>
          </w:tcPr>
          <w:p w14:paraId="58AA1E2C" w14:textId="67B7580D"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k) retirada de patrocínio;</w:t>
            </w:r>
          </w:p>
        </w:tc>
        <w:tc>
          <w:tcPr>
            <w:tcW w:w="3194" w:type="dxa"/>
            <w:noWrap/>
            <w:hideMark/>
          </w:tcPr>
          <w:p w14:paraId="11545368" w14:textId="18E1984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A587F84" w14:textId="77777777" w:rsidTr="091F0907">
        <w:trPr>
          <w:trHeight w:val="415"/>
        </w:trPr>
        <w:tc>
          <w:tcPr>
            <w:tcW w:w="5949" w:type="dxa"/>
            <w:noWrap/>
            <w:hideMark/>
          </w:tcPr>
          <w:p w14:paraId="7116E0FD" w14:textId="718E16A9"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l) rescisão unilateral de convênio de adesão;</w:t>
            </w:r>
          </w:p>
        </w:tc>
        <w:tc>
          <w:tcPr>
            <w:tcW w:w="5670" w:type="dxa"/>
            <w:noWrap/>
            <w:hideMark/>
          </w:tcPr>
          <w:p w14:paraId="15C24EE9" w14:textId="7FB9E2A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l) rescisão unilateral de convênio de adesão;</w:t>
            </w:r>
          </w:p>
        </w:tc>
        <w:tc>
          <w:tcPr>
            <w:tcW w:w="3194" w:type="dxa"/>
            <w:noWrap/>
            <w:hideMark/>
          </w:tcPr>
          <w:p w14:paraId="5A5A0401" w14:textId="219BBD0D"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2AB21DE" w14:textId="77777777" w:rsidTr="091F0907">
        <w:trPr>
          <w:trHeight w:val="832"/>
        </w:trPr>
        <w:tc>
          <w:tcPr>
            <w:tcW w:w="5949" w:type="dxa"/>
            <w:noWrap/>
            <w:hideMark/>
          </w:tcPr>
          <w:p w14:paraId="4020CD09" w14:textId="1FD91BA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m) destinação de reserva especial que envolva reversão de valores;</w:t>
            </w:r>
          </w:p>
        </w:tc>
        <w:tc>
          <w:tcPr>
            <w:tcW w:w="5670" w:type="dxa"/>
            <w:noWrap/>
            <w:hideMark/>
          </w:tcPr>
          <w:p w14:paraId="4566A331" w14:textId="193A25F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m) destinação de reserva especial que envolva reversão de valores;</w:t>
            </w:r>
          </w:p>
        </w:tc>
        <w:tc>
          <w:tcPr>
            <w:tcW w:w="3194" w:type="dxa"/>
            <w:noWrap/>
            <w:hideMark/>
          </w:tcPr>
          <w:p w14:paraId="0D8F6F3D" w14:textId="6EB06CB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2974499" w14:textId="77777777" w:rsidTr="091F0907">
        <w:trPr>
          <w:trHeight w:val="559"/>
        </w:trPr>
        <w:tc>
          <w:tcPr>
            <w:tcW w:w="5949" w:type="dxa"/>
            <w:noWrap/>
            <w:hideMark/>
          </w:tcPr>
          <w:p w14:paraId="0A3F3005" w14:textId="526768B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n) encerramento de plano de benefícios e de EFPC;</w:t>
            </w:r>
          </w:p>
        </w:tc>
        <w:tc>
          <w:tcPr>
            <w:tcW w:w="5670" w:type="dxa"/>
            <w:noWrap/>
            <w:hideMark/>
          </w:tcPr>
          <w:p w14:paraId="3521F8A6" w14:textId="66D079F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n) encerramento de plano de benefícios e de EFPC;</w:t>
            </w:r>
          </w:p>
        </w:tc>
        <w:tc>
          <w:tcPr>
            <w:tcW w:w="3194" w:type="dxa"/>
            <w:noWrap/>
            <w:hideMark/>
          </w:tcPr>
          <w:p w14:paraId="734CC10F" w14:textId="0147B64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B78B6FF" w14:textId="77777777" w:rsidTr="091F0907">
        <w:trPr>
          <w:trHeight w:val="854"/>
        </w:trPr>
        <w:tc>
          <w:tcPr>
            <w:tcW w:w="5949" w:type="dxa"/>
            <w:noWrap/>
            <w:hideMark/>
          </w:tcPr>
          <w:p w14:paraId="602F8E00" w14:textId="00AAA83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o) certificação de modelo de regulamento de plano de benefícios e de convênio de adesão;</w:t>
            </w:r>
          </w:p>
        </w:tc>
        <w:tc>
          <w:tcPr>
            <w:tcW w:w="5670" w:type="dxa"/>
            <w:noWrap/>
            <w:hideMark/>
          </w:tcPr>
          <w:p w14:paraId="1B678FD6" w14:textId="66E483EC"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o) certificação de modelo de regulamento de plano de benefícios e de convênio de adesão;</w:t>
            </w:r>
          </w:p>
        </w:tc>
        <w:tc>
          <w:tcPr>
            <w:tcW w:w="3194" w:type="dxa"/>
            <w:noWrap/>
            <w:hideMark/>
          </w:tcPr>
          <w:p w14:paraId="6F05C58D" w14:textId="37275BD7"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E20E5F0" w14:textId="77777777" w:rsidTr="091F0907">
        <w:trPr>
          <w:trHeight w:val="706"/>
        </w:trPr>
        <w:tc>
          <w:tcPr>
            <w:tcW w:w="5949" w:type="dxa"/>
            <w:noWrap/>
            <w:hideMark/>
          </w:tcPr>
          <w:p w14:paraId="71112961" w14:textId="68152C0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 reconhecimento de instituição certificadora e de seus certificados; e</w:t>
            </w:r>
          </w:p>
        </w:tc>
        <w:tc>
          <w:tcPr>
            <w:tcW w:w="5670" w:type="dxa"/>
            <w:noWrap/>
            <w:hideMark/>
          </w:tcPr>
          <w:p w14:paraId="3A6D58C9" w14:textId="67A5EA9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 reconhecimento de instituição certificadora e de seus certificados; e</w:t>
            </w:r>
          </w:p>
        </w:tc>
        <w:tc>
          <w:tcPr>
            <w:tcW w:w="3194" w:type="dxa"/>
            <w:noWrap/>
            <w:hideMark/>
          </w:tcPr>
          <w:p w14:paraId="0FF3FC40" w14:textId="7BFB0F7C"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5533A74" w14:textId="77777777" w:rsidTr="091F0907">
        <w:trPr>
          <w:trHeight w:val="690"/>
        </w:trPr>
        <w:tc>
          <w:tcPr>
            <w:tcW w:w="5949" w:type="dxa"/>
            <w:noWrap/>
            <w:hideMark/>
          </w:tcPr>
          <w:p w14:paraId="6F21F4FD" w14:textId="0F48214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lastRenderedPageBreak/>
              <w:t>q) outros assuntos relativos a requerimentos de licenciamento.</w:t>
            </w:r>
          </w:p>
        </w:tc>
        <w:tc>
          <w:tcPr>
            <w:tcW w:w="5670" w:type="dxa"/>
            <w:noWrap/>
            <w:hideMark/>
          </w:tcPr>
          <w:p w14:paraId="04C06EB9" w14:textId="6325BEB4"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q) outros assuntos relativos a requerimentos de licenciamento.</w:t>
            </w:r>
          </w:p>
        </w:tc>
        <w:tc>
          <w:tcPr>
            <w:tcW w:w="3194" w:type="dxa"/>
            <w:noWrap/>
            <w:hideMark/>
          </w:tcPr>
          <w:p w14:paraId="65645664" w14:textId="304A16AD"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432F85D" w14:textId="77777777" w:rsidTr="091F0907">
        <w:trPr>
          <w:trHeight w:val="392"/>
        </w:trPr>
        <w:tc>
          <w:tcPr>
            <w:tcW w:w="5949" w:type="dxa"/>
            <w:noWrap/>
            <w:hideMark/>
          </w:tcPr>
          <w:p w14:paraId="74F6653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 - Diretoria de Fiscalização e Monitoramento:</w:t>
            </w:r>
          </w:p>
        </w:tc>
        <w:tc>
          <w:tcPr>
            <w:tcW w:w="5670" w:type="dxa"/>
            <w:noWrap/>
            <w:hideMark/>
          </w:tcPr>
          <w:p w14:paraId="2B957FC4" w14:textId="3A11F86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 - Diretoria de Fiscalização e Monitoramento:</w:t>
            </w:r>
          </w:p>
        </w:tc>
        <w:tc>
          <w:tcPr>
            <w:tcW w:w="3194" w:type="dxa"/>
            <w:noWrap/>
            <w:hideMark/>
          </w:tcPr>
          <w:p w14:paraId="2153500E" w14:textId="2554B0E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9B0852A" w14:textId="77777777" w:rsidTr="091F0907">
        <w:trPr>
          <w:trHeight w:val="1050"/>
        </w:trPr>
        <w:tc>
          <w:tcPr>
            <w:tcW w:w="5949" w:type="dxa"/>
            <w:noWrap/>
            <w:hideMark/>
          </w:tcPr>
          <w:p w14:paraId="026EC202" w14:textId="6EFAD052"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 plano de custeio, equacionamento de déficit, destinação de reserva especial que não envolva reversão de valores ou constituição de provisões ou fundos;</w:t>
            </w:r>
          </w:p>
        </w:tc>
        <w:tc>
          <w:tcPr>
            <w:tcW w:w="5670" w:type="dxa"/>
            <w:noWrap/>
            <w:hideMark/>
          </w:tcPr>
          <w:p w14:paraId="6E157F5F" w14:textId="16E4691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 plano de custeio, equacionamento de déficit, destinação de reserva especial que não envolva reversão de valores ou constituição de provisões ou fundos;</w:t>
            </w:r>
          </w:p>
        </w:tc>
        <w:tc>
          <w:tcPr>
            <w:tcW w:w="3194" w:type="dxa"/>
            <w:noWrap/>
            <w:hideMark/>
          </w:tcPr>
          <w:p w14:paraId="49C445A4" w14:textId="3D1387C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BB44869" w14:textId="77777777" w:rsidTr="091F0907">
        <w:trPr>
          <w:trHeight w:val="350"/>
        </w:trPr>
        <w:tc>
          <w:tcPr>
            <w:tcW w:w="5949" w:type="dxa"/>
            <w:noWrap/>
            <w:hideMark/>
          </w:tcPr>
          <w:p w14:paraId="53F154E7" w14:textId="332D01B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b) demonstrações atuariais, contábeis ou de investimentos;</w:t>
            </w:r>
          </w:p>
        </w:tc>
        <w:tc>
          <w:tcPr>
            <w:tcW w:w="5670" w:type="dxa"/>
            <w:noWrap/>
            <w:hideMark/>
          </w:tcPr>
          <w:p w14:paraId="6C53080B" w14:textId="539F71FD"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b) demonstrações atuariais, contábeis ou de investimentos;</w:t>
            </w:r>
          </w:p>
        </w:tc>
        <w:tc>
          <w:tcPr>
            <w:tcW w:w="3194" w:type="dxa"/>
            <w:noWrap/>
            <w:hideMark/>
          </w:tcPr>
          <w:p w14:paraId="48687DF0" w14:textId="314BB7ED"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361B9E9" w14:textId="77777777" w:rsidTr="091F0907">
        <w:trPr>
          <w:trHeight w:val="394"/>
        </w:trPr>
        <w:tc>
          <w:tcPr>
            <w:tcW w:w="5949" w:type="dxa"/>
            <w:noWrap/>
            <w:hideMark/>
          </w:tcPr>
          <w:p w14:paraId="7E4AD761" w14:textId="76908CC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  aplicações dos recursos garantidores; e</w:t>
            </w:r>
          </w:p>
        </w:tc>
        <w:tc>
          <w:tcPr>
            <w:tcW w:w="5670" w:type="dxa"/>
            <w:noWrap/>
            <w:hideMark/>
          </w:tcPr>
          <w:p w14:paraId="1835B288" w14:textId="26E4D552"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  aplicações dos recursos garantidores; e</w:t>
            </w:r>
          </w:p>
        </w:tc>
        <w:tc>
          <w:tcPr>
            <w:tcW w:w="3194" w:type="dxa"/>
            <w:noWrap/>
            <w:hideMark/>
          </w:tcPr>
          <w:p w14:paraId="5F0EBC7C" w14:textId="40DBDD82"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504473A" w14:textId="77777777" w:rsidTr="091F0907">
        <w:trPr>
          <w:trHeight w:val="700"/>
        </w:trPr>
        <w:tc>
          <w:tcPr>
            <w:tcW w:w="5949" w:type="dxa"/>
            <w:noWrap/>
            <w:hideMark/>
          </w:tcPr>
          <w:p w14:paraId="672609D1" w14:textId="44C368D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 outros assuntos relativos a matérias atinentes ao regime de previdência complementar fechado.</w:t>
            </w:r>
          </w:p>
        </w:tc>
        <w:tc>
          <w:tcPr>
            <w:tcW w:w="5670" w:type="dxa"/>
            <w:noWrap/>
            <w:hideMark/>
          </w:tcPr>
          <w:p w14:paraId="39537F87" w14:textId="33D87F89"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 outros assuntos relativos a matérias atinentes ao regime de previdência complementar fechado.</w:t>
            </w:r>
          </w:p>
        </w:tc>
        <w:tc>
          <w:tcPr>
            <w:tcW w:w="3194" w:type="dxa"/>
            <w:noWrap/>
            <w:hideMark/>
          </w:tcPr>
          <w:p w14:paraId="53502766" w14:textId="4DCD98F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C74046" w:rsidRPr="00DC28D3" w14:paraId="493E8BD7" w14:textId="77777777" w:rsidTr="091F0907">
        <w:trPr>
          <w:trHeight w:val="350"/>
        </w:trPr>
        <w:tc>
          <w:tcPr>
            <w:tcW w:w="5949" w:type="dxa"/>
            <w:noWrap/>
          </w:tcPr>
          <w:p w14:paraId="64F95480" w14:textId="77777777" w:rsidR="00C74046" w:rsidRPr="00DC28D3" w:rsidRDefault="00C74046" w:rsidP="001839A7">
            <w:pPr>
              <w:jc w:val="center"/>
              <w:rPr>
                <w:rFonts w:ascii="Calibri" w:eastAsia="Times New Roman" w:hAnsi="Calibri" w:cs="Calibri"/>
                <w:color w:val="162937"/>
                <w:sz w:val="24"/>
                <w:szCs w:val="24"/>
                <w:lang w:eastAsia="pt-BR"/>
              </w:rPr>
            </w:pPr>
          </w:p>
        </w:tc>
        <w:tc>
          <w:tcPr>
            <w:tcW w:w="5670" w:type="dxa"/>
            <w:noWrap/>
          </w:tcPr>
          <w:p w14:paraId="4C2BB194" w14:textId="77777777" w:rsidR="00C74046" w:rsidRPr="00DC28D3" w:rsidRDefault="00C74046" w:rsidP="001839A7">
            <w:pPr>
              <w:jc w:val="center"/>
              <w:rPr>
                <w:rFonts w:ascii="Calibri" w:eastAsia="Times New Roman" w:hAnsi="Calibri" w:cs="Calibri"/>
                <w:color w:val="162937"/>
                <w:sz w:val="24"/>
                <w:szCs w:val="24"/>
                <w:lang w:eastAsia="pt-BR"/>
              </w:rPr>
            </w:pPr>
          </w:p>
        </w:tc>
        <w:tc>
          <w:tcPr>
            <w:tcW w:w="3194" w:type="dxa"/>
            <w:noWrap/>
          </w:tcPr>
          <w:p w14:paraId="3AB392F5"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proofErr w:type="spellStart"/>
            <w:r w:rsidRPr="00C74046">
              <w:rPr>
                <w:rFonts w:ascii="Arial" w:eastAsia="Times New Roman" w:hAnsi="Arial" w:cs="Arial"/>
                <w:color w:val="FF0000"/>
                <w:spacing w:val="-1"/>
                <w:sz w:val="20"/>
                <w:szCs w:val="20"/>
                <w:lang w:val="pt-PT" w:eastAsia="pt-BR"/>
              </w:rPr>
              <w:t>Art</w:t>
            </w:r>
            <w:proofErr w:type="spellEnd"/>
            <w:r w:rsidRPr="00C74046">
              <w:rPr>
                <w:rFonts w:ascii="Arial" w:eastAsia="Times New Roman" w:hAnsi="Arial" w:cs="Arial"/>
                <w:color w:val="FF0000"/>
                <w:spacing w:val="-1"/>
                <w:sz w:val="20"/>
                <w:szCs w:val="20"/>
                <w:lang w:val="pt-PT" w:eastAsia="pt-BR"/>
              </w:rPr>
              <w:t>.</w:t>
            </w:r>
            <w:r w:rsidRPr="00C74046">
              <w:rPr>
                <w:rFonts w:ascii="Arial" w:eastAsia="Times New Roman" w:hAnsi="Arial" w:cs="Arial"/>
                <w:color w:val="FF0000"/>
                <w:spacing w:val="-5"/>
                <w:sz w:val="20"/>
                <w:szCs w:val="20"/>
                <w:lang w:val="pt-PT" w:eastAsia="pt-BR"/>
              </w:rPr>
              <w:t> </w:t>
            </w:r>
            <w:r w:rsidRPr="00C74046">
              <w:rPr>
                <w:rFonts w:ascii="Arial" w:eastAsia="Times New Roman" w:hAnsi="Arial" w:cs="Arial"/>
                <w:color w:val="FF0000"/>
                <w:spacing w:val="-1"/>
                <w:sz w:val="20"/>
                <w:szCs w:val="20"/>
                <w:lang w:val="pt-PT" w:eastAsia="pt-BR"/>
              </w:rPr>
              <w:t>18. </w:t>
            </w:r>
            <w:r w:rsidRPr="00C74046">
              <w:rPr>
                <w:rFonts w:ascii="Arial" w:eastAsia="Times New Roman" w:hAnsi="Arial" w:cs="Arial"/>
                <w:color w:val="FF0000"/>
                <w:spacing w:val="53"/>
                <w:sz w:val="20"/>
                <w:szCs w:val="20"/>
                <w:lang w:val="pt-PT" w:eastAsia="pt-BR"/>
              </w:rPr>
              <w:t> </w:t>
            </w:r>
            <w:r w:rsidRPr="00C74046">
              <w:rPr>
                <w:rFonts w:ascii="Arial" w:eastAsia="Times New Roman" w:hAnsi="Arial" w:cs="Arial"/>
                <w:color w:val="FF0000"/>
                <w:spacing w:val="-1"/>
                <w:sz w:val="20"/>
                <w:szCs w:val="20"/>
                <w:lang w:val="pt-PT" w:eastAsia="pt-BR"/>
              </w:rPr>
              <w:t>À</w:t>
            </w:r>
            <w:r w:rsidRPr="00C74046">
              <w:rPr>
                <w:rFonts w:ascii="Arial" w:eastAsia="Times New Roman" w:hAnsi="Arial" w:cs="Arial"/>
                <w:color w:val="FF0000"/>
                <w:spacing w:val="-4"/>
                <w:sz w:val="20"/>
                <w:szCs w:val="20"/>
                <w:lang w:val="pt-PT" w:eastAsia="pt-BR"/>
              </w:rPr>
              <w:t> </w:t>
            </w:r>
            <w:r w:rsidRPr="00C74046">
              <w:rPr>
                <w:rFonts w:ascii="Arial" w:eastAsia="Times New Roman" w:hAnsi="Arial" w:cs="Arial"/>
                <w:color w:val="FF0000"/>
                <w:spacing w:val="-1"/>
                <w:sz w:val="20"/>
                <w:szCs w:val="20"/>
                <w:lang w:val="pt-PT" w:eastAsia="pt-BR"/>
              </w:rPr>
              <w:t>Diretoria</w:t>
            </w:r>
            <w:r w:rsidRPr="00C74046">
              <w:rPr>
                <w:rFonts w:ascii="Arial" w:eastAsia="Times New Roman" w:hAnsi="Arial" w:cs="Arial"/>
                <w:color w:val="FF0000"/>
                <w:spacing w:val="-14"/>
                <w:sz w:val="20"/>
                <w:szCs w:val="20"/>
                <w:lang w:val="pt-PT" w:eastAsia="pt-BR"/>
              </w:rPr>
              <w:t> </w:t>
            </w:r>
            <w:r w:rsidRPr="00C74046">
              <w:rPr>
                <w:rFonts w:ascii="Arial" w:eastAsia="Times New Roman" w:hAnsi="Arial" w:cs="Arial"/>
                <w:color w:val="FF0000"/>
                <w:spacing w:val="-1"/>
                <w:sz w:val="20"/>
                <w:szCs w:val="20"/>
                <w:lang w:val="pt-PT" w:eastAsia="pt-BR"/>
              </w:rPr>
              <w:t>de</w:t>
            </w:r>
            <w:r w:rsidRPr="00C74046">
              <w:rPr>
                <w:rFonts w:ascii="Arial" w:eastAsia="Times New Roman" w:hAnsi="Arial" w:cs="Arial"/>
                <w:color w:val="FF0000"/>
                <w:spacing w:val="-13"/>
                <w:sz w:val="20"/>
                <w:szCs w:val="20"/>
                <w:lang w:val="pt-PT" w:eastAsia="pt-BR"/>
              </w:rPr>
              <w:t> </w:t>
            </w:r>
            <w:r w:rsidRPr="00C74046">
              <w:rPr>
                <w:rFonts w:ascii="Arial" w:eastAsia="Times New Roman" w:hAnsi="Arial" w:cs="Arial"/>
                <w:color w:val="FF0000"/>
                <w:spacing w:val="-1"/>
                <w:sz w:val="20"/>
                <w:szCs w:val="20"/>
                <w:lang w:val="pt-PT" w:eastAsia="pt-BR"/>
              </w:rPr>
              <w:t>Normas</w:t>
            </w:r>
            <w:r w:rsidRPr="00C74046">
              <w:rPr>
                <w:rFonts w:ascii="Arial" w:eastAsia="Times New Roman" w:hAnsi="Arial" w:cs="Arial"/>
                <w:color w:val="FF0000"/>
                <w:spacing w:val="3"/>
                <w:sz w:val="20"/>
                <w:szCs w:val="20"/>
                <w:lang w:val="pt-PT" w:eastAsia="pt-BR"/>
              </w:rPr>
              <w:t> </w:t>
            </w:r>
            <w:r w:rsidRPr="00C74046">
              <w:rPr>
                <w:rFonts w:ascii="Arial" w:eastAsia="Times New Roman" w:hAnsi="Arial" w:cs="Arial"/>
                <w:color w:val="FF0000"/>
                <w:spacing w:val="-1"/>
                <w:sz w:val="20"/>
                <w:szCs w:val="20"/>
                <w:lang w:val="pt-PT" w:eastAsia="pt-BR"/>
              </w:rPr>
              <w:t>compete:</w:t>
            </w:r>
          </w:p>
          <w:p w14:paraId="16199573"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t xml:space="preserve">I - </w:t>
            </w:r>
            <w:proofErr w:type="gramStart"/>
            <w:r w:rsidRPr="00C74046">
              <w:rPr>
                <w:rFonts w:ascii="Arial" w:eastAsia="Times New Roman" w:hAnsi="Arial" w:cs="Arial"/>
                <w:color w:val="FF0000"/>
                <w:sz w:val="20"/>
                <w:szCs w:val="20"/>
                <w:lang w:val="pt-PT" w:eastAsia="pt-BR"/>
              </w:rPr>
              <w:t>propor</w:t>
            </w:r>
            <w:proofErr w:type="gramEnd"/>
            <w:r w:rsidRPr="00C74046">
              <w:rPr>
                <w:rFonts w:ascii="Arial" w:eastAsia="Times New Roman" w:hAnsi="Arial" w:cs="Arial"/>
                <w:color w:val="FF0000"/>
                <w:sz w:val="20"/>
                <w:szCs w:val="20"/>
                <w:lang w:val="pt-PT" w:eastAsia="pt-BR"/>
              </w:rPr>
              <w:t>, para apreciação da Diretoria Colegiada, minutas de atos normativos de sua competência;</w:t>
            </w:r>
          </w:p>
          <w:p w14:paraId="6E872B73"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t>II - estabelecer procedimentos para a aplicação das normas relativas à sua área de competência, de acordo com as diretrizes do Conselho Nacional de Previdência Complementar ou do Conselho Monetário Nacional;</w:t>
            </w:r>
          </w:p>
          <w:p w14:paraId="529AD057"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t>III - proceder à análise de consultas de entidades fechadas de previdência complementar e de consultas internas no âmbito de sua competência;</w:t>
            </w:r>
          </w:p>
          <w:p w14:paraId="1837734C"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t>IV - propor à Diretoria Colegiada atividades de orientação técnica;</w:t>
            </w:r>
          </w:p>
          <w:p w14:paraId="224EEE59"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t xml:space="preserve">V - </w:t>
            </w:r>
            <w:proofErr w:type="gramStart"/>
            <w:r w:rsidRPr="00C74046">
              <w:rPr>
                <w:rFonts w:ascii="Arial" w:eastAsia="Times New Roman" w:hAnsi="Arial" w:cs="Arial"/>
                <w:color w:val="FF0000"/>
                <w:sz w:val="20"/>
                <w:szCs w:val="20"/>
                <w:lang w:val="pt-PT" w:eastAsia="pt-BR"/>
              </w:rPr>
              <w:t>coordenar</w:t>
            </w:r>
            <w:proofErr w:type="gramEnd"/>
            <w:r w:rsidRPr="00C74046">
              <w:rPr>
                <w:rFonts w:ascii="Arial" w:eastAsia="Times New Roman" w:hAnsi="Arial" w:cs="Arial"/>
                <w:color w:val="FF0000"/>
                <w:sz w:val="20"/>
                <w:szCs w:val="20"/>
                <w:lang w:val="pt-PT" w:eastAsia="pt-BR"/>
              </w:rPr>
              <w:t xml:space="preserve"> as ações de educação </w:t>
            </w:r>
            <w:proofErr w:type="spellStart"/>
            <w:r w:rsidRPr="00C74046">
              <w:rPr>
                <w:rFonts w:ascii="Arial" w:eastAsia="Times New Roman" w:hAnsi="Arial" w:cs="Arial"/>
                <w:color w:val="FF0000"/>
                <w:sz w:val="20"/>
                <w:szCs w:val="20"/>
                <w:lang w:val="pt-PT" w:eastAsia="pt-BR"/>
              </w:rPr>
              <w:t>ﬁnanceira</w:t>
            </w:r>
            <w:proofErr w:type="spellEnd"/>
            <w:r w:rsidRPr="00C74046">
              <w:rPr>
                <w:rFonts w:ascii="Arial" w:eastAsia="Times New Roman" w:hAnsi="Arial" w:cs="Arial"/>
                <w:color w:val="FF0000"/>
                <w:sz w:val="20"/>
                <w:szCs w:val="20"/>
                <w:lang w:val="pt-PT" w:eastAsia="pt-BR"/>
              </w:rPr>
              <w:t xml:space="preserve"> e previdenciária no âmbito da </w:t>
            </w:r>
            <w:proofErr w:type="spellStart"/>
            <w:r w:rsidRPr="00C74046">
              <w:rPr>
                <w:rFonts w:ascii="Arial" w:eastAsia="Times New Roman" w:hAnsi="Arial" w:cs="Arial"/>
                <w:color w:val="FF0000"/>
                <w:sz w:val="20"/>
                <w:szCs w:val="20"/>
                <w:lang w:val="pt-PT" w:eastAsia="pt-BR"/>
              </w:rPr>
              <w:t>Previc</w:t>
            </w:r>
            <w:proofErr w:type="spellEnd"/>
            <w:r w:rsidRPr="00C74046">
              <w:rPr>
                <w:rFonts w:ascii="Arial" w:eastAsia="Times New Roman" w:hAnsi="Arial" w:cs="Arial"/>
                <w:color w:val="FF0000"/>
                <w:sz w:val="20"/>
                <w:szCs w:val="20"/>
                <w:lang w:val="pt-PT" w:eastAsia="pt-BR"/>
              </w:rPr>
              <w:t>; e</w:t>
            </w:r>
          </w:p>
          <w:p w14:paraId="491A879A" w14:textId="77777777" w:rsidR="00C74046" w:rsidRPr="00C74046" w:rsidRDefault="00C74046" w:rsidP="00C74046">
            <w:pPr>
              <w:spacing w:before="225" w:after="225"/>
              <w:ind w:firstLine="570"/>
              <w:jc w:val="both"/>
              <w:rPr>
                <w:rFonts w:ascii="Arial" w:eastAsia="Times New Roman" w:hAnsi="Arial" w:cs="Arial"/>
                <w:color w:val="FF0000"/>
                <w:sz w:val="24"/>
                <w:szCs w:val="24"/>
                <w:lang w:eastAsia="pt-BR"/>
              </w:rPr>
            </w:pPr>
            <w:r w:rsidRPr="00C74046">
              <w:rPr>
                <w:rFonts w:ascii="Arial" w:eastAsia="Times New Roman" w:hAnsi="Arial" w:cs="Arial"/>
                <w:color w:val="FF0000"/>
                <w:sz w:val="20"/>
                <w:szCs w:val="20"/>
                <w:lang w:val="pt-PT" w:eastAsia="pt-BR"/>
              </w:rPr>
              <w:lastRenderedPageBreak/>
              <w:t>VI - elaborar estudos e pesquisas nas áreas relativas ao regime de previdência operado pelas entidades fechadas de previdência complementar.</w:t>
            </w:r>
          </w:p>
          <w:p w14:paraId="43485701" w14:textId="77777777" w:rsidR="00C74046" w:rsidRPr="00DC28D3" w:rsidRDefault="00C74046" w:rsidP="001839A7">
            <w:pPr>
              <w:rPr>
                <w:rFonts w:ascii="Calibri" w:eastAsia="Times New Roman" w:hAnsi="Calibri" w:cs="Calibri"/>
                <w:sz w:val="24"/>
                <w:szCs w:val="24"/>
                <w:lang w:eastAsia="pt-BR"/>
              </w:rPr>
            </w:pPr>
          </w:p>
        </w:tc>
      </w:tr>
      <w:tr w:rsidR="001839A7" w:rsidRPr="00DC28D3" w14:paraId="0D6429E4" w14:textId="77777777" w:rsidTr="091F0907">
        <w:trPr>
          <w:trHeight w:val="350"/>
        </w:trPr>
        <w:tc>
          <w:tcPr>
            <w:tcW w:w="5949" w:type="dxa"/>
            <w:noWrap/>
            <w:hideMark/>
          </w:tcPr>
          <w:p w14:paraId="502D475F"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lastRenderedPageBreak/>
              <w:t>CAPÍTULO II</w:t>
            </w:r>
          </w:p>
        </w:tc>
        <w:tc>
          <w:tcPr>
            <w:tcW w:w="5670" w:type="dxa"/>
            <w:noWrap/>
            <w:hideMark/>
          </w:tcPr>
          <w:p w14:paraId="7417F667" w14:textId="7EBDEAD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Subseção II</w:t>
            </w:r>
          </w:p>
        </w:tc>
        <w:tc>
          <w:tcPr>
            <w:tcW w:w="3194" w:type="dxa"/>
            <w:noWrap/>
            <w:hideMark/>
          </w:tcPr>
          <w:p w14:paraId="5654C707" w14:textId="2091CFB1" w:rsidR="001839A7" w:rsidRPr="00DC28D3" w:rsidRDefault="001839A7" w:rsidP="001839A7">
            <w:pPr>
              <w:rPr>
                <w:rFonts w:ascii="Calibri" w:eastAsia="Times New Roman" w:hAnsi="Calibri" w:cs="Calibri"/>
                <w:sz w:val="24"/>
                <w:szCs w:val="24"/>
                <w:lang w:eastAsia="pt-BR"/>
              </w:rPr>
            </w:pPr>
          </w:p>
        </w:tc>
      </w:tr>
      <w:tr w:rsidR="001839A7" w:rsidRPr="00DC28D3" w14:paraId="556AECCE" w14:textId="77777777" w:rsidTr="091F0907">
        <w:trPr>
          <w:trHeight w:val="344"/>
        </w:trPr>
        <w:tc>
          <w:tcPr>
            <w:tcW w:w="5949" w:type="dxa"/>
            <w:noWrap/>
            <w:hideMark/>
          </w:tcPr>
          <w:p w14:paraId="56A7DB34"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INSTRUÇÃO DA CONSULTA</w:t>
            </w:r>
          </w:p>
        </w:tc>
        <w:tc>
          <w:tcPr>
            <w:tcW w:w="5670" w:type="dxa"/>
            <w:noWrap/>
            <w:hideMark/>
          </w:tcPr>
          <w:p w14:paraId="00914FC2" w14:textId="4B3467BA"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Instrução da consulta</w:t>
            </w:r>
          </w:p>
        </w:tc>
        <w:tc>
          <w:tcPr>
            <w:tcW w:w="3194" w:type="dxa"/>
            <w:noWrap/>
            <w:hideMark/>
          </w:tcPr>
          <w:p w14:paraId="61AD6E3C" w14:textId="14D98DD3" w:rsidR="001839A7" w:rsidRPr="00DC28D3" w:rsidRDefault="001839A7" w:rsidP="001839A7">
            <w:pPr>
              <w:rPr>
                <w:rFonts w:ascii="Calibri" w:eastAsia="Times New Roman" w:hAnsi="Calibri" w:cs="Calibri"/>
                <w:sz w:val="24"/>
                <w:szCs w:val="24"/>
                <w:lang w:eastAsia="pt-BR"/>
              </w:rPr>
            </w:pPr>
          </w:p>
        </w:tc>
      </w:tr>
      <w:tr w:rsidR="001839A7" w:rsidRPr="00DC28D3" w14:paraId="611CC54C" w14:textId="77777777" w:rsidTr="091F0907">
        <w:trPr>
          <w:trHeight w:val="428"/>
        </w:trPr>
        <w:tc>
          <w:tcPr>
            <w:tcW w:w="5949" w:type="dxa"/>
            <w:noWrap/>
            <w:hideMark/>
          </w:tcPr>
          <w:p w14:paraId="020B8D8E"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3º A formulação da consulta pela EFPC deve conter:</w:t>
            </w:r>
          </w:p>
        </w:tc>
        <w:tc>
          <w:tcPr>
            <w:tcW w:w="5670" w:type="dxa"/>
            <w:noWrap/>
            <w:hideMark/>
          </w:tcPr>
          <w:p w14:paraId="10423796" w14:textId="730A54E0"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803. A formulação da consulta pela EFPC deve conter:</w:t>
            </w:r>
          </w:p>
        </w:tc>
        <w:tc>
          <w:tcPr>
            <w:tcW w:w="3194" w:type="dxa"/>
            <w:noWrap/>
            <w:hideMark/>
          </w:tcPr>
          <w:p w14:paraId="575B3568" w14:textId="6000E22D"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498AB59" w14:textId="77777777" w:rsidTr="091F0907">
        <w:trPr>
          <w:trHeight w:val="715"/>
        </w:trPr>
        <w:tc>
          <w:tcPr>
            <w:tcW w:w="5949" w:type="dxa"/>
            <w:noWrap/>
            <w:hideMark/>
          </w:tcPr>
          <w:p w14:paraId="27C9F1BE" w14:textId="243507D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identificação da EFPC ou do plano de benefícios objeto da consulta;</w:t>
            </w:r>
          </w:p>
        </w:tc>
        <w:tc>
          <w:tcPr>
            <w:tcW w:w="5670" w:type="dxa"/>
            <w:noWrap/>
            <w:hideMark/>
          </w:tcPr>
          <w:p w14:paraId="094BC68A" w14:textId="53B0744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identificação da EFPC ou do plano de benefícios objeto da consulta;</w:t>
            </w:r>
          </w:p>
        </w:tc>
        <w:tc>
          <w:tcPr>
            <w:tcW w:w="3194" w:type="dxa"/>
            <w:noWrap/>
            <w:hideMark/>
          </w:tcPr>
          <w:p w14:paraId="3B0C5EAB" w14:textId="1CF1CCCA"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28AC0A0" w14:textId="77777777" w:rsidTr="091F0907">
        <w:trPr>
          <w:trHeight w:val="1050"/>
        </w:trPr>
        <w:tc>
          <w:tcPr>
            <w:tcW w:w="5949" w:type="dxa"/>
            <w:noWrap/>
            <w:hideMark/>
          </w:tcPr>
          <w:p w14:paraId="4FF25E61" w14:textId="74CC941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 - indicação do objeto da consulta, dentre as matérias relacionadas no art. 2º, bem como a indicação dos dispositivos legais e normativos pertinentes;</w:t>
            </w:r>
          </w:p>
        </w:tc>
        <w:tc>
          <w:tcPr>
            <w:tcW w:w="5670" w:type="dxa"/>
            <w:noWrap/>
            <w:hideMark/>
          </w:tcPr>
          <w:p w14:paraId="201BA268" w14:textId="44460DD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 - indicação do objeto da consulta, dentre as matérias relacionadas no </w:t>
            </w:r>
            <w:r w:rsidRPr="000644BA">
              <w:rPr>
                <w:rFonts w:ascii="Calibri" w:eastAsia="Times New Roman" w:hAnsi="Calibri" w:cs="Calibri"/>
                <w:color w:val="162937"/>
                <w:sz w:val="24"/>
                <w:szCs w:val="24"/>
                <w:highlight w:val="yellow"/>
                <w:lang w:eastAsia="pt-BR"/>
              </w:rPr>
              <w:t>art. 802</w:t>
            </w:r>
            <w:r w:rsidRPr="00DC28D3">
              <w:rPr>
                <w:rFonts w:ascii="Calibri" w:eastAsia="Times New Roman" w:hAnsi="Calibri" w:cs="Calibri"/>
                <w:color w:val="162937"/>
                <w:sz w:val="24"/>
                <w:szCs w:val="24"/>
                <w:lang w:eastAsia="pt-BR"/>
              </w:rPr>
              <w:t>, bem como a indicação dos dispositivos legais e normativos pertinentes;</w:t>
            </w:r>
          </w:p>
        </w:tc>
        <w:tc>
          <w:tcPr>
            <w:tcW w:w="3194" w:type="dxa"/>
            <w:noWrap/>
            <w:hideMark/>
          </w:tcPr>
          <w:p w14:paraId="5F322A39" w14:textId="034A1F34"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6AD5F67" w14:textId="77777777" w:rsidTr="091F0907">
        <w:trPr>
          <w:trHeight w:val="1400"/>
        </w:trPr>
        <w:tc>
          <w:tcPr>
            <w:tcW w:w="5949" w:type="dxa"/>
            <w:noWrap/>
            <w:hideMark/>
          </w:tcPr>
          <w:p w14:paraId="400C6D87" w14:textId="45E63506"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III - formulação do questionamento de forma clara e precisa, expresso sob a forma de quesitos, com indicação objetiva dos procedimentos, conceitos ou dispositivos normativos sobre os quais há dúvida; e</w:t>
            </w:r>
          </w:p>
        </w:tc>
        <w:tc>
          <w:tcPr>
            <w:tcW w:w="5670" w:type="dxa"/>
            <w:noWrap/>
            <w:hideMark/>
          </w:tcPr>
          <w:p w14:paraId="37D29EBF" w14:textId="47EEDAB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III - formulação do questionamento de forma clara e precisa, expresso sob a forma de quesitos, com indicação objetiva dos procedimentos, conceitos ou dispositivos normativos sobre os quais há dúvida; e</w:t>
            </w:r>
          </w:p>
        </w:tc>
        <w:tc>
          <w:tcPr>
            <w:tcW w:w="3194" w:type="dxa"/>
            <w:noWrap/>
            <w:hideMark/>
          </w:tcPr>
          <w:p w14:paraId="2620E2E6" w14:textId="4D9BBBBF"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CB8041E" w14:textId="77777777" w:rsidTr="091F0907">
        <w:trPr>
          <w:trHeight w:val="350"/>
        </w:trPr>
        <w:tc>
          <w:tcPr>
            <w:tcW w:w="5949" w:type="dxa"/>
            <w:noWrap/>
            <w:hideMark/>
          </w:tcPr>
          <w:p w14:paraId="5431E80E" w14:textId="159F3BB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IV - entendimento da EFPC sobre a matéria.</w:t>
            </w:r>
          </w:p>
        </w:tc>
        <w:tc>
          <w:tcPr>
            <w:tcW w:w="5670" w:type="dxa"/>
            <w:noWrap/>
            <w:hideMark/>
          </w:tcPr>
          <w:p w14:paraId="19A041AC" w14:textId="382C74B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IV - entendimento da EFPC sobre a matéria.</w:t>
            </w:r>
          </w:p>
        </w:tc>
        <w:tc>
          <w:tcPr>
            <w:tcW w:w="3194" w:type="dxa"/>
            <w:noWrap/>
            <w:hideMark/>
          </w:tcPr>
          <w:p w14:paraId="34041C22" w14:textId="160A998B"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AC5E74B" w14:textId="77777777" w:rsidTr="091F0907">
        <w:trPr>
          <w:trHeight w:val="1050"/>
        </w:trPr>
        <w:tc>
          <w:tcPr>
            <w:tcW w:w="5949" w:type="dxa"/>
            <w:noWrap/>
            <w:hideMark/>
          </w:tcPr>
          <w:p w14:paraId="5A82BC7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A consulta deve ser instruída com todas as informações e documentos necessários à completa compreensão da matéria.</w:t>
            </w:r>
          </w:p>
        </w:tc>
        <w:tc>
          <w:tcPr>
            <w:tcW w:w="5670" w:type="dxa"/>
            <w:noWrap/>
            <w:hideMark/>
          </w:tcPr>
          <w:p w14:paraId="64857C65" w14:textId="79E0791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A consulta deve ser instruída com todas as informações e documentos necessários à completa compreensão da matéria.</w:t>
            </w:r>
          </w:p>
        </w:tc>
        <w:tc>
          <w:tcPr>
            <w:tcW w:w="3194" w:type="dxa"/>
            <w:noWrap/>
            <w:hideMark/>
          </w:tcPr>
          <w:p w14:paraId="700213FE" w14:textId="2FB12BE2"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A5C07E0" w14:textId="77777777" w:rsidTr="091F0907">
        <w:trPr>
          <w:trHeight w:val="350"/>
        </w:trPr>
        <w:tc>
          <w:tcPr>
            <w:tcW w:w="5949" w:type="dxa"/>
            <w:noWrap/>
            <w:hideMark/>
          </w:tcPr>
          <w:p w14:paraId="3546F101"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4º Não se conhece a consulta:</w:t>
            </w:r>
          </w:p>
        </w:tc>
        <w:tc>
          <w:tcPr>
            <w:tcW w:w="5670" w:type="dxa"/>
            <w:noWrap/>
            <w:hideMark/>
          </w:tcPr>
          <w:p w14:paraId="7D987526" w14:textId="5FEFDCFD"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804. Não se conhece a consulta:</w:t>
            </w:r>
          </w:p>
        </w:tc>
        <w:tc>
          <w:tcPr>
            <w:tcW w:w="3194" w:type="dxa"/>
            <w:noWrap/>
            <w:hideMark/>
          </w:tcPr>
          <w:p w14:paraId="5CD31F13" w14:textId="3AED546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012F81C" w14:textId="77777777" w:rsidTr="091F0907">
        <w:trPr>
          <w:trHeight w:val="462"/>
        </w:trPr>
        <w:tc>
          <w:tcPr>
            <w:tcW w:w="5949" w:type="dxa"/>
            <w:noWrap/>
            <w:hideMark/>
          </w:tcPr>
          <w:p w14:paraId="27A6EC66" w14:textId="197B647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sem a observância do disposto no art. 3º;</w:t>
            </w:r>
          </w:p>
        </w:tc>
        <w:tc>
          <w:tcPr>
            <w:tcW w:w="5670" w:type="dxa"/>
            <w:noWrap/>
            <w:hideMark/>
          </w:tcPr>
          <w:p w14:paraId="49C7DE98" w14:textId="6D94587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 - sem a observância do disposto no </w:t>
            </w:r>
            <w:r w:rsidRPr="000644BA">
              <w:rPr>
                <w:rFonts w:ascii="Calibri" w:eastAsia="Times New Roman" w:hAnsi="Calibri" w:cs="Calibri"/>
                <w:color w:val="162937"/>
                <w:sz w:val="24"/>
                <w:szCs w:val="24"/>
                <w:highlight w:val="yellow"/>
                <w:lang w:eastAsia="pt-BR"/>
              </w:rPr>
              <w:t>art. 803;</w:t>
            </w:r>
          </w:p>
        </w:tc>
        <w:tc>
          <w:tcPr>
            <w:tcW w:w="3194" w:type="dxa"/>
            <w:noWrap/>
            <w:hideMark/>
          </w:tcPr>
          <w:p w14:paraId="13B34962" w14:textId="3DCB719F"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217DC25" w14:textId="77777777" w:rsidTr="091F0907">
        <w:trPr>
          <w:trHeight w:val="1400"/>
        </w:trPr>
        <w:tc>
          <w:tcPr>
            <w:tcW w:w="5949" w:type="dxa"/>
            <w:noWrap/>
            <w:hideMark/>
          </w:tcPr>
          <w:p w14:paraId="52C53D43" w14:textId="1D11C73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 - que tenha sido objeto de manifestação anterior por parte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ou do Ministério do Trabalho e Previdência, proferida em procedimento administrativo no qual tenha tomado parte a EFPC;</w:t>
            </w:r>
          </w:p>
        </w:tc>
        <w:tc>
          <w:tcPr>
            <w:tcW w:w="5670" w:type="dxa"/>
            <w:noWrap/>
            <w:hideMark/>
          </w:tcPr>
          <w:p w14:paraId="73CC0D2D" w14:textId="35A9D54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 - que tenha sido objeto de manifestação anterior por parte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ou do Ministério do Trabalho e Previdência, proferida em procedimento administrativo no qual tenha tomado parte a EFPC;</w:t>
            </w:r>
          </w:p>
        </w:tc>
        <w:tc>
          <w:tcPr>
            <w:tcW w:w="3194" w:type="dxa"/>
            <w:noWrap/>
            <w:hideMark/>
          </w:tcPr>
          <w:p w14:paraId="76226F61" w14:textId="40D2ACD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6E9B0AD" w14:textId="77777777" w:rsidTr="091F0907">
        <w:trPr>
          <w:trHeight w:val="1050"/>
        </w:trPr>
        <w:tc>
          <w:tcPr>
            <w:tcW w:w="5949" w:type="dxa"/>
            <w:noWrap/>
            <w:hideMark/>
          </w:tcPr>
          <w:p w14:paraId="08652D52" w14:textId="0A53289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III - que tenha sido ou venha a ser, no decurso do processo de sua análise, objeto de manifestação tornada pública por parte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5670" w:type="dxa"/>
            <w:noWrap/>
            <w:hideMark/>
          </w:tcPr>
          <w:p w14:paraId="2C8846E8" w14:textId="4F67930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III - que tenha sido ou venha a ser, no decurso do processo de sua análise, objeto de manifestação tornada pública por parte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3194" w:type="dxa"/>
            <w:noWrap/>
            <w:hideMark/>
          </w:tcPr>
          <w:p w14:paraId="0314FAE4" w14:textId="6D3C8F69"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7B61D1A7" w14:textId="77777777" w:rsidTr="091F0907">
        <w:trPr>
          <w:trHeight w:val="350"/>
        </w:trPr>
        <w:tc>
          <w:tcPr>
            <w:tcW w:w="5949" w:type="dxa"/>
            <w:noWrap/>
            <w:hideMark/>
          </w:tcPr>
          <w:p w14:paraId="5E2BD15D" w14:textId="08D7FBD4"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IV - relativa a ato de gestão de responsabilidade da EFPC;</w:t>
            </w:r>
          </w:p>
        </w:tc>
        <w:tc>
          <w:tcPr>
            <w:tcW w:w="5670" w:type="dxa"/>
            <w:noWrap/>
            <w:hideMark/>
          </w:tcPr>
          <w:p w14:paraId="520BB892" w14:textId="5380610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IV - relativa a ato de gestão de responsabilidade da EFPC;</w:t>
            </w:r>
          </w:p>
        </w:tc>
        <w:tc>
          <w:tcPr>
            <w:tcW w:w="3194" w:type="dxa"/>
            <w:noWrap/>
            <w:hideMark/>
          </w:tcPr>
          <w:p w14:paraId="26B4A670" w14:textId="45163DC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71251589" w14:textId="77777777" w:rsidTr="091F0907">
        <w:trPr>
          <w:trHeight w:val="1050"/>
        </w:trPr>
        <w:tc>
          <w:tcPr>
            <w:tcW w:w="5949" w:type="dxa"/>
            <w:noWrap/>
            <w:hideMark/>
          </w:tcPr>
          <w:p w14:paraId="72B4F1FF" w14:textId="60E4986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V - que caracterize pleito de autorização para execução de procedimento pela EFPC em relação ao qual a legislação não exija prévia autorização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5670" w:type="dxa"/>
            <w:noWrap/>
            <w:hideMark/>
          </w:tcPr>
          <w:p w14:paraId="22B4A712" w14:textId="7F169863"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V - que caracterize pleito de autorização para execução de procedimento pela EFPC em relação ao qual a legislação não exija prévia autorização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3194" w:type="dxa"/>
            <w:noWrap/>
            <w:hideMark/>
          </w:tcPr>
          <w:p w14:paraId="077A1284" w14:textId="014C79A6"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8D849BB" w14:textId="77777777" w:rsidTr="091F0907">
        <w:trPr>
          <w:trHeight w:val="700"/>
        </w:trPr>
        <w:tc>
          <w:tcPr>
            <w:tcW w:w="5949" w:type="dxa"/>
            <w:noWrap/>
            <w:hideMark/>
          </w:tcPr>
          <w:p w14:paraId="36B822D4" w14:textId="04DBA56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VI - que verse sobre a constitucionalidade de lei ou outro ato normativo;</w:t>
            </w:r>
          </w:p>
        </w:tc>
        <w:tc>
          <w:tcPr>
            <w:tcW w:w="5670" w:type="dxa"/>
            <w:noWrap/>
            <w:hideMark/>
          </w:tcPr>
          <w:p w14:paraId="511CF4CF" w14:textId="20E1082D"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VI - que verse sobre a constitucionalidade de lei ou outro ato normativo;</w:t>
            </w:r>
          </w:p>
        </w:tc>
        <w:tc>
          <w:tcPr>
            <w:tcW w:w="3194" w:type="dxa"/>
            <w:noWrap/>
            <w:hideMark/>
          </w:tcPr>
          <w:p w14:paraId="5EE88236" w14:textId="6DE388EE"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793FBD4A" w14:textId="77777777" w:rsidTr="091F0907">
        <w:trPr>
          <w:trHeight w:val="1050"/>
        </w:trPr>
        <w:tc>
          <w:tcPr>
            <w:tcW w:w="5949" w:type="dxa"/>
            <w:noWrap/>
            <w:hideMark/>
          </w:tcPr>
          <w:p w14:paraId="3C9144EE" w14:textId="3368E48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VII - cujo objeto venha a ser disciplinado por ato normativo editado depois de sua formulação, hipótese em que, se a EFPC entender necessário, poderá encaminhar nova consulta;</w:t>
            </w:r>
          </w:p>
        </w:tc>
        <w:tc>
          <w:tcPr>
            <w:tcW w:w="5670" w:type="dxa"/>
            <w:noWrap/>
            <w:hideMark/>
          </w:tcPr>
          <w:p w14:paraId="2C0E2891" w14:textId="740363B6"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VII - cujo objeto venha a ser disciplinado por ato normativo editado depois de sua formulação, hipótese em que, se a EFPC entender necessário, poderá encaminhar nova consulta;</w:t>
            </w:r>
          </w:p>
        </w:tc>
        <w:tc>
          <w:tcPr>
            <w:tcW w:w="3194" w:type="dxa"/>
            <w:noWrap/>
            <w:hideMark/>
          </w:tcPr>
          <w:p w14:paraId="36370ECE" w14:textId="4D08F212"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87D4B1D" w14:textId="77777777" w:rsidTr="091F0907">
        <w:trPr>
          <w:trHeight w:val="1050"/>
        </w:trPr>
        <w:tc>
          <w:tcPr>
            <w:tcW w:w="5949" w:type="dxa"/>
            <w:noWrap/>
            <w:hideMark/>
          </w:tcPr>
          <w:p w14:paraId="1D4DB287" w14:textId="62E7B54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VIII - que trate de fato objeto de processo administrativo pendente de decisão definitiva no âmbito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do qual a EFPC seja parte;</w:t>
            </w:r>
          </w:p>
        </w:tc>
        <w:tc>
          <w:tcPr>
            <w:tcW w:w="5670" w:type="dxa"/>
            <w:noWrap/>
            <w:hideMark/>
          </w:tcPr>
          <w:p w14:paraId="48C69539" w14:textId="4115344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VIII - que trate de fato objeto de processo administrativo pendente de decisão definitiva no âmbito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do qual a EFPC seja parte;</w:t>
            </w:r>
          </w:p>
        </w:tc>
        <w:tc>
          <w:tcPr>
            <w:tcW w:w="3194" w:type="dxa"/>
            <w:noWrap/>
            <w:hideMark/>
          </w:tcPr>
          <w:p w14:paraId="05577DAF" w14:textId="6B3B7939"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4ABF670" w14:textId="77777777" w:rsidTr="091F0907">
        <w:trPr>
          <w:trHeight w:val="700"/>
        </w:trPr>
        <w:tc>
          <w:tcPr>
            <w:tcW w:w="5949" w:type="dxa"/>
            <w:noWrap/>
            <w:hideMark/>
          </w:tcPr>
          <w:p w14:paraId="49B75547" w14:textId="6107394C"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IX - formulada sobre direito em tese, com referência </w:t>
            </w:r>
            <w:proofErr w:type="spellStart"/>
            <w:r w:rsidRPr="00DC28D3">
              <w:rPr>
                <w:rFonts w:ascii="Calibri" w:eastAsia="Times New Roman" w:hAnsi="Calibri" w:cs="Calibri"/>
                <w:color w:val="162937"/>
                <w:sz w:val="24"/>
                <w:szCs w:val="24"/>
                <w:lang w:eastAsia="pt-BR"/>
              </w:rPr>
              <w:t>a</w:t>
            </w:r>
            <w:proofErr w:type="spellEnd"/>
            <w:r w:rsidRPr="00DC28D3">
              <w:rPr>
                <w:rFonts w:ascii="Calibri" w:eastAsia="Times New Roman" w:hAnsi="Calibri" w:cs="Calibri"/>
                <w:color w:val="162937"/>
                <w:sz w:val="24"/>
                <w:szCs w:val="24"/>
                <w:lang w:eastAsia="pt-BR"/>
              </w:rPr>
              <w:t xml:space="preserve"> fato genérico; ou</w:t>
            </w:r>
          </w:p>
        </w:tc>
        <w:tc>
          <w:tcPr>
            <w:tcW w:w="5670" w:type="dxa"/>
            <w:noWrap/>
            <w:hideMark/>
          </w:tcPr>
          <w:p w14:paraId="194F520C" w14:textId="65827442"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IX - formulada sobre direito em tese, com referência </w:t>
            </w:r>
            <w:proofErr w:type="spellStart"/>
            <w:r w:rsidRPr="00DC28D3">
              <w:rPr>
                <w:rFonts w:ascii="Calibri" w:eastAsia="Times New Roman" w:hAnsi="Calibri" w:cs="Calibri"/>
                <w:color w:val="162937"/>
                <w:sz w:val="24"/>
                <w:szCs w:val="24"/>
                <w:lang w:eastAsia="pt-BR"/>
              </w:rPr>
              <w:t>a</w:t>
            </w:r>
            <w:proofErr w:type="spellEnd"/>
            <w:r w:rsidRPr="00DC28D3">
              <w:rPr>
                <w:rFonts w:ascii="Calibri" w:eastAsia="Times New Roman" w:hAnsi="Calibri" w:cs="Calibri"/>
                <w:color w:val="162937"/>
                <w:sz w:val="24"/>
                <w:szCs w:val="24"/>
                <w:lang w:eastAsia="pt-BR"/>
              </w:rPr>
              <w:t xml:space="preserve"> fato genérico; ou</w:t>
            </w:r>
          </w:p>
        </w:tc>
        <w:tc>
          <w:tcPr>
            <w:tcW w:w="3194" w:type="dxa"/>
            <w:noWrap/>
            <w:hideMark/>
          </w:tcPr>
          <w:p w14:paraId="130B5441" w14:textId="63A673FE"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E02CC1F" w14:textId="77777777" w:rsidTr="091F0907">
        <w:trPr>
          <w:trHeight w:val="773"/>
        </w:trPr>
        <w:tc>
          <w:tcPr>
            <w:tcW w:w="5949" w:type="dxa"/>
            <w:noWrap/>
            <w:hideMark/>
          </w:tcPr>
          <w:p w14:paraId="441A02B3" w14:textId="19DA1380"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X - com a identificação dos emissores dos ativos, no caso de consulta relativa a investimentos.</w:t>
            </w:r>
          </w:p>
        </w:tc>
        <w:tc>
          <w:tcPr>
            <w:tcW w:w="5670" w:type="dxa"/>
            <w:noWrap/>
            <w:hideMark/>
          </w:tcPr>
          <w:p w14:paraId="34E668F7" w14:textId="58B2EF3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X - com a identificação dos emissores dos ativos, no caso de consulta relativa a investimentos.</w:t>
            </w:r>
          </w:p>
        </w:tc>
        <w:tc>
          <w:tcPr>
            <w:tcW w:w="3194" w:type="dxa"/>
            <w:noWrap/>
            <w:hideMark/>
          </w:tcPr>
          <w:p w14:paraId="0655A0B4" w14:textId="4E775E8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985581F" w14:textId="77777777" w:rsidTr="091F0907">
        <w:trPr>
          <w:trHeight w:val="700"/>
        </w:trPr>
        <w:tc>
          <w:tcPr>
            <w:tcW w:w="5949" w:type="dxa"/>
            <w:noWrap/>
            <w:hideMark/>
          </w:tcPr>
          <w:p w14:paraId="6C5D739C"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1º A EFPC pode ser intimada a apresentar informações ou documentos adicionais necessários à apreciação da consulta.</w:t>
            </w:r>
          </w:p>
        </w:tc>
        <w:tc>
          <w:tcPr>
            <w:tcW w:w="5670" w:type="dxa"/>
            <w:noWrap/>
            <w:hideMark/>
          </w:tcPr>
          <w:p w14:paraId="58292A45" w14:textId="743FDBE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1º A EFPC pode ser intimada a apresentar informações ou documentos adicionais necessários à apreciação da consulta.</w:t>
            </w:r>
          </w:p>
        </w:tc>
        <w:tc>
          <w:tcPr>
            <w:tcW w:w="3194" w:type="dxa"/>
            <w:noWrap/>
            <w:hideMark/>
          </w:tcPr>
          <w:p w14:paraId="3E4789FC" w14:textId="5471426B"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A9C350C" w14:textId="77777777" w:rsidTr="091F0907">
        <w:trPr>
          <w:trHeight w:val="1050"/>
        </w:trPr>
        <w:tc>
          <w:tcPr>
            <w:tcW w:w="5949" w:type="dxa"/>
            <w:noWrap/>
            <w:hideMark/>
          </w:tcPr>
          <w:p w14:paraId="6B92735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2º Caso a intimação a que se refere o § 1º não seja atendida no prazo de quinze dias, a consulta não deve ser conhecida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5670" w:type="dxa"/>
            <w:noWrap/>
            <w:hideMark/>
          </w:tcPr>
          <w:p w14:paraId="6C603895" w14:textId="50E4C646"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2º Caso a intimação a que se </w:t>
            </w:r>
            <w:r w:rsidRPr="000644BA">
              <w:rPr>
                <w:rFonts w:ascii="Calibri" w:eastAsia="Times New Roman" w:hAnsi="Calibri" w:cs="Calibri"/>
                <w:color w:val="162937"/>
                <w:sz w:val="24"/>
                <w:szCs w:val="24"/>
                <w:highlight w:val="yellow"/>
                <w:lang w:eastAsia="pt-BR"/>
              </w:rPr>
              <w:t>refere o § 1º</w:t>
            </w:r>
            <w:r w:rsidRPr="00DC28D3">
              <w:rPr>
                <w:rFonts w:ascii="Calibri" w:eastAsia="Times New Roman" w:hAnsi="Calibri" w:cs="Calibri"/>
                <w:color w:val="162937"/>
                <w:sz w:val="24"/>
                <w:szCs w:val="24"/>
                <w:lang w:eastAsia="pt-BR"/>
              </w:rPr>
              <w:t xml:space="preserve"> não seja atendida no prazo de quinze dias, a consulta não deve ser conhecida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3194" w:type="dxa"/>
            <w:noWrap/>
            <w:hideMark/>
          </w:tcPr>
          <w:p w14:paraId="426793C1" w14:textId="180DEE9F"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AE288D8" w14:textId="77777777" w:rsidTr="091F0907">
        <w:trPr>
          <w:trHeight w:val="1050"/>
        </w:trPr>
        <w:tc>
          <w:tcPr>
            <w:tcW w:w="5949" w:type="dxa"/>
            <w:noWrap/>
            <w:hideMark/>
          </w:tcPr>
          <w:p w14:paraId="2C3766AF"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5º A EFPC pode solicitar reconsideração da decisão pelo não conhecimento da consulta, no prazo de quinze dias a partir da sua ciência.</w:t>
            </w:r>
          </w:p>
        </w:tc>
        <w:tc>
          <w:tcPr>
            <w:tcW w:w="5670" w:type="dxa"/>
            <w:noWrap/>
            <w:hideMark/>
          </w:tcPr>
          <w:p w14:paraId="646B0D08" w14:textId="0BC5779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805. A EFPC pode solicitar reconsideração da decisão pelo não conhecimento da consulta, no prazo de quinze dias a partir da sua ciência.</w:t>
            </w:r>
          </w:p>
        </w:tc>
        <w:tc>
          <w:tcPr>
            <w:tcW w:w="3194" w:type="dxa"/>
            <w:noWrap/>
            <w:hideMark/>
          </w:tcPr>
          <w:p w14:paraId="79DFD45A" w14:textId="698804E1"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55D8FF0" w14:textId="77777777" w:rsidTr="091F0907">
        <w:trPr>
          <w:trHeight w:val="1400"/>
        </w:trPr>
        <w:tc>
          <w:tcPr>
            <w:tcW w:w="5949" w:type="dxa"/>
            <w:noWrap/>
            <w:hideMark/>
          </w:tcPr>
          <w:p w14:paraId="1B059D42"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Parágrafo único.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deve analisar o pedido de reconsideração, em caráter definitivo, no prazo de trinta dias, prorrogável por igual período, desde que devidamente motivado.</w:t>
            </w:r>
          </w:p>
        </w:tc>
        <w:tc>
          <w:tcPr>
            <w:tcW w:w="5670" w:type="dxa"/>
            <w:noWrap/>
            <w:hideMark/>
          </w:tcPr>
          <w:p w14:paraId="416EBBE0" w14:textId="0DA5359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Parágrafo único.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deve analisar o pedido de reconsideração, em caráter definitivo, no prazo de trinta dias, prorrogável por igual período, desde que devidamente motivado.</w:t>
            </w:r>
          </w:p>
        </w:tc>
        <w:tc>
          <w:tcPr>
            <w:tcW w:w="3194" w:type="dxa"/>
            <w:noWrap/>
            <w:hideMark/>
          </w:tcPr>
          <w:p w14:paraId="502A647B" w14:textId="223011A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5F08BFA" w14:textId="77777777" w:rsidTr="091F0907">
        <w:trPr>
          <w:trHeight w:val="1400"/>
        </w:trPr>
        <w:tc>
          <w:tcPr>
            <w:tcW w:w="5949" w:type="dxa"/>
            <w:noWrap/>
            <w:hideMark/>
          </w:tcPr>
          <w:p w14:paraId="7167A813"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6º A veracidade das informações e a autenticidade dos documentos apresentados na consulta constitui responsabilidade da EFPC, podendo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exigir as suas comprovações a qualquer tempo.</w:t>
            </w:r>
          </w:p>
        </w:tc>
        <w:tc>
          <w:tcPr>
            <w:tcW w:w="5670" w:type="dxa"/>
            <w:noWrap/>
            <w:hideMark/>
          </w:tcPr>
          <w:p w14:paraId="30A7E274" w14:textId="7BAE25B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806. A veracidade das informações e a autenticidade dos documentos apresentados na consulta constitui responsabilidade da EFPC, podendo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exigir as suas comprovações a qualquer tempo.</w:t>
            </w:r>
          </w:p>
        </w:tc>
        <w:tc>
          <w:tcPr>
            <w:tcW w:w="3194" w:type="dxa"/>
            <w:noWrap/>
            <w:hideMark/>
          </w:tcPr>
          <w:p w14:paraId="33A7583B" w14:textId="29219B9E"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A00B992" w14:textId="77777777" w:rsidTr="091F0907">
        <w:trPr>
          <w:trHeight w:val="1400"/>
        </w:trPr>
        <w:tc>
          <w:tcPr>
            <w:tcW w:w="5949" w:type="dxa"/>
            <w:noWrap/>
            <w:hideMark/>
          </w:tcPr>
          <w:p w14:paraId="6836C6A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7º A consulta pode ser levada ao conhecimento de terceiros com evidências de interesse em seu objeto, os quais têm quinze dias, a partir da sua ciência, para se manifestarem por escrito, podendo juntar documentos.</w:t>
            </w:r>
          </w:p>
        </w:tc>
        <w:tc>
          <w:tcPr>
            <w:tcW w:w="5670" w:type="dxa"/>
            <w:noWrap/>
            <w:hideMark/>
          </w:tcPr>
          <w:p w14:paraId="18706797" w14:textId="54A5121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807. A consulta pode ser levada ao conhecimento de terceiros com evidências de interesse em seu objeto, os quais têm quinze dias, a partir da sua ciência, para se manifestarem por escrito, podendo juntar documentos.</w:t>
            </w:r>
          </w:p>
        </w:tc>
        <w:tc>
          <w:tcPr>
            <w:tcW w:w="3194" w:type="dxa"/>
            <w:noWrap/>
            <w:hideMark/>
          </w:tcPr>
          <w:p w14:paraId="2B42BAB0" w14:textId="2E8DB10A"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6AB4E80" w14:textId="77777777" w:rsidTr="091F0907">
        <w:trPr>
          <w:trHeight w:val="700"/>
        </w:trPr>
        <w:tc>
          <w:tcPr>
            <w:tcW w:w="5949" w:type="dxa"/>
            <w:noWrap/>
            <w:hideMark/>
          </w:tcPr>
          <w:p w14:paraId="48DBE26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8º As informações constantes na consulta que não sejam relacionadas ao seu objeto devem ser desconsideradas.</w:t>
            </w:r>
          </w:p>
        </w:tc>
        <w:tc>
          <w:tcPr>
            <w:tcW w:w="5670" w:type="dxa"/>
            <w:noWrap/>
            <w:hideMark/>
          </w:tcPr>
          <w:p w14:paraId="3688F3B1" w14:textId="6DD2453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808. As informações constantes na consulta que não sejam relacionadas ao seu objeto devem ser desconsideradas.</w:t>
            </w:r>
          </w:p>
        </w:tc>
        <w:tc>
          <w:tcPr>
            <w:tcW w:w="3194" w:type="dxa"/>
            <w:noWrap/>
            <w:hideMark/>
          </w:tcPr>
          <w:p w14:paraId="3EF98D37" w14:textId="0CCD8774"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65817372" w14:textId="77777777" w:rsidTr="091F0907">
        <w:trPr>
          <w:trHeight w:val="350"/>
        </w:trPr>
        <w:tc>
          <w:tcPr>
            <w:tcW w:w="5949" w:type="dxa"/>
            <w:noWrap/>
            <w:hideMark/>
          </w:tcPr>
          <w:p w14:paraId="74EF3DF8"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CAPÍTULO III</w:t>
            </w:r>
          </w:p>
        </w:tc>
        <w:tc>
          <w:tcPr>
            <w:tcW w:w="5670" w:type="dxa"/>
            <w:noWrap/>
            <w:hideMark/>
          </w:tcPr>
          <w:p w14:paraId="19293926" w14:textId="6AF1F338"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Subseção III</w:t>
            </w:r>
          </w:p>
        </w:tc>
        <w:tc>
          <w:tcPr>
            <w:tcW w:w="3194" w:type="dxa"/>
            <w:noWrap/>
            <w:hideMark/>
          </w:tcPr>
          <w:p w14:paraId="5D822990" w14:textId="0B503F1C" w:rsidR="001839A7" w:rsidRPr="00DC28D3" w:rsidRDefault="001839A7" w:rsidP="001839A7">
            <w:pPr>
              <w:rPr>
                <w:rFonts w:ascii="Calibri" w:eastAsia="Times New Roman" w:hAnsi="Calibri" w:cs="Calibri"/>
                <w:sz w:val="24"/>
                <w:szCs w:val="24"/>
                <w:lang w:eastAsia="pt-BR"/>
              </w:rPr>
            </w:pPr>
          </w:p>
        </w:tc>
      </w:tr>
      <w:tr w:rsidR="001839A7" w:rsidRPr="00DC28D3" w14:paraId="50887AA6" w14:textId="77777777" w:rsidTr="091F0907">
        <w:trPr>
          <w:trHeight w:val="362"/>
        </w:trPr>
        <w:tc>
          <w:tcPr>
            <w:tcW w:w="5949" w:type="dxa"/>
            <w:noWrap/>
            <w:hideMark/>
          </w:tcPr>
          <w:p w14:paraId="3236B91A"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ANÁLISE E RESPOSTA DA CONSULTA</w:t>
            </w:r>
          </w:p>
        </w:tc>
        <w:tc>
          <w:tcPr>
            <w:tcW w:w="5670" w:type="dxa"/>
            <w:noWrap/>
            <w:hideMark/>
          </w:tcPr>
          <w:p w14:paraId="7867E85E" w14:textId="7F16258A"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Análise e resposta da consulta</w:t>
            </w:r>
          </w:p>
        </w:tc>
        <w:tc>
          <w:tcPr>
            <w:tcW w:w="3194" w:type="dxa"/>
            <w:noWrap/>
            <w:hideMark/>
          </w:tcPr>
          <w:p w14:paraId="454A5AC1" w14:textId="6AC7BAA5" w:rsidR="001839A7" w:rsidRPr="00DC28D3" w:rsidRDefault="001839A7" w:rsidP="001839A7">
            <w:pPr>
              <w:rPr>
                <w:rFonts w:ascii="Calibri" w:eastAsia="Times New Roman" w:hAnsi="Calibri" w:cs="Calibri"/>
                <w:sz w:val="24"/>
                <w:szCs w:val="24"/>
                <w:lang w:eastAsia="pt-BR"/>
              </w:rPr>
            </w:pPr>
          </w:p>
        </w:tc>
      </w:tr>
      <w:tr w:rsidR="001839A7" w:rsidRPr="00DC28D3" w14:paraId="0F1FB230" w14:textId="77777777" w:rsidTr="091F0907">
        <w:trPr>
          <w:trHeight w:val="1400"/>
        </w:trPr>
        <w:tc>
          <w:tcPr>
            <w:tcW w:w="5949" w:type="dxa"/>
            <w:noWrap/>
            <w:hideMark/>
          </w:tcPr>
          <w:p w14:paraId="1ED618A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9º A consulta deve ser analisada e respondida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no prazo de trinta dias, contados da data de disponibilização pela EFPC de todas as informações e documentos necessários, prorrogáveis por igual período, mediante motivação.</w:t>
            </w:r>
          </w:p>
        </w:tc>
        <w:tc>
          <w:tcPr>
            <w:tcW w:w="5670" w:type="dxa"/>
            <w:noWrap/>
            <w:hideMark/>
          </w:tcPr>
          <w:p w14:paraId="167CC385" w14:textId="5CB151A5"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809. A consulta deve ser analisada e respondida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no prazo de trinta dias, contados da data de disponibilização pela EFPC de todas as informações e documentos necessários, prorrogáveis por igual período, mediante motivação.</w:t>
            </w:r>
          </w:p>
        </w:tc>
        <w:tc>
          <w:tcPr>
            <w:tcW w:w="3194" w:type="dxa"/>
            <w:noWrap/>
            <w:hideMark/>
          </w:tcPr>
          <w:p w14:paraId="4B657AAA" w14:textId="4C915005"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3AD2CFAF" w14:textId="77777777" w:rsidTr="091F0907">
        <w:trPr>
          <w:trHeight w:val="1400"/>
        </w:trPr>
        <w:tc>
          <w:tcPr>
            <w:tcW w:w="5949" w:type="dxa"/>
            <w:noWrap/>
            <w:hideMark/>
          </w:tcPr>
          <w:p w14:paraId="055E87EF"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1º A área técnica responsável pela resposta pode submeter consulta interna às demais áreas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a fim de subsidiar sua análise, suspendendo-se o prazo de resposta até o retorno dessa consulta.</w:t>
            </w:r>
          </w:p>
        </w:tc>
        <w:tc>
          <w:tcPr>
            <w:tcW w:w="5670" w:type="dxa"/>
            <w:noWrap/>
            <w:hideMark/>
          </w:tcPr>
          <w:p w14:paraId="16919E23" w14:textId="625FC68B"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1º A área técnica responsável pela resposta pode submeter consulta interna às demais áreas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a fim de subsidiar sua análise, suspendendo-se o prazo de resposta até o retorno dessa consulta.</w:t>
            </w:r>
          </w:p>
        </w:tc>
        <w:tc>
          <w:tcPr>
            <w:tcW w:w="3194" w:type="dxa"/>
            <w:noWrap/>
            <w:hideMark/>
          </w:tcPr>
          <w:p w14:paraId="6B6C7509" w14:textId="7DB79BDD"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8D2858D" w14:textId="77777777" w:rsidTr="091F0907">
        <w:trPr>
          <w:trHeight w:val="1400"/>
        </w:trPr>
        <w:tc>
          <w:tcPr>
            <w:tcW w:w="5949" w:type="dxa"/>
            <w:noWrap/>
            <w:hideMark/>
          </w:tcPr>
          <w:p w14:paraId="4476385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2º A EFPC pode juntar informações e documentos adicionais, enquanto não respondida a consulta, prorrogando-se o prazo de resposta por trinta dias, contados da data de protocolo do último documento juntado.</w:t>
            </w:r>
          </w:p>
        </w:tc>
        <w:tc>
          <w:tcPr>
            <w:tcW w:w="5670" w:type="dxa"/>
            <w:noWrap/>
            <w:hideMark/>
          </w:tcPr>
          <w:p w14:paraId="065BBA7F" w14:textId="0F50A21C"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2º A EFPC pode juntar informações e documentos adicionais, enquanto não respondida a consulta, prorrogando-se o prazo de resposta por trinta dias, contados da data de protocolo do último documento juntado.</w:t>
            </w:r>
          </w:p>
        </w:tc>
        <w:tc>
          <w:tcPr>
            <w:tcW w:w="3194" w:type="dxa"/>
            <w:noWrap/>
            <w:hideMark/>
          </w:tcPr>
          <w:p w14:paraId="080E54A9" w14:textId="089AD39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6DBAC90" w14:textId="77777777" w:rsidTr="091F0907">
        <w:trPr>
          <w:trHeight w:val="1050"/>
        </w:trPr>
        <w:tc>
          <w:tcPr>
            <w:tcW w:w="5949" w:type="dxa"/>
            <w:noWrap/>
            <w:hideMark/>
          </w:tcPr>
          <w:p w14:paraId="2F5A47DE"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10. A EFPC pode solicitar reanálise da resposta fornecida, desde que devidamente fundamentada com novos fatos, argumentos ou documentos.</w:t>
            </w:r>
          </w:p>
        </w:tc>
        <w:tc>
          <w:tcPr>
            <w:tcW w:w="5670" w:type="dxa"/>
            <w:noWrap/>
            <w:hideMark/>
          </w:tcPr>
          <w:p w14:paraId="3583DABA" w14:textId="3CB58CBE"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810. A EFPC pode solicitar reanálise da resposta fornecida, desde que devidamente fundamentada com novos fatos, argumentos ou documentos.</w:t>
            </w:r>
          </w:p>
        </w:tc>
        <w:tc>
          <w:tcPr>
            <w:tcW w:w="3194" w:type="dxa"/>
            <w:noWrap/>
            <w:hideMark/>
          </w:tcPr>
          <w:p w14:paraId="1E6AEB90" w14:textId="36B2E366"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6638719" w14:textId="77777777" w:rsidTr="091F0907">
        <w:trPr>
          <w:trHeight w:val="700"/>
        </w:trPr>
        <w:tc>
          <w:tcPr>
            <w:tcW w:w="5949" w:type="dxa"/>
            <w:noWrap/>
            <w:hideMark/>
          </w:tcPr>
          <w:p w14:paraId="3477BB1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Aplica-se ao pedido de reanálise da consulta o mesmo prazo para análise previsto no caput do art. 9º.</w:t>
            </w:r>
          </w:p>
        </w:tc>
        <w:tc>
          <w:tcPr>
            <w:tcW w:w="5670" w:type="dxa"/>
            <w:noWrap/>
            <w:hideMark/>
          </w:tcPr>
          <w:p w14:paraId="70517D0E" w14:textId="43EF701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Parágrafo único. Aplica-se ao pedido de reanálise da consulta o mesmo prazo para análise previsto no caput do </w:t>
            </w:r>
            <w:r w:rsidRPr="000644BA">
              <w:rPr>
                <w:rFonts w:ascii="Calibri" w:eastAsia="Times New Roman" w:hAnsi="Calibri" w:cs="Calibri"/>
                <w:color w:val="162937"/>
                <w:sz w:val="24"/>
                <w:szCs w:val="24"/>
                <w:highlight w:val="yellow"/>
                <w:lang w:eastAsia="pt-BR"/>
              </w:rPr>
              <w:t>art. 809.</w:t>
            </w:r>
          </w:p>
        </w:tc>
        <w:tc>
          <w:tcPr>
            <w:tcW w:w="3194" w:type="dxa"/>
            <w:noWrap/>
            <w:hideMark/>
          </w:tcPr>
          <w:p w14:paraId="01376D2A" w14:textId="07CAA0B7"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47CA5889" w14:textId="77777777" w:rsidTr="091F0907">
        <w:trPr>
          <w:trHeight w:val="1050"/>
        </w:trPr>
        <w:tc>
          <w:tcPr>
            <w:tcW w:w="5949" w:type="dxa"/>
            <w:noWrap/>
            <w:hideMark/>
          </w:tcPr>
          <w:p w14:paraId="7342B5AD"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11. Os entendimentos fixados na resposta aplicam-se exclusivamente à consulta apresentada pela EFPC, com base nos documentos e informações disponibilizados.</w:t>
            </w:r>
          </w:p>
        </w:tc>
        <w:tc>
          <w:tcPr>
            <w:tcW w:w="5670" w:type="dxa"/>
            <w:noWrap/>
            <w:hideMark/>
          </w:tcPr>
          <w:p w14:paraId="6140B338" w14:textId="1BE51670"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811. Os entendimentos fixados na resposta aplicam-se exclusivamente à consulta apresentada pela EFPC, com base nos documentos e informações disponibilizados.</w:t>
            </w:r>
          </w:p>
        </w:tc>
        <w:tc>
          <w:tcPr>
            <w:tcW w:w="3194" w:type="dxa"/>
            <w:noWrap/>
            <w:hideMark/>
          </w:tcPr>
          <w:p w14:paraId="0A28517A" w14:textId="03844C19"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DE7622D" w14:textId="77777777" w:rsidTr="091F0907">
        <w:trPr>
          <w:trHeight w:val="1050"/>
        </w:trPr>
        <w:tc>
          <w:tcPr>
            <w:tcW w:w="5949" w:type="dxa"/>
            <w:noWrap/>
            <w:hideMark/>
          </w:tcPr>
          <w:p w14:paraId="38B367D8"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1º A resposta à consulta não deve ser considerada, em qualquer hipótese, como autorização prévia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para atos de gestão da EFPC.</w:t>
            </w:r>
          </w:p>
        </w:tc>
        <w:tc>
          <w:tcPr>
            <w:tcW w:w="5670" w:type="dxa"/>
            <w:noWrap/>
            <w:hideMark/>
          </w:tcPr>
          <w:p w14:paraId="55A3AEC5" w14:textId="542B5252"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 1º A resposta à consulta não deve ser considerada, em qualquer hipótese, como autorização prévia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para atos de gestão da EFPC.</w:t>
            </w:r>
          </w:p>
        </w:tc>
        <w:tc>
          <w:tcPr>
            <w:tcW w:w="3194" w:type="dxa"/>
            <w:noWrap/>
            <w:hideMark/>
          </w:tcPr>
          <w:p w14:paraId="0374AB97" w14:textId="056816BB"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58F00297" w14:textId="77777777" w:rsidTr="091F0907">
        <w:trPr>
          <w:trHeight w:val="1050"/>
        </w:trPr>
        <w:tc>
          <w:tcPr>
            <w:tcW w:w="5949" w:type="dxa"/>
            <w:noWrap/>
            <w:hideMark/>
          </w:tcPr>
          <w:p w14:paraId="20AE132B"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2º Caso sejam adicionados novos fatos materiais pela EFPC, o entendimento fixado na resposta à consulta formulada pode ser diverso.</w:t>
            </w:r>
          </w:p>
        </w:tc>
        <w:tc>
          <w:tcPr>
            <w:tcW w:w="5670" w:type="dxa"/>
            <w:noWrap/>
            <w:hideMark/>
          </w:tcPr>
          <w:p w14:paraId="512222A6" w14:textId="74D4BFD8"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2º Caso sejam adicionados novos fatos materiais pela EFPC, o entendimento fixado na resposta à consulta formulada pode ser diverso.</w:t>
            </w:r>
          </w:p>
        </w:tc>
        <w:tc>
          <w:tcPr>
            <w:tcW w:w="3194" w:type="dxa"/>
            <w:noWrap/>
            <w:hideMark/>
          </w:tcPr>
          <w:p w14:paraId="259825D4" w14:textId="053CA787"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2E5D752E" w14:textId="77777777" w:rsidTr="091F0907">
        <w:trPr>
          <w:trHeight w:val="350"/>
        </w:trPr>
        <w:tc>
          <w:tcPr>
            <w:tcW w:w="5949" w:type="dxa"/>
            <w:noWrap/>
            <w:hideMark/>
          </w:tcPr>
          <w:p w14:paraId="0AA04D20"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CAPÍTULO IV</w:t>
            </w:r>
          </w:p>
        </w:tc>
        <w:tc>
          <w:tcPr>
            <w:tcW w:w="5670" w:type="dxa"/>
            <w:noWrap/>
            <w:hideMark/>
          </w:tcPr>
          <w:p w14:paraId="42BB782D" w14:textId="2CCEEA41"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Subseção IV</w:t>
            </w:r>
          </w:p>
        </w:tc>
        <w:tc>
          <w:tcPr>
            <w:tcW w:w="3194" w:type="dxa"/>
            <w:noWrap/>
            <w:hideMark/>
          </w:tcPr>
          <w:p w14:paraId="2CFE2EFD" w14:textId="77777777" w:rsidR="001839A7" w:rsidRPr="00DC28D3" w:rsidRDefault="001839A7" w:rsidP="001839A7">
            <w:pPr>
              <w:rPr>
                <w:rFonts w:ascii="Calibri" w:eastAsia="Times New Roman" w:hAnsi="Calibri" w:cs="Calibri"/>
                <w:sz w:val="24"/>
                <w:szCs w:val="24"/>
                <w:lang w:eastAsia="pt-BR"/>
              </w:rPr>
            </w:pPr>
          </w:p>
        </w:tc>
      </w:tr>
      <w:tr w:rsidR="001839A7" w:rsidRPr="00DC28D3" w14:paraId="1A4DA2F1" w14:textId="77777777" w:rsidTr="091F0907">
        <w:trPr>
          <w:trHeight w:val="414"/>
        </w:trPr>
        <w:tc>
          <w:tcPr>
            <w:tcW w:w="5949" w:type="dxa"/>
            <w:noWrap/>
            <w:hideMark/>
          </w:tcPr>
          <w:p w14:paraId="5265344F"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DISPOSIÇÕES GERAIS E FINAIS</w:t>
            </w:r>
          </w:p>
        </w:tc>
        <w:tc>
          <w:tcPr>
            <w:tcW w:w="5670" w:type="dxa"/>
            <w:noWrap/>
            <w:hideMark/>
          </w:tcPr>
          <w:p w14:paraId="0F94A94C" w14:textId="2A885113" w:rsidR="001839A7" w:rsidRPr="00DC28D3" w:rsidRDefault="001839A7" w:rsidP="00B856C3">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Disposições gerais </w:t>
            </w:r>
            <w:r w:rsidR="00B856C3" w:rsidRPr="00B856C3">
              <w:rPr>
                <w:rFonts w:ascii="Calibri" w:eastAsia="Times New Roman" w:hAnsi="Calibri" w:cs="Calibri"/>
                <w:color w:val="FF0000"/>
                <w:sz w:val="24"/>
                <w:szCs w:val="24"/>
                <w:lang w:eastAsia="pt-BR"/>
              </w:rPr>
              <w:t>sobre consultas</w:t>
            </w:r>
          </w:p>
        </w:tc>
        <w:tc>
          <w:tcPr>
            <w:tcW w:w="3194" w:type="dxa"/>
            <w:noWrap/>
            <w:hideMark/>
          </w:tcPr>
          <w:p w14:paraId="552F7FFB" w14:textId="77777777" w:rsidR="001839A7" w:rsidRPr="00DC28D3" w:rsidRDefault="001839A7" w:rsidP="001839A7">
            <w:pPr>
              <w:rPr>
                <w:rFonts w:ascii="Calibri" w:eastAsia="Times New Roman" w:hAnsi="Calibri" w:cs="Calibri"/>
                <w:sz w:val="24"/>
                <w:szCs w:val="24"/>
                <w:lang w:eastAsia="pt-BR"/>
              </w:rPr>
            </w:pPr>
          </w:p>
        </w:tc>
      </w:tr>
      <w:tr w:rsidR="001839A7" w:rsidRPr="00DC28D3" w14:paraId="3B2B9482" w14:textId="77777777" w:rsidTr="091F0907">
        <w:trPr>
          <w:trHeight w:val="1400"/>
        </w:trPr>
        <w:tc>
          <w:tcPr>
            <w:tcW w:w="5949" w:type="dxa"/>
            <w:noWrap/>
            <w:hideMark/>
          </w:tcPr>
          <w:p w14:paraId="2F70BA77"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12. A realização de consulta não suspende nem interrompe eventuais prazos em curso para o exercício de direito ou cumprimento de obrigação, nem outro de qualquer natureza a que esteja sujeita a EFPC.</w:t>
            </w:r>
          </w:p>
        </w:tc>
        <w:tc>
          <w:tcPr>
            <w:tcW w:w="5670" w:type="dxa"/>
            <w:noWrap/>
            <w:hideMark/>
          </w:tcPr>
          <w:p w14:paraId="12AE2294" w14:textId="3527760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812. A realização de consulta não suspende nem interrompe eventuais prazos em curso para o exercício de direito ou cumprimento de obrigação, nem outro de qualquer natureza a que esteja sujeita a EFPC.</w:t>
            </w:r>
          </w:p>
        </w:tc>
        <w:tc>
          <w:tcPr>
            <w:tcW w:w="3194" w:type="dxa"/>
            <w:noWrap/>
            <w:hideMark/>
          </w:tcPr>
          <w:p w14:paraId="3D7135D9" w14:textId="04813278"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1BED8FB9" w14:textId="77777777" w:rsidTr="091F0907">
        <w:trPr>
          <w:trHeight w:val="1050"/>
        </w:trPr>
        <w:tc>
          <w:tcPr>
            <w:tcW w:w="5949" w:type="dxa"/>
            <w:noWrap/>
            <w:hideMark/>
          </w:tcPr>
          <w:p w14:paraId="3D64262E"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13. As ementas do resultado de consultas a que se refere esta Resolução podem ser inseridas em ementário, a ser oportunamente divulgado no sítio eletrônico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5670" w:type="dxa"/>
            <w:noWrap/>
            <w:hideMark/>
          </w:tcPr>
          <w:p w14:paraId="46198907" w14:textId="45E8F00F"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813. As ementas do resultado de consultas a que se refere esta Resolução podem ser inseridas em ementário, a ser oportunamente divulgado no sítio eletrônico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3194" w:type="dxa"/>
            <w:noWrap/>
            <w:hideMark/>
          </w:tcPr>
          <w:p w14:paraId="5CAAB4F9" w14:textId="6B79E67B"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0EF60AD5" w14:textId="77777777" w:rsidTr="091F0907">
        <w:trPr>
          <w:trHeight w:val="1750"/>
        </w:trPr>
        <w:tc>
          <w:tcPr>
            <w:tcW w:w="5949" w:type="dxa"/>
            <w:noWrap/>
            <w:hideMark/>
          </w:tcPr>
          <w:p w14:paraId="03AF68D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14. Todas as comunicações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para a EFPC decorrentes da análise da consulta devem ser realizadas via correio eletrônico, com base nos dados cadastrados no Sistema de Cadastro de Entidades e Planos, ou por meio do Sistema Eletrônico de Informações.</w:t>
            </w:r>
          </w:p>
        </w:tc>
        <w:tc>
          <w:tcPr>
            <w:tcW w:w="5670" w:type="dxa"/>
            <w:noWrap/>
            <w:hideMark/>
          </w:tcPr>
          <w:p w14:paraId="7B553E77" w14:textId="144E400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814. Todas as comunicações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para a EFPC decorrentes da análise da consulta devem ser realizadas via correio eletrônico, com base nos dados cadastrados no Sistema de Cadastro de Entidades e Planos, ou por meio do Sistema Eletrônico de Informações.</w:t>
            </w:r>
          </w:p>
        </w:tc>
        <w:tc>
          <w:tcPr>
            <w:tcW w:w="3194" w:type="dxa"/>
            <w:noWrap/>
            <w:hideMark/>
          </w:tcPr>
          <w:p w14:paraId="104A56F1" w14:textId="3E8BE210" w:rsidR="001839A7" w:rsidRPr="00DC28D3" w:rsidRDefault="001839A7" w:rsidP="001839A7">
            <w:pPr>
              <w:rPr>
                <w:rFonts w:ascii="Calibri" w:eastAsia="Times New Roman" w:hAnsi="Calibri" w:cs="Calibri"/>
                <w:sz w:val="24"/>
                <w:szCs w:val="24"/>
                <w:lang w:eastAsia="pt-BR"/>
              </w:rPr>
            </w:pPr>
            <w:r w:rsidRPr="00DC28D3">
              <w:rPr>
                <w:rFonts w:ascii="Calibri" w:hAnsi="Calibri" w:cs="Calibri"/>
                <w:sz w:val="24"/>
                <w:szCs w:val="24"/>
              </w:rPr>
              <w:t>Texto original mantido.</w:t>
            </w:r>
          </w:p>
        </w:tc>
      </w:tr>
      <w:tr w:rsidR="001839A7" w:rsidRPr="00DC28D3" w14:paraId="707347BF" w14:textId="77777777" w:rsidTr="007B65BD">
        <w:trPr>
          <w:trHeight w:val="350"/>
        </w:trPr>
        <w:tc>
          <w:tcPr>
            <w:tcW w:w="5949" w:type="dxa"/>
            <w:noWrap/>
            <w:hideMark/>
          </w:tcPr>
          <w:p w14:paraId="100A5876"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15. Ficam revogadas:</w:t>
            </w:r>
          </w:p>
        </w:tc>
        <w:tc>
          <w:tcPr>
            <w:tcW w:w="5670" w:type="dxa"/>
            <w:noWrap/>
            <w:hideMark/>
          </w:tcPr>
          <w:p w14:paraId="77F05A7D" w14:textId="77777777" w:rsidR="001839A7" w:rsidRPr="00DC28D3" w:rsidRDefault="001839A7" w:rsidP="001839A7">
            <w:pPr>
              <w:jc w:val="both"/>
              <w:rPr>
                <w:rFonts w:ascii="Calibri" w:eastAsia="Times New Roman" w:hAnsi="Calibri" w:cs="Calibri"/>
                <w:color w:val="162937"/>
                <w:sz w:val="24"/>
                <w:szCs w:val="24"/>
                <w:lang w:eastAsia="pt-BR"/>
              </w:rPr>
            </w:pPr>
          </w:p>
        </w:tc>
        <w:tc>
          <w:tcPr>
            <w:tcW w:w="3194" w:type="dxa"/>
            <w:noWrap/>
          </w:tcPr>
          <w:p w14:paraId="5ACC7361" w14:textId="548C4E21" w:rsidR="001839A7" w:rsidRPr="00DC28D3" w:rsidRDefault="001839A7" w:rsidP="001839A7">
            <w:pPr>
              <w:rPr>
                <w:rFonts w:ascii="Calibri" w:eastAsia="Times New Roman" w:hAnsi="Calibri" w:cs="Calibri"/>
                <w:sz w:val="24"/>
                <w:szCs w:val="24"/>
                <w:lang w:eastAsia="pt-BR"/>
              </w:rPr>
            </w:pPr>
            <w:r w:rsidRPr="00DC28D3">
              <w:rPr>
                <w:rFonts w:ascii="Calibri" w:eastAsia="Times New Roman" w:hAnsi="Calibri" w:cs="Calibri"/>
                <w:color w:val="000000"/>
                <w:sz w:val="24"/>
                <w:szCs w:val="24"/>
                <w:lang w:eastAsia="pt-BR"/>
              </w:rPr>
              <w:t>Excluído</w:t>
            </w:r>
          </w:p>
        </w:tc>
      </w:tr>
      <w:tr w:rsidR="001839A7" w:rsidRPr="00DC28D3" w14:paraId="0E21AEEF" w14:textId="77777777" w:rsidTr="007B65BD">
        <w:trPr>
          <w:cantSplit/>
        </w:trPr>
        <w:tc>
          <w:tcPr>
            <w:tcW w:w="5949" w:type="dxa"/>
            <w:noWrap/>
            <w:vAlign w:val="center"/>
            <w:hideMark/>
          </w:tcPr>
          <w:p w14:paraId="11945FBA" w14:textId="1FBDC9F1"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 - a Instrução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nº 4, de 24 de agosto de 2018; e</w:t>
            </w:r>
          </w:p>
        </w:tc>
        <w:tc>
          <w:tcPr>
            <w:tcW w:w="5670" w:type="dxa"/>
            <w:noWrap/>
            <w:hideMark/>
          </w:tcPr>
          <w:p w14:paraId="0429276F" w14:textId="77777777" w:rsidR="001839A7" w:rsidRPr="00DC28D3" w:rsidRDefault="001839A7" w:rsidP="001839A7">
            <w:pPr>
              <w:jc w:val="both"/>
              <w:rPr>
                <w:rFonts w:ascii="Calibri" w:eastAsia="Times New Roman" w:hAnsi="Calibri" w:cs="Calibri"/>
                <w:color w:val="162937"/>
                <w:sz w:val="24"/>
                <w:szCs w:val="24"/>
                <w:lang w:eastAsia="pt-BR"/>
              </w:rPr>
            </w:pPr>
          </w:p>
        </w:tc>
        <w:tc>
          <w:tcPr>
            <w:tcW w:w="3194" w:type="dxa"/>
            <w:noWrap/>
          </w:tcPr>
          <w:p w14:paraId="39DA7E07" w14:textId="259E1EC2" w:rsidR="001839A7" w:rsidRPr="00DC28D3" w:rsidRDefault="001839A7" w:rsidP="001839A7">
            <w:pPr>
              <w:rPr>
                <w:rFonts w:ascii="Calibri" w:eastAsia="Times New Roman" w:hAnsi="Calibri" w:cs="Calibri"/>
                <w:sz w:val="24"/>
                <w:szCs w:val="24"/>
                <w:lang w:eastAsia="pt-BR"/>
              </w:rPr>
            </w:pPr>
            <w:r w:rsidRPr="00DC28D3">
              <w:rPr>
                <w:rFonts w:ascii="Calibri" w:eastAsia="Times New Roman" w:hAnsi="Calibri" w:cs="Calibri"/>
                <w:color w:val="000000"/>
                <w:sz w:val="24"/>
                <w:szCs w:val="24"/>
                <w:lang w:eastAsia="pt-BR"/>
              </w:rPr>
              <w:t>Excluído</w:t>
            </w:r>
          </w:p>
        </w:tc>
      </w:tr>
      <w:tr w:rsidR="001839A7" w:rsidRPr="00DC28D3" w14:paraId="04CA1368" w14:textId="77777777" w:rsidTr="007B65BD">
        <w:trPr>
          <w:trHeight w:val="281"/>
        </w:trPr>
        <w:tc>
          <w:tcPr>
            <w:tcW w:w="5949" w:type="dxa"/>
            <w:noWrap/>
            <w:hideMark/>
          </w:tcPr>
          <w:p w14:paraId="3D40B8E0" w14:textId="7D4008AA"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II - a Portaria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 839, de 31 de agosto de 2018</w:t>
            </w:r>
          </w:p>
        </w:tc>
        <w:tc>
          <w:tcPr>
            <w:tcW w:w="5670" w:type="dxa"/>
            <w:noWrap/>
            <w:hideMark/>
          </w:tcPr>
          <w:p w14:paraId="77015019" w14:textId="77777777" w:rsidR="001839A7" w:rsidRPr="00DC28D3" w:rsidRDefault="001839A7" w:rsidP="001839A7">
            <w:pPr>
              <w:jc w:val="both"/>
              <w:rPr>
                <w:rFonts w:ascii="Calibri" w:eastAsia="Times New Roman" w:hAnsi="Calibri" w:cs="Calibri"/>
                <w:color w:val="162937"/>
                <w:sz w:val="24"/>
                <w:szCs w:val="24"/>
                <w:lang w:eastAsia="pt-BR"/>
              </w:rPr>
            </w:pPr>
          </w:p>
        </w:tc>
        <w:tc>
          <w:tcPr>
            <w:tcW w:w="3194" w:type="dxa"/>
            <w:noWrap/>
          </w:tcPr>
          <w:p w14:paraId="086AD069" w14:textId="3E0EB8FE" w:rsidR="001839A7" w:rsidRPr="00DC28D3" w:rsidRDefault="001839A7" w:rsidP="001839A7">
            <w:pPr>
              <w:rPr>
                <w:rFonts w:ascii="Calibri" w:eastAsia="Times New Roman" w:hAnsi="Calibri" w:cs="Calibri"/>
                <w:sz w:val="24"/>
                <w:szCs w:val="24"/>
                <w:lang w:eastAsia="pt-BR"/>
              </w:rPr>
            </w:pPr>
            <w:r w:rsidRPr="00DC28D3">
              <w:rPr>
                <w:rFonts w:ascii="Calibri" w:eastAsia="Times New Roman" w:hAnsi="Calibri" w:cs="Calibri"/>
                <w:color w:val="000000"/>
                <w:sz w:val="24"/>
                <w:szCs w:val="24"/>
                <w:lang w:eastAsia="pt-BR"/>
              </w:rPr>
              <w:t>Excluído</w:t>
            </w:r>
          </w:p>
        </w:tc>
      </w:tr>
      <w:tr w:rsidR="001839A7" w:rsidRPr="00DC28D3" w14:paraId="505511EC" w14:textId="77777777" w:rsidTr="091F0907">
        <w:trPr>
          <w:trHeight w:val="546"/>
        </w:trPr>
        <w:tc>
          <w:tcPr>
            <w:tcW w:w="5949" w:type="dxa"/>
            <w:noWrap/>
            <w:hideMark/>
          </w:tcPr>
          <w:p w14:paraId="5757264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16. Esta Resolução entra em vigor em 3 de outubro de 2022.</w:t>
            </w:r>
          </w:p>
        </w:tc>
        <w:tc>
          <w:tcPr>
            <w:tcW w:w="5670" w:type="dxa"/>
            <w:noWrap/>
            <w:hideMark/>
          </w:tcPr>
          <w:p w14:paraId="4564D6D9" w14:textId="77777777" w:rsidR="001839A7" w:rsidRPr="00DC28D3" w:rsidRDefault="001839A7" w:rsidP="001839A7">
            <w:pPr>
              <w:jc w:val="both"/>
              <w:rPr>
                <w:rFonts w:ascii="Calibri" w:eastAsia="Times New Roman" w:hAnsi="Calibri" w:cs="Calibri"/>
                <w:color w:val="162937"/>
                <w:sz w:val="24"/>
                <w:szCs w:val="24"/>
                <w:lang w:eastAsia="pt-BR"/>
              </w:rPr>
            </w:pPr>
          </w:p>
        </w:tc>
        <w:tc>
          <w:tcPr>
            <w:tcW w:w="3194" w:type="dxa"/>
            <w:noWrap/>
            <w:hideMark/>
          </w:tcPr>
          <w:p w14:paraId="4893273C" w14:textId="55DBAACF" w:rsidR="001839A7" w:rsidRPr="00DC28D3" w:rsidRDefault="001839A7" w:rsidP="001839A7">
            <w:pPr>
              <w:rPr>
                <w:rFonts w:ascii="Calibri" w:eastAsia="Times New Roman" w:hAnsi="Calibri" w:cs="Calibri"/>
                <w:sz w:val="24"/>
                <w:szCs w:val="24"/>
                <w:lang w:eastAsia="pt-BR"/>
              </w:rPr>
            </w:pPr>
            <w:r w:rsidRPr="00DC28D3">
              <w:rPr>
                <w:rFonts w:ascii="Calibri" w:eastAsia="Times New Roman" w:hAnsi="Calibri" w:cs="Calibri"/>
                <w:color w:val="000000"/>
                <w:sz w:val="24"/>
                <w:szCs w:val="24"/>
                <w:lang w:eastAsia="pt-BR"/>
              </w:rPr>
              <w:t>Excluído</w:t>
            </w:r>
          </w:p>
        </w:tc>
      </w:tr>
      <w:tr w:rsidR="001839A7" w:rsidRPr="00DC28D3" w14:paraId="29125511" w14:textId="77777777" w:rsidTr="091F0907">
        <w:trPr>
          <w:trHeight w:val="330"/>
        </w:trPr>
        <w:tc>
          <w:tcPr>
            <w:tcW w:w="5949" w:type="dxa"/>
            <w:noWrap/>
            <w:hideMark/>
          </w:tcPr>
          <w:p w14:paraId="2BF1F76B" w14:textId="00F52374" w:rsidR="001839A7" w:rsidRPr="00DC28D3" w:rsidRDefault="001839A7" w:rsidP="001839A7">
            <w:pPr>
              <w:jc w:val="center"/>
              <w:rPr>
                <w:rFonts w:ascii="Calibri" w:eastAsia="Times New Roman" w:hAnsi="Calibri" w:cs="Calibri"/>
                <w:b/>
                <w:bCs/>
                <w:color w:val="162937"/>
                <w:sz w:val="24"/>
                <w:szCs w:val="24"/>
                <w:lang w:eastAsia="pt-BR"/>
              </w:rPr>
            </w:pPr>
            <w:r w:rsidRPr="00DC28D3">
              <w:rPr>
                <w:rFonts w:ascii="Calibri" w:eastAsia="Times New Roman" w:hAnsi="Calibri" w:cs="Calibri"/>
                <w:b/>
                <w:bCs/>
                <w:color w:val="162937"/>
                <w:sz w:val="24"/>
                <w:szCs w:val="24"/>
                <w:lang w:eastAsia="pt-BR"/>
              </w:rPr>
              <w:t>Resolução PREVIC nº 5, de 27 de outubro de 2021</w:t>
            </w:r>
          </w:p>
        </w:tc>
        <w:tc>
          <w:tcPr>
            <w:tcW w:w="5670" w:type="dxa"/>
            <w:noWrap/>
            <w:hideMark/>
          </w:tcPr>
          <w:p w14:paraId="57ADF0D1" w14:textId="77777777"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000000"/>
                <w:sz w:val="24"/>
                <w:szCs w:val="24"/>
                <w:lang w:eastAsia="pt-BR"/>
              </w:rPr>
              <w:t>Seção II</w:t>
            </w:r>
            <w:r w:rsidRPr="00DC28D3">
              <w:rPr>
                <w:rFonts w:ascii="Calibri" w:eastAsia="Times New Roman" w:hAnsi="Calibri" w:cs="Calibri"/>
                <w:color w:val="162937"/>
                <w:sz w:val="24"/>
                <w:szCs w:val="24"/>
                <w:lang w:eastAsia="pt-BR"/>
              </w:rPr>
              <w:t xml:space="preserve"> </w:t>
            </w:r>
          </w:p>
          <w:p w14:paraId="7CAD7CAA" w14:textId="46FC60B6"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Processo de participação social</w:t>
            </w:r>
          </w:p>
        </w:tc>
        <w:tc>
          <w:tcPr>
            <w:tcW w:w="3194" w:type="dxa"/>
            <w:noWrap/>
            <w:hideMark/>
          </w:tcPr>
          <w:p w14:paraId="269479D3" w14:textId="77777777" w:rsidR="001839A7" w:rsidRPr="00DC28D3" w:rsidRDefault="001839A7" w:rsidP="001839A7">
            <w:pP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r>
      <w:tr w:rsidR="001839A7" w:rsidRPr="00DC28D3" w14:paraId="605B2245" w14:textId="77777777" w:rsidTr="091F0907">
        <w:trPr>
          <w:trHeight w:val="560"/>
        </w:trPr>
        <w:tc>
          <w:tcPr>
            <w:tcW w:w="5949" w:type="dxa"/>
            <w:noWrap/>
            <w:hideMark/>
          </w:tcPr>
          <w:p w14:paraId="3F56369B"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Disciplina a realização do processo de participação social no âmbito da Superintendência Nacional de Previdência Complementar -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w:t>
            </w:r>
          </w:p>
        </w:tc>
        <w:tc>
          <w:tcPr>
            <w:tcW w:w="5670" w:type="dxa"/>
            <w:noWrap/>
            <w:hideMark/>
          </w:tcPr>
          <w:p w14:paraId="6979B272" w14:textId="6066829F" w:rsidR="001839A7" w:rsidRPr="00DC28D3" w:rsidRDefault="001839A7" w:rsidP="001839A7">
            <w:pPr>
              <w:jc w:val="center"/>
              <w:rPr>
                <w:rFonts w:ascii="Calibri" w:eastAsia="Times New Roman" w:hAnsi="Calibri" w:cs="Calibri"/>
                <w:color w:val="000000"/>
                <w:sz w:val="24"/>
                <w:szCs w:val="24"/>
                <w:lang w:eastAsia="pt-BR"/>
              </w:rPr>
            </w:pPr>
          </w:p>
        </w:tc>
        <w:tc>
          <w:tcPr>
            <w:tcW w:w="3194" w:type="dxa"/>
            <w:noWrap/>
            <w:hideMark/>
          </w:tcPr>
          <w:p w14:paraId="7CBFACF5" w14:textId="188C2C4D" w:rsidR="001839A7" w:rsidRPr="00DC28D3" w:rsidRDefault="001839A7" w:rsidP="001839A7">
            <w:pP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Excluído</w:t>
            </w:r>
          </w:p>
        </w:tc>
      </w:tr>
      <w:tr w:rsidR="001839A7" w:rsidRPr="00DC28D3" w14:paraId="1ED19EC8" w14:textId="77777777" w:rsidTr="091F0907">
        <w:trPr>
          <w:trHeight w:val="1960"/>
        </w:trPr>
        <w:tc>
          <w:tcPr>
            <w:tcW w:w="5949" w:type="dxa"/>
            <w:noWrap/>
            <w:hideMark/>
          </w:tcPr>
          <w:p w14:paraId="233EA73B"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 DIRETORIA COLEGIADA DA SUPERINTENDÊNCIA NACIONAL DE PREVIDÊNCIA COMPLEMENTAR - PREVIC, em sua 563ª reunião ordinária realizada em de 26 de outubro de 2021, com fundamento no inciso III do art. 2º da Lei nº 12.154, de 23 de dezembro de 2009, no inciso III do art. 2º e no inciso VIII do art. 10 do Anexo I do Decreto nº 8.992, de 20 de fevereiro de 2017, e em conformidade com o inciso III do art. 2º do Decreto n° 10.139, de 28 de novembro de 2019 e com o art. 9º do Decreto nº 10.411, de 30 de junho de 2020, resolve:</w:t>
            </w:r>
          </w:p>
        </w:tc>
        <w:tc>
          <w:tcPr>
            <w:tcW w:w="5670" w:type="dxa"/>
            <w:noWrap/>
            <w:hideMark/>
          </w:tcPr>
          <w:p w14:paraId="35A24712" w14:textId="77777777" w:rsidR="001839A7" w:rsidRPr="00DC28D3" w:rsidRDefault="001839A7" w:rsidP="001839A7">
            <w:pP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hideMark/>
          </w:tcPr>
          <w:p w14:paraId="2D8D3FB4" w14:textId="77968B54" w:rsidR="001839A7" w:rsidRPr="00DC28D3" w:rsidRDefault="001839A7" w:rsidP="001839A7">
            <w:pP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xml:space="preserve"> Excluído </w:t>
            </w:r>
          </w:p>
        </w:tc>
      </w:tr>
      <w:tr w:rsidR="001839A7" w:rsidRPr="00DC28D3" w14:paraId="7C147F5E" w14:textId="77777777" w:rsidTr="091F0907">
        <w:trPr>
          <w:trHeight w:val="290"/>
        </w:trPr>
        <w:tc>
          <w:tcPr>
            <w:tcW w:w="5949" w:type="dxa"/>
            <w:noWrap/>
            <w:hideMark/>
          </w:tcPr>
          <w:p w14:paraId="6AC50F95"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Das disposições gerais</w:t>
            </w:r>
          </w:p>
        </w:tc>
        <w:tc>
          <w:tcPr>
            <w:tcW w:w="5670" w:type="dxa"/>
            <w:noWrap/>
            <w:hideMark/>
          </w:tcPr>
          <w:p w14:paraId="6A04E7E2" w14:textId="69995489"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Subseção I</w:t>
            </w:r>
          </w:p>
          <w:p w14:paraId="24F3B86C" w14:textId="79F27C31" w:rsidR="001839A7" w:rsidRPr="00726C03" w:rsidRDefault="001839A7" w:rsidP="001839A7">
            <w:pPr>
              <w:jc w:val="center"/>
              <w:rPr>
                <w:rFonts w:ascii="Calibri" w:eastAsia="Times New Roman" w:hAnsi="Calibri" w:cs="Calibri"/>
                <w:color w:val="FF0000"/>
                <w:sz w:val="24"/>
                <w:szCs w:val="24"/>
                <w:lang w:eastAsia="pt-BR"/>
              </w:rPr>
            </w:pPr>
            <w:r w:rsidRPr="00DC28D3">
              <w:rPr>
                <w:rFonts w:ascii="Calibri" w:eastAsia="Times New Roman" w:hAnsi="Calibri" w:cs="Calibri"/>
                <w:color w:val="162937"/>
                <w:sz w:val="24"/>
                <w:szCs w:val="24"/>
                <w:lang w:eastAsia="pt-BR"/>
              </w:rPr>
              <w:t>Disposições gerais</w:t>
            </w:r>
            <w:r w:rsidR="00726C03">
              <w:rPr>
                <w:rFonts w:ascii="Calibri" w:eastAsia="Times New Roman" w:hAnsi="Calibri" w:cs="Calibri"/>
                <w:color w:val="FF0000"/>
                <w:sz w:val="24"/>
                <w:szCs w:val="24"/>
                <w:lang w:eastAsia="pt-BR"/>
              </w:rPr>
              <w:t xml:space="preserve"> para o Processo de Participação Social</w:t>
            </w:r>
          </w:p>
        </w:tc>
        <w:tc>
          <w:tcPr>
            <w:tcW w:w="3194" w:type="dxa"/>
            <w:noWrap/>
            <w:hideMark/>
          </w:tcPr>
          <w:p w14:paraId="34F6D34A"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r>
      <w:tr w:rsidR="001839A7" w:rsidRPr="00DC28D3" w14:paraId="65E49AB3" w14:textId="77777777" w:rsidTr="091F0907">
        <w:trPr>
          <w:trHeight w:val="840"/>
        </w:trPr>
        <w:tc>
          <w:tcPr>
            <w:tcW w:w="5949" w:type="dxa"/>
            <w:noWrap/>
            <w:hideMark/>
          </w:tcPr>
          <w:p w14:paraId="39672FE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1º A Superintendência Nacional de Previdência Complementar -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deliberação de sua diretoria colegiada, poderá autorizar a participação social, por meio de consultas ou audiências, de caráter público ou restrito.</w:t>
            </w:r>
          </w:p>
        </w:tc>
        <w:tc>
          <w:tcPr>
            <w:tcW w:w="5670" w:type="dxa"/>
            <w:noWrap/>
            <w:hideMark/>
          </w:tcPr>
          <w:p w14:paraId="46A5D3BD" w14:textId="6BDF07F1"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815. A Superintendência Nacional de Previdência Complementar -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deliberação de sua diretoria colegiada, poderá autorizar a participação social, por meio de consultas ou audiências, de caráter público ou restrito.</w:t>
            </w:r>
          </w:p>
        </w:tc>
        <w:tc>
          <w:tcPr>
            <w:tcW w:w="3194" w:type="dxa"/>
            <w:noWrap/>
            <w:hideMark/>
          </w:tcPr>
          <w:p w14:paraId="62B8C82F" w14:textId="47670734"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0A784BA3" w14:textId="77777777" w:rsidTr="091F0907">
        <w:trPr>
          <w:trHeight w:val="560"/>
        </w:trPr>
        <w:tc>
          <w:tcPr>
            <w:tcW w:w="5949" w:type="dxa"/>
            <w:noWrap/>
            <w:hideMark/>
          </w:tcPr>
          <w:p w14:paraId="0E0FA6E3"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As audiências e consultas referidas no caput poderão ser realizadas em relação:</w:t>
            </w:r>
          </w:p>
        </w:tc>
        <w:tc>
          <w:tcPr>
            <w:tcW w:w="5670" w:type="dxa"/>
            <w:noWrap/>
            <w:hideMark/>
          </w:tcPr>
          <w:p w14:paraId="09820E7C" w14:textId="5993A2F8"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Parágrafo único. As audiências e consultas referidas no caput poderão ser realizadas em relação:</w:t>
            </w:r>
          </w:p>
        </w:tc>
        <w:tc>
          <w:tcPr>
            <w:tcW w:w="3194" w:type="dxa"/>
            <w:noWrap/>
            <w:hideMark/>
          </w:tcPr>
          <w:p w14:paraId="5D72717A" w14:textId="5A3E140C"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2FCBFE64" w14:textId="77777777" w:rsidTr="091F0907">
        <w:trPr>
          <w:trHeight w:val="290"/>
        </w:trPr>
        <w:tc>
          <w:tcPr>
            <w:tcW w:w="5949" w:type="dxa"/>
            <w:noWrap/>
            <w:hideMark/>
          </w:tcPr>
          <w:p w14:paraId="43FA586C"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 - aos relatórios de análise de impacto regulatório;</w:t>
            </w:r>
          </w:p>
        </w:tc>
        <w:tc>
          <w:tcPr>
            <w:tcW w:w="5670" w:type="dxa"/>
            <w:noWrap/>
            <w:hideMark/>
          </w:tcPr>
          <w:p w14:paraId="761F0784" w14:textId="1B9F5C7F"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I - aos relatórios de análise de impacto regulatório;</w:t>
            </w:r>
          </w:p>
        </w:tc>
        <w:tc>
          <w:tcPr>
            <w:tcW w:w="3194" w:type="dxa"/>
            <w:noWrap/>
            <w:hideMark/>
          </w:tcPr>
          <w:p w14:paraId="1F703C74" w14:textId="36926374"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1912062" w14:textId="77777777" w:rsidTr="091F0907">
        <w:trPr>
          <w:trHeight w:val="290"/>
        </w:trPr>
        <w:tc>
          <w:tcPr>
            <w:tcW w:w="5949" w:type="dxa"/>
            <w:noWrap/>
            <w:hideMark/>
          </w:tcPr>
          <w:p w14:paraId="3FEB0A6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 - às minutas de atos normativos; ou</w:t>
            </w:r>
          </w:p>
        </w:tc>
        <w:tc>
          <w:tcPr>
            <w:tcW w:w="5670" w:type="dxa"/>
            <w:noWrap/>
            <w:hideMark/>
          </w:tcPr>
          <w:p w14:paraId="36FB2DF2" w14:textId="2980A0CA"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II - às minutas de atos normativos; ou</w:t>
            </w:r>
          </w:p>
        </w:tc>
        <w:tc>
          <w:tcPr>
            <w:tcW w:w="3194" w:type="dxa"/>
            <w:noWrap/>
            <w:hideMark/>
          </w:tcPr>
          <w:p w14:paraId="5D1E618C" w14:textId="372264F5"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D747EF0" w14:textId="77777777" w:rsidTr="091F0907">
        <w:trPr>
          <w:trHeight w:val="840"/>
        </w:trPr>
        <w:tc>
          <w:tcPr>
            <w:tcW w:w="5949" w:type="dxa"/>
            <w:noWrap/>
            <w:hideMark/>
          </w:tcPr>
          <w:p w14:paraId="6794385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III - a quaisquer outros documentos com tema de interesse geral das entidades fechadas de previdência complementar, dos seus patrocinadores, instituidores, participantes e assistidos ou de outros segmentos sociais relacionados.</w:t>
            </w:r>
          </w:p>
        </w:tc>
        <w:tc>
          <w:tcPr>
            <w:tcW w:w="5670" w:type="dxa"/>
            <w:noWrap/>
            <w:hideMark/>
          </w:tcPr>
          <w:p w14:paraId="3C42AC23" w14:textId="4C60406A"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III - a quaisquer outros documentos com tema de interesse geral das entidades fechadas de previdência complementar, dos seus patrocinadores, instituidores, participantes e assistidos ou de outros segmentos sociais relacionados.</w:t>
            </w:r>
          </w:p>
        </w:tc>
        <w:tc>
          <w:tcPr>
            <w:tcW w:w="3194" w:type="dxa"/>
            <w:noWrap/>
            <w:hideMark/>
          </w:tcPr>
          <w:p w14:paraId="64D29394" w14:textId="1F327D5D"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32BD3E8E" w14:textId="77777777" w:rsidTr="091F0907">
        <w:trPr>
          <w:trHeight w:val="290"/>
        </w:trPr>
        <w:tc>
          <w:tcPr>
            <w:tcW w:w="5949" w:type="dxa"/>
            <w:noWrap/>
            <w:hideMark/>
          </w:tcPr>
          <w:p w14:paraId="7936A5C9"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Da consulta pública</w:t>
            </w:r>
          </w:p>
        </w:tc>
        <w:tc>
          <w:tcPr>
            <w:tcW w:w="5670" w:type="dxa"/>
            <w:noWrap/>
            <w:hideMark/>
          </w:tcPr>
          <w:p w14:paraId="5C567D3C" w14:textId="7DA4DB0F"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Subseção II</w:t>
            </w:r>
          </w:p>
          <w:p w14:paraId="4082FFBD" w14:textId="5967C95D"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Consulta pública</w:t>
            </w:r>
          </w:p>
        </w:tc>
        <w:tc>
          <w:tcPr>
            <w:tcW w:w="3194" w:type="dxa"/>
            <w:noWrap/>
            <w:hideMark/>
          </w:tcPr>
          <w:p w14:paraId="7C99C8E7" w14:textId="6F845C4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5894AF24" w14:textId="77777777" w:rsidTr="091F0907">
        <w:trPr>
          <w:trHeight w:val="1120"/>
        </w:trPr>
        <w:tc>
          <w:tcPr>
            <w:tcW w:w="5949" w:type="dxa"/>
            <w:noWrap/>
            <w:hideMark/>
          </w:tcPr>
          <w:p w14:paraId="21159226"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2º Para fins desta Resolução, consulta pública é o processo de participação social que tem a finalidade de receber subsídios para a tomada de decisão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do envio de manifestações de qualquer interessado sobre questões regulatórias ou outros temas da competência da autarquia.</w:t>
            </w:r>
          </w:p>
        </w:tc>
        <w:tc>
          <w:tcPr>
            <w:tcW w:w="5670" w:type="dxa"/>
            <w:noWrap/>
            <w:hideMark/>
          </w:tcPr>
          <w:p w14:paraId="539476FF" w14:textId="72C432D5"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816. Para fins desta Resolução, consulta pública é o processo de participação social que tem a finalidade de receber subsídios para a tomada de decisão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do envio de manifestações de qualquer interessado sobre questões regulatórias ou outros temas da competência da autarquia.</w:t>
            </w:r>
          </w:p>
        </w:tc>
        <w:tc>
          <w:tcPr>
            <w:tcW w:w="3194" w:type="dxa"/>
            <w:noWrap/>
            <w:hideMark/>
          </w:tcPr>
          <w:p w14:paraId="01A60183" w14:textId="3FB2D17C"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0D92FF76" w14:textId="77777777" w:rsidTr="091F0907">
        <w:trPr>
          <w:trHeight w:val="1120"/>
        </w:trPr>
        <w:tc>
          <w:tcPr>
            <w:tcW w:w="5949" w:type="dxa"/>
            <w:noWrap/>
            <w:hideMark/>
          </w:tcPr>
          <w:p w14:paraId="5B0FECE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Parágrafo único. A participação dos interessados na consulta pública ocorrerá de forma não presencial, por meio do Sistema de Consultas e Normas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disponível no seu sítio eletrônico na internet, o qual receberá as manifestações relativas ao documento sob consulta.</w:t>
            </w:r>
          </w:p>
        </w:tc>
        <w:tc>
          <w:tcPr>
            <w:tcW w:w="5670" w:type="dxa"/>
            <w:noWrap/>
            <w:hideMark/>
          </w:tcPr>
          <w:p w14:paraId="0CFFD2F4" w14:textId="67E1021D"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Parágrafo único. A participação dos interessados na consulta pública ocorrerá de forma não presencial, por meio do Sistema de Consultas e Normas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disponível no seu sítio eletrônico na internet, o qual receberá as manifestações relativas ao documento sob consulta.</w:t>
            </w:r>
          </w:p>
        </w:tc>
        <w:tc>
          <w:tcPr>
            <w:tcW w:w="3194" w:type="dxa"/>
            <w:noWrap/>
            <w:hideMark/>
          </w:tcPr>
          <w:p w14:paraId="4D4C923D" w14:textId="16FFD7E0"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69F5EEA1" w14:textId="77777777" w:rsidTr="091F0907">
        <w:trPr>
          <w:trHeight w:val="840"/>
        </w:trPr>
        <w:tc>
          <w:tcPr>
            <w:tcW w:w="5949" w:type="dxa"/>
            <w:noWrap/>
            <w:hideMark/>
          </w:tcPr>
          <w:p w14:paraId="5B5F086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3º O documento sob consulta e as orientações sobre a forma e o prazo para o envio das manifestações dos interessados serão divulgados no sítio eletrônico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na internet.</w:t>
            </w:r>
          </w:p>
        </w:tc>
        <w:tc>
          <w:tcPr>
            <w:tcW w:w="5670" w:type="dxa"/>
            <w:noWrap/>
            <w:hideMark/>
          </w:tcPr>
          <w:p w14:paraId="67D2AD56" w14:textId="34C8F0E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817. O documento sob consulta e as orientações sobre a forma e o prazo para o envio das manifestações dos interessados serão divulgados no sítio eletrônico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na internet.</w:t>
            </w:r>
          </w:p>
        </w:tc>
        <w:tc>
          <w:tcPr>
            <w:tcW w:w="3194" w:type="dxa"/>
            <w:noWrap/>
            <w:hideMark/>
          </w:tcPr>
          <w:p w14:paraId="1850AC7D" w14:textId="33DFB22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4E47778" w14:textId="77777777" w:rsidTr="091F0907">
        <w:trPr>
          <w:trHeight w:val="840"/>
        </w:trPr>
        <w:tc>
          <w:tcPr>
            <w:tcW w:w="5949" w:type="dxa"/>
            <w:noWrap/>
            <w:hideMark/>
          </w:tcPr>
          <w:p w14:paraId="1AD091AC"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O prazo referido no caput terá duração proporcional à complexidade do objeto da consulta, não sendo inferior a quarenta e cinco dias, ressalvados os casos excepcionais de urgência e relevância, devidamente motivados.</w:t>
            </w:r>
          </w:p>
        </w:tc>
        <w:tc>
          <w:tcPr>
            <w:tcW w:w="5670" w:type="dxa"/>
            <w:noWrap/>
            <w:hideMark/>
          </w:tcPr>
          <w:p w14:paraId="4E713EA3" w14:textId="05260A80"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Parágrafo único. O prazo referido no caput terá duração proporcional à complexidade do objeto da consulta, não sendo inferior a quarenta e cinco dias, ressalvados os casos excepcionais de urgência e relevância, devidamente motivados.</w:t>
            </w:r>
          </w:p>
        </w:tc>
        <w:tc>
          <w:tcPr>
            <w:tcW w:w="3194" w:type="dxa"/>
            <w:noWrap/>
            <w:hideMark/>
          </w:tcPr>
          <w:p w14:paraId="697CD42B" w14:textId="6F85A05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7F5C6F2" w14:textId="77777777" w:rsidTr="091F0907">
        <w:trPr>
          <w:trHeight w:val="560"/>
        </w:trPr>
        <w:tc>
          <w:tcPr>
            <w:tcW w:w="5949" w:type="dxa"/>
            <w:noWrap/>
            <w:hideMark/>
          </w:tcPr>
          <w:p w14:paraId="7BC82E7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4º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disponibilizará no início da consulta pública, por meio do Sistema de Consultas e Normas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a documentação necessária para análise.</w:t>
            </w:r>
          </w:p>
        </w:tc>
        <w:tc>
          <w:tcPr>
            <w:tcW w:w="5670" w:type="dxa"/>
            <w:noWrap/>
            <w:hideMark/>
          </w:tcPr>
          <w:p w14:paraId="49ABF023" w14:textId="370E71E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818.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disponibilizará no início da consulta pública, por meio do Sistema de Consultas e Normas da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a documentação necessária para análise.</w:t>
            </w:r>
          </w:p>
        </w:tc>
        <w:tc>
          <w:tcPr>
            <w:tcW w:w="3194" w:type="dxa"/>
            <w:noWrap/>
            <w:hideMark/>
          </w:tcPr>
          <w:p w14:paraId="64284541" w14:textId="72F17DFB"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0726527A" w14:textId="77777777" w:rsidTr="091F0907">
        <w:trPr>
          <w:trHeight w:val="1120"/>
        </w:trPr>
        <w:tc>
          <w:tcPr>
            <w:tcW w:w="5949" w:type="dxa"/>
            <w:noWrap/>
            <w:hideMark/>
          </w:tcPr>
          <w:p w14:paraId="2ADE272E"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5º Após decisão final sobre a matéria,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disponibilizará em seu sítio eletrônico na internet a análise das manifestações recebidas no processo de consulta pública, resguardado o direito da autarquia de não comentar ou considerar individualmente as manifestações recebidas.</w:t>
            </w:r>
          </w:p>
        </w:tc>
        <w:tc>
          <w:tcPr>
            <w:tcW w:w="5670" w:type="dxa"/>
            <w:noWrap/>
            <w:hideMark/>
          </w:tcPr>
          <w:p w14:paraId="2791CD87" w14:textId="394B49BB"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819. Após decisão final sobre a matéria,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disponibilizará em seu sítio eletrônico na internet a análise das manifestações recebidas no processo de consulta pública, resguardado o direito da autarquia de não comentar ou considerar individualmente as manifestações recebidas.</w:t>
            </w:r>
          </w:p>
        </w:tc>
        <w:tc>
          <w:tcPr>
            <w:tcW w:w="3194" w:type="dxa"/>
            <w:noWrap/>
            <w:hideMark/>
          </w:tcPr>
          <w:p w14:paraId="1F868844" w14:textId="491033F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8C5AD3F" w14:textId="77777777" w:rsidTr="091F0907">
        <w:trPr>
          <w:trHeight w:val="840"/>
        </w:trPr>
        <w:tc>
          <w:tcPr>
            <w:tcW w:w="5949" w:type="dxa"/>
            <w:noWrap/>
            <w:hideMark/>
          </w:tcPr>
          <w:p w14:paraId="6436C78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Parágrafo único. Para fins do disposto no caput,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poderá agrupar as manifestações recebidas por conexão e eliminar as repetidas e as de conteúdo não conexo ou irrelevante para a matéria em análise.</w:t>
            </w:r>
          </w:p>
        </w:tc>
        <w:tc>
          <w:tcPr>
            <w:tcW w:w="5670" w:type="dxa"/>
            <w:noWrap/>
            <w:hideMark/>
          </w:tcPr>
          <w:p w14:paraId="249111CF" w14:textId="0D8D9C26"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Parágrafo único. Para fins do disposto no caput,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poderá agrupar as manifestações recebidas por conexão e eliminar as repetidas e as de conteúdo não conexo ou irrelevante para a matéria em análise.</w:t>
            </w:r>
          </w:p>
        </w:tc>
        <w:tc>
          <w:tcPr>
            <w:tcW w:w="3194" w:type="dxa"/>
            <w:noWrap/>
            <w:hideMark/>
          </w:tcPr>
          <w:p w14:paraId="6C64F987" w14:textId="62D36E2C"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3B739E77" w14:textId="77777777" w:rsidTr="091F0907">
        <w:trPr>
          <w:trHeight w:val="290"/>
        </w:trPr>
        <w:tc>
          <w:tcPr>
            <w:tcW w:w="5949" w:type="dxa"/>
            <w:noWrap/>
            <w:hideMark/>
          </w:tcPr>
          <w:p w14:paraId="529437CE"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Da audiência pública</w:t>
            </w:r>
          </w:p>
        </w:tc>
        <w:tc>
          <w:tcPr>
            <w:tcW w:w="5670" w:type="dxa"/>
            <w:noWrap/>
            <w:hideMark/>
          </w:tcPr>
          <w:p w14:paraId="0A9E96F5" w14:textId="2CAD26BA"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Subseção III</w:t>
            </w:r>
          </w:p>
          <w:p w14:paraId="1B2DC5A9" w14:textId="0A1960AE"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Audiência pública</w:t>
            </w:r>
          </w:p>
        </w:tc>
        <w:tc>
          <w:tcPr>
            <w:tcW w:w="3194" w:type="dxa"/>
            <w:noWrap/>
            <w:hideMark/>
          </w:tcPr>
          <w:p w14:paraId="4604A67B" w14:textId="1A8C898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0D9B495D" w14:textId="77777777" w:rsidTr="091F0907">
        <w:trPr>
          <w:trHeight w:val="1120"/>
        </w:trPr>
        <w:tc>
          <w:tcPr>
            <w:tcW w:w="5949" w:type="dxa"/>
            <w:noWrap/>
            <w:hideMark/>
          </w:tcPr>
          <w:p w14:paraId="5D9316A4"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6º Para fins desta Resolução, audiência pública é o processo de participação social que tem a finalidade de receber subsídios para a tomada de decisão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de sessão pública previamente destinada a debater temas de sua competência, sendo facultada a manifestação oral ou escrita por qualquer interessado.</w:t>
            </w:r>
          </w:p>
        </w:tc>
        <w:tc>
          <w:tcPr>
            <w:tcW w:w="5670" w:type="dxa"/>
            <w:noWrap/>
            <w:hideMark/>
          </w:tcPr>
          <w:p w14:paraId="6ED8827E" w14:textId="53636873"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820. Para fins desta Resolução, audiência pública é o processo de participação social que tem a finalidade de receber subsídios para a tomada de decisão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de sessão pública previamente destinada a debater temas de sua competência, sendo facultada a manifestação oral ou escrita por qualquer interessado.</w:t>
            </w:r>
          </w:p>
        </w:tc>
        <w:tc>
          <w:tcPr>
            <w:tcW w:w="3194" w:type="dxa"/>
            <w:noWrap/>
            <w:hideMark/>
          </w:tcPr>
          <w:p w14:paraId="031311B7" w14:textId="3907B8C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497D5070" w14:textId="77777777" w:rsidTr="091F0907">
        <w:trPr>
          <w:trHeight w:val="560"/>
        </w:trPr>
        <w:tc>
          <w:tcPr>
            <w:tcW w:w="5949" w:type="dxa"/>
            <w:noWrap/>
            <w:hideMark/>
          </w:tcPr>
          <w:p w14:paraId="195A2AE3"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7º A audiência pública será realizada em data, horário e local previamente divulgados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de aviso publicado em seu sítio eletrônico na internet.</w:t>
            </w:r>
          </w:p>
        </w:tc>
        <w:tc>
          <w:tcPr>
            <w:tcW w:w="5670" w:type="dxa"/>
            <w:noWrap/>
            <w:hideMark/>
          </w:tcPr>
          <w:p w14:paraId="332C167D" w14:textId="1613561C"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821. A audiência pública será realizada em data, horário e local previamente divulgados pela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por meio de aviso publicado em seu sítio eletrônico na internet.</w:t>
            </w:r>
          </w:p>
        </w:tc>
        <w:tc>
          <w:tcPr>
            <w:tcW w:w="3194" w:type="dxa"/>
            <w:noWrap/>
            <w:hideMark/>
          </w:tcPr>
          <w:p w14:paraId="3D6792F3" w14:textId="1E2DA654"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7A493BA0" w14:textId="77777777" w:rsidTr="091F0907">
        <w:trPr>
          <w:trHeight w:val="560"/>
        </w:trPr>
        <w:tc>
          <w:tcPr>
            <w:tcW w:w="5949" w:type="dxa"/>
            <w:noWrap/>
            <w:hideMark/>
          </w:tcPr>
          <w:p w14:paraId="6783C28F"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Parágrafo único. A realização da audiência pública poderá ocorrer de forma presencial ou com o auxílio de plataformas eletrônicas de reuniões.</w:t>
            </w:r>
          </w:p>
        </w:tc>
        <w:tc>
          <w:tcPr>
            <w:tcW w:w="5670" w:type="dxa"/>
            <w:noWrap/>
            <w:hideMark/>
          </w:tcPr>
          <w:p w14:paraId="44CBDB0A" w14:textId="3FB822A1"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Parágrafo único. A realização da audiência pública poderá ocorrer de forma presencial ou com o auxílio de plataformas eletrônicas de reuniões.</w:t>
            </w:r>
          </w:p>
        </w:tc>
        <w:tc>
          <w:tcPr>
            <w:tcW w:w="3194" w:type="dxa"/>
            <w:noWrap/>
            <w:hideMark/>
          </w:tcPr>
          <w:p w14:paraId="5B9EE878" w14:textId="7386BDFA"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0BB672EB" w14:textId="77777777" w:rsidTr="091F0907">
        <w:trPr>
          <w:trHeight w:val="290"/>
        </w:trPr>
        <w:tc>
          <w:tcPr>
            <w:tcW w:w="5949" w:type="dxa"/>
            <w:noWrap/>
            <w:hideMark/>
          </w:tcPr>
          <w:p w14:paraId="668168E0"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Das consultas e audiências restritas</w:t>
            </w:r>
          </w:p>
        </w:tc>
        <w:tc>
          <w:tcPr>
            <w:tcW w:w="5670" w:type="dxa"/>
            <w:noWrap/>
            <w:hideMark/>
          </w:tcPr>
          <w:p w14:paraId="518C05CA" w14:textId="253089AD" w:rsidR="001839A7" w:rsidRPr="00DC28D3" w:rsidRDefault="001839A7" w:rsidP="001839A7">
            <w:pPr>
              <w:jc w:val="center"/>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Subseção IV</w:t>
            </w:r>
          </w:p>
          <w:p w14:paraId="0DA14E0B" w14:textId="261011EA" w:rsidR="001839A7" w:rsidRPr="00DC28D3" w:rsidRDefault="001839A7" w:rsidP="001839A7">
            <w:pPr>
              <w:jc w:val="center"/>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Consultas e audiências restritas</w:t>
            </w:r>
          </w:p>
        </w:tc>
        <w:tc>
          <w:tcPr>
            <w:tcW w:w="3194" w:type="dxa"/>
            <w:noWrap/>
            <w:hideMark/>
          </w:tcPr>
          <w:p w14:paraId="003BA85C" w14:textId="2A802204"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2FCDD99B" w14:textId="77777777" w:rsidTr="091F0907">
        <w:trPr>
          <w:trHeight w:val="1400"/>
        </w:trPr>
        <w:tc>
          <w:tcPr>
            <w:tcW w:w="5949" w:type="dxa"/>
            <w:noWrap/>
            <w:hideMark/>
          </w:tcPr>
          <w:p w14:paraId="71635C43"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Art. 8º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poderá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5670" w:type="dxa"/>
            <w:noWrap/>
            <w:hideMark/>
          </w:tcPr>
          <w:p w14:paraId="0BD77C15" w14:textId="5C2813C9"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162937"/>
                <w:sz w:val="24"/>
                <w:szCs w:val="24"/>
                <w:lang w:eastAsia="pt-BR"/>
              </w:rPr>
              <w:t xml:space="preserve">Art. 822. A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poderá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3194" w:type="dxa"/>
            <w:noWrap/>
            <w:hideMark/>
          </w:tcPr>
          <w:p w14:paraId="64BFDEA9" w14:textId="4924D326"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hAnsi="Calibri" w:cs="Calibri"/>
                <w:sz w:val="24"/>
                <w:szCs w:val="24"/>
              </w:rPr>
              <w:t>Texto original mantido.</w:t>
            </w:r>
          </w:p>
        </w:tc>
      </w:tr>
      <w:tr w:rsidR="001839A7" w:rsidRPr="00DC28D3" w14:paraId="5042690C" w14:textId="77777777" w:rsidTr="007B65BD">
        <w:trPr>
          <w:trHeight w:val="290"/>
        </w:trPr>
        <w:tc>
          <w:tcPr>
            <w:tcW w:w="5949" w:type="dxa"/>
            <w:noWrap/>
            <w:hideMark/>
          </w:tcPr>
          <w:p w14:paraId="0721CB7B"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Das disposições finais</w:t>
            </w:r>
          </w:p>
        </w:tc>
        <w:tc>
          <w:tcPr>
            <w:tcW w:w="5670" w:type="dxa"/>
            <w:noWrap/>
            <w:hideMark/>
          </w:tcPr>
          <w:p w14:paraId="3687DBB1"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tcPr>
          <w:p w14:paraId="1503DD03" w14:textId="14C10E97" w:rsidR="001839A7" w:rsidRPr="00DC28D3" w:rsidRDefault="00854222" w:rsidP="001839A7">
            <w:pPr>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Excluído</w:t>
            </w:r>
          </w:p>
        </w:tc>
      </w:tr>
      <w:tr w:rsidR="001839A7" w:rsidRPr="00DC28D3" w14:paraId="736B8A0C" w14:textId="77777777" w:rsidTr="007B65BD">
        <w:trPr>
          <w:trHeight w:val="290"/>
        </w:trPr>
        <w:tc>
          <w:tcPr>
            <w:tcW w:w="5949" w:type="dxa"/>
            <w:noWrap/>
            <w:hideMark/>
          </w:tcPr>
          <w:p w14:paraId="1EC4CA9A"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9º Ficam revogadas:</w:t>
            </w:r>
          </w:p>
        </w:tc>
        <w:tc>
          <w:tcPr>
            <w:tcW w:w="5670" w:type="dxa"/>
            <w:noWrap/>
            <w:hideMark/>
          </w:tcPr>
          <w:p w14:paraId="7E9D363B"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tcPr>
          <w:p w14:paraId="70366FCA" w14:textId="79808723" w:rsidR="001839A7" w:rsidRPr="00DC28D3" w:rsidRDefault="00854222" w:rsidP="001839A7">
            <w:pPr>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Excluído</w:t>
            </w:r>
          </w:p>
        </w:tc>
      </w:tr>
      <w:tr w:rsidR="001839A7" w:rsidRPr="00DC28D3" w14:paraId="7F029F89" w14:textId="77777777" w:rsidTr="007B65BD">
        <w:trPr>
          <w:trHeight w:val="290"/>
        </w:trPr>
        <w:tc>
          <w:tcPr>
            <w:tcW w:w="5949" w:type="dxa"/>
            <w:noWrap/>
            <w:hideMark/>
          </w:tcPr>
          <w:p w14:paraId="7F9BDD53"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 xml:space="preserve">I - a Instrução </w:t>
            </w:r>
            <w:proofErr w:type="spellStart"/>
            <w:r w:rsidRPr="00DC28D3">
              <w:rPr>
                <w:rFonts w:ascii="Calibri" w:eastAsia="Times New Roman" w:hAnsi="Calibri" w:cs="Calibri"/>
                <w:color w:val="162937"/>
                <w:sz w:val="24"/>
                <w:szCs w:val="24"/>
                <w:lang w:eastAsia="pt-BR"/>
              </w:rPr>
              <w:t>Previc</w:t>
            </w:r>
            <w:proofErr w:type="spellEnd"/>
            <w:r w:rsidRPr="00DC28D3">
              <w:rPr>
                <w:rFonts w:ascii="Calibri" w:eastAsia="Times New Roman" w:hAnsi="Calibri" w:cs="Calibri"/>
                <w:color w:val="162937"/>
                <w:sz w:val="24"/>
                <w:szCs w:val="24"/>
                <w:lang w:eastAsia="pt-BR"/>
              </w:rPr>
              <w:t xml:space="preserve"> nº 06, de 08 de setembro de 2010; e</w:t>
            </w:r>
          </w:p>
        </w:tc>
        <w:tc>
          <w:tcPr>
            <w:tcW w:w="5670" w:type="dxa"/>
            <w:noWrap/>
            <w:hideMark/>
          </w:tcPr>
          <w:p w14:paraId="1986B9CF"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tcPr>
          <w:p w14:paraId="6092E907" w14:textId="5D20B8C1" w:rsidR="001839A7" w:rsidRPr="00DC28D3" w:rsidRDefault="00854222" w:rsidP="001839A7">
            <w:pPr>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Excluído</w:t>
            </w:r>
          </w:p>
        </w:tc>
      </w:tr>
      <w:tr w:rsidR="001839A7" w:rsidRPr="00DC28D3" w14:paraId="0A053FDC" w14:textId="77777777" w:rsidTr="007B65BD">
        <w:trPr>
          <w:trHeight w:val="290"/>
        </w:trPr>
        <w:tc>
          <w:tcPr>
            <w:tcW w:w="5949" w:type="dxa"/>
            <w:noWrap/>
            <w:hideMark/>
          </w:tcPr>
          <w:p w14:paraId="22AF3D7D"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II - a Portaria nº 918, de 25 de setembro de 2018.</w:t>
            </w:r>
          </w:p>
        </w:tc>
        <w:tc>
          <w:tcPr>
            <w:tcW w:w="5670" w:type="dxa"/>
            <w:noWrap/>
            <w:hideMark/>
          </w:tcPr>
          <w:p w14:paraId="37D69B7C"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tcPr>
          <w:p w14:paraId="3F17AAEE" w14:textId="2A4471EE" w:rsidR="001839A7" w:rsidRPr="00DC28D3" w:rsidRDefault="00854222" w:rsidP="001839A7">
            <w:pPr>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Excluído</w:t>
            </w:r>
          </w:p>
        </w:tc>
      </w:tr>
      <w:tr w:rsidR="001839A7" w:rsidRPr="00DC28D3" w14:paraId="5C0354D4" w14:textId="77777777" w:rsidTr="007B65BD">
        <w:trPr>
          <w:trHeight w:val="290"/>
        </w:trPr>
        <w:tc>
          <w:tcPr>
            <w:tcW w:w="5949" w:type="dxa"/>
            <w:noWrap/>
            <w:hideMark/>
          </w:tcPr>
          <w:p w14:paraId="066F94C5" w14:textId="77777777" w:rsidR="001839A7" w:rsidRPr="00DC28D3" w:rsidRDefault="001839A7" w:rsidP="001839A7">
            <w:pPr>
              <w:jc w:val="both"/>
              <w:rPr>
                <w:rFonts w:ascii="Calibri" w:eastAsia="Times New Roman" w:hAnsi="Calibri" w:cs="Calibri"/>
                <w:color w:val="162937"/>
                <w:sz w:val="24"/>
                <w:szCs w:val="24"/>
                <w:lang w:eastAsia="pt-BR"/>
              </w:rPr>
            </w:pPr>
            <w:r w:rsidRPr="00DC28D3">
              <w:rPr>
                <w:rFonts w:ascii="Calibri" w:eastAsia="Times New Roman" w:hAnsi="Calibri" w:cs="Calibri"/>
                <w:color w:val="162937"/>
                <w:sz w:val="24"/>
                <w:szCs w:val="24"/>
                <w:lang w:eastAsia="pt-BR"/>
              </w:rPr>
              <w:t>Art. 10. Esta Resolução entra em vigor em 1º de novembro de 2021.</w:t>
            </w:r>
          </w:p>
        </w:tc>
        <w:tc>
          <w:tcPr>
            <w:tcW w:w="5670" w:type="dxa"/>
            <w:noWrap/>
            <w:hideMark/>
          </w:tcPr>
          <w:p w14:paraId="01AB05BD" w14:textId="77777777" w:rsidR="001839A7" w:rsidRPr="00DC28D3" w:rsidRDefault="001839A7" w:rsidP="001839A7">
            <w:pPr>
              <w:jc w:val="both"/>
              <w:rPr>
                <w:rFonts w:ascii="Calibri" w:eastAsia="Times New Roman" w:hAnsi="Calibri" w:cs="Calibri"/>
                <w:color w:val="000000"/>
                <w:sz w:val="24"/>
                <w:szCs w:val="24"/>
                <w:lang w:eastAsia="pt-BR"/>
              </w:rPr>
            </w:pPr>
            <w:r w:rsidRPr="00DC28D3">
              <w:rPr>
                <w:rFonts w:ascii="Calibri" w:eastAsia="Times New Roman" w:hAnsi="Calibri" w:cs="Calibri"/>
                <w:color w:val="000000"/>
                <w:sz w:val="24"/>
                <w:szCs w:val="24"/>
                <w:lang w:eastAsia="pt-BR"/>
              </w:rPr>
              <w:t> </w:t>
            </w:r>
          </w:p>
        </w:tc>
        <w:tc>
          <w:tcPr>
            <w:tcW w:w="3194" w:type="dxa"/>
            <w:noWrap/>
          </w:tcPr>
          <w:p w14:paraId="1907D1AB" w14:textId="1EAA7C9D" w:rsidR="001839A7" w:rsidRPr="00DC28D3" w:rsidRDefault="00854222" w:rsidP="001839A7">
            <w:pPr>
              <w:jc w:val="both"/>
              <w:rPr>
                <w:rFonts w:ascii="Calibri" w:eastAsia="Times New Roman" w:hAnsi="Calibri" w:cs="Calibri"/>
                <w:color w:val="000000"/>
                <w:sz w:val="24"/>
                <w:szCs w:val="24"/>
                <w:lang w:eastAsia="pt-BR"/>
              </w:rPr>
            </w:pPr>
            <w:r>
              <w:rPr>
                <w:rFonts w:ascii="Calibri" w:eastAsia="Times New Roman" w:hAnsi="Calibri" w:cs="Calibri"/>
                <w:color w:val="000000"/>
                <w:sz w:val="24"/>
                <w:szCs w:val="24"/>
                <w:lang w:eastAsia="pt-BR"/>
              </w:rPr>
              <w:t>Excluído</w:t>
            </w:r>
          </w:p>
        </w:tc>
      </w:tr>
    </w:tbl>
    <w:p w14:paraId="31AE3171" w14:textId="77777777" w:rsidR="004E5B90" w:rsidRPr="00DC28D3" w:rsidRDefault="004E5B90" w:rsidP="0013274B">
      <w:pPr>
        <w:jc w:val="both"/>
        <w:rPr>
          <w:rFonts w:ascii="Calibri" w:hAnsi="Calibri" w:cs="Calibri"/>
          <w:sz w:val="24"/>
          <w:szCs w:val="24"/>
        </w:rPr>
      </w:pPr>
    </w:p>
    <w:sectPr w:rsidR="004E5B90" w:rsidRPr="00DC28D3" w:rsidSect="001B69F9">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Rawline Medium">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ECC"/>
    <w:rsid w:val="000137F3"/>
    <w:rsid w:val="00023599"/>
    <w:rsid w:val="0002798D"/>
    <w:rsid w:val="00032C04"/>
    <w:rsid w:val="00052F65"/>
    <w:rsid w:val="00053408"/>
    <w:rsid w:val="000644BA"/>
    <w:rsid w:val="00077E71"/>
    <w:rsid w:val="000A2619"/>
    <w:rsid w:val="000E6BD2"/>
    <w:rsid w:val="000F7847"/>
    <w:rsid w:val="0010263B"/>
    <w:rsid w:val="00104A8F"/>
    <w:rsid w:val="0013274B"/>
    <w:rsid w:val="00177546"/>
    <w:rsid w:val="001839A7"/>
    <w:rsid w:val="001A3363"/>
    <w:rsid w:val="001A4172"/>
    <w:rsid w:val="001B69F9"/>
    <w:rsid w:val="001E0ED2"/>
    <w:rsid w:val="00213E0A"/>
    <w:rsid w:val="00223232"/>
    <w:rsid w:val="00241199"/>
    <w:rsid w:val="00246DE7"/>
    <w:rsid w:val="0026326E"/>
    <w:rsid w:val="00273FFF"/>
    <w:rsid w:val="00283ACF"/>
    <w:rsid w:val="002C7235"/>
    <w:rsid w:val="002D4727"/>
    <w:rsid w:val="002F4442"/>
    <w:rsid w:val="00304357"/>
    <w:rsid w:val="00341667"/>
    <w:rsid w:val="00356C05"/>
    <w:rsid w:val="00370635"/>
    <w:rsid w:val="00391540"/>
    <w:rsid w:val="003B74BB"/>
    <w:rsid w:val="003C4315"/>
    <w:rsid w:val="003F16BA"/>
    <w:rsid w:val="00432F2E"/>
    <w:rsid w:val="00452C5E"/>
    <w:rsid w:val="00465A34"/>
    <w:rsid w:val="004923E2"/>
    <w:rsid w:val="004C5EC5"/>
    <w:rsid w:val="004D4B77"/>
    <w:rsid w:val="004E5B90"/>
    <w:rsid w:val="004F43F8"/>
    <w:rsid w:val="005144BD"/>
    <w:rsid w:val="00543447"/>
    <w:rsid w:val="00575C37"/>
    <w:rsid w:val="005E334A"/>
    <w:rsid w:val="00681A89"/>
    <w:rsid w:val="00697ECC"/>
    <w:rsid w:val="006A7AAF"/>
    <w:rsid w:val="006A7E34"/>
    <w:rsid w:val="006C338D"/>
    <w:rsid w:val="006C7388"/>
    <w:rsid w:val="00726C03"/>
    <w:rsid w:val="00744ECA"/>
    <w:rsid w:val="00762955"/>
    <w:rsid w:val="00767FFB"/>
    <w:rsid w:val="0077443F"/>
    <w:rsid w:val="00775723"/>
    <w:rsid w:val="007B2864"/>
    <w:rsid w:val="007B65BD"/>
    <w:rsid w:val="007C4155"/>
    <w:rsid w:val="007E751A"/>
    <w:rsid w:val="007F022A"/>
    <w:rsid w:val="007F0A19"/>
    <w:rsid w:val="00821890"/>
    <w:rsid w:val="00827F2E"/>
    <w:rsid w:val="00854222"/>
    <w:rsid w:val="00855035"/>
    <w:rsid w:val="008732C3"/>
    <w:rsid w:val="00890F6B"/>
    <w:rsid w:val="008B0994"/>
    <w:rsid w:val="008C542B"/>
    <w:rsid w:val="009169DE"/>
    <w:rsid w:val="0094176A"/>
    <w:rsid w:val="00943F5A"/>
    <w:rsid w:val="009600B5"/>
    <w:rsid w:val="00982DC5"/>
    <w:rsid w:val="0098356A"/>
    <w:rsid w:val="00A15043"/>
    <w:rsid w:val="00A27F35"/>
    <w:rsid w:val="00A817BA"/>
    <w:rsid w:val="00A85946"/>
    <w:rsid w:val="00AE0456"/>
    <w:rsid w:val="00AE33CD"/>
    <w:rsid w:val="00AE40CC"/>
    <w:rsid w:val="00AE7E1C"/>
    <w:rsid w:val="00AF0890"/>
    <w:rsid w:val="00AF2F44"/>
    <w:rsid w:val="00B82718"/>
    <w:rsid w:val="00B856C3"/>
    <w:rsid w:val="00BC6226"/>
    <w:rsid w:val="00C03347"/>
    <w:rsid w:val="00C74046"/>
    <w:rsid w:val="00C87FE6"/>
    <w:rsid w:val="00C90EAE"/>
    <w:rsid w:val="00C94BD7"/>
    <w:rsid w:val="00C96506"/>
    <w:rsid w:val="00CA0B57"/>
    <w:rsid w:val="00D35529"/>
    <w:rsid w:val="00D45114"/>
    <w:rsid w:val="00D638EC"/>
    <w:rsid w:val="00DC28D3"/>
    <w:rsid w:val="00E256A2"/>
    <w:rsid w:val="00E42B10"/>
    <w:rsid w:val="00E51E99"/>
    <w:rsid w:val="00E63501"/>
    <w:rsid w:val="00EA3DCA"/>
    <w:rsid w:val="00EC024D"/>
    <w:rsid w:val="00EF6F50"/>
    <w:rsid w:val="00F26577"/>
    <w:rsid w:val="00F318A9"/>
    <w:rsid w:val="00F979CD"/>
    <w:rsid w:val="00FB0DE9"/>
    <w:rsid w:val="00FC012C"/>
    <w:rsid w:val="00FC19C2"/>
    <w:rsid w:val="091F090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73B82"/>
  <w15:chartTrackingRefBased/>
  <w15:docId w15:val="{8A5C0840-D9AD-4979-B19C-63A0537B2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9F9"/>
    <w:rPr>
      <w:kern w:val="0"/>
      <w14:ligatures w14:val="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B69F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53408"/>
    <w:pPr>
      <w:autoSpaceDE w:val="0"/>
      <w:autoSpaceDN w:val="0"/>
      <w:adjustRightInd w:val="0"/>
      <w:spacing w:after="0" w:line="240" w:lineRule="auto"/>
    </w:pPr>
    <w:rPr>
      <w:rFonts w:ascii="Rawline Medium" w:hAnsi="Rawline Medium" w:cs="Rawline Medium"/>
      <w:color w:val="000000"/>
      <w:kern w:val="0"/>
      <w:sz w:val="24"/>
      <w:szCs w:val="24"/>
    </w:rPr>
  </w:style>
  <w:style w:type="paragraph" w:styleId="PargrafodaLista">
    <w:name w:val="List Paragraph"/>
    <w:basedOn w:val="Normal"/>
    <w:uiPriority w:val="34"/>
    <w:qFormat/>
    <w:rsid w:val="00C87FE6"/>
    <w:pPr>
      <w:ind w:left="720"/>
      <w:contextualSpacing/>
    </w:pPr>
  </w:style>
  <w:style w:type="paragraph" w:styleId="Corpodetexto">
    <w:name w:val="Body Text"/>
    <w:basedOn w:val="Normal"/>
    <w:link w:val="CorpodetextoChar"/>
    <w:uiPriority w:val="99"/>
    <w:semiHidden/>
    <w:unhideWhenUsed/>
    <w:rsid w:val="00C7404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orpodetextoChar">
    <w:name w:val="Corpo de texto Char"/>
    <w:basedOn w:val="Fontepargpadro"/>
    <w:link w:val="Corpodetexto"/>
    <w:uiPriority w:val="99"/>
    <w:semiHidden/>
    <w:rsid w:val="00C74046"/>
    <w:rPr>
      <w:rFonts w:ascii="Times New Roman" w:eastAsia="Times New Roman" w:hAnsi="Times New Roman" w:cs="Times New Roman"/>
      <w:kern w:val="0"/>
      <w:sz w:val="24"/>
      <w:szCs w:val="24"/>
      <w:lang w:eastAsia="pt-B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0927">
      <w:bodyDiv w:val="1"/>
      <w:marLeft w:val="0"/>
      <w:marRight w:val="0"/>
      <w:marTop w:val="0"/>
      <w:marBottom w:val="0"/>
      <w:divBdr>
        <w:top w:val="none" w:sz="0" w:space="0" w:color="auto"/>
        <w:left w:val="none" w:sz="0" w:space="0" w:color="auto"/>
        <w:bottom w:val="none" w:sz="0" w:space="0" w:color="auto"/>
        <w:right w:val="none" w:sz="0" w:space="0" w:color="auto"/>
      </w:divBdr>
    </w:div>
    <w:div w:id="153959443">
      <w:bodyDiv w:val="1"/>
      <w:marLeft w:val="0"/>
      <w:marRight w:val="0"/>
      <w:marTop w:val="0"/>
      <w:marBottom w:val="0"/>
      <w:divBdr>
        <w:top w:val="none" w:sz="0" w:space="0" w:color="auto"/>
        <w:left w:val="none" w:sz="0" w:space="0" w:color="auto"/>
        <w:bottom w:val="none" w:sz="0" w:space="0" w:color="auto"/>
        <w:right w:val="none" w:sz="0" w:space="0" w:color="auto"/>
      </w:divBdr>
    </w:div>
    <w:div w:id="290987726">
      <w:bodyDiv w:val="1"/>
      <w:marLeft w:val="0"/>
      <w:marRight w:val="0"/>
      <w:marTop w:val="0"/>
      <w:marBottom w:val="0"/>
      <w:divBdr>
        <w:top w:val="none" w:sz="0" w:space="0" w:color="auto"/>
        <w:left w:val="none" w:sz="0" w:space="0" w:color="auto"/>
        <w:bottom w:val="none" w:sz="0" w:space="0" w:color="auto"/>
        <w:right w:val="none" w:sz="0" w:space="0" w:color="auto"/>
      </w:divBdr>
    </w:div>
    <w:div w:id="884636030">
      <w:bodyDiv w:val="1"/>
      <w:marLeft w:val="0"/>
      <w:marRight w:val="0"/>
      <w:marTop w:val="0"/>
      <w:marBottom w:val="0"/>
      <w:divBdr>
        <w:top w:val="none" w:sz="0" w:space="0" w:color="auto"/>
        <w:left w:val="none" w:sz="0" w:space="0" w:color="auto"/>
        <w:bottom w:val="none" w:sz="0" w:space="0" w:color="auto"/>
        <w:right w:val="none" w:sz="0" w:space="0" w:color="auto"/>
      </w:divBdr>
    </w:div>
    <w:div w:id="139867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4D6C7E462340040936DDFF7E07BAD03" ma:contentTypeVersion="10" ma:contentTypeDescription="Crie um novo documento." ma:contentTypeScope="" ma:versionID="2367b171ebc9a2c0f18608a252cbfd70">
  <xsd:schema xmlns:xsd="http://www.w3.org/2001/XMLSchema" xmlns:xs="http://www.w3.org/2001/XMLSchema" xmlns:p="http://schemas.microsoft.com/office/2006/metadata/properties" xmlns:ns3="a8444ac8-cd35-404d-ac22-befc6b2a4865" xmlns:ns4="fd5c75e6-77ad-4542-8b45-827dc9162fe5" targetNamespace="http://schemas.microsoft.com/office/2006/metadata/properties" ma:root="true" ma:fieldsID="910166ee0f22627e7040b4c316ade3a4" ns3:_="" ns4:_="">
    <xsd:import namespace="a8444ac8-cd35-404d-ac22-befc6b2a4865"/>
    <xsd:import namespace="fd5c75e6-77ad-4542-8b45-827dc9162fe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444ac8-cd35-404d-ac22-befc6b2a48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5c75e6-77ad-4542-8b45-827dc9162fe5" elementFormDefault="qualified">
    <xsd:import namespace="http://schemas.microsoft.com/office/2006/documentManagement/types"/>
    <xsd:import namespace="http://schemas.microsoft.com/office/infopath/2007/PartnerControls"/>
    <xsd:element name="SharedWithUsers" ma:index="10"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hes de Compartilhado Com" ma:internalName="SharedWithDetails" ma:readOnly="true">
      <xsd:simpleType>
        <xsd:restriction base="dms:Note">
          <xsd:maxLength value="255"/>
        </xsd:restriction>
      </xsd:simpleType>
    </xsd:element>
    <xsd:element name="SharingHintHash" ma:index="12"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8444ac8-cd35-404d-ac22-befc6b2a486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44153-4A56-4348-9370-0FFBEBFBF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444ac8-cd35-404d-ac22-befc6b2a4865"/>
    <ds:schemaRef ds:uri="fd5c75e6-77ad-4542-8b45-827dc9162f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1623A2-568C-413F-84D1-D83BD4FA7DA8}">
  <ds:schemaRefs>
    <ds:schemaRef ds:uri="a8444ac8-cd35-404d-ac22-befc6b2a4865"/>
    <ds:schemaRef ds:uri="http://schemas.microsoft.com/office/2006/documentManagement/types"/>
    <ds:schemaRef ds:uri="http://purl.org/dc/dcmitype/"/>
    <ds:schemaRef ds:uri="fd5c75e6-77ad-4542-8b45-827dc9162fe5"/>
    <ds:schemaRef ds:uri="http://purl.org/dc/term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76C3D6CA-E9BF-4BAC-9811-46E50DA39A73}">
  <ds:schemaRefs>
    <ds:schemaRef ds:uri="http://schemas.microsoft.com/sharepoint/v3/contenttype/forms"/>
  </ds:schemaRefs>
</ds:datastoreItem>
</file>

<file path=customXml/itemProps4.xml><?xml version="1.0" encoding="utf-8"?>
<ds:datastoreItem xmlns:ds="http://schemas.openxmlformats.org/officeDocument/2006/customXml" ds:itemID="{68AEF31C-8F23-4B1B-9FD7-27720BF18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11</Pages>
  <Words>4063</Words>
  <Characters>21942</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Nasser de Freitas Borges Barbosa</dc:creator>
  <cp:keywords/>
  <dc:description/>
  <cp:lastModifiedBy>Maurelio Coelho Barbosa - PREVICDF</cp:lastModifiedBy>
  <cp:revision>13</cp:revision>
  <dcterms:created xsi:type="dcterms:W3CDTF">2023-04-18T22:13:00Z</dcterms:created>
  <dcterms:modified xsi:type="dcterms:W3CDTF">2023-04-26T14:40:00Z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0x01010034D6C7E462340040936DDFF7E07BAD03</vt:lpwstr>
  </property>
</Properties>
</file>