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CEE2E0" w14:textId="77777777" w:rsidR="000E65D4" w:rsidRDefault="000E65D4" w:rsidP="00376089">
      <w:pPr>
        <w:spacing w:before="120" w:after="0" w:line="240" w:lineRule="auto"/>
        <w:jc w:val="center"/>
        <w:rPr>
          <w:rFonts w:ascii="Calibri" w:hAnsi="Calibri" w:cs="Calibri"/>
          <w:sz w:val="24"/>
          <w:szCs w:val="24"/>
        </w:rPr>
      </w:pPr>
    </w:p>
    <w:p w14:paraId="78992699" w14:textId="77777777" w:rsidR="000E65D4" w:rsidRDefault="000E65D4" w:rsidP="00376089">
      <w:pPr>
        <w:spacing w:before="120" w:after="0" w:line="240" w:lineRule="auto"/>
        <w:jc w:val="center"/>
        <w:rPr>
          <w:rFonts w:ascii="Calibri" w:hAnsi="Calibri" w:cs="Calibri"/>
          <w:sz w:val="24"/>
          <w:szCs w:val="24"/>
        </w:rPr>
      </w:pPr>
    </w:p>
    <w:p w14:paraId="7F5635EE" w14:textId="5CE281C4" w:rsidR="000E65D4" w:rsidRPr="000E65D4" w:rsidRDefault="000E65D4" w:rsidP="000E65D4">
      <w:pPr>
        <w:spacing w:before="120" w:after="0" w:line="240" w:lineRule="auto"/>
        <w:jc w:val="both"/>
        <w:rPr>
          <w:rFonts w:ascii="Calibri" w:hAnsi="Calibri" w:cs="Calibri"/>
          <w:color w:val="FF0000"/>
          <w:sz w:val="24"/>
          <w:szCs w:val="24"/>
        </w:rPr>
      </w:pPr>
      <w:r w:rsidRPr="000E65D4">
        <w:rPr>
          <w:rFonts w:ascii="Calibri" w:hAnsi="Calibri" w:cs="Calibri"/>
          <w:b/>
          <w:color w:val="FF0000"/>
          <w:sz w:val="24"/>
          <w:szCs w:val="24"/>
        </w:rPr>
        <w:t>Normas Correlatas</w:t>
      </w:r>
      <w:r w:rsidRPr="000E65D4">
        <w:rPr>
          <w:rFonts w:ascii="Calibri" w:hAnsi="Calibri" w:cs="Calibri"/>
          <w:color w:val="FF0000"/>
          <w:sz w:val="24"/>
          <w:szCs w:val="24"/>
        </w:rPr>
        <w:t>:</w:t>
      </w:r>
    </w:p>
    <w:p w14:paraId="4519D4BE" w14:textId="36F3B006" w:rsidR="000E65D4" w:rsidRPr="000E65D4" w:rsidRDefault="000E65D4" w:rsidP="000E65D4">
      <w:pPr>
        <w:spacing w:before="120" w:after="0" w:line="240" w:lineRule="auto"/>
        <w:jc w:val="both"/>
        <w:rPr>
          <w:rFonts w:ascii="Calibri" w:hAnsi="Calibri" w:cs="Calibri"/>
          <w:color w:val="FF0000"/>
          <w:sz w:val="24"/>
          <w:szCs w:val="24"/>
        </w:rPr>
      </w:pPr>
      <w:r w:rsidRPr="000E65D4">
        <w:rPr>
          <w:rFonts w:ascii="Calibri" w:hAnsi="Calibri" w:cs="Calibri"/>
          <w:b/>
          <w:color w:val="FF0000"/>
          <w:sz w:val="24"/>
          <w:szCs w:val="24"/>
        </w:rPr>
        <w:t>Revisar:</w:t>
      </w:r>
      <w:r>
        <w:rPr>
          <w:rFonts w:ascii="Calibri" w:hAnsi="Calibri" w:cs="Calibri"/>
          <w:color w:val="FF0000"/>
          <w:sz w:val="24"/>
          <w:szCs w:val="24"/>
        </w:rPr>
        <w:t xml:space="preserve"> </w:t>
      </w:r>
      <w:r w:rsidRPr="000E65D4">
        <w:rPr>
          <w:rFonts w:ascii="Calibri" w:hAnsi="Calibri" w:cs="Calibri"/>
          <w:color w:val="FF0000"/>
          <w:sz w:val="24"/>
          <w:szCs w:val="24"/>
        </w:rPr>
        <w:t xml:space="preserve">Portaria n° 848, de 19 de </w:t>
      </w:r>
      <w:proofErr w:type="gramStart"/>
      <w:r w:rsidRPr="000E65D4">
        <w:rPr>
          <w:rFonts w:ascii="Calibri" w:hAnsi="Calibri" w:cs="Calibri"/>
          <w:color w:val="FF0000"/>
          <w:sz w:val="24"/>
          <w:szCs w:val="24"/>
        </w:rPr>
        <w:t>Setembro</w:t>
      </w:r>
      <w:proofErr w:type="gramEnd"/>
      <w:r w:rsidRPr="000E65D4">
        <w:rPr>
          <w:rFonts w:ascii="Calibri" w:hAnsi="Calibri" w:cs="Calibri"/>
          <w:color w:val="FF0000"/>
          <w:sz w:val="24"/>
          <w:szCs w:val="24"/>
        </w:rPr>
        <w:t xml:space="preserve"> de 2022 (Dispõe sobre o fluxo e os procedimentos internos para atendimento das consultas enviadas pelas entidades fechadas de previdência complementar.)</w:t>
      </w:r>
    </w:p>
    <w:p w14:paraId="0D354FD3" w14:textId="3915F399" w:rsidR="000E65D4" w:rsidRDefault="000E65D4" w:rsidP="000E65D4">
      <w:pPr>
        <w:spacing w:before="120" w:after="0" w:line="240" w:lineRule="auto"/>
        <w:jc w:val="both"/>
        <w:rPr>
          <w:rFonts w:ascii="Calibri" w:hAnsi="Calibri" w:cs="Calibri"/>
          <w:color w:val="FF0000"/>
          <w:sz w:val="24"/>
          <w:szCs w:val="24"/>
        </w:rPr>
      </w:pPr>
      <w:r w:rsidRPr="000E65D4">
        <w:rPr>
          <w:rFonts w:ascii="Calibri" w:hAnsi="Calibri" w:cs="Calibri"/>
          <w:b/>
          <w:color w:val="FF0000"/>
          <w:sz w:val="24"/>
          <w:szCs w:val="24"/>
        </w:rPr>
        <w:t>Revogar:</w:t>
      </w:r>
      <w:r>
        <w:rPr>
          <w:rFonts w:ascii="Calibri" w:hAnsi="Calibri" w:cs="Calibri"/>
          <w:color w:val="FF0000"/>
          <w:sz w:val="24"/>
          <w:szCs w:val="24"/>
        </w:rPr>
        <w:t xml:space="preserve"> </w:t>
      </w:r>
      <w:r w:rsidRPr="000E65D4">
        <w:rPr>
          <w:rFonts w:ascii="Calibri" w:hAnsi="Calibri" w:cs="Calibri"/>
          <w:color w:val="FF0000"/>
          <w:sz w:val="24"/>
          <w:szCs w:val="24"/>
        </w:rPr>
        <w:t xml:space="preserve">Resolução </w:t>
      </w:r>
      <w:proofErr w:type="spellStart"/>
      <w:r w:rsidRPr="000E65D4">
        <w:rPr>
          <w:rFonts w:ascii="Calibri" w:hAnsi="Calibri" w:cs="Calibri"/>
          <w:color w:val="FF0000"/>
          <w:sz w:val="24"/>
          <w:szCs w:val="24"/>
        </w:rPr>
        <w:t>Previc</w:t>
      </w:r>
      <w:proofErr w:type="spellEnd"/>
      <w:r w:rsidRPr="000E65D4">
        <w:rPr>
          <w:rFonts w:ascii="Calibri" w:hAnsi="Calibri" w:cs="Calibri"/>
          <w:color w:val="FF0000"/>
          <w:sz w:val="24"/>
          <w:szCs w:val="24"/>
        </w:rPr>
        <w:t xml:space="preserve"> nº 5, de 27 de outubro de 2021</w:t>
      </w:r>
      <w:r>
        <w:rPr>
          <w:rFonts w:ascii="Calibri" w:hAnsi="Calibri" w:cs="Calibri"/>
          <w:color w:val="FF0000"/>
          <w:sz w:val="24"/>
          <w:szCs w:val="24"/>
        </w:rPr>
        <w:t xml:space="preserve"> (</w:t>
      </w:r>
      <w:r w:rsidRPr="000E65D4">
        <w:rPr>
          <w:rFonts w:ascii="Calibri" w:hAnsi="Calibri" w:cs="Calibri"/>
          <w:color w:val="FF0000"/>
          <w:sz w:val="24"/>
          <w:szCs w:val="24"/>
        </w:rPr>
        <w:t xml:space="preserve">Disciplina a realização do processo de participação social no âmbito da Superintendência Nacional de Previdência Complementar - </w:t>
      </w:r>
      <w:proofErr w:type="spellStart"/>
      <w:r w:rsidRPr="000E65D4">
        <w:rPr>
          <w:rFonts w:ascii="Calibri" w:hAnsi="Calibri" w:cs="Calibri"/>
          <w:color w:val="FF0000"/>
          <w:sz w:val="24"/>
          <w:szCs w:val="24"/>
        </w:rPr>
        <w:t>Previc</w:t>
      </w:r>
      <w:proofErr w:type="spellEnd"/>
      <w:r w:rsidRPr="000E65D4">
        <w:rPr>
          <w:rFonts w:ascii="Calibri" w:hAnsi="Calibri" w:cs="Calibri"/>
          <w:color w:val="FF0000"/>
          <w:sz w:val="24"/>
          <w:szCs w:val="24"/>
        </w:rPr>
        <w:t>.</w:t>
      </w:r>
      <w:r>
        <w:rPr>
          <w:rFonts w:ascii="Calibri" w:hAnsi="Calibri" w:cs="Calibri"/>
          <w:color w:val="FF0000"/>
          <w:sz w:val="24"/>
          <w:szCs w:val="24"/>
        </w:rPr>
        <w:t>)</w:t>
      </w:r>
    </w:p>
    <w:p w14:paraId="0F54A537" w14:textId="75B0B296" w:rsidR="000E65D4" w:rsidRDefault="000E65D4" w:rsidP="000E65D4">
      <w:pPr>
        <w:spacing w:before="120" w:after="0" w:line="240" w:lineRule="auto"/>
        <w:jc w:val="both"/>
        <w:rPr>
          <w:rFonts w:ascii="Calibri" w:hAnsi="Calibri" w:cs="Calibri"/>
          <w:color w:val="FF0000"/>
          <w:sz w:val="24"/>
          <w:szCs w:val="24"/>
        </w:rPr>
      </w:pPr>
      <w:r w:rsidRPr="000E65D4">
        <w:rPr>
          <w:rFonts w:ascii="Calibri" w:hAnsi="Calibri" w:cs="Calibri"/>
          <w:b/>
          <w:color w:val="FF0000"/>
          <w:sz w:val="24"/>
          <w:szCs w:val="24"/>
        </w:rPr>
        <w:t>Revogar:</w:t>
      </w:r>
      <w:r>
        <w:rPr>
          <w:rFonts w:ascii="Calibri" w:hAnsi="Calibri" w:cs="Calibri"/>
          <w:color w:val="FF0000"/>
          <w:sz w:val="24"/>
          <w:szCs w:val="24"/>
        </w:rPr>
        <w:t xml:space="preserve"> </w:t>
      </w:r>
      <w:r w:rsidRPr="000E65D4">
        <w:rPr>
          <w:rFonts w:ascii="Calibri" w:hAnsi="Calibri" w:cs="Calibri"/>
          <w:color w:val="FF0000"/>
          <w:sz w:val="24"/>
          <w:szCs w:val="24"/>
        </w:rPr>
        <w:t xml:space="preserve">Resolução </w:t>
      </w:r>
      <w:proofErr w:type="spellStart"/>
      <w:r w:rsidRPr="000E65D4">
        <w:rPr>
          <w:rFonts w:ascii="Calibri" w:hAnsi="Calibri" w:cs="Calibri"/>
          <w:color w:val="FF0000"/>
          <w:sz w:val="24"/>
          <w:szCs w:val="24"/>
        </w:rPr>
        <w:t>Previc</w:t>
      </w:r>
      <w:proofErr w:type="spellEnd"/>
      <w:r w:rsidRPr="000E65D4">
        <w:rPr>
          <w:rFonts w:ascii="Calibri" w:hAnsi="Calibri" w:cs="Calibri"/>
          <w:color w:val="FF0000"/>
          <w:sz w:val="24"/>
          <w:szCs w:val="24"/>
        </w:rPr>
        <w:t xml:space="preserve"> nº 14, de 13 de setembro de 2022</w:t>
      </w:r>
      <w:r>
        <w:rPr>
          <w:rFonts w:ascii="Calibri" w:hAnsi="Calibri" w:cs="Calibri"/>
          <w:color w:val="FF0000"/>
          <w:sz w:val="24"/>
          <w:szCs w:val="24"/>
        </w:rPr>
        <w:t xml:space="preserve"> (</w:t>
      </w:r>
      <w:r w:rsidRPr="000E65D4">
        <w:rPr>
          <w:rFonts w:ascii="Calibri" w:hAnsi="Calibri" w:cs="Calibri"/>
          <w:color w:val="FF0000"/>
          <w:sz w:val="24"/>
          <w:szCs w:val="24"/>
        </w:rPr>
        <w:t>Dispõe sobre as consultas submetidas à Superintendência Nacional de Previdência Complementar pelas entidades fechadas de previdência complementar.</w:t>
      </w:r>
      <w:r>
        <w:rPr>
          <w:rFonts w:ascii="Calibri" w:hAnsi="Calibri" w:cs="Calibri"/>
          <w:color w:val="FF0000"/>
          <w:sz w:val="24"/>
          <w:szCs w:val="24"/>
        </w:rPr>
        <w:t>)</w:t>
      </w:r>
    </w:p>
    <w:p w14:paraId="50E2566A" w14:textId="77777777" w:rsidR="000E65D4" w:rsidRPr="000E65D4" w:rsidRDefault="000E65D4" w:rsidP="000E65D4">
      <w:pPr>
        <w:spacing w:before="120" w:after="0" w:line="240" w:lineRule="auto"/>
        <w:rPr>
          <w:rFonts w:ascii="Calibri" w:hAnsi="Calibri" w:cs="Calibri"/>
          <w:color w:val="FF0000"/>
          <w:sz w:val="24"/>
          <w:szCs w:val="24"/>
        </w:rPr>
      </w:pPr>
    </w:p>
    <w:p w14:paraId="6B14B840" w14:textId="77777777" w:rsidR="00C24E74" w:rsidRPr="000E65D4" w:rsidRDefault="00C24E74" w:rsidP="00C24E74">
      <w:pPr>
        <w:spacing w:before="120" w:after="0" w:line="240" w:lineRule="auto"/>
        <w:jc w:val="both"/>
        <w:rPr>
          <w:rFonts w:ascii="Calibri" w:hAnsi="Calibri" w:cs="Calibri"/>
          <w:b/>
          <w:color w:val="FF0000"/>
          <w:sz w:val="24"/>
          <w:szCs w:val="24"/>
        </w:rPr>
      </w:pPr>
      <w:r w:rsidRPr="000E65D4">
        <w:rPr>
          <w:rFonts w:ascii="Calibri" w:hAnsi="Calibri" w:cs="Calibri"/>
          <w:b/>
          <w:color w:val="FF0000"/>
          <w:sz w:val="24"/>
          <w:szCs w:val="24"/>
        </w:rPr>
        <w:t>Art. 823 Ficam revogadas:</w:t>
      </w:r>
    </w:p>
    <w:p w14:paraId="14ED512F" w14:textId="77777777" w:rsidR="00C24E74" w:rsidRPr="004C4014" w:rsidRDefault="00C24E74" w:rsidP="00C24E74">
      <w:pPr>
        <w:spacing w:before="120" w:after="0" w:line="240" w:lineRule="auto"/>
        <w:jc w:val="both"/>
        <w:rPr>
          <w:rFonts w:ascii="Calibri" w:hAnsi="Calibri" w:cs="Calibri"/>
          <w:color w:val="FF0000"/>
          <w:sz w:val="24"/>
          <w:szCs w:val="24"/>
        </w:rPr>
      </w:pPr>
      <w:r w:rsidRPr="004C4014">
        <w:rPr>
          <w:rFonts w:ascii="Calibri" w:hAnsi="Calibri" w:cs="Calibri"/>
          <w:color w:val="FF0000"/>
          <w:sz w:val="24"/>
          <w:szCs w:val="24"/>
        </w:rPr>
        <w:t xml:space="preserve">I - </w:t>
      </w:r>
      <w:proofErr w:type="gramStart"/>
      <w:r w:rsidRPr="004C4014">
        <w:rPr>
          <w:rFonts w:ascii="Calibri" w:hAnsi="Calibri" w:cs="Calibri"/>
          <w:color w:val="FF0000"/>
          <w:sz w:val="24"/>
          <w:szCs w:val="24"/>
        </w:rPr>
        <w:t>a</w:t>
      </w:r>
      <w:proofErr w:type="gramEnd"/>
      <w:r w:rsidRPr="004C4014">
        <w:rPr>
          <w:rFonts w:ascii="Calibri" w:hAnsi="Calibri" w:cs="Calibri"/>
          <w:color w:val="FF0000"/>
          <w:sz w:val="24"/>
          <w:szCs w:val="24"/>
        </w:rPr>
        <w:t xml:space="preserve"> Resolução PREVIC nº 5, de 27 de outubro de 2021.</w:t>
      </w:r>
    </w:p>
    <w:p w14:paraId="700AD831" w14:textId="6F503B22" w:rsidR="00C24E74" w:rsidRPr="004C4014" w:rsidRDefault="00C24E74" w:rsidP="00C24E74">
      <w:pPr>
        <w:spacing w:before="120" w:after="0" w:line="240" w:lineRule="auto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color w:val="FF0000"/>
          <w:sz w:val="24"/>
          <w:szCs w:val="24"/>
        </w:rPr>
        <w:t xml:space="preserve">II - </w:t>
      </w:r>
      <w:proofErr w:type="gramStart"/>
      <w:r w:rsidRPr="004C4014">
        <w:rPr>
          <w:rFonts w:ascii="Calibri" w:hAnsi="Calibri" w:cs="Calibri"/>
          <w:color w:val="FF0000"/>
          <w:sz w:val="24"/>
          <w:szCs w:val="24"/>
        </w:rPr>
        <w:t>a</w:t>
      </w:r>
      <w:proofErr w:type="gramEnd"/>
      <w:r w:rsidRPr="004C4014">
        <w:rPr>
          <w:rFonts w:ascii="Calibri" w:hAnsi="Calibri" w:cs="Calibri"/>
          <w:color w:val="FF0000"/>
          <w:sz w:val="24"/>
          <w:szCs w:val="24"/>
        </w:rPr>
        <w:t xml:space="preserve"> Resolução PREVIC nº 14, de 13 de setembro de 2022</w:t>
      </w:r>
    </w:p>
    <w:p w14:paraId="58B93A91" w14:textId="77777777" w:rsidR="00707A4E" w:rsidRPr="004C4014" w:rsidRDefault="00707A4E" w:rsidP="00707A4E">
      <w:pPr>
        <w:spacing w:before="120"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CAPÍTULO VII</w:t>
      </w:r>
    </w:p>
    <w:p w14:paraId="5508A04B" w14:textId="77777777" w:rsidR="00707A4E" w:rsidRPr="004C4014" w:rsidRDefault="00707A4E" w:rsidP="00707A4E">
      <w:pPr>
        <w:spacing w:before="120"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CONSULTAS E PARTICIPAÇÃO SOCIAL</w:t>
      </w:r>
    </w:p>
    <w:p w14:paraId="658ABA7A" w14:textId="452F0DEA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Seção I</w:t>
      </w:r>
    </w:p>
    <w:p w14:paraId="1620B73C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Consultas submetidas à Superintendência Nacional de Previdência Complementar</w:t>
      </w:r>
    </w:p>
    <w:p w14:paraId="6961FEC4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</w:t>
      </w:r>
    </w:p>
    <w:p w14:paraId="6F779239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Consulta e seu objeto</w:t>
      </w:r>
    </w:p>
    <w:p w14:paraId="5931798F" w14:textId="1C2613A3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801.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Esta Seção dispõe sobre as consultas submetidas à Superintendência Nacional de Previdência Complementar (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) pelas entidades fechadas de previdência complementar (EFPC).</w:t>
      </w:r>
    </w:p>
    <w:p w14:paraId="5A114FAB" w14:textId="7BCC14E0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Para os fins do disposto nesta Resolução, entende-se por consulta o requerimento que tenha por objeto a elucidação de dúvida relativa à aplicação, em caso concreto, das normas que disciplinam o regime de previdência complementar fechado.</w:t>
      </w:r>
    </w:p>
    <w:p w14:paraId="652A4276" w14:textId="5F49CC36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802.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EFPC deve encaminhar o requerimento para análise da diretoria competente, de acordo com a matéria objeto da consulta, observadas as seguintes competências:</w:t>
      </w:r>
    </w:p>
    <w:p w14:paraId="2144A5ED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I - Diretoria de Licenciamento:</w:t>
      </w:r>
    </w:p>
    <w:p w14:paraId="619E2EA4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a) constituição de EFPC;</w:t>
      </w:r>
    </w:p>
    <w:p w14:paraId="0C70369A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b) aplicação ou alteração de estatuto;</w:t>
      </w:r>
    </w:p>
    <w:p w14:paraId="47EB706F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c) habilitação ou certificação de dirigentes;</w:t>
      </w:r>
    </w:p>
    <w:p w14:paraId="2E453EE6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d) aplicação ou alteração de regulamento;</w:t>
      </w:r>
    </w:p>
    <w:p w14:paraId="318AB899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e) aplicação ou alteração de convênio de adesão;</w:t>
      </w:r>
    </w:p>
    <w:p w14:paraId="31D8A484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f) </w:t>
      </w:r>
      <w:proofErr w:type="spellStart"/>
      <w:r w:rsidRPr="004C4014">
        <w:rPr>
          <w:rFonts w:ascii="Calibri" w:hAnsi="Calibri" w:cs="Calibri"/>
          <w:sz w:val="24"/>
          <w:szCs w:val="24"/>
        </w:rPr>
        <w:t>saldamento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de plano de benefícios;</w:t>
      </w:r>
    </w:p>
    <w:p w14:paraId="5F2C3B1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g) transferência de gerenciamento de plano de benefícios;</w:t>
      </w:r>
    </w:p>
    <w:p w14:paraId="3EE4953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h) fusão, cisão e incorporação de planos de benefícios e de EFPC;</w:t>
      </w:r>
    </w:p>
    <w:p w14:paraId="623E067F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lastRenderedPageBreak/>
        <w:t>i) migração de participantes e assistidos;</w:t>
      </w:r>
    </w:p>
    <w:p w14:paraId="008C1EF7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j) operações estruturais relacionadas;</w:t>
      </w:r>
    </w:p>
    <w:p w14:paraId="1A8CA1A1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k) retirada de patrocínio;</w:t>
      </w:r>
    </w:p>
    <w:p w14:paraId="2021644D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l) rescisão unilateral de convênio de adesão;</w:t>
      </w:r>
    </w:p>
    <w:p w14:paraId="3C118F8A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m) destinação de reserva especial que envolva reversão de valores;</w:t>
      </w:r>
    </w:p>
    <w:p w14:paraId="08BC6DC0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n) encerramento de plano de benefícios e de EFPC;</w:t>
      </w:r>
    </w:p>
    <w:p w14:paraId="3FCB1AFE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o) certificação de modelo de regulamento de plano de benefícios e de convênio de adesão;</w:t>
      </w:r>
    </w:p>
    <w:p w14:paraId="6DD75D9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p) reconhecimento de instituição certificadora e de seus certificados; e</w:t>
      </w:r>
    </w:p>
    <w:p w14:paraId="7A2F139E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q) outros assuntos relativos a requerimentos de licenciamento.</w:t>
      </w:r>
    </w:p>
    <w:p w14:paraId="7B108E9A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II - Diretoria de Fiscalização e Monitoramento:</w:t>
      </w:r>
    </w:p>
    <w:p w14:paraId="453BB40A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a) plano de custeio, equacionamento de déficit, destinação de reserva especial que não envolva reversão de valores ou constituição de provisões ou fundos;</w:t>
      </w:r>
    </w:p>
    <w:p w14:paraId="1E76B47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b) demonstrações atuariais, contábeis ou de investimentos;</w:t>
      </w:r>
    </w:p>
    <w:p w14:paraId="4AF6AC26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c)  aplicações dos recursos garantidores; e</w:t>
      </w:r>
    </w:p>
    <w:p w14:paraId="743702FF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d) outros assuntos relativos a matérias atinentes ao regime de previdência complementar fechado.</w:t>
      </w:r>
    </w:p>
    <w:p w14:paraId="7D7ADEA1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III - Diretoria de Normas:</w:t>
      </w:r>
    </w:p>
    <w:p w14:paraId="6DBBB933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a) outros assuntos relativos a matérias atinentes ao regime de previdência complementar fechado.</w:t>
      </w:r>
    </w:p>
    <w:p w14:paraId="55BCDD53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II</w:t>
      </w:r>
    </w:p>
    <w:p w14:paraId="4983A679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Instrução da consulta</w:t>
      </w:r>
    </w:p>
    <w:p w14:paraId="5A964A52" w14:textId="2D2C10C1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803.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formulação da consulta pela EFPC deve conter:</w:t>
      </w:r>
    </w:p>
    <w:p w14:paraId="52AE07E0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4C4014">
        <w:rPr>
          <w:rFonts w:ascii="Calibri" w:hAnsi="Calibri" w:cs="Calibri"/>
          <w:sz w:val="24"/>
          <w:szCs w:val="24"/>
        </w:rPr>
        <w:t>identificação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da EFPC ou do plano de benefícios objeto da consulta;</w:t>
      </w:r>
    </w:p>
    <w:p w14:paraId="7970FF47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4C4014">
        <w:rPr>
          <w:rFonts w:ascii="Calibri" w:hAnsi="Calibri" w:cs="Calibri"/>
          <w:sz w:val="24"/>
          <w:szCs w:val="24"/>
        </w:rPr>
        <w:t>indicação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do objeto da consulta, dentre as matérias relacionadas no art. 802, bem como a indicação dos dispositivos legais e normativos pertinentes;</w:t>
      </w:r>
    </w:p>
    <w:p w14:paraId="7EFE3E00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III - formulação do questionamento de forma clara e precisa, expresso sob a forma de quesitos, com indicação objetiva dos procedimentos, conceitos ou dispositivos normativos sobre os quais há dúvida; e</w:t>
      </w:r>
    </w:p>
    <w:p w14:paraId="7A9D85E6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IV - </w:t>
      </w:r>
      <w:proofErr w:type="gramStart"/>
      <w:r w:rsidRPr="004C4014">
        <w:rPr>
          <w:rFonts w:ascii="Calibri" w:hAnsi="Calibri" w:cs="Calibri"/>
          <w:sz w:val="24"/>
          <w:szCs w:val="24"/>
        </w:rPr>
        <w:t>entendimento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da EFPC sobre a matéria.</w:t>
      </w:r>
    </w:p>
    <w:p w14:paraId="0826CB29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A consulta deve ser instruída com todas as informações e documentos necessários à </w:t>
      </w:r>
      <w:proofErr w:type="gramStart"/>
      <w:r w:rsidRPr="004C4014">
        <w:rPr>
          <w:rFonts w:ascii="Calibri" w:hAnsi="Calibri" w:cs="Calibri"/>
          <w:sz w:val="24"/>
          <w:szCs w:val="24"/>
        </w:rPr>
        <w:t>completa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compreensão da matéria.</w:t>
      </w:r>
    </w:p>
    <w:p w14:paraId="534C8816" w14:textId="0E8B8D7D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804.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Não se conhece a consulta:</w:t>
      </w:r>
    </w:p>
    <w:p w14:paraId="3A0D8391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4C4014">
        <w:rPr>
          <w:rFonts w:ascii="Calibri" w:hAnsi="Calibri" w:cs="Calibri"/>
          <w:sz w:val="24"/>
          <w:szCs w:val="24"/>
        </w:rPr>
        <w:t>sem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a observância do disposto no </w:t>
      </w:r>
      <w:r w:rsidRPr="000E65D4">
        <w:rPr>
          <w:rFonts w:ascii="Calibri" w:hAnsi="Calibri" w:cs="Calibri"/>
          <w:sz w:val="24"/>
          <w:szCs w:val="24"/>
          <w:highlight w:val="yellow"/>
        </w:rPr>
        <w:t>art. 803;</w:t>
      </w:r>
    </w:p>
    <w:p w14:paraId="337D27C5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4C4014">
        <w:rPr>
          <w:rFonts w:ascii="Calibri" w:hAnsi="Calibri" w:cs="Calibri"/>
          <w:sz w:val="24"/>
          <w:szCs w:val="24"/>
        </w:rPr>
        <w:t>que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tenha sido objeto de manifestação anterior por parte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ou do Ministério do Trabalho e Previdência, proferida em procedimento administrativo no qual tenha tomado parte a EFPC;</w:t>
      </w:r>
    </w:p>
    <w:p w14:paraId="636B7F17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III - que tenha sido ou venha a ser, no decurso do processo de sua análise, objeto de manifestação tornada pública por parte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;</w:t>
      </w:r>
    </w:p>
    <w:p w14:paraId="2DF77CF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IV - </w:t>
      </w:r>
      <w:proofErr w:type="gramStart"/>
      <w:r w:rsidRPr="004C4014">
        <w:rPr>
          <w:rFonts w:ascii="Calibri" w:hAnsi="Calibri" w:cs="Calibri"/>
          <w:sz w:val="24"/>
          <w:szCs w:val="24"/>
        </w:rPr>
        <w:t>relativa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a ato de gestão de responsabilidade da EFPC;</w:t>
      </w:r>
    </w:p>
    <w:p w14:paraId="0A828B0B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lastRenderedPageBreak/>
        <w:t xml:space="preserve">V - </w:t>
      </w:r>
      <w:proofErr w:type="gramStart"/>
      <w:r w:rsidRPr="004C4014">
        <w:rPr>
          <w:rFonts w:ascii="Calibri" w:hAnsi="Calibri" w:cs="Calibri"/>
          <w:sz w:val="24"/>
          <w:szCs w:val="24"/>
        </w:rPr>
        <w:t>que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caracterize pleito de autorização para execução de procedimento pela EFPC em relação ao qual a legislação não exija prévia autorização pela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;</w:t>
      </w:r>
    </w:p>
    <w:p w14:paraId="4D1CE103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VI - </w:t>
      </w:r>
      <w:proofErr w:type="gramStart"/>
      <w:r w:rsidRPr="004C4014">
        <w:rPr>
          <w:rFonts w:ascii="Calibri" w:hAnsi="Calibri" w:cs="Calibri"/>
          <w:sz w:val="24"/>
          <w:szCs w:val="24"/>
        </w:rPr>
        <w:t>que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verse sobre a constitucionalidade de lei ou outro ato normativo;</w:t>
      </w:r>
    </w:p>
    <w:p w14:paraId="67F11CE2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VII - cujo objeto venha a ser disciplinado por ato normativo editado depois de sua formulação, hipótese em que, se a EFPC entender necessário, poderá encaminhar nova consulta;</w:t>
      </w:r>
    </w:p>
    <w:p w14:paraId="27EE006A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VIII - que trate de fato objeto de processo administrativo pendente de decisão definitiva no âmbito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do qual a EFPC seja parte;</w:t>
      </w:r>
    </w:p>
    <w:p w14:paraId="7092B513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IX - </w:t>
      </w:r>
      <w:proofErr w:type="gramStart"/>
      <w:r w:rsidRPr="004C4014">
        <w:rPr>
          <w:rFonts w:ascii="Calibri" w:hAnsi="Calibri" w:cs="Calibri"/>
          <w:sz w:val="24"/>
          <w:szCs w:val="24"/>
        </w:rPr>
        <w:t>formulada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sobre direito em tese, com referência </w:t>
      </w:r>
      <w:proofErr w:type="spellStart"/>
      <w:r w:rsidRPr="004C4014">
        <w:rPr>
          <w:rFonts w:ascii="Calibri" w:hAnsi="Calibri" w:cs="Calibri"/>
          <w:sz w:val="24"/>
          <w:szCs w:val="24"/>
        </w:rPr>
        <w:t>a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fato genérico; ou</w:t>
      </w:r>
    </w:p>
    <w:p w14:paraId="4739A08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X - </w:t>
      </w:r>
      <w:proofErr w:type="gramStart"/>
      <w:r w:rsidRPr="004C4014">
        <w:rPr>
          <w:rFonts w:ascii="Calibri" w:hAnsi="Calibri" w:cs="Calibri"/>
          <w:sz w:val="24"/>
          <w:szCs w:val="24"/>
        </w:rPr>
        <w:t>com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a identificação dos emissores dos ativos, no caso de consulta relativa a investimentos.</w:t>
      </w:r>
    </w:p>
    <w:p w14:paraId="08D10470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§ 1º A EFPC pode ser intimada a apresentar informações ou documentos adicionais necessários à apreciação da consulta.</w:t>
      </w:r>
    </w:p>
    <w:p w14:paraId="55A3ED8A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§ 2º Caso a intimação a que </w:t>
      </w:r>
      <w:r w:rsidRPr="000E65D4">
        <w:rPr>
          <w:rFonts w:ascii="Calibri" w:hAnsi="Calibri" w:cs="Calibri"/>
          <w:sz w:val="24"/>
          <w:szCs w:val="24"/>
          <w:highlight w:val="yellow"/>
        </w:rPr>
        <w:t>se refere o § 1º</w:t>
      </w:r>
      <w:r w:rsidRPr="004C4014">
        <w:rPr>
          <w:rFonts w:ascii="Calibri" w:hAnsi="Calibri" w:cs="Calibri"/>
          <w:sz w:val="24"/>
          <w:szCs w:val="24"/>
        </w:rPr>
        <w:t xml:space="preserve"> não seja atendida no prazo de quinze dias, a consulta não deve ser conhecida pela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.</w:t>
      </w:r>
    </w:p>
    <w:p w14:paraId="0CDCB176" w14:textId="1ABFB1EE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805.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EFPC pode solicitar reconsideração da decisão pelo não conhecimento da consulta, no prazo de quinze dias a partir da sua ciência.</w:t>
      </w:r>
    </w:p>
    <w:p w14:paraId="0990A5AE" w14:textId="78A22EAD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deve analisar o pedido de reconsideração, em caráter definitivo, no prazo de trinta dias, prorrogável por igual período, desde que devidamente motivado.</w:t>
      </w:r>
    </w:p>
    <w:p w14:paraId="0D30C554" w14:textId="4719AFCF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806.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veracidade das informações e a autenticidade dos documentos apresentados na consulta constitui responsabilidade da EFPC, podendo 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exigir as suas comprovações a qualquer tempo.</w:t>
      </w:r>
    </w:p>
    <w:p w14:paraId="230ED513" w14:textId="3F7A6274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807.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consulta pode ser levada ao conhecimento de terceiros com evidências de interesse em seu objeto, os quais têm quinze dias, a partir da sua ciência, para se manifestarem por escrito, podendo juntar documentos.</w:t>
      </w:r>
    </w:p>
    <w:p w14:paraId="2CCC56CA" w14:textId="27A05319" w:rsidR="00B348F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808.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As informações constantes na consulta que não sejam relacionadas ao seu objeto devem ser desconsideradas.</w:t>
      </w:r>
    </w:p>
    <w:p w14:paraId="25F356F1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III</w:t>
      </w:r>
    </w:p>
    <w:p w14:paraId="035B328C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Análise e resposta da consulta</w:t>
      </w:r>
    </w:p>
    <w:p w14:paraId="5CAED3EA" w14:textId="41696F78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809.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consulta deve ser analisada e respondida pela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no prazo de trinta dias, contados da data de disponibilização pela EFPC de todas as informações e documentos necessários, prorrogáveis por igual período, mediante motivação.</w:t>
      </w:r>
    </w:p>
    <w:p w14:paraId="3A04948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§ 1º A área técnica responsável pela resposta pode submeter consulta interna às demais áreas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a fim de subsidiar sua análise, suspendendo-se o prazo de resposta até o retorno dessa consulta.</w:t>
      </w:r>
    </w:p>
    <w:p w14:paraId="5CC37ED9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§ 2º A EFPC pode juntar informações e documentos adicionais, enquanto não respondida a consulta, prorrogando-se o prazo de resposta por trinta dias, contados da data de protocolo do último documento juntado.</w:t>
      </w:r>
    </w:p>
    <w:p w14:paraId="52E62951" w14:textId="04E61BA0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810.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EFPC pode solicitar reanálise da resposta fornecida, desde que devidamente fundamentada com novos fatos, argumentos ou documentos.</w:t>
      </w:r>
    </w:p>
    <w:p w14:paraId="62CBE423" w14:textId="365BBE59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Aplica-se ao pedido de reanálise da consulta o mesmo prazo para análise previsto no caput </w:t>
      </w:r>
      <w:r w:rsidRPr="000E65D4">
        <w:rPr>
          <w:rFonts w:ascii="Calibri" w:hAnsi="Calibri" w:cs="Calibri"/>
          <w:sz w:val="24"/>
          <w:szCs w:val="24"/>
          <w:highlight w:val="yellow"/>
        </w:rPr>
        <w:t>do art. 809.</w:t>
      </w:r>
    </w:p>
    <w:p w14:paraId="42FBF924" w14:textId="0ABE721D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lastRenderedPageBreak/>
        <w:t>Art. 811.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 Os entendimentos fixados na resposta aplicam-se exclusivamente à consulta apresentada pela EFPC, com base nos documentos e informações disponibilizados.</w:t>
      </w:r>
    </w:p>
    <w:p w14:paraId="5791BF88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§ 1º A resposta à consulta não deve ser considerada, em qualquer hipótese, como autorização prévia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para atos de gestão da EFPC.</w:t>
      </w:r>
    </w:p>
    <w:p w14:paraId="0D6D9C00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§ 2º Caso sejam adicionados novos fatos materiais pela EFPC, o entendimento fixado na resposta à consulta formulada pode ser diverso.</w:t>
      </w:r>
    </w:p>
    <w:p w14:paraId="41066C70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IV</w:t>
      </w:r>
    </w:p>
    <w:p w14:paraId="2E7AE69F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Disposições gerais e finais</w:t>
      </w:r>
    </w:p>
    <w:p w14:paraId="3BEE24C0" w14:textId="472C83B9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812.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realização de consulta não suspende nem interrompe eventuais prazos em curso para o exercício de direito ou cumprimento de obrigação, nem outro de qualquer natureza a que esteja sujeita a EFPC.</w:t>
      </w:r>
    </w:p>
    <w:p w14:paraId="3A049C10" w14:textId="11C62B19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813.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As ementas do resultado de consultas a que se refere esta Resolução podem ser inseridas em ementário, a ser oportunamente divulgado no sítio eletrônico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.</w:t>
      </w:r>
    </w:p>
    <w:p w14:paraId="52305A37" w14:textId="77F90777" w:rsidR="00992941" w:rsidRPr="004C4014" w:rsidRDefault="00992941" w:rsidP="00BC2937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814.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Todas as comunicações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para a EFPC decorrentes da análise da consulta devem ser realizadas via correio eletrônico, com base nos dados cadastrados no Sistema de Cadastro de Entidades e Planos, ou por meio do Sistema Eletrônico de Informações.</w:t>
      </w:r>
    </w:p>
    <w:p w14:paraId="391441DF" w14:textId="3D75259A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Seção II</w:t>
      </w:r>
    </w:p>
    <w:p w14:paraId="592FE033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Processo de participação social</w:t>
      </w:r>
    </w:p>
    <w:p w14:paraId="7FC3B971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</w:t>
      </w:r>
    </w:p>
    <w:p w14:paraId="12AE1066" w14:textId="77777777" w:rsidR="00992941" w:rsidRPr="004C4014" w:rsidRDefault="00992941" w:rsidP="00376089">
      <w:pPr>
        <w:spacing w:before="120"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Disposições gerais</w:t>
      </w:r>
    </w:p>
    <w:p w14:paraId="3AB7E5B5" w14:textId="3A4436C4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815.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Superintendência Nacional de Previdência Complementar -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por deliberação de sua diretoria colegiada, poderá autorizar a participação social, por meio de consultas ou audiências, de caráter público ou restrito.</w:t>
      </w:r>
    </w:p>
    <w:p w14:paraId="3BF423A0" w14:textId="768062D0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As audiências e consultas referidas no caput poderão ser realizadas em relação:</w:t>
      </w:r>
    </w:p>
    <w:p w14:paraId="200786EC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4C4014">
        <w:rPr>
          <w:rFonts w:ascii="Calibri" w:hAnsi="Calibri" w:cs="Calibri"/>
          <w:sz w:val="24"/>
          <w:szCs w:val="24"/>
        </w:rPr>
        <w:t>aos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relatórios de análise de impacto regulatório;</w:t>
      </w:r>
    </w:p>
    <w:p w14:paraId="5BCFBE62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4C4014">
        <w:rPr>
          <w:rFonts w:ascii="Calibri" w:hAnsi="Calibri" w:cs="Calibri"/>
          <w:sz w:val="24"/>
          <w:szCs w:val="24"/>
        </w:rPr>
        <w:t>às</w:t>
      </w:r>
      <w:proofErr w:type="gramEnd"/>
      <w:r w:rsidRPr="004C4014">
        <w:rPr>
          <w:rFonts w:ascii="Calibri" w:hAnsi="Calibri" w:cs="Calibri"/>
          <w:sz w:val="24"/>
          <w:szCs w:val="24"/>
        </w:rPr>
        <w:t xml:space="preserve"> minutas de atos normativos; ou</w:t>
      </w:r>
    </w:p>
    <w:p w14:paraId="6F5304B2" w14:textId="4CA0AB17" w:rsidR="00B348F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III - a quaisquer outros documentos com tema de interesse geral das entidades fechadas de previdência complementar, dos seus patrocinadores, instituidores, participantes e assistidos ou de outros segmentos sociais relacionados.</w:t>
      </w:r>
    </w:p>
    <w:p w14:paraId="465FFF7A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II</w:t>
      </w:r>
    </w:p>
    <w:p w14:paraId="6BD8B56C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Consulta pública</w:t>
      </w:r>
    </w:p>
    <w:p w14:paraId="73B4E2B9" w14:textId="65F5D0BF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>Art. 816.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 Para fins desta Resolução, consulta pública é o processo de participação social que tem a finalidade de receber subsídios para a tomada de decisão pela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por meio do envio de manifestações de qualquer interessado sobre questões regulatórias ou outros temas da competência da autarquia.</w:t>
      </w:r>
    </w:p>
    <w:p w14:paraId="7D6AC206" w14:textId="77777777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A participação dos interessados na consulta pública ocorrerá de forma não presencial, por meio do Sistema de Consultas e Normas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disponível no seu sítio eletrônico na internet, o qual receberá as manifestações relativas ao documento sob consulta.</w:t>
      </w:r>
    </w:p>
    <w:p w14:paraId="03A252E6" w14:textId="22561D89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817.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O documento sob consulta e as orientações sobre a forma e o prazo para o envio das manifestações dos interessados serão divulgados no sítio eletrônico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na internet.</w:t>
      </w:r>
    </w:p>
    <w:p w14:paraId="0552F8A2" w14:textId="68E36401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lastRenderedPageBreak/>
        <w:t xml:space="preserve">Parágrafo único.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O prazo referido no caput terá duração proporcional à complexidade do objeto da consulta, não sendo inferior a quarenta e cinco dias, ressalvados os casos excepcionais de urgência e relevância, devid</w:t>
      </w:r>
      <w:bookmarkStart w:id="0" w:name="_GoBack"/>
      <w:bookmarkEnd w:id="0"/>
      <w:r w:rsidRPr="004C4014">
        <w:rPr>
          <w:rFonts w:ascii="Calibri" w:hAnsi="Calibri" w:cs="Calibri"/>
          <w:sz w:val="24"/>
          <w:szCs w:val="24"/>
        </w:rPr>
        <w:t>amente motivados.</w:t>
      </w:r>
    </w:p>
    <w:p w14:paraId="5B18FF5E" w14:textId="5CB7C4B2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818.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disponibilizará no início da consulta pública, por meio do Sistema de Consultas e Normas da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a documentação necessária para análise.</w:t>
      </w:r>
    </w:p>
    <w:p w14:paraId="6909B2E8" w14:textId="1101B5C9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819. </w:t>
      </w:r>
      <w:r w:rsidR="004B5387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Após decisão final sobre a matéria, 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disponibilizará em seu sítio eletrônico na internet a análise das manifestações recebidas no processo de consulta pública, resguardado o direito da autarquia de não comentar ou considerar individualmente as manifestações recebidas.</w:t>
      </w:r>
    </w:p>
    <w:p w14:paraId="0AC8D065" w14:textId="4AD0765C" w:rsidR="00B348F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Para fins do disposto no caput, 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poderá agrupar as manifestações recebidas por conexão e eliminar as repetidas e as de conteúdo não conexo ou irrelevante para a matéria em análise.</w:t>
      </w:r>
    </w:p>
    <w:p w14:paraId="7CCCF3F0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III</w:t>
      </w:r>
    </w:p>
    <w:p w14:paraId="5DB738EB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Audiência pública</w:t>
      </w:r>
    </w:p>
    <w:p w14:paraId="590F7D97" w14:textId="775558AA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820.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Para fins desta Resolução, audiência pública é o processo de participação social que tem a finalidade de receber subsídios para a tomada de decisão pela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por meio de sessão pública previamente destinada a debater temas de sua competência, sendo facultada a manifestação oral ou escrita por qualquer interessado.</w:t>
      </w:r>
    </w:p>
    <w:p w14:paraId="4251EB1D" w14:textId="20376933" w:rsidR="0099294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821.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audiência pública será realizada em data, horário e local previamente divulgados pela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>, por meio de aviso publicado em seu sítio eletrônico na internet.</w:t>
      </w:r>
    </w:p>
    <w:p w14:paraId="00ECDD40" w14:textId="3A597B91" w:rsidR="00B348F1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Parágrafo único.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>A realização da audiência pública poderá ocorrer de forma presencial ou com o auxílio de plataformas eletrônicas de reuniões.</w:t>
      </w:r>
    </w:p>
    <w:p w14:paraId="5E43B0CE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Subseção IV</w:t>
      </w:r>
    </w:p>
    <w:p w14:paraId="65E2C226" w14:textId="77777777" w:rsidR="00992941" w:rsidRPr="00707A4E" w:rsidRDefault="00992941" w:rsidP="00376089">
      <w:pPr>
        <w:spacing w:before="120" w:after="0" w:line="240" w:lineRule="auto"/>
        <w:jc w:val="center"/>
        <w:rPr>
          <w:rFonts w:ascii="Calibri" w:hAnsi="Calibri" w:cs="Calibri"/>
          <w:b/>
          <w:sz w:val="24"/>
          <w:szCs w:val="24"/>
        </w:rPr>
      </w:pPr>
      <w:r w:rsidRPr="00707A4E">
        <w:rPr>
          <w:rFonts w:ascii="Calibri" w:hAnsi="Calibri" w:cs="Calibri"/>
          <w:b/>
          <w:sz w:val="24"/>
          <w:szCs w:val="24"/>
        </w:rPr>
        <w:t>Consultas e audiências restritas</w:t>
      </w:r>
    </w:p>
    <w:p w14:paraId="17520917" w14:textId="025097FD" w:rsidR="004E5B90" w:rsidRPr="004C4014" w:rsidRDefault="00992941" w:rsidP="00376089">
      <w:pPr>
        <w:spacing w:before="120"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4C4014">
        <w:rPr>
          <w:rFonts w:ascii="Calibri" w:hAnsi="Calibri" w:cs="Calibri"/>
          <w:sz w:val="24"/>
          <w:szCs w:val="24"/>
        </w:rPr>
        <w:t xml:space="preserve">Art. 822. </w:t>
      </w:r>
      <w:r w:rsidR="002401E2" w:rsidRPr="004C4014">
        <w:rPr>
          <w:rFonts w:ascii="Calibri" w:hAnsi="Calibri" w:cs="Calibri"/>
          <w:sz w:val="24"/>
          <w:szCs w:val="24"/>
        </w:rPr>
        <w:t xml:space="preserve"> </w:t>
      </w:r>
      <w:r w:rsidRPr="004C4014">
        <w:rPr>
          <w:rFonts w:ascii="Calibri" w:hAnsi="Calibri" w:cs="Calibri"/>
          <w:sz w:val="24"/>
          <w:szCs w:val="24"/>
        </w:rPr>
        <w:t xml:space="preserve">A </w:t>
      </w:r>
      <w:proofErr w:type="spellStart"/>
      <w:r w:rsidRPr="004C4014">
        <w:rPr>
          <w:rFonts w:ascii="Calibri" w:hAnsi="Calibri" w:cs="Calibri"/>
          <w:sz w:val="24"/>
          <w:szCs w:val="24"/>
        </w:rPr>
        <w:t>Previc</w:t>
      </w:r>
      <w:proofErr w:type="spellEnd"/>
      <w:r w:rsidRPr="004C4014">
        <w:rPr>
          <w:rFonts w:ascii="Calibri" w:hAnsi="Calibri" w:cs="Calibri"/>
          <w:sz w:val="24"/>
          <w:szCs w:val="24"/>
        </w:rPr>
        <w:t xml:space="preserve"> poderá utilizar outras formas de participação social para receber subsídios às suas decisões, por meio de consultas ou audiências restritas, mediante a participação exclusiva de organizações ou associações representativas das entidades fechadas de previdência complementar, dos seus patrocinadores, instituidores, participantes e assistidos ou de outros segmentos sociais relacionados.</w:t>
      </w:r>
    </w:p>
    <w:sectPr w:rsidR="004E5B90" w:rsidRPr="004C4014" w:rsidSect="00743BD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7B70A3" w14:textId="77777777" w:rsidR="00F97658" w:rsidRDefault="00F97658" w:rsidP="007A6088">
      <w:pPr>
        <w:spacing w:after="0" w:line="240" w:lineRule="auto"/>
      </w:pPr>
      <w:r>
        <w:separator/>
      </w:r>
    </w:p>
  </w:endnote>
  <w:endnote w:type="continuationSeparator" w:id="0">
    <w:p w14:paraId="08E99850" w14:textId="77777777" w:rsidR="00F97658" w:rsidRDefault="00F97658" w:rsidP="007A6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5247E" w14:textId="77777777" w:rsidR="007A6088" w:rsidRDefault="007A608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F588AA" w14:textId="77777777" w:rsidR="007A6088" w:rsidRDefault="007A6088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B4925" w14:textId="77777777" w:rsidR="007A6088" w:rsidRDefault="007A608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1CCE44" w14:textId="77777777" w:rsidR="00F97658" w:rsidRDefault="00F97658" w:rsidP="007A6088">
      <w:pPr>
        <w:spacing w:after="0" w:line="240" w:lineRule="auto"/>
      </w:pPr>
      <w:r>
        <w:separator/>
      </w:r>
    </w:p>
  </w:footnote>
  <w:footnote w:type="continuationSeparator" w:id="0">
    <w:p w14:paraId="4B5F89CA" w14:textId="77777777" w:rsidR="00F97658" w:rsidRDefault="00F97658" w:rsidP="007A60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008AF3" w14:textId="2CAB1029" w:rsidR="007A6088" w:rsidRDefault="007A6088">
    <w:pPr>
      <w:pStyle w:val="Cabealho"/>
    </w:pPr>
    <w:r>
      <w:rPr>
        <w:noProof/>
      </w:rPr>
      <w:pict w14:anchorId="7C3F8A5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301219" o:spid="_x0000_s2051" type="#_x0000_t136" style="position:absolute;margin-left:0;margin-top:0;width:503.6pt;height:215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8C77F" w14:textId="36DCD7DF" w:rsidR="007A6088" w:rsidRDefault="007A6088">
    <w:pPr>
      <w:pStyle w:val="Cabealho"/>
    </w:pPr>
    <w:r>
      <w:rPr>
        <w:noProof/>
      </w:rPr>
      <w:pict w14:anchorId="2990E63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301220" o:spid="_x0000_s2052" type="#_x0000_t136" style="position:absolute;margin-left:0;margin-top:0;width:503.6pt;height:215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CD89D" w14:textId="29E278E7" w:rsidR="007A6088" w:rsidRDefault="007A6088">
    <w:pPr>
      <w:pStyle w:val="Cabealho"/>
    </w:pPr>
    <w:r>
      <w:rPr>
        <w:noProof/>
      </w:rPr>
      <w:pict w14:anchorId="7F3EDE4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301218" o:spid="_x0000_s2050" type="#_x0000_t136" style="position:absolute;margin-left:0;margin-top:0;width:503.6pt;height:215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941"/>
    <w:rsid w:val="000137F3"/>
    <w:rsid w:val="00077E71"/>
    <w:rsid w:val="000E65D4"/>
    <w:rsid w:val="002401E2"/>
    <w:rsid w:val="00376089"/>
    <w:rsid w:val="004A2402"/>
    <w:rsid w:val="004B5387"/>
    <w:rsid w:val="004C4014"/>
    <w:rsid w:val="004E5B90"/>
    <w:rsid w:val="00707A4E"/>
    <w:rsid w:val="00743BD2"/>
    <w:rsid w:val="00762955"/>
    <w:rsid w:val="007A6088"/>
    <w:rsid w:val="00992941"/>
    <w:rsid w:val="00A0438D"/>
    <w:rsid w:val="00B348F1"/>
    <w:rsid w:val="00BC2937"/>
    <w:rsid w:val="00BF0E55"/>
    <w:rsid w:val="00C24E74"/>
    <w:rsid w:val="00F9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708451C9"/>
  <w15:chartTrackingRefBased/>
  <w15:docId w15:val="{7F2BC2FE-678E-41F7-B8F1-B9F776FB8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348F1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0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088"/>
  </w:style>
  <w:style w:type="paragraph" w:styleId="Rodap">
    <w:name w:val="footer"/>
    <w:basedOn w:val="Normal"/>
    <w:link w:val="RodapChar"/>
    <w:uiPriority w:val="99"/>
    <w:unhideWhenUsed/>
    <w:rsid w:val="007A60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0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4D6C7E462340040936DDFF7E07BAD03" ma:contentTypeVersion="10" ma:contentTypeDescription="Crie um novo documento." ma:contentTypeScope="" ma:versionID="2367b171ebc9a2c0f18608a252cbfd70">
  <xsd:schema xmlns:xsd="http://www.w3.org/2001/XMLSchema" xmlns:xs="http://www.w3.org/2001/XMLSchema" xmlns:p="http://schemas.microsoft.com/office/2006/metadata/properties" xmlns:ns3="a8444ac8-cd35-404d-ac22-befc6b2a4865" xmlns:ns4="fd5c75e6-77ad-4542-8b45-827dc9162fe5" targetNamespace="http://schemas.microsoft.com/office/2006/metadata/properties" ma:root="true" ma:fieldsID="910166ee0f22627e7040b4c316ade3a4" ns3:_="" ns4:_="">
    <xsd:import namespace="a8444ac8-cd35-404d-ac22-befc6b2a4865"/>
    <xsd:import namespace="fd5c75e6-77ad-4542-8b45-827dc9162fe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44ac8-cd35-404d-ac22-befc6b2a48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5c75e6-77ad-4542-8b45-827dc9162fe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8444ac8-cd35-404d-ac22-befc6b2a4865" xsi:nil="true"/>
  </documentManagement>
</p:properties>
</file>

<file path=customXml/itemProps1.xml><?xml version="1.0" encoding="utf-8"?>
<ds:datastoreItem xmlns:ds="http://schemas.openxmlformats.org/officeDocument/2006/customXml" ds:itemID="{D8ED8D52-474E-44C9-B58D-A733959D55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21922E-F60D-447E-A820-567D1B4B7F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444ac8-cd35-404d-ac22-befc6b2a4865"/>
    <ds:schemaRef ds:uri="fd5c75e6-77ad-4542-8b45-827dc9162f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23CBC2D-BC70-45EA-B17E-E4649AE183A9}">
  <ds:schemaRefs>
    <ds:schemaRef ds:uri="http://schemas.microsoft.com/office/2006/metadata/properties"/>
    <ds:schemaRef ds:uri="http://schemas.microsoft.com/office/infopath/2007/PartnerControls"/>
    <ds:schemaRef ds:uri="a8444ac8-cd35-404d-ac22-befc6b2a48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1804</Words>
  <Characters>9746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Maurelio Coelho Barbosa - PREVICDF</dc:creator>
  <cp:keywords/>
  <dc:description/>
  <cp:lastModifiedBy>Maurelio Coelho Barbosa - PREVICDF</cp:lastModifiedBy>
  <cp:revision>7</cp:revision>
  <dcterms:created xsi:type="dcterms:W3CDTF">2023-04-18T22:03:00Z</dcterms:created>
  <dcterms:modified xsi:type="dcterms:W3CDTF">2023-05-17T17:58:00Z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0x01010034D6C7E462340040936DDFF7E07BAD03</vt:lpwstr>
  </property>
</Properties>
</file>