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487077" w14:textId="1A63068B" w:rsidR="00AD7F52" w:rsidRPr="003052AC" w:rsidRDefault="0020348B" w:rsidP="00951588">
      <w:pPr>
        <w:spacing w:before="120" w:after="120" w:line="240" w:lineRule="auto"/>
        <w:jc w:val="center"/>
        <w:rPr>
          <w:rFonts w:cstheme="minorHAnsi"/>
          <w:sz w:val="24"/>
          <w:szCs w:val="24"/>
        </w:rPr>
      </w:pPr>
      <w:bookmarkStart w:id="0" w:name="_GoBack"/>
      <w:bookmarkEnd w:id="0"/>
      <w:r>
        <w:rPr>
          <w:rFonts w:cstheme="minorHAnsi"/>
          <w:sz w:val="24"/>
          <w:szCs w:val="24"/>
        </w:rPr>
        <w:t xml:space="preserve">ANEXO </w:t>
      </w:r>
      <w:r w:rsidRPr="00636A37">
        <w:rPr>
          <w:rFonts w:cstheme="minorHAnsi"/>
          <w:sz w:val="24"/>
          <w:szCs w:val="24"/>
          <w:highlight w:val="yellow"/>
        </w:rPr>
        <w:t>X</w:t>
      </w:r>
    </w:p>
    <w:p w14:paraId="1BC76E7A" w14:textId="77777777" w:rsidR="00F85DB6" w:rsidRPr="003052AC" w:rsidRDefault="00F85DB6" w:rsidP="0020348B">
      <w:pPr>
        <w:spacing w:before="120" w:after="120" w:line="240" w:lineRule="auto"/>
        <w:rPr>
          <w:rFonts w:cstheme="minorHAnsi"/>
          <w:b/>
          <w:sz w:val="24"/>
          <w:szCs w:val="24"/>
        </w:rPr>
      </w:pPr>
    </w:p>
    <w:p w14:paraId="7F847C01" w14:textId="77777777" w:rsidR="00470D03" w:rsidRDefault="00470D03" w:rsidP="00636A37">
      <w:pPr>
        <w:spacing w:before="120" w:after="120" w:line="240" w:lineRule="auto"/>
        <w:jc w:val="both"/>
        <w:rPr>
          <w:rFonts w:eastAsia="Times New Roman" w:cstheme="minorHAnsi"/>
          <w:color w:val="000000"/>
          <w:sz w:val="24"/>
          <w:szCs w:val="24"/>
          <w:lang w:eastAsia="pt-BR"/>
        </w:rPr>
      </w:pPr>
    </w:p>
    <w:p w14:paraId="447A8C04" w14:textId="695E2E51" w:rsidR="0020348B" w:rsidRPr="0055646A" w:rsidRDefault="0020348B" w:rsidP="0020348B">
      <w:pPr>
        <w:spacing w:before="120" w:after="120" w:line="240" w:lineRule="auto"/>
        <w:rPr>
          <w:rFonts w:ascii="Calibri" w:hAnsi="Calibri" w:cstheme="minorHAnsi"/>
          <w:b/>
          <w:sz w:val="24"/>
          <w:szCs w:val="24"/>
          <w:u w:val="single"/>
        </w:rPr>
      </w:pPr>
      <w:r w:rsidRPr="0055646A">
        <w:rPr>
          <w:rFonts w:ascii="Calibri" w:hAnsi="Calibri" w:cstheme="minorHAnsi"/>
          <w:b/>
          <w:sz w:val="24"/>
          <w:szCs w:val="24"/>
          <w:u w:val="single"/>
        </w:rPr>
        <w:t>R</w:t>
      </w:r>
      <w:r w:rsidR="003245BA">
        <w:rPr>
          <w:rFonts w:ascii="Calibri" w:hAnsi="Calibri" w:cstheme="minorHAnsi"/>
          <w:b/>
          <w:sz w:val="24"/>
          <w:szCs w:val="24"/>
          <w:u w:val="single"/>
        </w:rPr>
        <w:t>eferências Normativas</w:t>
      </w:r>
    </w:p>
    <w:p w14:paraId="774BB78A" w14:textId="3E968475" w:rsidR="0020348B" w:rsidRPr="0020348B" w:rsidRDefault="009E235D" w:rsidP="0020348B">
      <w:pPr>
        <w:pStyle w:val="PargrafodaLista"/>
        <w:numPr>
          <w:ilvl w:val="0"/>
          <w:numId w:val="5"/>
        </w:numPr>
        <w:spacing w:before="120" w:after="120" w:line="240" w:lineRule="auto"/>
        <w:jc w:val="both"/>
        <w:rPr>
          <w:rFonts w:cs="Calibri"/>
          <w:sz w:val="24"/>
          <w:szCs w:val="24"/>
        </w:rPr>
      </w:pPr>
      <w:r w:rsidRPr="0020348B">
        <w:rPr>
          <w:rFonts w:cs="Calibri"/>
          <w:sz w:val="24"/>
          <w:szCs w:val="24"/>
        </w:rPr>
        <w:t xml:space="preserve">inciso III do </w:t>
      </w:r>
      <w:r w:rsidR="00253F95" w:rsidRPr="0020348B">
        <w:rPr>
          <w:rFonts w:cs="Calibri"/>
          <w:sz w:val="24"/>
          <w:szCs w:val="24"/>
        </w:rPr>
        <w:t>art</w:t>
      </w:r>
      <w:r w:rsidRPr="0020348B">
        <w:rPr>
          <w:rFonts w:cs="Calibri"/>
          <w:sz w:val="24"/>
          <w:szCs w:val="24"/>
        </w:rPr>
        <w:t>. 2</w:t>
      </w:r>
      <w:r w:rsidR="00FE343E" w:rsidRPr="0020348B">
        <w:rPr>
          <w:rFonts w:cs="Calibri"/>
          <w:sz w:val="24"/>
          <w:szCs w:val="24"/>
        </w:rPr>
        <w:t>º</w:t>
      </w:r>
      <w:r w:rsidRPr="0020348B">
        <w:rPr>
          <w:rFonts w:cs="Calibri"/>
          <w:sz w:val="24"/>
          <w:szCs w:val="24"/>
        </w:rPr>
        <w:t xml:space="preserve"> </w:t>
      </w:r>
      <w:r w:rsidR="00F262A3" w:rsidRPr="0020348B">
        <w:rPr>
          <w:rFonts w:cs="Calibri"/>
          <w:sz w:val="24"/>
          <w:szCs w:val="24"/>
        </w:rPr>
        <w:t xml:space="preserve">da </w:t>
      </w:r>
      <w:r w:rsidRPr="0020348B">
        <w:rPr>
          <w:rFonts w:cs="Calibri"/>
          <w:sz w:val="24"/>
          <w:szCs w:val="24"/>
        </w:rPr>
        <w:t>Lei nº 12.</w:t>
      </w:r>
      <w:r w:rsidR="0020348B" w:rsidRPr="0020348B">
        <w:rPr>
          <w:rFonts w:cs="Calibri"/>
          <w:sz w:val="24"/>
          <w:szCs w:val="24"/>
        </w:rPr>
        <w:t>154, de 23 de d</w:t>
      </w:r>
      <w:r w:rsidR="0055646A">
        <w:rPr>
          <w:rFonts w:cs="Calibri"/>
          <w:sz w:val="24"/>
          <w:szCs w:val="24"/>
        </w:rPr>
        <w:t>ezembro de 2009</w:t>
      </w:r>
    </w:p>
    <w:p w14:paraId="72877791" w14:textId="77777777" w:rsidR="0055646A" w:rsidRPr="0055646A" w:rsidRDefault="0055646A" w:rsidP="0055646A">
      <w:pPr>
        <w:pStyle w:val="PargrafodaLista"/>
        <w:numPr>
          <w:ilvl w:val="0"/>
          <w:numId w:val="5"/>
        </w:numPr>
        <w:spacing w:before="120" w:after="120"/>
        <w:jc w:val="both"/>
        <w:rPr>
          <w:sz w:val="24"/>
          <w:szCs w:val="24"/>
        </w:rPr>
      </w:pPr>
      <w:r w:rsidRPr="0055646A">
        <w:rPr>
          <w:sz w:val="24"/>
          <w:szCs w:val="24"/>
        </w:rPr>
        <w:t>inciso III do art. 2º e inciso VIII do art. 12 do Anexo I do Decreto nº 11.241, de 18 de outubro de 2022</w:t>
      </w:r>
    </w:p>
    <w:p w14:paraId="0A8E7E24" w14:textId="6662F1DF" w:rsidR="0020348B" w:rsidRDefault="009E235D" w:rsidP="0020348B">
      <w:pPr>
        <w:pStyle w:val="PargrafodaLista"/>
        <w:numPr>
          <w:ilvl w:val="0"/>
          <w:numId w:val="5"/>
        </w:numPr>
        <w:spacing w:before="120" w:after="120" w:line="240" w:lineRule="auto"/>
        <w:jc w:val="both"/>
        <w:rPr>
          <w:rFonts w:eastAsia="Times New Roman" w:cstheme="minorHAnsi"/>
          <w:color w:val="000000"/>
          <w:sz w:val="24"/>
          <w:szCs w:val="24"/>
          <w:lang w:eastAsia="pt-BR"/>
        </w:rPr>
      </w:pPr>
      <w:r w:rsidRPr="0020348B">
        <w:rPr>
          <w:rFonts w:eastAsia="Times New Roman" w:cs="Calibri"/>
          <w:bCs/>
          <w:sz w:val="24"/>
          <w:szCs w:val="24"/>
          <w:lang w:eastAsia="pt-BR"/>
        </w:rPr>
        <w:t xml:space="preserve">Resolução CNPC nº </w:t>
      </w:r>
      <w:r w:rsidR="00E4022C" w:rsidRPr="0020348B">
        <w:rPr>
          <w:rFonts w:eastAsia="Times New Roman" w:cs="Calibri"/>
          <w:bCs/>
          <w:sz w:val="24"/>
          <w:szCs w:val="24"/>
          <w:lang w:eastAsia="pt-BR"/>
        </w:rPr>
        <w:t>4</w:t>
      </w:r>
      <w:r w:rsidR="008B6085" w:rsidRPr="0020348B">
        <w:rPr>
          <w:rFonts w:eastAsia="Times New Roman" w:cs="Calibri"/>
          <w:bCs/>
          <w:sz w:val="24"/>
          <w:szCs w:val="24"/>
          <w:lang w:eastAsia="pt-BR"/>
        </w:rPr>
        <w:t>6</w:t>
      </w:r>
      <w:r w:rsidRPr="0020348B">
        <w:rPr>
          <w:rFonts w:eastAsia="Times New Roman" w:cs="Calibri"/>
          <w:bCs/>
          <w:sz w:val="24"/>
          <w:szCs w:val="24"/>
          <w:lang w:eastAsia="pt-BR"/>
        </w:rPr>
        <w:t xml:space="preserve">, de </w:t>
      </w:r>
      <w:r w:rsidR="008B6085" w:rsidRPr="0020348B">
        <w:rPr>
          <w:rFonts w:eastAsia="Times New Roman" w:cs="Calibri"/>
          <w:bCs/>
          <w:sz w:val="24"/>
          <w:szCs w:val="24"/>
          <w:lang w:eastAsia="pt-BR"/>
        </w:rPr>
        <w:t>1º de outubro de 2021</w:t>
      </w:r>
    </w:p>
    <w:p w14:paraId="189626F4" w14:textId="4FD2D5DA" w:rsidR="00384D11" w:rsidRDefault="009E235D" w:rsidP="0020348B">
      <w:pPr>
        <w:pStyle w:val="PargrafodaLista"/>
        <w:numPr>
          <w:ilvl w:val="0"/>
          <w:numId w:val="5"/>
        </w:numPr>
        <w:spacing w:before="120" w:after="120" w:line="240" w:lineRule="auto"/>
        <w:jc w:val="both"/>
        <w:rPr>
          <w:rFonts w:eastAsia="Times New Roman" w:cstheme="minorHAnsi"/>
          <w:color w:val="000000"/>
          <w:sz w:val="24"/>
          <w:szCs w:val="24"/>
          <w:lang w:eastAsia="pt-BR"/>
        </w:rPr>
      </w:pPr>
      <w:r w:rsidRPr="0020348B">
        <w:rPr>
          <w:rFonts w:eastAsia="Times New Roman" w:cstheme="minorHAnsi"/>
          <w:color w:val="000000"/>
          <w:sz w:val="24"/>
          <w:szCs w:val="24"/>
          <w:lang w:eastAsia="pt-BR"/>
        </w:rPr>
        <w:t>considerando o disposto no</w:t>
      </w:r>
      <w:r w:rsidR="00BC2D84" w:rsidRPr="0020348B">
        <w:rPr>
          <w:rFonts w:eastAsia="Times New Roman" w:cstheme="minorHAnsi"/>
          <w:color w:val="000000"/>
          <w:sz w:val="24"/>
          <w:szCs w:val="24"/>
          <w:lang w:eastAsia="pt-BR"/>
        </w:rPr>
        <w:t xml:space="preserve"> §</w:t>
      </w:r>
      <w:r w:rsidR="00102729" w:rsidRPr="0020348B">
        <w:rPr>
          <w:rFonts w:eastAsia="Times New Roman" w:cstheme="minorHAnsi"/>
          <w:color w:val="000000"/>
          <w:sz w:val="24"/>
          <w:szCs w:val="24"/>
          <w:lang w:eastAsia="pt-BR"/>
        </w:rPr>
        <w:t xml:space="preserve"> </w:t>
      </w:r>
      <w:r w:rsidR="00BC2D84" w:rsidRPr="0020348B">
        <w:rPr>
          <w:rFonts w:eastAsia="Times New Roman" w:cstheme="minorHAnsi"/>
          <w:color w:val="000000"/>
          <w:sz w:val="24"/>
          <w:szCs w:val="24"/>
          <w:lang w:eastAsia="pt-BR"/>
        </w:rPr>
        <w:t>4º do art. 36 e no</w:t>
      </w:r>
      <w:r w:rsidRPr="0020348B">
        <w:rPr>
          <w:rFonts w:eastAsia="Times New Roman" w:cstheme="minorHAnsi"/>
          <w:color w:val="000000"/>
          <w:sz w:val="24"/>
          <w:szCs w:val="24"/>
          <w:lang w:eastAsia="pt-BR"/>
        </w:rPr>
        <w:t xml:space="preserve"> art. 41 da Resolução </w:t>
      </w:r>
      <w:r w:rsidR="00CA4DF1" w:rsidRPr="0020348B">
        <w:rPr>
          <w:rFonts w:eastAsia="Times New Roman" w:cstheme="minorHAnsi"/>
          <w:color w:val="000000"/>
          <w:sz w:val="24"/>
          <w:szCs w:val="24"/>
          <w:lang w:eastAsia="pt-BR"/>
        </w:rPr>
        <w:t xml:space="preserve">CMN </w:t>
      </w:r>
      <w:r w:rsidRPr="0020348B">
        <w:rPr>
          <w:rFonts w:eastAsia="Times New Roman" w:cstheme="minorHAnsi"/>
          <w:color w:val="000000"/>
          <w:sz w:val="24"/>
          <w:szCs w:val="24"/>
          <w:lang w:eastAsia="pt-BR"/>
        </w:rPr>
        <w:t>nº 4.</w:t>
      </w:r>
      <w:r w:rsidR="008B6085" w:rsidRPr="0020348B">
        <w:rPr>
          <w:rFonts w:eastAsia="Times New Roman" w:cstheme="minorHAnsi"/>
          <w:color w:val="000000"/>
          <w:sz w:val="24"/>
          <w:szCs w:val="24"/>
          <w:lang w:eastAsia="pt-BR"/>
        </w:rPr>
        <w:t>994</w:t>
      </w:r>
      <w:r w:rsidRPr="0020348B">
        <w:rPr>
          <w:rFonts w:eastAsia="Times New Roman" w:cstheme="minorHAnsi"/>
          <w:color w:val="000000"/>
          <w:sz w:val="24"/>
          <w:szCs w:val="24"/>
          <w:lang w:eastAsia="pt-BR"/>
        </w:rPr>
        <w:t>, de 2</w:t>
      </w:r>
      <w:r w:rsidR="008B6085" w:rsidRPr="0020348B">
        <w:rPr>
          <w:rFonts w:eastAsia="Times New Roman" w:cstheme="minorHAnsi"/>
          <w:color w:val="000000"/>
          <w:sz w:val="24"/>
          <w:szCs w:val="24"/>
          <w:lang w:eastAsia="pt-BR"/>
        </w:rPr>
        <w:t>4</w:t>
      </w:r>
      <w:r w:rsidRPr="0020348B">
        <w:rPr>
          <w:rFonts w:eastAsia="Times New Roman" w:cstheme="minorHAnsi"/>
          <w:color w:val="000000"/>
          <w:sz w:val="24"/>
          <w:szCs w:val="24"/>
          <w:lang w:eastAsia="pt-BR"/>
        </w:rPr>
        <w:t xml:space="preserve"> de ma</w:t>
      </w:r>
      <w:r w:rsidR="008B6085" w:rsidRPr="0020348B">
        <w:rPr>
          <w:rFonts w:eastAsia="Times New Roman" w:cstheme="minorHAnsi"/>
          <w:color w:val="000000"/>
          <w:sz w:val="24"/>
          <w:szCs w:val="24"/>
          <w:lang w:eastAsia="pt-BR"/>
        </w:rPr>
        <w:t>rço</w:t>
      </w:r>
      <w:r w:rsidRPr="0020348B">
        <w:rPr>
          <w:rFonts w:eastAsia="Times New Roman" w:cstheme="minorHAnsi"/>
          <w:color w:val="000000"/>
          <w:sz w:val="24"/>
          <w:szCs w:val="24"/>
          <w:lang w:eastAsia="pt-BR"/>
        </w:rPr>
        <w:t xml:space="preserve"> de 20</w:t>
      </w:r>
      <w:r w:rsidR="008B6085" w:rsidRPr="0020348B">
        <w:rPr>
          <w:rFonts w:eastAsia="Times New Roman" w:cstheme="minorHAnsi"/>
          <w:color w:val="000000"/>
          <w:sz w:val="24"/>
          <w:szCs w:val="24"/>
          <w:lang w:eastAsia="pt-BR"/>
        </w:rPr>
        <w:t>22</w:t>
      </w:r>
    </w:p>
    <w:p w14:paraId="62E6221A" w14:textId="77777777" w:rsidR="0055646A" w:rsidRDefault="0055646A" w:rsidP="0055646A">
      <w:pPr>
        <w:pStyle w:val="PargrafodaLista"/>
        <w:spacing w:before="120" w:after="120" w:line="240" w:lineRule="auto"/>
        <w:jc w:val="both"/>
        <w:rPr>
          <w:rFonts w:eastAsia="Times New Roman" w:cstheme="minorHAnsi"/>
          <w:color w:val="000000"/>
          <w:sz w:val="24"/>
          <w:szCs w:val="24"/>
          <w:lang w:eastAsia="pt-BR"/>
        </w:rPr>
      </w:pPr>
    </w:p>
    <w:p w14:paraId="3B357CD4" w14:textId="77777777" w:rsidR="0055646A" w:rsidRPr="0055646A" w:rsidRDefault="0055646A" w:rsidP="0055646A">
      <w:pPr>
        <w:spacing w:before="120" w:after="120" w:line="240" w:lineRule="auto"/>
        <w:jc w:val="both"/>
        <w:rPr>
          <w:rFonts w:ascii="Calibri" w:hAnsi="Calibri" w:cstheme="minorHAnsi"/>
          <w:b/>
          <w:sz w:val="24"/>
          <w:szCs w:val="24"/>
          <w:u w:val="single"/>
        </w:rPr>
      </w:pPr>
      <w:r w:rsidRPr="0055646A">
        <w:rPr>
          <w:rFonts w:ascii="Calibri" w:hAnsi="Calibri" w:cstheme="minorHAnsi"/>
          <w:b/>
          <w:sz w:val="24"/>
          <w:szCs w:val="24"/>
          <w:u w:val="single"/>
        </w:rPr>
        <w:t>Comandos comuns:</w:t>
      </w:r>
    </w:p>
    <w:p w14:paraId="79F69FC6" w14:textId="7EB24AA2" w:rsidR="0055646A" w:rsidRPr="003052AC" w:rsidRDefault="0055646A" w:rsidP="0055646A">
      <w:pPr>
        <w:spacing w:before="120" w:after="120" w:line="240" w:lineRule="auto"/>
        <w:jc w:val="both"/>
        <w:rPr>
          <w:rFonts w:eastAsia="Times New Roman" w:cs="Times New Roman"/>
          <w:color w:val="333333"/>
          <w:sz w:val="24"/>
          <w:szCs w:val="24"/>
        </w:rPr>
      </w:pPr>
      <w:r w:rsidRPr="00FE3461">
        <w:rPr>
          <w:rFonts w:eastAsia="Times New Roman" w:cs="Times New Roman"/>
          <w:color w:val="333333"/>
          <w:sz w:val="24"/>
          <w:szCs w:val="24"/>
        </w:rPr>
        <w:t>A</w:t>
      </w:r>
      <w:r>
        <w:rPr>
          <w:rFonts w:eastAsia="Times New Roman" w:cs="Times New Roman"/>
          <w:color w:val="333333"/>
          <w:sz w:val="24"/>
          <w:szCs w:val="24"/>
        </w:rPr>
        <w:t>rt. XX</w:t>
      </w:r>
      <w:r w:rsidRPr="00FE3461">
        <w:rPr>
          <w:rFonts w:eastAsia="Times New Roman" w:cs="Times New Roman"/>
          <w:color w:val="333333"/>
          <w:sz w:val="24"/>
          <w:szCs w:val="24"/>
        </w:rPr>
        <w:t xml:space="preserve">.  </w:t>
      </w:r>
      <w:r w:rsidRPr="003052AC">
        <w:rPr>
          <w:rFonts w:eastAsia="Times New Roman" w:cs="Times New Roman"/>
          <w:color w:val="333333"/>
          <w:sz w:val="24"/>
          <w:szCs w:val="24"/>
        </w:rPr>
        <w:t>Os recursos de plano de assistência à saúde devem ser mantidos e controlados de forma segregada dos demais recursos administrados pela EFPC, observando o disposto no art. 76 da Lei Complementar nº 109, de 29 de maio de 2001.</w:t>
      </w:r>
    </w:p>
    <w:p w14:paraId="35FF8F8D" w14:textId="05B74F67" w:rsidR="0055646A" w:rsidRDefault="003245BA" w:rsidP="0055646A">
      <w:pPr>
        <w:spacing w:before="120" w:after="120" w:line="240" w:lineRule="auto"/>
        <w:jc w:val="both"/>
        <w:rPr>
          <w:rFonts w:eastAsia="Times New Roman" w:cstheme="minorHAnsi"/>
          <w:b/>
          <w:color w:val="000000"/>
          <w:sz w:val="24"/>
          <w:szCs w:val="24"/>
          <w:u w:val="single"/>
          <w:lang w:eastAsia="pt-BR"/>
        </w:rPr>
      </w:pPr>
      <w:r w:rsidRPr="003245BA">
        <w:rPr>
          <w:rFonts w:eastAsia="Times New Roman" w:cstheme="minorHAnsi"/>
          <w:b/>
          <w:color w:val="000000"/>
          <w:sz w:val="24"/>
          <w:szCs w:val="24"/>
          <w:u w:val="single"/>
          <w:lang w:eastAsia="pt-BR"/>
        </w:rPr>
        <w:t>Revogações:</w:t>
      </w:r>
    </w:p>
    <w:p w14:paraId="5D23C8C5" w14:textId="47CFABC6" w:rsidR="003245BA" w:rsidRPr="00885952" w:rsidRDefault="003245BA" w:rsidP="0055646A">
      <w:pPr>
        <w:spacing w:before="120" w:after="120" w:line="240" w:lineRule="auto"/>
        <w:jc w:val="both"/>
        <w:rPr>
          <w:rFonts w:eastAsia="Times New Roman" w:cstheme="minorHAnsi"/>
          <w:color w:val="000000"/>
          <w:sz w:val="24"/>
          <w:szCs w:val="24"/>
          <w:lang w:eastAsia="pt-BR"/>
        </w:rPr>
      </w:pPr>
      <w:r w:rsidRPr="00885952">
        <w:rPr>
          <w:rFonts w:eastAsia="Times New Roman" w:cstheme="minorHAnsi"/>
          <w:color w:val="000000"/>
          <w:sz w:val="24"/>
          <w:szCs w:val="24"/>
          <w:lang w:eastAsia="pt-BR"/>
        </w:rPr>
        <w:t xml:space="preserve">Resolução </w:t>
      </w:r>
      <w:proofErr w:type="spellStart"/>
      <w:r w:rsidRPr="00885952">
        <w:rPr>
          <w:rFonts w:eastAsia="Times New Roman" w:cstheme="minorHAnsi"/>
          <w:color w:val="000000"/>
          <w:sz w:val="24"/>
          <w:szCs w:val="24"/>
          <w:lang w:eastAsia="pt-BR"/>
        </w:rPr>
        <w:t>Previc</w:t>
      </w:r>
      <w:proofErr w:type="spellEnd"/>
      <w:r w:rsidRPr="00885952">
        <w:rPr>
          <w:rFonts w:eastAsia="Times New Roman" w:cstheme="minorHAnsi"/>
          <w:color w:val="000000"/>
          <w:sz w:val="24"/>
          <w:szCs w:val="24"/>
          <w:lang w:eastAsia="pt-BR"/>
        </w:rPr>
        <w:t xml:space="preserve">  </w:t>
      </w:r>
      <w:r w:rsidR="00885952">
        <w:rPr>
          <w:rFonts w:eastAsia="Times New Roman" w:cstheme="minorHAnsi"/>
          <w:color w:val="000000"/>
          <w:sz w:val="24"/>
          <w:szCs w:val="24"/>
          <w:lang w:eastAsia="pt-BR"/>
        </w:rPr>
        <w:t>n</w:t>
      </w:r>
      <w:r w:rsidR="00885952" w:rsidRPr="0055646A">
        <w:rPr>
          <w:sz w:val="24"/>
          <w:szCs w:val="24"/>
        </w:rPr>
        <w:t>º</w:t>
      </w:r>
      <w:r w:rsidR="00885952">
        <w:rPr>
          <w:sz w:val="24"/>
          <w:szCs w:val="24"/>
        </w:rPr>
        <w:t xml:space="preserve"> </w:t>
      </w:r>
      <w:r w:rsidRPr="00885952">
        <w:rPr>
          <w:rFonts w:eastAsia="Times New Roman" w:cstheme="minorHAnsi"/>
          <w:color w:val="000000"/>
          <w:sz w:val="24"/>
          <w:szCs w:val="24"/>
          <w:lang w:eastAsia="pt-BR"/>
        </w:rPr>
        <w:t xml:space="preserve">12, de </w:t>
      </w:r>
      <w:r w:rsidR="00885952" w:rsidRPr="00885952">
        <w:rPr>
          <w:rFonts w:eastAsia="Times New Roman" w:cstheme="minorHAnsi"/>
          <w:color w:val="000000"/>
          <w:sz w:val="24"/>
          <w:szCs w:val="24"/>
          <w:lang w:eastAsia="pt-BR"/>
        </w:rPr>
        <w:t>16 de agosto de 2022</w:t>
      </w:r>
    </w:p>
    <w:p w14:paraId="646DDA16" w14:textId="77777777" w:rsidR="003245BA" w:rsidRPr="003245BA" w:rsidRDefault="003245BA" w:rsidP="0055646A">
      <w:pPr>
        <w:spacing w:before="120" w:after="120" w:line="240" w:lineRule="auto"/>
        <w:jc w:val="both"/>
        <w:rPr>
          <w:rFonts w:eastAsia="Times New Roman" w:cstheme="minorHAnsi"/>
          <w:b/>
          <w:color w:val="000000"/>
          <w:sz w:val="24"/>
          <w:szCs w:val="24"/>
          <w:u w:val="single"/>
          <w:lang w:eastAsia="pt-BR"/>
        </w:rPr>
      </w:pPr>
    </w:p>
    <w:tbl>
      <w:tblPr>
        <w:tblStyle w:val="Tabelacomgrade"/>
        <w:tblW w:w="0" w:type="auto"/>
        <w:tblLook w:val="04A0" w:firstRow="1" w:lastRow="0" w:firstColumn="1" w:lastColumn="0" w:noHBand="0" w:noVBand="1"/>
      </w:tblPr>
      <w:tblGrid>
        <w:gridCol w:w="3474"/>
        <w:gridCol w:w="3474"/>
        <w:gridCol w:w="3474"/>
      </w:tblGrid>
      <w:tr w:rsidR="00CD5B68" w:rsidRPr="00CD5B68" w14:paraId="34488F5C" w14:textId="77777777" w:rsidTr="003A0450">
        <w:tc>
          <w:tcPr>
            <w:tcW w:w="3474" w:type="dxa"/>
          </w:tcPr>
          <w:p w14:paraId="4A7A37B3" w14:textId="5EB087F3" w:rsidR="00CD5B68" w:rsidRPr="00CD5B68" w:rsidRDefault="00CD5B68" w:rsidP="00CD5B68">
            <w:pPr>
              <w:spacing w:before="120" w:after="120"/>
              <w:jc w:val="center"/>
              <w:rPr>
                <w:sz w:val="24"/>
                <w:szCs w:val="24"/>
              </w:rPr>
            </w:pPr>
            <w:r>
              <w:rPr>
                <w:sz w:val="24"/>
                <w:szCs w:val="24"/>
              </w:rPr>
              <w:t xml:space="preserve">DE </w:t>
            </w:r>
          </w:p>
        </w:tc>
        <w:tc>
          <w:tcPr>
            <w:tcW w:w="3474" w:type="dxa"/>
          </w:tcPr>
          <w:p w14:paraId="4DB797FB" w14:textId="355C52B7" w:rsidR="00CD5B68" w:rsidRPr="00CD5B68" w:rsidRDefault="00CD5B68" w:rsidP="00CD5B68">
            <w:pPr>
              <w:spacing w:before="120" w:after="120"/>
              <w:jc w:val="center"/>
              <w:rPr>
                <w:sz w:val="24"/>
                <w:szCs w:val="24"/>
              </w:rPr>
            </w:pPr>
            <w:r>
              <w:rPr>
                <w:sz w:val="24"/>
                <w:szCs w:val="24"/>
              </w:rPr>
              <w:t xml:space="preserve">PARA </w:t>
            </w:r>
          </w:p>
        </w:tc>
        <w:tc>
          <w:tcPr>
            <w:tcW w:w="3474" w:type="dxa"/>
          </w:tcPr>
          <w:p w14:paraId="174E5CBD" w14:textId="31DDFD5D" w:rsidR="00CD5B68" w:rsidRPr="00CD5B68" w:rsidRDefault="00CD5B68" w:rsidP="00CD5B68">
            <w:pPr>
              <w:spacing w:before="120" w:after="120"/>
              <w:jc w:val="center"/>
              <w:rPr>
                <w:sz w:val="24"/>
                <w:szCs w:val="24"/>
              </w:rPr>
            </w:pPr>
            <w:r>
              <w:rPr>
                <w:sz w:val="24"/>
                <w:szCs w:val="24"/>
              </w:rPr>
              <w:t>JUSTIFICATIVA</w:t>
            </w:r>
          </w:p>
        </w:tc>
      </w:tr>
      <w:tr w:rsidR="00CD5B68" w:rsidRPr="00CD5B68" w14:paraId="54DB7CB7" w14:textId="77777777" w:rsidTr="003A0450">
        <w:tc>
          <w:tcPr>
            <w:tcW w:w="3474" w:type="dxa"/>
          </w:tcPr>
          <w:p w14:paraId="17FDAEDC" w14:textId="354E1C43" w:rsidR="00CD5B68" w:rsidRPr="00CD5B68" w:rsidRDefault="009269A2" w:rsidP="00CD5B68">
            <w:pPr>
              <w:spacing w:before="120" w:after="120"/>
              <w:jc w:val="center"/>
              <w:rPr>
                <w:sz w:val="24"/>
                <w:szCs w:val="24"/>
              </w:rPr>
            </w:pPr>
            <w:r>
              <w:rPr>
                <w:sz w:val="24"/>
                <w:szCs w:val="24"/>
              </w:rPr>
              <w:t xml:space="preserve">Resolução </w:t>
            </w:r>
            <w:proofErr w:type="spellStart"/>
            <w:r w:rsidRPr="00885952">
              <w:rPr>
                <w:rFonts w:eastAsia="Times New Roman" w:cstheme="minorHAnsi"/>
                <w:color w:val="000000"/>
                <w:sz w:val="24"/>
                <w:szCs w:val="24"/>
                <w:lang w:eastAsia="pt-BR"/>
              </w:rPr>
              <w:t>Previc</w:t>
            </w:r>
            <w:proofErr w:type="spellEnd"/>
            <w:r w:rsidRPr="00885952">
              <w:rPr>
                <w:rFonts w:eastAsia="Times New Roman" w:cstheme="minorHAnsi"/>
                <w:color w:val="000000"/>
                <w:sz w:val="24"/>
                <w:szCs w:val="24"/>
                <w:lang w:eastAsia="pt-BR"/>
              </w:rPr>
              <w:t xml:space="preserve">  </w:t>
            </w:r>
            <w:r>
              <w:rPr>
                <w:rFonts w:eastAsia="Times New Roman" w:cstheme="minorHAnsi"/>
                <w:color w:val="000000"/>
                <w:sz w:val="24"/>
                <w:szCs w:val="24"/>
                <w:lang w:eastAsia="pt-BR"/>
              </w:rPr>
              <w:t>n</w:t>
            </w:r>
            <w:r w:rsidRPr="0055646A">
              <w:rPr>
                <w:sz w:val="24"/>
                <w:szCs w:val="24"/>
              </w:rPr>
              <w:t>º</w:t>
            </w:r>
            <w:r>
              <w:rPr>
                <w:sz w:val="24"/>
                <w:szCs w:val="24"/>
              </w:rPr>
              <w:t xml:space="preserve"> </w:t>
            </w:r>
            <w:r w:rsidRPr="00885952">
              <w:rPr>
                <w:rFonts w:eastAsia="Times New Roman" w:cstheme="minorHAnsi"/>
                <w:color w:val="000000"/>
                <w:sz w:val="24"/>
                <w:szCs w:val="24"/>
                <w:lang w:eastAsia="pt-BR"/>
              </w:rPr>
              <w:t>12, de 16 de agosto de 2022</w:t>
            </w:r>
          </w:p>
        </w:tc>
        <w:tc>
          <w:tcPr>
            <w:tcW w:w="3474" w:type="dxa"/>
          </w:tcPr>
          <w:p w14:paraId="7A29F001" w14:textId="6291C3CC" w:rsidR="00CD5B68" w:rsidRPr="00CD5B68" w:rsidRDefault="009269A2" w:rsidP="00CD5B68">
            <w:pPr>
              <w:spacing w:before="120" w:after="120"/>
              <w:jc w:val="center"/>
              <w:rPr>
                <w:sz w:val="24"/>
                <w:szCs w:val="24"/>
              </w:rPr>
            </w:pPr>
            <w:r>
              <w:rPr>
                <w:sz w:val="24"/>
                <w:szCs w:val="24"/>
              </w:rPr>
              <w:t xml:space="preserve">Anexo </w:t>
            </w:r>
            <w:r w:rsidRPr="00636A37">
              <w:rPr>
                <w:sz w:val="24"/>
                <w:szCs w:val="24"/>
                <w:highlight w:val="yellow"/>
              </w:rPr>
              <w:t>X</w:t>
            </w:r>
            <w:r>
              <w:rPr>
                <w:sz w:val="24"/>
                <w:szCs w:val="24"/>
              </w:rPr>
              <w:t xml:space="preserve"> da </w:t>
            </w:r>
            <w:r w:rsidRPr="00CD5B68">
              <w:rPr>
                <w:rFonts w:eastAsia="Times New Roman"/>
                <w:color w:val="000000" w:themeColor="text1"/>
                <w:sz w:val="24"/>
                <w:szCs w:val="24"/>
                <w:lang w:eastAsia="pt-BR"/>
              </w:rPr>
              <w:t xml:space="preserve">Resolução </w:t>
            </w:r>
            <w:proofErr w:type="spellStart"/>
            <w:r w:rsidRPr="00CD5B68">
              <w:rPr>
                <w:rFonts w:eastAsia="Times New Roman"/>
                <w:color w:val="000000" w:themeColor="text1"/>
                <w:sz w:val="24"/>
                <w:szCs w:val="24"/>
                <w:lang w:eastAsia="pt-BR"/>
              </w:rPr>
              <w:t>Previc</w:t>
            </w:r>
            <w:proofErr w:type="spellEnd"/>
            <w:r w:rsidRPr="00CD5B68">
              <w:rPr>
                <w:rFonts w:eastAsia="Times New Roman"/>
                <w:color w:val="000000" w:themeColor="text1"/>
                <w:sz w:val="24"/>
                <w:szCs w:val="24"/>
                <w:lang w:eastAsia="pt-BR"/>
              </w:rPr>
              <w:t xml:space="preserve"> nº </w:t>
            </w:r>
            <w:r w:rsidRPr="00CD5B68">
              <w:rPr>
                <w:rFonts w:eastAsia="Times New Roman"/>
                <w:color w:val="000000" w:themeColor="text1"/>
                <w:sz w:val="24"/>
                <w:szCs w:val="24"/>
                <w:highlight w:val="yellow"/>
                <w:lang w:eastAsia="pt-BR"/>
              </w:rPr>
              <w:t>XX</w:t>
            </w:r>
            <w:r w:rsidRPr="00CD5B68">
              <w:rPr>
                <w:rFonts w:eastAsia="Times New Roman"/>
                <w:color w:val="000000" w:themeColor="text1"/>
                <w:sz w:val="24"/>
                <w:szCs w:val="24"/>
                <w:lang w:eastAsia="pt-BR"/>
              </w:rPr>
              <w:t xml:space="preserve">, de </w:t>
            </w:r>
            <w:r w:rsidRPr="00CD5B68">
              <w:rPr>
                <w:rFonts w:eastAsia="Times New Roman"/>
                <w:color w:val="000000" w:themeColor="text1"/>
                <w:sz w:val="24"/>
                <w:szCs w:val="24"/>
                <w:highlight w:val="yellow"/>
                <w:lang w:eastAsia="pt-BR"/>
              </w:rPr>
              <w:t>XX</w:t>
            </w:r>
            <w:r w:rsidRPr="00CD5B68">
              <w:rPr>
                <w:rFonts w:eastAsia="Times New Roman"/>
                <w:color w:val="000000" w:themeColor="text1"/>
                <w:sz w:val="24"/>
                <w:szCs w:val="24"/>
                <w:lang w:eastAsia="pt-BR"/>
              </w:rPr>
              <w:t xml:space="preserve"> de </w:t>
            </w:r>
            <w:r w:rsidRPr="00CD5B68">
              <w:rPr>
                <w:rFonts w:eastAsia="Times New Roman"/>
                <w:color w:val="000000" w:themeColor="text1"/>
                <w:sz w:val="24"/>
                <w:szCs w:val="24"/>
                <w:highlight w:val="yellow"/>
                <w:lang w:eastAsia="pt-BR"/>
              </w:rPr>
              <w:t>XX</w:t>
            </w:r>
            <w:r w:rsidRPr="00CD5B68">
              <w:rPr>
                <w:rFonts w:eastAsia="Times New Roman"/>
                <w:color w:val="000000" w:themeColor="text1"/>
                <w:sz w:val="24"/>
                <w:szCs w:val="24"/>
                <w:lang w:eastAsia="pt-BR"/>
              </w:rPr>
              <w:t xml:space="preserve"> de 2023</w:t>
            </w:r>
          </w:p>
        </w:tc>
        <w:tc>
          <w:tcPr>
            <w:tcW w:w="3474" w:type="dxa"/>
          </w:tcPr>
          <w:p w14:paraId="35E95E82" w14:textId="502F047C" w:rsidR="00CD5B68" w:rsidRPr="00CD5B68" w:rsidRDefault="009269A2" w:rsidP="00CD5B68">
            <w:pPr>
              <w:spacing w:before="120" w:after="120"/>
              <w:jc w:val="center"/>
              <w:rPr>
                <w:sz w:val="24"/>
                <w:szCs w:val="24"/>
              </w:rPr>
            </w:pPr>
            <w:r>
              <w:rPr>
                <w:sz w:val="24"/>
                <w:szCs w:val="24"/>
              </w:rPr>
              <w:t xml:space="preserve">Consolidação Normativa </w:t>
            </w:r>
          </w:p>
        </w:tc>
      </w:tr>
      <w:tr w:rsidR="00CD5B68" w:rsidRPr="00CD5B68" w14:paraId="50924C2D" w14:textId="5EB41509" w:rsidTr="003A0450">
        <w:tc>
          <w:tcPr>
            <w:tcW w:w="3474" w:type="dxa"/>
          </w:tcPr>
          <w:p w14:paraId="54789BE9" w14:textId="77777777" w:rsidR="00CD5B68" w:rsidRPr="00CD5B68" w:rsidRDefault="00CD5B68" w:rsidP="00CD5B68">
            <w:pPr>
              <w:spacing w:before="120" w:after="120"/>
              <w:jc w:val="center"/>
              <w:rPr>
                <w:sz w:val="24"/>
                <w:szCs w:val="24"/>
              </w:rPr>
            </w:pPr>
          </w:p>
        </w:tc>
        <w:tc>
          <w:tcPr>
            <w:tcW w:w="3474" w:type="dxa"/>
          </w:tcPr>
          <w:p w14:paraId="22C73D95" w14:textId="1D9ABE06" w:rsidR="00CD5B68" w:rsidRPr="00CD5B68" w:rsidRDefault="00CD5B68" w:rsidP="00CD5B68">
            <w:pPr>
              <w:spacing w:before="120" w:after="120"/>
              <w:jc w:val="center"/>
              <w:rPr>
                <w:rFonts w:eastAsia="Times New Roman" w:cstheme="minorHAnsi"/>
                <w:color w:val="000000"/>
                <w:sz w:val="24"/>
                <w:szCs w:val="24"/>
                <w:lang w:eastAsia="pt-BR"/>
              </w:rPr>
            </w:pPr>
            <w:bookmarkStart w:id="1" w:name="_Toc53594514"/>
            <w:bookmarkStart w:id="2" w:name="_Toc53595539"/>
            <w:bookmarkStart w:id="3" w:name="_Toc53594266"/>
            <w:bookmarkStart w:id="4" w:name="_Toc57836276"/>
            <w:bookmarkStart w:id="5" w:name="_Toc126226384"/>
            <w:r w:rsidRPr="00CD5B68">
              <w:rPr>
                <w:sz w:val="24"/>
                <w:szCs w:val="24"/>
              </w:rPr>
              <w:t>CAPÍTULO I</w:t>
            </w:r>
            <w:bookmarkEnd w:id="1"/>
            <w:bookmarkEnd w:id="2"/>
            <w:bookmarkEnd w:id="3"/>
            <w:bookmarkEnd w:id="4"/>
            <w:bookmarkEnd w:id="5"/>
          </w:p>
        </w:tc>
        <w:tc>
          <w:tcPr>
            <w:tcW w:w="3474" w:type="dxa"/>
          </w:tcPr>
          <w:p w14:paraId="3D97D3CF" w14:textId="77777777" w:rsidR="00CD5B68" w:rsidRPr="00CD5B68" w:rsidRDefault="00CD5B68" w:rsidP="00CD5B68">
            <w:pPr>
              <w:spacing w:before="120" w:after="120"/>
              <w:jc w:val="center"/>
              <w:rPr>
                <w:sz w:val="24"/>
                <w:szCs w:val="24"/>
              </w:rPr>
            </w:pPr>
          </w:p>
        </w:tc>
      </w:tr>
      <w:tr w:rsidR="009269A2" w:rsidRPr="00CD5B68" w14:paraId="565C5D56" w14:textId="04A5885D" w:rsidTr="003A0450">
        <w:tc>
          <w:tcPr>
            <w:tcW w:w="3474" w:type="dxa"/>
          </w:tcPr>
          <w:p w14:paraId="14B97D5C" w14:textId="1D6A6EFE" w:rsidR="009269A2" w:rsidRPr="00CD5B68" w:rsidRDefault="009269A2" w:rsidP="009269A2">
            <w:pPr>
              <w:spacing w:before="120" w:after="120"/>
              <w:ind w:right="-448"/>
              <w:jc w:val="center"/>
              <w:rPr>
                <w:rFonts w:eastAsia="Times New Roman" w:cstheme="minorHAnsi"/>
                <w:color w:val="000000"/>
                <w:sz w:val="24"/>
                <w:szCs w:val="24"/>
                <w:lang w:eastAsia="pt-BR"/>
              </w:rPr>
            </w:pPr>
            <w:r w:rsidRPr="005611B4">
              <w:rPr>
                <w:rFonts w:eastAsia="Times New Roman" w:cstheme="minorHAnsi"/>
                <w:b/>
                <w:color w:val="000000"/>
                <w:sz w:val="24"/>
                <w:szCs w:val="24"/>
                <w:lang w:eastAsia="pt-BR"/>
              </w:rPr>
              <w:t>Diretrizes</w:t>
            </w:r>
          </w:p>
        </w:tc>
        <w:tc>
          <w:tcPr>
            <w:tcW w:w="3474" w:type="dxa"/>
          </w:tcPr>
          <w:p w14:paraId="17814C64" w14:textId="320213AC" w:rsidR="009269A2" w:rsidRPr="00CD5B68" w:rsidRDefault="009269A2" w:rsidP="00CD5B68">
            <w:pPr>
              <w:spacing w:before="120" w:after="120"/>
              <w:jc w:val="center"/>
              <w:rPr>
                <w:rFonts w:eastAsia="Times New Roman" w:cstheme="minorHAnsi"/>
                <w:color w:val="000000"/>
                <w:sz w:val="24"/>
                <w:szCs w:val="24"/>
                <w:lang w:eastAsia="pt-BR"/>
              </w:rPr>
            </w:pPr>
            <w:r w:rsidRPr="00CD5B68">
              <w:rPr>
                <w:rFonts w:eastAsia="Times New Roman" w:cstheme="minorHAnsi"/>
                <w:color w:val="000000"/>
                <w:sz w:val="24"/>
                <w:szCs w:val="24"/>
                <w:lang w:eastAsia="pt-BR"/>
              </w:rPr>
              <w:t>DIRETRIZES</w:t>
            </w:r>
          </w:p>
        </w:tc>
        <w:tc>
          <w:tcPr>
            <w:tcW w:w="3474" w:type="dxa"/>
          </w:tcPr>
          <w:p w14:paraId="5D6D1B4B" w14:textId="77777777" w:rsidR="009269A2" w:rsidRPr="00CD5B68" w:rsidRDefault="009269A2" w:rsidP="00CD5B68">
            <w:pPr>
              <w:spacing w:before="120" w:after="120"/>
              <w:jc w:val="center"/>
              <w:rPr>
                <w:rFonts w:eastAsia="Times New Roman" w:cstheme="minorHAnsi"/>
                <w:color w:val="000000"/>
                <w:sz w:val="24"/>
                <w:szCs w:val="24"/>
                <w:lang w:eastAsia="pt-BR"/>
              </w:rPr>
            </w:pPr>
          </w:p>
        </w:tc>
      </w:tr>
      <w:tr w:rsidR="009269A2" w:rsidRPr="00CD5B68" w14:paraId="2951F208" w14:textId="3DBCFF56" w:rsidTr="003A0450">
        <w:tc>
          <w:tcPr>
            <w:tcW w:w="3474" w:type="dxa"/>
          </w:tcPr>
          <w:p w14:paraId="5FC01095" w14:textId="1730C9B6" w:rsidR="009269A2" w:rsidRPr="00CD5B68" w:rsidRDefault="009269A2" w:rsidP="00CD5B68">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 xml:space="preserve">Art. 1º  A Entidade Fechada de Previdência Complementar (EFPC) deve observar o disposto nesta Resolução para realizar os procedimentos de transferência ou qualquer outra forma de troca de ativos entre os planos por ela administrados, decorrentes da implementação do registro, no Cadastro Nacional de Pessoa Jurídica (CNPJ), dos planos de benefícios, nos termos da Resolução CNPC nº 46, de 1º de outubro de 2021, e na forma do § 4º do art. 36 da Resolução CMN nº 4.994, de 24 de março </w:t>
            </w:r>
            <w:r w:rsidRPr="005611B4">
              <w:rPr>
                <w:rFonts w:eastAsia="Times New Roman"/>
                <w:color w:val="000000" w:themeColor="text1"/>
                <w:sz w:val="24"/>
                <w:szCs w:val="24"/>
                <w:lang w:eastAsia="pt-BR"/>
              </w:rPr>
              <w:lastRenderedPageBreak/>
              <w:t>de 2022.</w:t>
            </w:r>
          </w:p>
        </w:tc>
        <w:tc>
          <w:tcPr>
            <w:tcW w:w="3474" w:type="dxa"/>
          </w:tcPr>
          <w:p w14:paraId="3075913F" w14:textId="2B0AFE07" w:rsidR="009269A2" w:rsidRPr="00CD5B68" w:rsidRDefault="009269A2" w:rsidP="00CD5B68">
            <w:pPr>
              <w:spacing w:before="120" w:after="120"/>
              <w:jc w:val="both"/>
              <w:rPr>
                <w:rFonts w:eastAsia="Times New Roman"/>
                <w:color w:val="000000" w:themeColor="text1"/>
                <w:sz w:val="24"/>
                <w:szCs w:val="24"/>
                <w:lang w:eastAsia="pt-BR"/>
              </w:rPr>
            </w:pPr>
            <w:r w:rsidRPr="00CD5B68">
              <w:rPr>
                <w:rFonts w:eastAsia="Times New Roman"/>
                <w:color w:val="000000" w:themeColor="text1"/>
                <w:sz w:val="24"/>
                <w:szCs w:val="24"/>
                <w:lang w:eastAsia="pt-BR"/>
              </w:rPr>
              <w:lastRenderedPageBreak/>
              <w:t xml:space="preserve">Art. 1º  Este Anexo </w:t>
            </w:r>
            <w:r w:rsidRPr="00CD5B68">
              <w:rPr>
                <w:rFonts w:eastAsia="Times New Roman"/>
                <w:color w:val="000000" w:themeColor="text1"/>
                <w:sz w:val="24"/>
                <w:szCs w:val="24"/>
                <w:highlight w:val="yellow"/>
                <w:lang w:eastAsia="pt-BR"/>
              </w:rPr>
              <w:t>X</w:t>
            </w:r>
            <w:r w:rsidRPr="00CD5B68">
              <w:rPr>
                <w:rFonts w:eastAsia="Times New Roman"/>
                <w:color w:val="000000" w:themeColor="text1"/>
                <w:sz w:val="24"/>
                <w:szCs w:val="24"/>
                <w:lang w:eastAsia="pt-BR"/>
              </w:rPr>
              <w:t xml:space="preserve"> à Resolução </w:t>
            </w:r>
            <w:proofErr w:type="spellStart"/>
            <w:r w:rsidRPr="00CD5B68">
              <w:rPr>
                <w:rFonts w:eastAsia="Times New Roman"/>
                <w:color w:val="000000" w:themeColor="text1"/>
                <w:sz w:val="24"/>
                <w:szCs w:val="24"/>
                <w:lang w:eastAsia="pt-BR"/>
              </w:rPr>
              <w:t>Previc</w:t>
            </w:r>
            <w:proofErr w:type="spellEnd"/>
            <w:r w:rsidRPr="00CD5B68">
              <w:rPr>
                <w:rFonts w:eastAsia="Times New Roman"/>
                <w:color w:val="000000" w:themeColor="text1"/>
                <w:sz w:val="24"/>
                <w:szCs w:val="24"/>
                <w:lang w:eastAsia="pt-BR"/>
              </w:rPr>
              <w:t xml:space="preserve"> nº </w:t>
            </w:r>
            <w:r w:rsidRPr="00CD5B68">
              <w:rPr>
                <w:rFonts w:eastAsia="Times New Roman"/>
                <w:color w:val="000000" w:themeColor="text1"/>
                <w:sz w:val="24"/>
                <w:szCs w:val="24"/>
                <w:highlight w:val="yellow"/>
                <w:lang w:eastAsia="pt-BR"/>
              </w:rPr>
              <w:t>XX</w:t>
            </w:r>
            <w:r w:rsidRPr="00CD5B68">
              <w:rPr>
                <w:rFonts w:eastAsia="Times New Roman"/>
                <w:color w:val="000000" w:themeColor="text1"/>
                <w:sz w:val="24"/>
                <w:szCs w:val="24"/>
                <w:lang w:eastAsia="pt-BR"/>
              </w:rPr>
              <w:t xml:space="preserve">, de </w:t>
            </w:r>
            <w:r w:rsidRPr="00CD5B68">
              <w:rPr>
                <w:rFonts w:eastAsia="Times New Roman"/>
                <w:color w:val="000000" w:themeColor="text1"/>
                <w:sz w:val="24"/>
                <w:szCs w:val="24"/>
                <w:highlight w:val="yellow"/>
                <w:lang w:eastAsia="pt-BR"/>
              </w:rPr>
              <w:t>XX</w:t>
            </w:r>
            <w:r w:rsidRPr="00CD5B68">
              <w:rPr>
                <w:rFonts w:eastAsia="Times New Roman"/>
                <w:color w:val="000000" w:themeColor="text1"/>
                <w:sz w:val="24"/>
                <w:szCs w:val="24"/>
                <w:lang w:eastAsia="pt-BR"/>
              </w:rPr>
              <w:t xml:space="preserve"> de </w:t>
            </w:r>
            <w:r w:rsidRPr="00CD5B68">
              <w:rPr>
                <w:rFonts w:eastAsia="Times New Roman"/>
                <w:color w:val="000000" w:themeColor="text1"/>
                <w:sz w:val="24"/>
                <w:szCs w:val="24"/>
                <w:highlight w:val="yellow"/>
                <w:lang w:eastAsia="pt-BR"/>
              </w:rPr>
              <w:t>XX</w:t>
            </w:r>
            <w:r w:rsidRPr="00CD5B68">
              <w:rPr>
                <w:rFonts w:eastAsia="Times New Roman"/>
                <w:color w:val="000000" w:themeColor="text1"/>
                <w:sz w:val="24"/>
                <w:szCs w:val="24"/>
                <w:lang w:eastAsia="pt-BR"/>
              </w:rPr>
              <w:t xml:space="preserve"> de 2023, dispõe sobre os procedimentos a serem observados pelas EFPC para transferência ou qualquer outra forma de troca de ativos entre os planos por ela administrados, decorrentes da implementação do registro, no Cadastro Nacional de Pessoa Jurídica (CNPJ), dos planos de benefícios, nos termos da Resolução CNPC nº 46, de 1º de outubro de 2021, e na forma do § 4º do art. 36 da Resolução CMN nº 4.994, de 24 de março </w:t>
            </w:r>
            <w:r w:rsidRPr="00CD5B68">
              <w:rPr>
                <w:rFonts w:eastAsia="Times New Roman"/>
                <w:color w:val="000000" w:themeColor="text1"/>
                <w:sz w:val="24"/>
                <w:szCs w:val="24"/>
                <w:lang w:eastAsia="pt-BR"/>
              </w:rPr>
              <w:lastRenderedPageBreak/>
              <w:t>de 2022.</w:t>
            </w:r>
          </w:p>
        </w:tc>
        <w:tc>
          <w:tcPr>
            <w:tcW w:w="3474" w:type="dxa"/>
          </w:tcPr>
          <w:p w14:paraId="169C6016" w14:textId="77777777" w:rsidR="009269A2" w:rsidRPr="00CD5B68" w:rsidRDefault="009269A2" w:rsidP="00CD5B68">
            <w:pPr>
              <w:spacing w:before="120" w:after="120"/>
              <w:jc w:val="both"/>
              <w:rPr>
                <w:rFonts w:eastAsia="Times New Roman"/>
                <w:color w:val="000000" w:themeColor="text1"/>
                <w:sz w:val="24"/>
                <w:szCs w:val="24"/>
                <w:lang w:eastAsia="pt-BR"/>
              </w:rPr>
            </w:pPr>
          </w:p>
        </w:tc>
      </w:tr>
      <w:tr w:rsidR="009269A2" w:rsidRPr="00CD5B68" w14:paraId="03F2F03A" w14:textId="081ED74E" w:rsidTr="003A0450">
        <w:tc>
          <w:tcPr>
            <w:tcW w:w="3474" w:type="dxa"/>
          </w:tcPr>
          <w:p w14:paraId="1B8E4A63" w14:textId="45B710E0" w:rsidR="009269A2" w:rsidRPr="00CD5B68" w:rsidRDefault="009269A2" w:rsidP="00CD5B68">
            <w:pPr>
              <w:spacing w:before="120" w:after="120"/>
              <w:jc w:val="both"/>
              <w:rPr>
                <w:rFonts w:eastAsia="Times New Roman" w:cstheme="minorHAnsi"/>
                <w:color w:val="000000"/>
                <w:sz w:val="24"/>
                <w:szCs w:val="24"/>
                <w:lang w:eastAsia="pt-BR"/>
              </w:rPr>
            </w:pPr>
            <w:r w:rsidRPr="005611B4">
              <w:rPr>
                <w:rFonts w:eastAsia="Times New Roman" w:cstheme="minorHAnsi"/>
                <w:color w:val="000000"/>
                <w:sz w:val="24"/>
                <w:szCs w:val="24"/>
                <w:lang w:eastAsia="pt-BR"/>
              </w:rPr>
              <w:t>Art. 2º  Para fins do disposto nesta Resolução, os procedimentos referidos no art. 1º devem:</w:t>
            </w:r>
          </w:p>
        </w:tc>
        <w:tc>
          <w:tcPr>
            <w:tcW w:w="3474" w:type="dxa"/>
          </w:tcPr>
          <w:p w14:paraId="47BEF612" w14:textId="66490D40" w:rsidR="009269A2" w:rsidRPr="00CD5B68" w:rsidRDefault="009269A2" w:rsidP="00CD5B68">
            <w:pPr>
              <w:spacing w:before="120" w:after="120"/>
              <w:jc w:val="both"/>
              <w:rPr>
                <w:rFonts w:eastAsia="Times New Roman" w:cstheme="minorHAnsi"/>
                <w:color w:val="000000"/>
                <w:sz w:val="24"/>
                <w:szCs w:val="24"/>
                <w:lang w:eastAsia="pt-BR"/>
              </w:rPr>
            </w:pPr>
            <w:r w:rsidRPr="00CD5B68">
              <w:rPr>
                <w:rFonts w:eastAsia="Times New Roman" w:cstheme="minorHAnsi"/>
                <w:color w:val="000000"/>
                <w:sz w:val="24"/>
                <w:szCs w:val="24"/>
                <w:lang w:eastAsia="pt-BR"/>
              </w:rPr>
              <w:t>Art. 2º  Para fins do disposto neste Anexo, os procedimentos referidos no art. 1º devem:</w:t>
            </w:r>
          </w:p>
        </w:tc>
        <w:tc>
          <w:tcPr>
            <w:tcW w:w="3474" w:type="dxa"/>
          </w:tcPr>
          <w:p w14:paraId="22367E5D" w14:textId="77777777" w:rsidR="009269A2" w:rsidRPr="00CD5B68" w:rsidRDefault="009269A2" w:rsidP="00CD5B68">
            <w:pPr>
              <w:spacing w:before="120" w:after="120"/>
              <w:jc w:val="both"/>
              <w:rPr>
                <w:rFonts w:eastAsia="Times New Roman" w:cstheme="minorHAnsi"/>
                <w:color w:val="000000"/>
                <w:sz w:val="24"/>
                <w:szCs w:val="24"/>
                <w:lang w:eastAsia="pt-BR"/>
              </w:rPr>
            </w:pPr>
          </w:p>
        </w:tc>
      </w:tr>
      <w:tr w:rsidR="009269A2" w:rsidRPr="00CD5B68" w14:paraId="236B7382" w14:textId="1F9A8403" w:rsidTr="003A0450">
        <w:tc>
          <w:tcPr>
            <w:tcW w:w="3474" w:type="dxa"/>
          </w:tcPr>
          <w:p w14:paraId="703BDACE" w14:textId="1B0F3F56" w:rsidR="009269A2" w:rsidRPr="00CD5B68" w:rsidRDefault="009269A2" w:rsidP="00CD5B68">
            <w:pPr>
              <w:spacing w:before="120" w:after="120"/>
              <w:jc w:val="both"/>
              <w:rPr>
                <w:rFonts w:eastAsia="Times New Roman" w:cstheme="minorHAnsi"/>
                <w:color w:val="000000"/>
                <w:sz w:val="24"/>
                <w:szCs w:val="24"/>
                <w:lang w:eastAsia="pt-BR"/>
              </w:rPr>
            </w:pPr>
            <w:r w:rsidRPr="005611B4">
              <w:rPr>
                <w:rFonts w:eastAsia="Times New Roman" w:cstheme="minorHAnsi"/>
                <w:color w:val="000000"/>
                <w:sz w:val="24"/>
                <w:szCs w:val="24"/>
                <w:lang w:eastAsia="pt-BR"/>
              </w:rPr>
              <w:t>I - proteger os interesses dos participantes e dos assistidos dos planos envolvidos;</w:t>
            </w:r>
          </w:p>
        </w:tc>
        <w:tc>
          <w:tcPr>
            <w:tcW w:w="3474" w:type="dxa"/>
          </w:tcPr>
          <w:p w14:paraId="19F692D3" w14:textId="3CC86E4A" w:rsidR="009269A2" w:rsidRPr="00CD5B68" w:rsidRDefault="009269A2" w:rsidP="00CD5B68">
            <w:pPr>
              <w:spacing w:before="120" w:after="120"/>
              <w:jc w:val="both"/>
              <w:rPr>
                <w:rFonts w:eastAsia="Times New Roman" w:cstheme="minorHAnsi"/>
                <w:color w:val="000000"/>
                <w:sz w:val="24"/>
                <w:szCs w:val="24"/>
                <w:lang w:eastAsia="pt-BR"/>
              </w:rPr>
            </w:pPr>
            <w:bookmarkStart w:id="6" w:name="_Hlk87014740"/>
            <w:r w:rsidRPr="00CD5B68">
              <w:rPr>
                <w:rFonts w:eastAsia="Times New Roman" w:cstheme="minorHAnsi"/>
                <w:color w:val="000000"/>
                <w:sz w:val="24"/>
                <w:szCs w:val="24"/>
                <w:lang w:eastAsia="pt-BR"/>
              </w:rPr>
              <w:t xml:space="preserve">I - </w:t>
            </w:r>
            <w:bookmarkStart w:id="7" w:name="_Hlk87014752"/>
            <w:r w:rsidRPr="00CD5B68">
              <w:rPr>
                <w:rFonts w:eastAsia="Times New Roman" w:cstheme="minorHAnsi"/>
                <w:color w:val="000000"/>
                <w:sz w:val="24"/>
                <w:szCs w:val="24"/>
                <w:lang w:eastAsia="pt-BR"/>
              </w:rPr>
              <w:t>proteger os interesses dos participantes e dos assistidos</w:t>
            </w:r>
            <w:bookmarkEnd w:id="7"/>
            <w:r w:rsidRPr="00CD5B68">
              <w:rPr>
                <w:rFonts w:eastAsia="Times New Roman" w:cstheme="minorHAnsi"/>
                <w:color w:val="000000"/>
                <w:sz w:val="24"/>
                <w:szCs w:val="24"/>
                <w:lang w:eastAsia="pt-BR"/>
              </w:rPr>
              <w:t xml:space="preserve"> dos planos envolvidos;</w:t>
            </w:r>
          </w:p>
        </w:tc>
        <w:tc>
          <w:tcPr>
            <w:tcW w:w="3474" w:type="dxa"/>
          </w:tcPr>
          <w:p w14:paraId="05C732D9" w14:textId="77777777" w:rsidR="009269A2" w:rsidRPr="00CD5B68" w:rsidRDefault="009269A2" w:rsidP="00CD5B68">
            <w:pPr>
              <w:spacing w:before="120" w:after="120"/>
              <w:jc w:val="both"/>
              <w:rPr>
                <w:rFonts w:eastAsia="Times New Roman" w:cstheme="minorHAnsi"/>
                <w:color w:val="000000"/>
                <w:sz w:val="24"/>
                <w:szCs w:val="24"/>
                <w:lang w:eastAsia="pt-BR"/>
              </w:rPr>
            </w:pPr>
          </w:p>
        </w:tc>
      </w:tr>
      <w:tr w:rsidR="009269A2" w:rsidRPr="00CD5B68" w14:paraId="2F944DAC" w14:textId="45F65472" w:rsidTr="003A0450">
        <w:tc>
          <w:tcPr>
            <w:tcW w:w="3474" w:type="dxa"/>
          </w:tcPr>
          <w:p w14:paraId="717E8496" w14:textId="32FD978A" w:rsidR="009269A2" w:rsidRPr="00CD5B68" w:rsidRDefault="009269A2" w:rsidP="00CD5B68">
            <w:pPr>
              <w:spacing w:before="120" w:after="120"/>
              <w:jc w:val="both"/>
              <w:rPr>
                <w:rFonts w:eastAsia="Times New Roman" w:cstheme="minorHAnsi"/>
                <w:color w:val="000000"/>
                <w:sz w:val="24"/>
                <w:szCs w:val="24"/>
                <w:lang w:eastAsia="pt-BR"/>
              </w:rPr>
            </w:pPr>
            <w:r w:rsidRPr="005611B4">
              <w:rPr>
                <w:rFonts w:eastAsia="Times New Roman" w:cstheme="minorHAnsi"/>
                <w:color w:val="000000"/>
                <w:sz w:val="24"/>
                <w:szCs w:val="24"/>
                <w:lang w:eastAsia="pt-BR"/>
              </w:rPr>
              <w:t>II - mostrar, de forma inequívoca, os interesses dos planos envolvidos, inclusive quanto ao valor dos ativos transacionados;</w:t>
            </w:r>
          </w:p>
        </w:tc>
        <w:tc>
          <w:tcPr>
            <w:tcW w:w="3474" w:type="dxa"/>
          </w:tcPr>
          <w:p w14:paraId="6C3B074F" w14:textId="43460D71" w:rsidR="009269A2" w:rsidRPr="00CD5B68" w:rsidRDefault="009269A2" w:rsidP="00CD5B68">
            <w:pPr>
              <w:spacing w:before="120" w:after="120"/>
              <w:jc w:val="both"/>
              <w:rPr>
                <w:rFonts w:eastAsia="Times New Roman" w:cstheme="minorHAnsi"/>
                <w:color w:val="000000"/>
                <w:sz w:val="24"/>
                <w:szCs w:val="24"/>
                <w:lang w:eastAsia="pt-BR"/>
              </w:rPr>
            </w:pPr>
            <w:r w:rsidRPr="00CD5B68">
              <w:rPr>
                <w:rFonts w:eastAsia="Times New Roman" w:cstheme="minorHAnsi"/>
                <w:color w:val="000000"/>
                <w:sz w:val="24"/>
                <w:szCs w:val="24"/>
                <w:lang w:eastAsia="pt-BR"/>
              </w:rPr>
              <w:t>II - mostrar, de forma inequívoca, os interesses dos planos envolvidos, inclusive quanto ao valor dos ativos transacionados;</w:t>
            </w:r>
          </w:p>
        </w:tc>
        <w:tc>
          <w:tcPr>
            <w:tcW w:w="3474" w:type="dxa"/>
          </w:tcPr>
          <w:p w14:paraId="16127A4D" w14:textId="77777777" w:rsidR="009269A2" w:rsidRPr="00CD5B68" w:rsidRDefault="009269A2" w:rsidP="00CD5B68">
            <w:pPr>
              <w:spacing w:before="120" w:after="120"/>
              <w:jc w:val="both"/>
              <w:rPr>
                <w:rFonts w:eastAsia="Times New Roman" w:cstheme="minorHAnsi"/>
                <w:color w:val="000000"/>
                <w:sz w:val="24"/>
                <w:szCs w:val="24"/>
                <w:lang w:eastAsia="pt-BR"/>
              </w:rPr>
            </w:pPr>
          </w:p>
        </w:tc>
      </w:tr>
      <w:tr w:rsidR="009269A2" w:rsidRPr="00CD5B68" w14:paraId="7DB527A2" w14:textId="5DEA8A21" w:rsidTr="003A0450">
        <w:tc>
          <w:tcPr>
            <w:tcW w:w="3474" w:type="dxa"/>
          </w:tcPr>
          <w:p w14:paraId="3710C11B" w14:textId="45AB660B" w:rsidR="009269A2" w:rsidRPr="00CD5B68" w:rsidRDefault="009269A2" w:rsidP="00CD5B68">
            <w:pPr>
              <w:spacing w:before="120" w:after="120"/>
              <w:jc w:val="both"/>
              <w:rPr>
                <w:rFonts w:eastAsia="Times New Roman" w:cstheme="minorHAnsi"/>
                <w:color w:val="000000"/>
                <w:sz w:val="24"/>
                <w:szCs w:val="24"/>
                <w:lang w:eastAsia="pt-BR"/>
              </w:rPr>
            </w:pPr>
            <w:r w:rsidRPr="005611B4">
              <w:rPr>
                <w:rFonts w:eastAsia="Times New Roman" w:cstheme="minorHAnsi"/>
                <w:color w:val="000000"/>
                <w:sz w:val="24"/>
                <w:szCs w:val="24"/>
                <w:lang w:eastAsia="pt-BR"/>
              </w:rPr>
              <w:t>III - observar os princípios da segurança, da rentabilidade, da solvência, da liquidez, da adequação à natureza das obrigações e da transparência;</w:t>
            </w:r>
          </w:p>
        </w:tc>
        <w:tc>
          <w:tcPr>
            <w:tcW w:w="3474" w:type="dxa"/>
          </w:tcPr>
          <w:p w14:paraId="67748F95" w14:textId="1DB154D9" w:rsidR="009269A2" w:rsidRPr="00CD5B68" w:rsidRDefault="009269A2" w:rsidP="00CD5B68">
            <w:pPr>
              <w:spacing w:before="120" w:after="120"/>
              <w:jc w:val="both"/>
              <w:rPr>
                <w:rFonts w:eastAsia="Times New Roman" w:cstheme="minorHAnsi"/>
                <w:color w:val="000000"/>
                <w:sz w:val="24"/>
                <w:szCs w:val="24"/>
                <w:lang w:eastAsia="pt-BR"/>
              </w:rPr>
            </w:pPr>
            <w:r w:rsidRPr="00CD5B68">
              <w:rPr>
                <w:rFonts w:eastAsia="Times New Roman" w:cstheme="minorHAnsi"/>
                <w:color w:val="000000"/>
                <w:sz w:val="24"/>
                <w:szCs w:val="24"/>
                <w:lang w:eastAsia="pt-BR"/>
              </w:rPr>
              <w:t>III - observar os princípios da segurança, da rentabilidade, da solvência, da liquidez, da adequação à natureza das obrigações e da transparência;</w:t>
            </w:r>
          </w:p>
        </w:tc>
        <w:tc>
          <w:tcPr>
            <w:tcW w:w="3474" w:type="dxa"/>
          </w:tcPr>
          <w:p w14:paraId="09C1E9A3" w14:textId="77777777" w:rsidR="009269A2" w:rsidRPr="00CD5B68" w:rsidRDefault="009269A2" w:rsidP="00CD5B68">
            <w:pPr>
              <w:spacing w:before="120" w:after="120"/>
              <w:jc w:val="both"/>
              <w:rPr>
                <w:rFonts w:eastAsia="Times New Roman" w:cstheme="minorHAnsi"/>
                <w:color w:val="000000"/>
                <w:sz w:val="24"/>
                <w:szCs w:val="24"/>
                <w:lang w:eastAsia="pt-BR"/>
              </w:rPr>
            </w:pPr>
          </w:p>
        </w:tc>
      </w:tr>
      <w:tr w:rsidR="009269A2" w:rsidRPr="00CD5B68" w14:paraId="09E557F1" w14:textId="6F2CB6ED" w:rsidTr="003A0450">
        <w:tc>
          <w:tcPr>
            <w:tcW w:w="3474" w:type="dxa"/>
          </w:tcPr>
          <w:p w14:paraId="088A32E8" w14:textId="5B7696D3" w:rsidR="009269A2" w:rsidRPr="00CD5B68" w:rsidRDefault="009269A2" w:rsidP="00CD5B68">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IV - considerar a necessidade de liquidez, a forma de precificação e os fluxos de pagamentos dos ativos transacionados; e</w:t>
            </w:r>
          </w:p>
        </w:tc>
        <w:tc>
          <w:tcPr>
            <w:tcW w:w="3474" w:type="dxa"/>
          </w:tcPr>
          <w:p w14:paraId="29BE7042" w14:textId="18CCEC19" w:rsidR="009269A2" w:rsidRPr="00CD5B68" w:rsidRDefault="009269A2" w:rsidP="00CD5B68">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IV - considerar a necessidade de liquidez, a forma de precificação e os fluxos de pagamentos dos ativos transacionados; e</w:t>
            </w:r>
          </w:p>
        </w:tc>
        <w:tc>
          <w:tcPr>
            <w:tcW w:w="3474" w:type="dxa"/>
          </w:tcPr>
          <w:p w14:paraId="2172A274" w14:textId="77777777" w:rsidR="009269A2" w:rsidRPr="00CD5B68" w:rsidRDefault="009269A2" w:rsidP="00CD5B68">
            <w:pPr>
              <w:spacing w:before="120" w:after="120"/>
              <w:jc w:val="both"/>
              <w:rPr>
                <w:rFonts w:eastAsia="Times New Roman"/>
                <w:color w:val="000000" w:themeColor="text1"/>
                <w:sz w:val="24"/>
                <w:szCs w:val="24"/>
                <w:lang w:eastAsia="pt-BR"/>
              </w:rPr>
            </w:pPr>
          </w:p>
        </w:tc>
      </w:tr>
      <w:tr w:rsidR="009269A2" w:rsidRPr="00CD5B68" w14:paraId="38A94AE6" w14:textId="45CEF576" w:rsidTr="003A0450">
        <w:tc>
          <w:tcPr>
            <w:tcW w:w="3474" w:type="dxa"/>
          </w:tcPr>
          <w:p w14:paraId="1257ABD0" w14:textId="6F850CE4" w:rsidR="009269A2" w:rsidRPr="00CD5B68" w:rsidRDefault="009269A2" w:rsidP="00CD5B68">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V - compatibilizar os fluxos de pagamentos dos ativos transacionados com os prazos e o montante das obrigações atuariais, com o objetivo de manter o equilíbrio econômico-financeiro entre ativos e passivos do plano.</w:t>
            </w:r>
          </w:p>
        </w:tc>
        <w:tc>
          <w:tcPr>
            <w:tcW w:w="3474" w:type="dxa"/>
          </w:tcPr>
          <w:p w14:paraId="3E6B625C" w14:textId="38CFAE1F" w:rsidR="009269A2" w:rsidRPr="00CD5B68" w:rsidRDefault="009269A2" w:rsidP="00CD5B68">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V - compatibilizar os fluxos de pagamentos dos ativos transacionados com os prazos e o montante das obrigações atuariais, com o objetivo de manter o equilíbrio econômico-financeiro entre ativos e passivos do plano.</w:t>
            </w:r>
          </w:p>
        </w:tc>
        <w:tc>
          <w:tcPr>
            <w:tcW w:w="3474" w:type="dxa"/>
          </w:tcPr>
          <w:p w14:paraId="2FAB87FC" w14:textId="77777777" w:rsidR="009269A2" w:rsidRPr="00CD5B68" w:rsidRDefault="009269A2" w:rsidP="00CD5B68">
            <w:pPr>
              <w:spacing w:before="120" w:after="120"/>
              <w:jc w:val="both"/>
              <w:rPr>
                <w:rFonts w:eastAsia="Times New Roman"/>
                <w:color w:val="000000" w:themeColor="text1"/>
                <w:sz w:val="24"/>
                <w:szCs w:val="24"/>
                <w:lang w:eastAsia="pt-BR"/>
              </w:rPr>
            </w:pPr>
          </w:p>
        </w:tc>
      </w:tr>
      <w:tr w:rsidR="009269A2" w:rsidRPr="00CD5B68" w14:paraId="2EFC6595" w14:textId="628C9966" w:rsidTr="003A0450">
        <w:tc>
          <w:tcPr>
            <w:tcW w:w="3474" w:type="dxa"/>
          </w:tcPr>
          <w:p w14:paraId="33B0A5D9" w14:textId="5E4C8AC6" w:rsidR="009269A2" w:rsidRPr="00CD5B68" w:rsidRDefault="009269A2" w:rsidP="00CD5B68">
            <w:pPr>
              <w:spacing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Art. 3º  A EFPC deve observar a segregação contábil entre os planos de benefícios por ela administrados, atribuindo os ativos e patrimônios aos planos de benefícios a que se refiram.</w:t>
            </w:r>
          </w:p>
        </w:tc>
        <w:bookmarkEnd w:id="6"/>
        <w:tc>
          <w:tcPr>
            <w:tcW w:w="3474" w:type="dxa"/>
          </w:tcPr>
          <w:p w14:paraId="51AB2D79" w14:textId="48670827" w:rsidR="009269A2" w:rsidRPr="00CD5B68" w:rsidRDefault="009269A2" w:rsidP="00CD5B68">
            <w:pPr>
              <w:spacing w:after="120"/>
              <w:jc w:val="both"/>
              <w:rPr>
                <w:rFonts w:eastAsia="Times New Roman"/>
                <w:color w:val="000000" w:themeColor="text1"/>
                <w:sz w:val="24"/>
                <w:szCs w:val="24"/>
                <w:lang w:eastAsia="pt-BR"/>
              </w:rPr>
            </w:pPr>
            <w:r w:rsidRPr="00CD5B68">
              <w:rPr>
                <w:rFonts w:eastAsia="Times New Roman"/>
                <w:color w:val="000000" w:themeColor="text1"/>
                <w:sz w:val="24"/>
                <w:szCs w:val="24"/>
                <w:lang w:eastAsia="pt-BR"/>
              </w:rPr>
              <w:t>Art. 3º  A EFPC deve observar a segregação contábil entre os planos de benefícios por ela administrados, atribuindo os ativos e patrimônios aos planos de benefícios a que se refiram.</w:t>
            </w:r>
          </w:p>
        </w:tc>
        <w:tc>
          <w:tcPr>
            <w:tcW w:w="3474" w:type="dxa"/>
          </w:tcPr>
          <w:p w14:paraId="46E5C980" w14:textId="77777777" w:rsidR="009269A2" w:rsidRPr="00CD5B68" w:rsidRDefault="009269A2" w:rsidP="00CD5B68">
            <w:pPr>
              <w:spacing w:after="120"/>
              <w:jc w:val="both"/>
              <w:rPr>
                <w:rFonts w:eastAsia="Times New Roman"/>
                <w:color w:val="000000" w:themeColor="text1"/>
                <w:sz w:val="24"/>
                <w:szCs w:val="24"/>
                <w:lang w:eastAsia="pt-BR"/>
              </w:rPr>
            </w:pPr>
          </w:p>
        </w:tc>
      </w:tr>
      <w:tr w:rsidR="009269A2" w:rsidRPr="00CD5B68" w14:paraId="425E648E" w14:textId="78701F78" w:rsidTr="003A0450">
        <w:tc>
          <w:tcPr>
            <w:tcW w:w="3474" w:type="dxa"/>
          </w:tcPr>
          <w:p w14:paraId="4E244D2B" w14:textId="3974C930" w:rsidR="009269A2" w:rsidRPr="00CD5B68" w:rsidRDefault="009269A2" w:rsidP="00CD5B68">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 1º  Os ativos pertencentes ao plano de gestão administrativa (PGA) devem permanecer registrados no CNPJ da EFPC.</w:t>
            </w:r>
            <w:r w:rsidRPr="005611B4">
              <w:rPr>
                <w:rFonts w:eastAsia="Times New Roman"/>
                <w:sz w:val="24"/>
                <w:szCs w:val="24"/>
                <w:lang w:eastAsia="pt-BR"/>
              </w:rPr>
              <w:t xml:space="preserve"> </w:t>
            </w:r>
          </w:p>
        </w:tc>
        <w:tc>
          <w:tcPr>
            <w:tcW w:w="3474" w:type="dxa"/>
          </w:tcPr>
          <w:p w14:paraId="23D1CAD0" w14:textId="1AD73BF8" w:rsidR="009269A2" w:rsidRPr="00CD5B68" w:rsidRDefault="009269A2" w:rsidP="00CD5B68">
            <w:pPr>
              <w:spacing w:before="120" w:after="120"/>
              <w:jc w:val="both"/>
              <w:rPr>
                <w:rFonts w:eastAsia="Times New Roman"/>
                <w:color w:val="000000" w:themeColor="text1"/>
                <w:sz w:val="24"/>
                <w:szCs w:val="24"/>
                <w:lang w:eastAsia="pt-BR"/>
              </w:rPr>
            </w:pPr>
            <w:r w:rsidRPr="00CD5B68">
              <w:rPr>
                <w:rFonts w:eastAsia="Times New Roman"/>
                <w:color w:val="000000" w:themeColor="text1"/>
                <w:sz w:val="24"/>
                <w:szCs w:val="24"/>
                <w:lang w:eastAsia="pt-BR"/>
              </w:rPr>
              <w:t>§ 1º  Os ativos pertencentes ao plano de gestão administrativa (PGA) devem permanecer registrados no CNPJ da EFPC.</w:t>
            </w:r>
            <w:r w:rsidRPr="00CD5B68">
              <w:rPr>
                <w:rFonts w:eastAsia="Times New Roman"/>
                <w:sz w:val="24"/>
                <w:szCs w:val="24"/>
                <w:lang w:eastAsia="pt-BR"/>
              </w:rPr>
              <w:t xml:space="preserve"> </w:t>
            </w:r>
          </w:p>
        </w:tc>
        <w:tc>
          <w:tcPr>
            <w:tcW w:w="3474" w:type="dxa"/>
          </w:tcPr>
          <w:p w14:paraId="007434FC" w14:textId="77777777" w:rsidR="009269A2" w:rsidRPr="00CD5B68" w:rsidRDefault="009269A2" w:rsidP="00CD5B68">
            <w:pPr>
              <w:spacing w:before="120" w:after="120"/>
              <w:jc w:val="both"/>
              <w:rPr>
                <w:rFonts w:eastAsia="Times New Roman"/>
                <w:color w:val="000000" w:themeColor="text1"/>
                <w:sz w:val="24"/>
                <w:szCs w:val="24"/>
                <w:lang w:eastAsia="pt-BR"/>
              </w:rPr>
            </w:pPr>
          </w:p>
        </w:tc>
      </w:tr>
      <w:tr w:rsidR="009269A2" w:rsidRPr="00CD5B68" w14:paraId="6EB00FE6" w14:textId="05215ABA" w:rsidTr="003A0450">
        <w:tc>
          <w:tcPr>
            <w:tcW w:w="3474" w:type="dxa"/>
          </w:tcPr>
          <w:p w14:paraId="69FDC4A1" w14:textId="5057088F" w:rsidR="009269A2" w:rsidRPr="00CD5B68" w:rsidRDefault="009269A2" w:rsidP="00CD5B68">
            <w:pPr>
              <w:spacing w:before="120" w:after="120"/>
              <w:jc w:val="both"/>
              <w:rPr>
                <w:rFonts w:eastAsia="Times New Roman"/>
                <w:sz w:val="24"/>
                <w:szCs w:val="24"/>
                <w:lang w:eastAsia="pt-BR"/>
              </w:rPr>
            </w:pPr>
            <w:r w:rsidRPr="005611B4">
              <w:rPr>
                <w:rFonts w:eastAsia="Times New Roman"/>
                <w:sz w:val="24"/>
                <w:szCs w:val="24"/>
                <w:lang w:eastAsia="pt-BR"/>
              </w:rPr>
              <w:t xml:space="preserve">§ 2º  É vedada a alteração do </w:t>
            </w:r>
            <w:r w:rsidRPr="005611B4">
              <w:rPr>
                <w:rFonts w:eastAsia="Times New Roman"/>
                <w:sz w:val="24"/>
                <w:szCs w:val="24"/>
                <w:lang w:eastAsia="pt-BR"/>
              </w:rPr>
              <w:lastRenderedPageBreak/>
              <w:t xml:space="preserve">resultado individual do plano ou do consolidado da </w:t>
            </w:r>
            <w:r w:rsidRPr="005611B4">
              <w:rPr>
                <w:rFonts w:eastAsia="Times New Roman"/>
                <w:sz w:val="24"/>
                <w:szCs w:val="24"/>
                <w:shd w:val="clear" w:color="auto" w:fill="FFFFFF"/>
                <w:lang w:eastAsia="pt-BR"/>
              </w:rPr>
              <w:t>EFPC.</w:t>
            </w:r>
          </w:p>
        </w:tc>
        <w:tc>
          <w:tcPr>
            <w:tcW w:w="3474" w:type="dxa"/>
          </w:tcPr>
          <w:p w14:paraId="3A447101" w14:textId="61B14DAD" w:rsidR="009269A2" w:rsidRPr="00CD5B68" w:rsidRDefault="009269A2" w:rsidP="00CD5B68">
            <w:pPr>
              <w:spacing w:before="120" w:after="120"/>
              <w:jc w:val="both"/>
              <w:rPr>
                <w:rFonts w:eastAsia="Times New Roman"/>
                <w:sz w:val="24"/>
                <w:szCs w:val="24"/>
                <w:shd w:val="clear" w:color="auto" w:fill="FFFFFF"/>
                <w:lang w:eastAsia="pt-BR"/>
              </w:rPr>
            </w:pPr>
            <w:r w:rsidRPr="00CD5B68">
              <w:rPr>
                <w:rFonts w:eastAsia="Times New Roman"/>
                <w:sz w:val="24"/>
                <w:szCs w:val="24"/>
                <w:lang w:eastAsia="pt-BR"/>
              </w:rPr>
              <w:lastRenderedPageBreak/>
              <w:t xml:space="preserve">§ 2º  É vedada a alteração do </w:t>
            </w:r>
            <w:r w:rsidRPr="00CD5B68">
              <w:rPr>
                <w:rFonts w:eastAsia="Times New Roman"/>
                <w:sz w:val="24"/>
                <w:szCs w:val="24"/>
                <w:lang w:eastAsia="pt-BR"/>
              </w:rPr>
              <w:lastRenderedPageBreak/>
              <w:t xml:space="preserve">resultado individual do plano ou do consolidado da </w:t>
            </w:r>
            <w:r w:rsidRPr="00CD5B68">
              <w:rPr>
                <w:rFonts w:eastAsia="Times New Roman"/>
                <w:sz w:val="24"/>
                <w:szCs w:val="24"/>
                <w:shd w:val="clear" w:color="auto" w:fill="FFFFFF"/>
                <w:lang w:eastAsia="pt-BR"/>
              </w:rPr>
              <w:t>EFPC.</w:t>
            </w:r>
          </w:p>
        </w:tc>
        <w:tc>
          <w:tcPr>
            <w:tcW w:w="3474" w:type="dxa"/>
          </w:tcPr>
          <w:p w14:paraId="6BA2475E" w14:textId="77777777" w:rsidR="009269A2" w:rsidRPr="00CD5B68" w:rsidRDefault="009269A2" w:rsidP="00CD5B68">
            <w:pPr>
              <w:spacing w:before="120" w:after="120"/>
              <w:jc w:val="both"/>
              <w:rPr>
                <w:rFonts w:eastAsia="Times New Roman"/>
                <w:sz w:val="24"/>
                <w:szCs w:val="24"/>
                <w:lang w:eastAsia="pt-BR"/>
              </w:rPr>
            </w:pPr>
          </w:p>
        </w:tc>
      </w:tr>
      <w:tr w:rsidR="009269A2" w:rsidRPr="00CD5B68" w14:paraId="178132EB" w14:textId="4B98D685" w:rsidTr="003A0450">
        <w:tc>
          <w:tcPr>
            <w:tcW w:w="3474" w:type="dxa"/>
          </w:tcPr>
          <w:p w14:paraId="470C4AD8" w14:textId="35F032C9" w:rsidR="009269A2" w:rsidRPr="00CD5B68" w:rsidRDefault="009269A2" w:rsidP="00CD5B68">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 3º  A EFPC deve abrir contas de depósito à vista ou de poupança próprias para os planos de benefícios por ela administrados e o PGA.</w:t>
            </w:r>
          </w:p>
        </w:tc>
        <w:tc>
          <w:tcPr>
            <w:tcW w:w="3474" w:type="dxa"/>
          </w:tcPr>
          <w:p w14:paraId="735ED0E7" w14:textId="476D4C13" w:rsidR="009269A2" w:rsidRPr="00CD5B68" w:rsidRDefault="009269A2" w:rsidP="00CD5B68">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 3º  A EFPC deve abrir contas de depósito à vista ou de poupança próprias para os planos de benefícios por ela administrados e o PGA.</w:t>
            </w:r>
          </w:p>
        </w:tc>
        <w:tc>
          <w:tcPr>
            <w:tcW w:w="3474" w:type="dxa"/>
          </w:tcPr>
          <w:p w14:paraId="416A8029" w14:textId="77777777" w:rsidR="009269A2" w:rsidRPr="00CD5B68" w:rsidRDefault="009269A2" w:rsidP="00CD5B68">
            <w:pPr>
              <w:spacing w:before="120" w:after="120"/>
              <w:jc w:val="both"/>
              <w:rPr>
                <w:rFonts w:eastAsia="Times New Roman"/>
                <w:color w:val="000000" w:themeColor="text1"/>
                <w:sz w:val="24"/>
                <w:szCs w:val="24"/>
                <w:lang w:eastAsia="pt-BR"/>
              </w:rPr>
            </w:pPr>
          </w:p>
        </w:tc>
      </w:tr>
      <w:tr w:rsidR="009269A2" w:rsidRPr="00CD5B68" w14:paraId="3F0CFF16" w14:textId="2DC3888D" w:rsidTr="003A0450">
        <w:tc>
          <w:tcPr>
            <w:tcW w:w="3474" w:type="dxa"/>
          </w:tcPr>
          <w:p w14:paraId="441523BD" w14:textId="5AD924E1" w:rsidR="009269A2" w:rsidRPr="00CD5B68" w:rsidRDefault="009269A2" w:rsidP="00CD5B68">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Art. 4º  A EFPC, em relação ao ativo indivisível, não fracionável, ou compartilhado por mais de um plano de benefícios e o PGA, pode realizar a sua:</w:t>
            </w:r>
          </w:p>
        </w:tc>
        <w:tc>
          <w:tcPr>
            <w:tcW w:w="3474" w:type="dxa"/>
          </w:tcPr>
          <w:p w14:paraId="528B24BB" w14:textId="3DA0276C" w:rsidR="009269A2" w:rsidRPr="00CD5B68" w:rsidRDefault="009269A2" w:rsidP="00CD5B68">
            <w:pPr>
              <w:spacing w:before="120" w:after="120"/>
              <w:jc w:val="both"/>
              <w:rPr>
                <w:rFonts w:eastAsia="Times New Roman"/>
                <w:color w:val="000000" w:themeColor="text1"/>
                <w:sz w:val="24"/>
                <w:szCs w:val="24"/>
                <w:lang w:eastAsia="pt-BR"/>
              </w:rPr>
            </w:pPr>
            <w:r w:rsidRPr="00CD5B68">
              <w:rPr>
                <w:rFonts w:eastAsia="Times New Roman"/>
                <w:color w:val="000000" w:themeColor="text1"/>
                <w:sz w:val="24"/>
                <w:szCs w:val="24"/>
                <w:lang w:eastAsia="pt-BR"/>
              </w:rPr>
              <w:t>Art. 4º  A EFPC, em relação ao ativo indivisível, não fracionável, ou compartilhado por mais de um plano de benefícios e o PGA, pode realizar a sua:</w:t>
            </w:r>
          </w:p>
        </w:tc>
        <w:tc>
          <w:tcPr>
            <w:tcW w:w="3474" w:type="dxa"/>
          </w:tcPr>
          <w:p w14:paraId="415A5307" w14:textId="77777777" w:rsidR="009269A2" w:rsidRPr="00CD5B68" w:rsidRDefault="009269A2" w:rsidP="00CD5B68">
            <w:pPr>
              <w:spacing w:before="120" w:after="120"/>
              <w:jc w:val="both"/>
              <w:rPr>
                <w:rFonts w:eastAsia="Times New Roman"/>
                <w:color w:val="000000" w:themeColor="text1"/>
                <w:sz w:val="24"/>
                <w:szCs w:val="24"/>
                <w:lang w:eastAsia="pt-BR"/>
              </w:rPr>
            </w:pPr>
          </w:p>
        </w:tc>
      </w:tr>
      <w:tr w:rsidR="009269A2" w:rsidRPr="00CD5B68" w14:paraId="313B96D3" w14:textId="41300A29" w:rsidTr="003A0450">
        <w:tc>
          <w:tcPr>
            <w:tcW w:w="3474" w:type="dxa"/>
          </w:tcPr>
          <w:p w14:paraId="43234AA1" w14:textId="5768C01A" w:rsidR="009269A2" w:rsidRPr="00CD5B68" w:rsidRDefault="009269A2" w:rsidP="00CD5B68">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I - alienação para terceiros, com divisão proporcional dos recursos entre os planos a que se refiram;</w:t>
            </w:r>
          </w:p>
        </w:tc>
        <w:tc>
          <w:tcPr>
            <w:tcW w:w="3474" w:type="dxa"/>
          </w:tcPr>
          <w:p w14:paraId="70A2D112" w14:textId="7A08EAC4" w:rsidR="009269A2" w:rsidRPr="00CD5B68" w:rsidRDefault="009269A2" w:rsidP="00CD5B68">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I - alienação para terceiros, com divisão proporcional dos recursos entre os planos a que se refiram;</w:t>
            </w:r>
          </w:p>
        </w:tc>
        <w:tc>
          <w:tcPr>
            <w:tcW w:w="3474" w:type="dxa"/>
          </w:tcPr>
          <w:p w14:paraId="6B029FD5" w14:textId="77777777" w:rsidR="009269A2" w:rsidRPr="00CD5B68" w:rsidRDefault="009269A2" w:rsidP="00CD5B68">
            <w:pPr>
              <w:spacing w:before="120" w:after="120"/>
              <w:jc w:val="both"/>
              <w:rPr>
                <w:rFonts w:eastAsia="Times New Roman"/>
                <w:color w:val="000000" w:themeColor="text1"/>
                <w:sz w:val="24"/>
                <w:szCs w:val="24"/>
                <w:lang w:eastAsia="pt-BR"/>
              </w:rPr>
            </w:pPr>
          </w:p>
        </w:tc>
      </w:tr>
      <w:tr w:rsidR="009269A2" w:rsidRPr="00CD5B68" w14:paraId="249B0611" w14:textId="5EBA9F85" w:rsidTr="003A0450">
        <w:tc>
          <w:tcPr>
            <w:tcW w:w="3474" w:type="dxa"/>
          </w:tcPr>
          <w:p w14:paraId="6C82F0A3" w14:textId="689E82A7" w:rsidR="009269A2" w:rsidRPr="00CD5B68" w:rsidRDefault="009269A2" w:rsidP="00CD5B68">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II - transferência para um único plano, com compensação proporcional aos demais planos que o compartilhavam; ou</w:t>
            </w:r>
          </w:p>
        </w:tc>
        <w:tc>
          <w:tcPr>
            <w:tcW w:w="3474" w:type="dxa"/>
          </w:tcPr>
          <w:p w14:paraId="5615FD16" w14:textId="3BF2CBD8" w:rsidR="009269A2" w:rsidRPr="00CD5B68" w:rsidRDefault="009269A2" w:rsidP="00CD5B68">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II - transferência para um único plano, com compensação proporcional aos demais planos que o compartilhavam; ou</w:t>
            </w:r>
          </w:p>
        </w:tc>
        <w:tc>
          <w:tcPr>
            <w:tcW w:w="3474" w:type="dxa"/>
          </w:tcPr>
          <w:p w14:paraId="388695F2" w14:textId="77777777" w:rsidR="009269A2" w:rsidRPr="00CD5B68" w:rsidRDefault="009269A2" w:rsidP="00CD5B68">
            <w:pPr>
              <w:spacing w:before="120" w:after="120"/>
              <w:jc w:val="both"/>
              <w:rPr>
                <w:rFonts w:eastAsia="Times New Roman"/>
                <w:color w:val="000000" w:themeColor="text1"/>
                <w:sz w:val="24"/>
                <w:szCs w:val="24"/>
                <w:lang w:eastAsia="pt-BR"/>
              </w:rPr>
            </w:pPr>
          </w:p>
        </w:tc>
      </w:tr>
      <w:tr w:rsidR="009269A2" w:rsidRPr="00CD5B68" w14:paraId="61430DE7" w14:textId="1E333C95" w:rsidTr="003A0450">
        <w:tc>
          <w:tcPr>
            <w:tcW w:w="3474" w:type="dxa"/>
          </w:tcPr>
          <w:p w14:paraId="71B43CB4" w14:textId="24073F60" w:rsidR="009269A2" w:rsidRPr="00CD5B68" w:rsidRDefault="009269A2" w:rsidP="00CD5B68">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III - incorporação a um fundo de investimentos, efetuando a divisão das cotas que representam o valor do ativo entre os planos envolvidos, na proporção das respectivas participações.</w:t>
            </w:r>
          </w:p>
        </w:tc>
        <w:tc>
          <w:tcPr>
            <w:tcW w:w="3474" w:type="dxa"/>
          </w:tcPr>
          <w:p w14:paraId="6A44822E" w14:textId="76568EE1" w:rsidR="009269A2" w:rsidRPr="00CD5B68" w:rsidRDefault="009269A2" w:rsidP="00CD5B68">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III - incorporação a um fundo de investimentos, efetuando a divisão das cotas que representam o valor do ativo entre os planos envolvidos, na proporção das respectivas participações.</w:t>
            </w:r>
          </w:p>
        </w:tc>
        <w:tc>
          <w:tcPr>
            <w:tcW w:w="3474" w:type="dxa"/>
          </w:tcPr>
          <w:p w14:paraId="2EA7E789" w14:textId="77777777" w:rsidR="009269A2" w:rsidRPr="00CD5B68" w:rsidRDefault="009269A2" w:rsidP="00CD5B68">
            <w:pPr>
              <w:spacing w:before="120" w:after="120"/>
              <w:jc w:val="both"/>
              <w:rPr>
                <w:rFonts w:eastAsia="Times New Roman"/>
                <w:color w:val="000000" w:themeColor="text1"/>
                <w:sz w:val="24"/>
                <w:szCs w:val="24"/>
                <w:lang w:eastAsia="pt-BR"/>
              </w:rPr>
            </w:pPr>
          </w:p>
        </w:tc>
      </w:tr>
      <w:tr w:rsidR="009269A2" w:rsidRPr="00CD5B68" w14:paraId="1B80AF6C" w14:textId="7A6A5094" w:rsidTr="003A0450">
        <w:tc>
          <w:tcPr>
            <w:tcW w:w="3474" w:type="dxa"/>
          </w:tcPr>
          <w:p w14:paraId="027F6932" w14:textId="154E7F76" w:rsidR="009269A2" w:rsidRPr="00CD5B68" w:rsidRDefault="009269A2" w:rsidP="003A0450">
            <w:pPr>
              <w:widowControl w:val="0"/>
              <w:autoSpaceDE w:val="0"/>
              <w:autoSpaceDN w:val="0"/>
              <w:adjustRightInd w:val="0"/>
              <w:spacing w:after="120"/>
              <w:jc w:val="both"/>
              <w:rPr>
                <w:rFonts w:eastAsia="Times New Roman"/>
                <w:bCs/>
                <w:color w:val="000000" w:themeColor="text1"/>
                <w:sz w:val="24"/>
                <w:szCs w:val="24"/>
                <w:lang w:eastAsia="pt-BR"/>
              </w:rPr>
            </w:pPr>
            <w:r w:rsidRPr="005611B4">
              <w:rPr>
                <w:rFonts w:eastAsia="Times New Roman"/>
                <w:bCs/>
                <w:color w:val="000000" w:themeColor="text1"/>
                <w:sz w:val="24"/>
                <w:szCs w:val="24"/>
                <w:lang w:eastAsia="pt-BR"/>
              </w:rPr>
              <w:t xml:space="preserve">Parágrafo único.  A opção prevista no inciso II não se aplica ao estoque de imóveis. </w:t>
            </w:r>
          </w:p>
        </w:tc>
        <w:tc>
          <w:tcPr>
            <w:tcW w:w="3474" w:type="dxa"/>
          </w:tcPr>
          <w:p w14:paraId="64794609" w14:textId="2A89C60B" w:rsidR="009269A2" w:rsidRPr="00CD5B68" w:rsidRDefault="009269A2" w:rsidP="00CD5B68">
            <w:pPr>
              <w:widowControl w:val="0"/>
              <w:autoSpaceDE w:val="0"/>
              <w:autoSpaceDN w:val="0"/>
              <w:adjustRightInd w:val="0"/>
              <w:spacing w:after="120"/>
              <w:jc w:val="both"/>
              <w:rPr>
                <w:rFonts w:ascii="Times Roman" w:hAnsi="Times Roman" w:cs="Times Roman"/>
                <w:color w:val="000000"/>
                <w:sz w:val="24"/>
                <w:szCs w:val="24"/>
                <w:lang w:val="en-US"/>
              </w:rPr>
            </w:pPr>
            <w:r w:rsidRPr="00CD5B68">
              <w:rPr>
                <w:rFonts w:eastAsia="Times New Roman"/>
                <w:bCs/>
                <w:color w:val="000000" w:themeColor="text1"/>
                <w:sz w:val="24"/>
                <w:szCs w:val="24"/>
                <w:lang w:eastAsia="pt-BR"/>
              </w:rPr>
              <w:t xml:space="preserve">Parágrafo único.  A opção prevista no inciso II não se aplica ao estoque de imóveis. </w:t>
            </w:r>
          </w:p>
        </w:tc>
        <w:tc>
          <w:tcPr>
            <w:tcW w:w="3474" w:type="dxa"/>
          </w:tcPr>
          <w:p w14:paraId="5BA2277D" w14:textId="77777777" w:rsidR="009269A2" w:rsidRPr="00CD5B68" w:rsidRDefault="009269A2" w:rsidP="00CD5B68">
            <w:pPr>
              <w:widowControl w:val="0"/>
              <w:autoSpaceDE w:val="0"/>
              <w:autoSpaceDN w:val="0"/>
              <w:adjustRightInd w:val="0"/>
              <w:spacing w:after="120"/>
              <w:jc w:val="both"/>
              <w:rPr>
                <w:rFonts w:eastAsia="Times New Roman"/>
                <w:bCs/>
                <w:color w:val="000000" w:themeColor="text1"/>
                <w:sz w:val="24"/>
                <w:szCs w:val="24"/>
                <w:lang w:eastAsia="pt-BR"/>
              </w:rPr>
            </w:pPr>
          </w:p>
        </w:tc>
      </w:tr>
      <w:tr w:rsidR="009269A2" w:rsidRPr="00CD5B68" w14:paraId="6B31B8F9" w14:textId="76D1CBA3" w:rsidTr="003A0450">
        <w:tc>
          <w:tcPr>
            <w:tcW w:w="3474" w:type="dxa"/>
          </w:tcPr>
          <w:p w14:paraId="4B9522AE" w14:textId="1E4BD927" w:rsidR="009269A2" w:rsidRPr="00CD5B68" w:rsidRDefault="009269A2" w:rsidP="00CD5B68">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Art. 5º  A EFPC que não adotar as alternativas previstas no art. 4º para o estoque de imóveis deve manter a atual segregação contábil.</w:t>
            </w:r>
          </w:p>
        </w:tc>
        <w:tc>
          <w:tcPr>
            <w:tcW w:w="3474" w:type="dxa"/>
          </w:tcPr>
          <w:p w14:paraId="32D68825" w14:textId="6CF3446E" w:rsidR="009269A2" w:rsidRPr="00CD5B68" w:rsidRDefault="009269A2" w:rsidP="00CD5B68">
            <w:pPr>
              <w:spacing w:before="120" w:after="120"/>
              <w:jc w:val="both"/>
              <w:rPr>
                <w:rFonts w:eastAsia="Times New Roman"/>
                <w:color w:val="000000" w:themeColor="text1"/>
                <w:sz w:val="24"/>
                <w:szCs w:val="24"/>
                <w:lang w:eastAsia="pt-BR"/>
              </w:rPr>
            </w:pPr>
            <w:r w:rsidRPr="00CD5B68">
              <w:rPr>
                <w:rFonts w:eastAsia="Times New Roman"/>
                <w:color w:val="000000" w:themeColor="text1"/>
                <w:sz w:val="24"/>
                <w:szCs w:val="24"/>
                <w:lang w:eastAsia="pt-BR"/>
              </w:rPr>
              <w:t>Art. 5º  A EFPC que não adotar as alternativas previstas no art. 4º para o estoque de imóveis deve manter a atual segregação contábil.</w:t>
            </w:r>
          </w:p>
        </w:tc>
        <w:tc>
          <w:tcPr>
            <w:tcW w:w="3474" w:type="dxa"/>
          </w:tcPr>
          <w:p w14:paraId="697E1543" w14:textId="77777777" w:rsidR="009269A2" w:rsidRPr="00CD5B68" w:rsidRDefault="009269A2" w:rsidP="00CD5B68">
            <w:pPr>
              <w:spacing w:before="120" w:after="120"/>
              <w:jc w:val="both"/>
              <w:rPr>
                <w:rFonts w:eastAsia="Times New Roman"/>
                <w:color w:val="000000" w:themeColor="text1"/>
                <w:sz w:val="24"/>
                <w:szCs w:val="24"/>
                <w:lang w:eastAsia="pt-BR"/>
              </w:rPr>
            </w:pPr>
          </w:p>
        </w:tc>
      </w:tr>
      <w:tr w:rsidR="009269A2" w:rsidRPr="00CD5B68" w14:paraId="18AACA1D" w14:textId="25029EA8" w:rsidTr="003A0450">
        <w:tc>
          <w:tcPr>
            <w:tcW w:w="3474" w:type="dxa"/>
          </w:tcPr>
          <w:p w14:paraId="0DCC63D5" w14:textId="5ED673E6" w:rsidR="009269A2" w:rsidRPr="00CD5B68" w:rsidRDefault="009269A2" w:rsidP="00CD5B68">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Parágrafo único.  A opção prevista neste artigo deve ser objeto de avaliação a ser incluída no estudo técnico referido no art. 8º.</w:t>
            </w:r>
          </w:p>
        </w:tc>
        <w:tc>
          <w:tcPr>
            <w:tcW w:w="3474" w:type="dxa"/>
          </w:tcPr>
          <w:p w14:paraId="6D9217DF" w14:textId="33603B36" w:rsidR="009269A2" w:rsidRPr="00CD5B68" w:rsidRDefault="009269A2" w:rsidP="00CD5B68">
            <w:pPr>
              <w:spacing w:before="120" w:after="120"/>
              <w:jc w:val="both"/>
              <w:rPr>
                <w:rFonts w:eastAsia="Times New Roman"/>
                <w:color w:val="000000" w:themeColor="text1"/>
                <w:sz w:val="24"/>
                <w:szCs w:val="24"/>
                <w:lang w:eastAsia="pt-BR"/>
              </w:rPr>
            </w:pPr>
            <w:r w:rsidRPr="00CD5B68">
              <w:rPr>
                <w:rFonts w:eastAsia="Times New Roman"/>
                <w:color w:val="000000" w:themeColor="text1"/>
                <w:sz w:val="24"/>
                <w:szCs w:val="24"/>
                <w:lang w:eastAsia="pt-BR"/>
              </w:rPr>
              <w:t>Parágrafo único.  A opção prevista neste artigo deve ser objeto de avaliação a ser incluída no estudo técnico referido no art. 8º.</w:t>
            </w:r>
          </w:p>
        </w:tc>
        <w:tc>
          <w:tcPr>
            <w:tcW w:w="3474" w:type="dxa"/>
          </w:tcPr>
          <w:p w14:paraId="708D5B69" w14:textId="77777777" w:rsidR="009269A2" w:rsidRPr="00CD5B68" w:rsidRDefault="009269A2" w:rsidP="00CD5B68">
            <w:pPr>
              <w:spacing w:before="120" w:after="120"/>
              <w:jc w:val="both"/>
              <w:rPr>
                <w:rFonts w:eastAsia="Times New Roman"/>
                <w:color w:val="000000" w:themeColor="text1"/>
                <w:sz w:val="24"/>
                <w:szCs w:val="24"/>
                <w:lang w:eastAsia="pt-BR"/>
              </w:rPr>
            </w:pPr>
          </w:p>
        </w:tc>
      </w:tr>
      <w:tr w:rsidR="009269A2" w:rsidRPr="00CD5B68" w14:paraId="249A2B3F" w14:textId="79F8B6D0" w:rsidTr="003A0450">
        <w:tc>
          <w:tcPr>
            <w:tcW w:w="3474" w:type="dxa"/>
          </w:tcPr>
          <w:p w14:paraId="312E46D1" w14:textId="64292A60" w:rsidR="009269A2" w:rsidRPr="00CD5B68" w:rsidRDefault="009269A2" w:rsidP="00CD5B68">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lastRenderedPageBreak/>
              <w:t>Art. 6º  Os passivos operacional e contingencial devem ser segregados e atribuídos ao plano a que se referem, conforme sua origem.</w:t>
            </w:r>
          </w:p>
        </w:tc>
        <w:tc>
          <w:tcPr>
            <w:tcW w:w="3474" w:type="dxa"/>
          </w:tcPr>
          <w:p w14:paraId="6B187700" w14:textId="751E945A" w:rsidR="009269A2" w:rsidRPr="00CD5B68" w:rsidRDefault="009269A2" w:rsidP="00CD5B68">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Art. 6º  Os passivos operacional e contingencial devem ser segregados e atribuídos ao plano a que se referem, conforme sua origem.</w:t>
            </w:r>
          </w:p>
        </w:tc>
        <w:tc>
          <w:tcPr>
            <w:tcW w:w="3474" w:type="dxa"/>
          </w:tcPr>
          <w:p w14:paraId="558A4A83" w14:textId="77777777" w:rsidR="009269A2" w:rsidRPr="00CD5B68" w:rsidRDefault="009269A2" w:rsidP="00CD5B68">
            <w:pPr>
              <w:spacing w:before="120" w:after="120"/>
              <w:jc w:val="both"/>
              <w:rPr>
                <w:rFonts w:eastAsia="Times New Roman"/>
                <w:color w:val="000000" w:themeColor="text1"/>
                <w:sz w:val="24"/>
                <w:szCs w:val="24"/>
                <w:lang w:eastAsia="pt-BR"/>
              </w:rPr>
            </w:pPr>
          </w:p>
        </w:tc>
      </w:tr>
      <w:tr w:rsidR="009269A2" w:rsidRPr="00CD5B68" w14:paraId="5FDE11BB" w14:textId="355974A8" w:rsidTr="003A0450">
        <w:tc>
          <w:tcPr>
            <w:tcW w:w="3474" w:type="dxa"/>
          </w:tcPr>
          <w:p w14:paraId="0A69BC91" w14:textId="1A4B8D54" w:rsidR="009269A2" w:rsidRPr="00CD5B68" w:rsidRDefault="009269A2" w:rsidP="00CD5B68">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Art. 7º  Os procedimentos a que refere esta Resolução devem observar os requisitos, os limites e as condições previstos na política de investimentos de cada plano de benefício.</w:t>
            </w:r>
          </w:p>
        </w:tc>
        <w:tc>
          <w:tcPr>
            <w:tcW w:w="3474" w:type="dxa"/>
          </w:tcPr>
          <w:p w14:paraId="4979C742" w14:textId="575F9F29" w:rsidR="009269A2" w:rsidRPr="00CD5B68" w:rsidRDefault="009269A2" w:rsidP="00CD5B68">
            <w:pPr>
              <w:spacing w:before="120" w:after="120"/>
              <w:jc w:val="both"/>
              <w:rPr>
                <w:rFonts w:eastAsia="Times New Roman"/>
                <w:color w:val="000000" w:themeColor="text1"/>
                <w:sz w:val="24"/>
                <w:szCs w:val="24"/>
                <w:lang w:eastAsia="pt-BR"/>
              </w:rPr>
            </w:pPr>
            <w:r w:rsidRPr="00CD5B68">
              <w:rPr>
                <w:rFonts w:eastAsia="Times New Roman"/>
                <w:color w:val="000000" w:themeColor="text1"/>
                <w:sz w:val="24"/>
                <w:szCs w:val="24"/>
                <w:lang w:eastAsia="pt-BR"/>
              </w:rPr>
              <w:t>Art. 7º  Os procedimentos a que refere este Anexo devem observar os requisitos, os limites e as condições previstos na política de investimentos de cada plano de benefício.</w:t>
            </w:r>
          </w:p>
        </w:tc>
        <w:tc>
          <w:tcPr>
            <w:tcW w:w="3474" w:type="dxa"/>
          </w:tcPr>
          <w:p w14:paraId="43DD2E8B" w14:textId="77777777" w:rsidR="009269A2" w:rsidRPr="00CD5B68" w:rsidRDefault="009269A2" w:rsidP="00CD5B68">
            <w:pPr>
              <w:spacing w:before="120" w:after="120"/>
              <w:jc w:val="both"/>
              <w:rPr>
                <w:rFonts w:eastAsia="Times New Roman"/>
                <w:color w:val="000000" w:themeColor="text1"/>
                <w:sz w:val="24"/>
                <w:szCs w:val="24"/>
                <w:lang w:eastAsia="pt-BR"/>
              </w:rPr>
            </w:pPr>
          </w:p>
        </w:tc>
      </w:tr>
      <w:tr w:rsidR="009269A2" w:rsidRPr="00CD5B68" w14:paraId="6989B54F" w14:textId="5E65A3E4" w:rsidTr="003A0450">
        <w:tc>
          <w:tcPr>
            <w:tcW w:w="3474" w:type="dxa"/>
          </w:tcPr>
          <w:p w14:paraId="19C410B9" w14:textId="436FFCBB" w:rsidR="009269A2" w:rsidRPr="00CD5B68" w:rsidRDefault="009269A2" w:rsidP="00CD5B68">
            <w:pPr>
              <w:spacing w:before="120" w:after="120"/>
              <w:jc w:val="center"/>
              <w:rPr>
                <w:sz w:val="24"/>
                <w:szCs w:val="24"/>
              </w:rPr>
            </w:pPr>
          </w:p>
        </w:tc>
        <w:tc>
          <w:tcPr>
            <w:tcW w:w="3474" w:type="dxa"/>
          </w:tcPr>
          <w:p w14:paraId="4522F7D0" w14:textId="43FB4648" w:rsidR="009269A2" w:rsidRPr="00CD5B68" w:rsidRDefault="009269A2" w:rsidP="00CD5B68">
            <w:pPr>
              <w:spacing w:before="120" w:after="120"/>
              <w:jc w:val="center"/>
              <w:rPr>
                <w:rFonts w:eastAsia="Times New Roman" w:cstheme="minorHAnsi"/>
                <w:color w:val="000000"/>
                <w:sz w:val="24"/>
                <w:szCs w:val="24"/>
                <w:lang w:eastAsia="pt-BR"/>
              </w:rPr>
            </w:pPr>
            <w:r w:rsidRPr="00CD5B68">
              <w:rPr>
                <w:sz w:val="24"/>
                <w:szCs w:val="24"/>
              </w:rPr>
              <w:t>CAPÍTULO II</w:t>
            </w:r>
          </w:p>
        </w:tc>
        <w:tc>
          <w:tcPr>
            <w:tcW w:w="3474" w:type="dxa"/>
          </w:tcPr>
          <w:p w14:paraId="7C4D40D5" w14:textId="77777777" w:rsidR="009269A2" w:rsidRPr="00CD5B68" w:rsidRDefault="009269A2" w:rsidP="00CD5B68">
            <w:pPr>
              <w:spacing w:before="120" w:after="120"/>
              <w:jc w:val="center"/>
              <w:rPr>
                <w:sz w:val="24"/>
                <w:szCs w:val="24"/>
              </w:rPr>
            </w:pPr>
          </w:p>
        </w:tc>
      </w:tr>
      <w:tr w:rsidR="003A0450" w:rsidRPr="00CD5B68" w14:paraId="352C70EE" w14:textId="3ABD37DF" w:rsidTr="003A0450">
        <w:tc>
          <w:tcPr>
            <w:tcW w:w="3474" w:type="dxa"/>
          </w:tcPr>
          <w:p w14:paraId="67A3E8F2" w14:textId="21E7A1B1" w:rsidR="003A0450" w:rsidRPr="00CD5B68" w:rsidRDefault="003A0450" w:rsidP="00CD5B68">
            <w:pPr>
              <w:spacing w:before="120" w:after="120"/>
              <w:jc w:val="center"/>
              <w:rPr>
                <w:rFonts w:eastAsia="Times New Roman" w:cstheme="minorHAnsi"/>
                <w:color w:val="000000"/>
                <w:sz w:val="24"/>
                <w:szCs w:val="24"/>
                <w:lang w:eastAsia="pt-BR"/>
              </w:rPr>
            </w:pPr>
            <w:r w:rsidRPr="005611B4">
              <w:rPr>
                <w:rFonts w:eastAsia="Times New Roman" w:cstheme="minorHAnsi"/>
                <w:b/>
                <w:color w:val="000000"/>
                <w:sz w:val="24"/>
                <w:szCs w:val="24"/>
                <w:lang w:eastAsia="pt-BR"/>
              </w:rPr>
              <w:t>Estudo Técnico</w:t>
            </w:r>
          </w:p>
        </w:tc>
        <w:tc>
          <w:tcPr>
            <w:tcW w:w="3474" w:type="dxa"/>
          </w:tcPr>
          <w:p w14:paraId="62FD943A" w14:textId="11C25783" w:rsidR="003A0450" w:rsidRPr="00CD5B68" w:rsidRDefault="003A0450" w:rsidP="00CD5B68">
            <w:pPr>
              <w:spacing w:before="120" w:after="120"/>
              <w:jc w:val="center"/>
              <w:rPr>
                <w:rFonts w:eastAsia="Times New Roman" w:cstheme="minorHAnsi"/>
                <w:color w:val="000000"/>
                <w:sz w:val="24"/>
                <w:szCs w:val="24"/>
                <w:lang w:eastAsia="pt-BR"/>
              </w:rPr>
            </w:pPr>
            <w:r w:rsidRPr="00CD5B68">
              <w:rPr>
                <w:rFonts w:eastAsia="Times New Roman" w:cstheme="minorHAnsi"/>
                <w:color w:val="000000"/>
                <w:sz w:val="24"/>
                <w:szCs w:val="24"/>
                <w:lang w:eastAsia="pt-BR"/>
              </w:rPr>
              <w:t>ESTUDO TÉCNICO</w:t>
            </w:r>
          </w:p>
        </w:tc>
        <w:tc>
          <w:tcPr>
            <w:tcW w:w="3474" w:type="dxa"/>
          </w:tcPr>
          <w:p w14:paraId="08152FAC" w14:textId="77777777" w:rsidR="003A0450" w:rsidRPr="00CD5B68" w:rsidRDefault="003A0450" w:rsidP="00CD5B68">
            <w:pPr>
              <w:spacing w:before="120" w:after="120"/>
              <w:jc w:val="center"/>
              <w:rPr>
                <w:rFonts w:eastAsia="Times New Roman" w:cstheme="minorHAnsi"/>
                <w:color w:val="000000"/>
                <w:sz w:val="24"/>
                <w:szCs w:val="24"/>
                <w:lang w:eastAsia="pt-BR"/>
              </w:rPr>
            </w:pPr>
          </w:p>
        </w:tc>
      </w:tr>
      <w:tr w:rsidR="003A0450" w:rsidRPr="00CD5B68" w14:paraId="4997512D" w14:textId="2FD27BCE" w:rsidTr="003A0450">
        <w:tc>
          <w:tcPr>
            <w:tcW w:w="3474" w:type="dxa"/>
          </w:tcPr>
          <w:p w14:paraId="43564B9C" w14:textId="4E32CD8E" w:rsidR="003A0450" w:rsidRPr="00CD5B68" w:rsidRDefault="003A0450" w:rsidP="0017419B">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Art. 8º  A EFPC, nos procedimentos a que refere o art. 4º, deve elaborar estudo técnico, contendo, no mínimo:</w:t>
            </w:r>
          </w:p>
        </w:tc>
        <w:tc>
          <w:tcPr>
            <w:tcW w:w="3474" w:type="dxa"/>
          </w:tcPr>
          <w:p w14:paraId="04F5179B" w14:textId="162C7A23" w:rsidR="003A0450" w:rsidRPr="00CD5B68" w:rsidRDefault="003A0450" w:rsidP="0017419B">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Art. 8º  A EFPC, nos procedimentos a que refere o art. 4º, deve elaborar estudo técnico, contendo, no mínimo:</w:t>
            </w:r>
          </w:p>
        </w:tc>
        <w:tc>
          <w:tcPr>
            <w:tcW w:w="3474" w:type="dxa"/>
          </w:tcPr>
          <w:p w14:paraId="38E448A8" w14:textId="77777777" w:rsidR="003A0450" w:rsidRPr="00CD5B68" w:rsidRDefault="003A0450" w:rsidP="00CD5B68">
            <w:pPr>
              <w:spacing w:before="120" w:after="120"/>
              <w:jc w:val="both"/>
              <w:rPr>
                <w:rFonts w:eastAsia="Times New Roman"/>
                <w:color w:val="000000" w:themeColor="text1"/>
                <w:sz w:val="24"/>
                <w:szCs w:val="24"/>
                <w:lang w:eastAsia="pt-BR"/>
              </w:rPr>
            </w:pPr>
          </w:p>
        </w:tc>
      </w:tr>
      <w:tr w:rsidR="003A0450" w:rsidRPr="00CD5B68" w14:paraId="481E6B72" w14:textId="28C41F10" w:rsidTr="003A0450">
        <w:tc>
          <w:tcPr>
            <w:tcW w:w="3474" w:type="dxa"/>
          </w:tcPr>
          <w:p w14:paraId="5FB23785" w14:textId="0E049AA7" w:rsidR="003A0450" w:rsidRPr="00CD5B68" w:rsidRDefault="003A0450" w:rsidP="0017419B">
            <w:pPr>
              <w:spacing w:before="120" w:after="120"/>
              <w:jc w:val="both"/>
              <w:rPr>
                <w:rFonts w:eastAsia="Times New Roman" w:cstheme="minorHAnsi"/>
                <w:color w:val="000000"/>
                <w:sz w:val="24"/>
                <w:szCs w:val="24"/>
                <w:lang w:eastAsia="pt-BR"/>
              </w:rPr>
            </w:pPr>
            <w:r w:rsidRPr="005611B4">
              <w:rPr>
                <w:rFonts w:eastAsia="Times New Roman" w:cstheme="minorHAnsi"/>
                <w:color w:val="000000"/>
                <w:sz w:val="24"/>
                <w:szCs w:val="24"/>
                <w:lang w:eastAsia="pt-BR"/>
              </w:rPr>
              <w:t>I - a quantidade, o valor e a identificação dos ativos;</w:t>
            </w:r>
          </w:p>
        </w:tc>
        <w:tc>
          <w:tcPr>
            <w:tcW w:w="3474" w:type="dxa"/>
          </w:tcPr>
          <w:p w14:paraId="4D120A35" w14:textId="609F70AB" w:rsidR="003A0450" w:rsidRPr="00CD5B68" w:rsidRDefault="003A0450" w:rsidP="0017419B">
            <w:pPr>
              <w:spacing w:before="120" w:after="120"/>
              <w:jc w:val="both"/>
              <w:rPr>
                <w:rFonts w:eastAsia="Times New Roman" w:cstheme="minorHAnsi"/>
                <w:color w:val="000000"/>
                <w:sz w:val="24"/>
                <w:szCs w:val="24"/>
                <w:lang w:eastAsia="pt-BR"/>
              </w:rPr>
            </w:pPr>
            <w:r w:rsidRPr="00CD5B68">
              <w:rPr>
                <w:rFonts w:eastAsia="Times New Roman" w:cstheme="minorHAnsi"/>
                <w:color w:val="000000"/>
                <w:sz w:val="24"/>
                <w:szCs w:val="24"/>
                <w:lang w:eastAsia="pt-BR"/>
              </w:rPr>
              <w:t>I - a quantidade, o valor e a identificação dos ativos;</w:t>
            </w:r>
          </w:p>
        </w:tc>
        <w:tc>
          <w:tcPr>
            <w:tcW w:w="3474" w:type="dxa"/>
          </w:tcPr>
          <w:p w14:paraId="06E86DFA" w14:textId="77777777" w:rsidR="003A0450" w:rsidRPr="00CD5B68" w:rsidRDefault="003A0450" w:rsidP="00CD5B68">
            <w:pPr>
              <w:spacing w:before="120" w:after="120"/>
              <w:jc w:val="both"/>
              <w:rPr>
                <w:rFonts w:eastAsia="Times New Roman" w:cstheme="minorHAnsi"/>
                <w:color w:val="000000"/>
                <w:sz w:val="24"/>
                <w:szCs w:val="24"/>
                <w:lang w:eastAsia="pt-BR"/>
              </w:rPr>
            </w:pPr>
          </w:p>
        </w:tc>
      </w:tr>
      <w:tr w:rsidR="003A0450" w:rsidRPr="00CD5B68" w14:paraId="4F1DD31F" w14:textId="1DCFB609" w:rsidTr="003A0450">
        <w:tc>
          <w:tcPr>
            <w:tcW w:w="3474" w:type="dxa"/>
          </w:tcPr>
          <w:p w14:paraId="1604FB3C" w14:textId="61ADB8E1" w:rsidR="003A0450" w:rsidRPr="00CD5B68" w:rsidRDefault="003A0450" w:rsidP="0017419B">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II - a metodologia de precificação dos ativos, sendo vedada a mudança de critério e a atribuição de novo valor;</w:t>
            </w:r>
          </w:p>
        </w:tc>
        <w:tc>
          <w:tcPr>
            <w:tcW w:w="3474" w:type="dxa"/>
          </w:tcPr>
          <w:p w14:paraId="520CC63C" w14:textId="5308DCA1" w:rsidR="003A0450" w:rsidRPr="00CD5B68" w:rsidRDefault="003A0450" w:rsidP="0017419B">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II - a metodologia de precificação dos ativos, sendo vedada a mudança de critério e a atribuição de novo valor;</w:t>
            </w:r>
          </w:p>
        </w:tc>
        <w:tc>
          <w:tcPr>
            <w:tcW w:w="3474" w:type="dxa"/>
          </w:tcPr>
          <w:p w14:paraId="4487432C" w14:textId="77777777" w:rsidR="003A0450" w:rsidRPr="00CD5B68" w:rsidRDefault="003A0450" w:rsidP="00CD5B68">
            <w:pPr>
              <w:spacing w:before="120" w:after="120"/>
              <w:jc w:val="both"/>
              <w:rPr>
                <w:rFonts w:eastAsia="Times New Roman"/>
                <w:color w:val="000000" w:themeColor="text1"/>
                <w:sz w:val="24"/>
                <w:szCs w:val="24"/>
                <w:lang w:eastAsia="pt-BR"/>
              </w:rPr>
            </w:pPr>
          </w:p>
        </w:tc>
      </w:tr>
      <w:tr w:rsidR="003A0450" w:rsidRPr="00CD5B68" w14:paraId="1C3D852D" w14:textId="1428C8E7" w:rsidTr="003A0450">
        <w:tc>
          <w:tcPr>
            <w:tcW w:w="3474" w:type="dxa"/>
          </w:tcPr>
          <w:p w14:paraId="6922D052" w14:textId="609A8320" w:rsidR="003A0450" w:rsidRPr="00CD5B68" w:rsidRDefault="003A0450" w:rsidP="0017419B">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III - a descrição das alternativas analisadas para a segregação dos ativos, inclusive em relação aos custos de transação envolvidos na implementação de cada uma;</w:t>
            </w:r>
          </w:p>
        </w:tc>
        <w:tc>
          <w:tcPr>
            <w:tcW w:w="3474" w:type="dxa"/>
          </w:tcPr>
          <w:p w14:paraId="4639389C" w14:textId="5826F21B" w:rsidR="003A0450" w:rsidRPr="00CD5B68" w:rsidRDefault="003A0450" w:rsidP="0017419B">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III - a descrição das alternativas analisadas para a segregação dos ativos, inclusive em relação aos custos de transação envolvidos na implementação de cada uma;</w:t>
            </w:r>
          </w:p>
        </w:tc>
        <w:tc>
          <w:tcPr>
            <w:tcW w:w="3474" w:type="dxa"/>
          </w:tcPr>
          <w:p w14:paraId="7BAFF831" w14:textId="77777777" w:rsidR="003A0450" w:rsidRPr="00CD5B68" w:rsidRDefault="003A0450" w:rsidP="00CD5B68">
            <w:pPr>
              <w:spacing w:before="120" w:after="120"/>
              <w:jc w:val="both"/>
              <w:rPr>
                <w:rFonts w:eastAsia="Times New Roman"/>
                <w:color w:val="000000" w:themeColor="text1"/>
                <w:sz w:val="24"/>
                <w:szCs w:val="24"/>
                <w:lang w:eastAsia="pt-BR"/>
              </w:rPr>
            </w:pPr>
          </w:p>
        </w:tc>
      </w:tr>
      <w:tr w:rsidR="003A0450" w:rsidRPr="00CD5B68" w14:paraId="291EAC31" w14:textId="28D16B6F" w:rsidTr="003A0450">
        <w:tc>
          <w:tcPr>
            <w:tcW w:w="3474" w:type="dxa"/>
          </w:tcPr>
          <w:p w14:paraId="20CADD3A" w14:textId="22A55857" w:rsidR="003A0450" w:rsidRPr="00CD5B68" w:rsidRDefault="003A0450" w:rsidP="0017419B">
            <w:pPr>
              <w:spacing w:before="120" w:after="120"/>
              <w:jc w:val="both"/>
              <w:rPr>
                <w:rFonts w:eastAsia="Times New Roman" w:cstheme="minorHAnsi"/>
                <w:color w:val="000000"/>
                <w:sz w:val="24"/>
                <w:szCs w:val="24"/>
                <w:lang w:eastAsia="pt-BR"/>
              </w:rPr>
            </w:pPr>
            <w:r w:rsidRPr="005611B4">
              <w:rPr>
                <w:rFonts w:eastAsia="Times New Roman" w:cstheme="minorHAnsi"/>
                <w:color w:val="000000"/>
                <w:sz w:val="24"/>
                <w:szCs w:val="24"/>
                <w:lang w:eastAsia="pt-BR"/>
              </w:rPr>
              <w:t>IV - a justificativa para a escolha da alternativa adotada para a realização do procedimento, considerando sua compatibilidade com os prazos e o montante das obrigações atuariais do plano de benefícios a que se refiram;</w:t>
            </w:r>
          </w:p>
        </w:tc>
        <w:tc>
          <w:tcPr>
            <w:tcW w:w="3474" w:type="dxa"/>
          </w:tcPr>
          <w:p w14:paraId="7F2AD447" w14:textId="779EC3CF" w:rsidR="003A0450" w:rsidRPr="00CD5B68" w:rsidRDefault="003A0450" w:rsidP="0017419B">
            <w:pPr>
              <w:spacing w:before="120" w:after="120"/>
              <w:jc w:val="both"/>
              <w:rPr>
                <w:rFonts w:eastAsia="Times New Roman" w:cstheme="minorHAnsi"/>
                <w:color w:val="000000"/>
                <w:sz w:val="24"/>
                <w:szCs w:val="24"/>
                <w:lang w:eastAsia="pt-BR"/>
              </w:rPr>
            </w:pPr>
            <w:r w:rsidRPr="00CD5B68">
              <w:rPr>
                <w:rFonts w:eastAsia="Times New Roman" w:cstheme="minorHAnsi"/>
                <w:color w:val="000000"/>
                <w:sz w:val="24"/>
                <w:szCs w:val="24"/>
                <w:lang w:eastAsia="pt-BR"/>
              </w:rPr>
              <w:t>IV - a justificativa para a escolha da alternativa adotada para a realização do procedimento, considerando sua compatibilidade com os prazos e o montante das obrigações atuariais do plano de benefícios a que se refiram;</w:t>
            </w:r>
          </w:p>
        </w:tc>
        <w:tc>
          <w:tcPr>
            <w:tcW w:w="3474" w:type="dxa"/>
          </w:tcPr>
          <w:p w14:paraId="05135014" w14:textId="77777777" w:rsidR="003A0450" w:rsidRPr="00CD5B68" w:rsidRDefault="003A0450" w:rsidP="00CD5B68">
            <w:pPr>
              <w:spacing w:before="120" w:after="120"/>
              <w:jc w:val="both"/>
              <w:rPr>
                <w:rFonts w:eastAsia="Times New Roman" w:cstheme="minorHAnsi"/>
                <w:color w:val="000000"/>
                <w:sz w:val="24"/>
                <w:szCs w:val="24"/>
                <w:lang w:eastAsia="pt-BR"/>
              </w:rPr>
            </w:pPr>
          </w:p>
        </w:tc>
      </w:tr>
      <w:tr w:rsidR="003A0450" w:rsidRPr="00CD5B68" w14:paraId="3298C0D6" w14:textId="50F3BF12" w:rsidTr="003A0450">
        <w:tc>
          <w:tcPr>
            <w:tcW w:w="3474" w:type="dxa"/>
          </w:tcPr>
          <w:p w14:paraId="0AB8F14A" w14:textId="3C3AC2CB" w:rsidR="003A0450" w:rsidRPr="00CD5B68" w:rsidRDefault="003A0450" w:rsidP="0017419B">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V - a análise de risco da operação, observando os fatores de risco inerentes aos ativos; e</w:t>
            </w:r>
          </w:p>
        </w:tc>
        <w:tc>
          <w:tcPr>
            <w:tcW w:w="3474" w:type="dxa"/>
          </w:tcPr>
          <w:p w14:paraId="18C0AC25" w14:textId="2195CBD2" w:rsidR="003A0450" w:rsidRPr="00CD5B68" w:rsidRDefault="003A0450" w:rsidP="0017419B">
            <w:pPr>
              <w:spacing w:before="120" w:after="120"/>
              <w:jc w:val="both"/>
              <w:rPr>
                <w:rFonts w:eastAsia="Times New Roman"/>
                <w:color w:val="000000" w:themeColor="text1"/>
                <w:sz w:val="24"/>
                <w:szCs w:val="24"/>
                <w:lang w:eastAsia="pt-BR"/>
              </w:rPr>
            </w:pPr>
            <w:r w:rsidRPr="00CD5B68">
              <w:rPr>
                <w:rFonts w:eastAsia="Times New Roman"/>
                <w:color w:val="000000" w:themeColor="text1"/>
                <w:sz w:val="24"/>
                <w:szCs w:val="24"/>
                <w:lang w:eastAsia="pt-BR"/>
              </w:rPr>
              <w:t>V - a análise de risco da operação, observando os fatores de risco inerentes aos ativos; e</w:t>
            </w:r>
          </w:p>
        </w:tc>
        <w:tc>
          <w:tcPr>
            <w:tcW w:w="3474" w:type="dxa"/>
          </w:tcPr>
          <w:p w14:paraId="31F5EB09" w14:textId="77777777" w:rsidR="003A0450" w:rsidRPr="00CD5B68" w:rsidRDefault="003A0450" w:rsidP="00CD5B68">
            <w:pPr>
              <w:spacing w:before="120" w:after="120"/>
              <w:jc w:val="both"/>
              <w:rPr>
                <w:rFonts w:eastAsia="Times New Roman"/>
                <w:color w:val="000000" w:themeColor="text1"/>
                <w:sz w:val="24"/>
                <w:szCs w:val="24"/>
                <w:lang w:eastAsia="pt-BR"/>
              </w:rPr>
            </w:pPr>
          </w:p>
        </w:tc>
      </w:tr>
      <w:tr w:rsidR="003A0450" w:rsidRPr="00CD5B68" w14:paraId="65CE7BBF" w14:textId="42467569" w:rsidTr="003A0450">
        <w:tc>
          <w:tcPr>
            <w:tcW w:w="3474" w:type="dxa"/>
          </w:tcPr>
          <w:p w14:paraId="3C819141" w14:textId="354FC0A3" w:rsidR="003A0450" w:rsidRPr="00CD5B68" w:rsidRDefault="003A0450" w:rsidP="0017419B">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lastRenderedPageBreak/>
              <w:t>VI - a avaliação jurídica da alternativa adotada para a realização do procedimento.</w:t>
            </w:r>
          </w:p>
        </w:tc>
        <w:tc>
          <w:tcPr>
            <w:tcW w:w="3474" w:type="dxa"/>
          </w:tcPr>
          <w:p w14:paraId="292AB0D4" w14:textId="740D479F" w:rsidR="003A0450" w:rsidRPr="00CD5B68" w:rsidRDefault="003A0450" w:rsidP="0017419B">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VI - a avaliação jurídica da alternativa adotada para a realização do procedimento.</w:t>
            </w:r>
          </w:p>
        </w:tc>
        <w:tc>
          <w:tcPr>
            <w:tcW w:w="3474" w:type="dxa"/>
          </w:tcPr>
          <w:p w14:paraId="24131F61" w14:textId="77777777" w:rsidR="003A0450" w:rsidRPr="00CD5B68" w:rsidRDefault="003A0450" w:rsidP="00CD5B68">
            <w:pPr>
              <w:spacing w:before="120" w:after="120"/>
              <w:jc w:val="both"/>
              <w:rPr>
                <w:rFonts w:eastAsia="Times New Roman"/>
                <w:color w:val="000000" w:themeColor="text1"/>
                <w:sz w:val="24"/>
                <w:szCs w:val="24"/>
                <w:lang w:eastAsia="pt-BR"/>
              </w:rPr>
            </w:pPr>
          </w:p>
        </w:tc>
      </w:tr>
      <w:tr w:rsidR="003A0450" w:rsidRPr="00CD5B68" w14:paraId="48BBEBB4" w14:textId="0CA784BD" w:rsidTr="003A0450">
        <w:tc>
          <w:tcPr>
            <w:tcW w:w="3474" w:type="dxa"/>
          </w:tcPr>
          <w:p w14:paraId="22EA05D1" w14:textId="4F9DED5A" w:rsidR="003A0450" w:rsidRPr="00CD5B68" w:rsidRDefault="003A0450" w:rsidP="0017419B">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 1º  O estudo técnico pode ser realizado pela própria EFPC ou por prestador de serviço especializado terceirizado.</w:t>
            </w:r>
          </w:p>
        </w:tc>
        <w:tc>
          <w:tcPr>
            <w:tcW w:w="3474" w:type="dxa"/>
          </w:tcPr>
          <w:p w14:paraId="3D6E3A36" w14:textId="51AE3311" w:rsidR="003A0450" w:rsidRPr="00CD5B68" w:rsidRDefault="003A0450" w:rsidP="0017419B">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 1º  O estudo técnico pode ser realizado pela própria EFPC ou por prestador de serviço especializado terceirizado.</w:t>
            </w:r>
          </w:p>
        </w:tc>
        <w:tc>
          <w:tcPr>
            <w:tcW w:w="3474" w:type="dxa"/>
          </w:tcPr>
          <w:p w14:paraId="119BF87E" w14:textId="77777777" w:rsidR="003A0450" w:rsidRPr="00CD5B68" w:rsidRDefault="003A0450" w:rsidP="00CD5B68">
            <w:pPr>
              <w:spacing w:before="120" w:after="120"/>
              <w:jc w:val="both"/>
              <w:rPr>
                <w:rFonts w:eastAsia="Times New Roman"/>
                <w:color w:val="000000" w:themeColor="text1"/>
                <w:sz w:val="24"/>
                <w:szCs w:val="24"/>
                <w:lang w:eastAsia="pt-BR"/>
              </w:rPr>
            </w:pPr>
          </w:p>
        </w:tc>
      </w:tr>
      <w:tr w:rsidR="003A0450" w:rsidRPr="00CD5B68" w14:paraId="101A8566" w14:textId="2798A53C" w:rsidTr="003A0450">
        <w:tc>
          <w:tcPr>
            <w:tcW w:w="3474" w:type="dxa"/>
          </w:tcPr>
          <w:p w14:paraId="728282D2" w14:textId="78A7821D" w:rsidR="003A0450" w:rsidRPr="00CD5B68" w:rsidRDefault="003A0450" w:rsidP="0017419B">
            <w:pPr>
              <w:spacing w:before="120" w:after="120"/>
              <w:jc w:val="both"/>
              <w:rPr>
                <w:rFonts w:eastAsia="Times New Roman" w:cstheme="minorHAnsi"/>
                <w:color w:val="000000"/>
                <w:sz w:val="24"/>
                <w:szCs w:val="24"/>
                <w:lang w:eastAsia="pt-BR"/>
              </w:rPr>
            </w:pPr>
            <w:r w:rsidRPr="005611B4">
              <w:rPr>
                <w:rFonts w:eastAsia="Times New Roman" w:cstheme="minorHAnsi"/>
                <w:color w:val="000000"/>
                <w:sz w:val="24"/>
                <w:szCs w:val="24"/>
                <w:lang w:eastAsia="pt-BR"/>
              </w:rPr>
              <w:t xml:space="preserve">§ 2º  O estudo técnico, em relação aos ativos previstos no </w:t>
            </w:r>
            <w:r w:rsidRPr="005611B4">
              <w:rPr>
                <w:rFonts w:eastAsia="Times New Roman" w:cstheme="minorHAnsi"/>
                <w:b/>
                <w:color w:val="000000"/>
                <w:sz w:val="24"/>
                <w:szCs w:val="24"/>
                <w:lang w:eastAsia="pt-BR"/>
              </w:rPr>
              <w:t xml:space="preserve">caput </w:t>
            </w:r>
            <w:r w:rsidRPr="005611B4">
              <w:rPr>
                <w:rFonts w:eastAsia="Times New Roman" w:cstheme="minorHAnsi"/>
                <w:color w:val="000000"/>
                <w:sz w:val="24"/>
                <w:szCs w:val="24"/>
                <w:lang w:eastAsia="pt-BR"/>
              </w:rPr>
              <w:t>do art. 4º, pode contemplar:</w:t>
            </w:r>
          </w:p>
        </w:tc>
        <w:tc>
          <w:tcPr>
            <w:tcW w:w="3474" w:type="dxa"/>
          </w:tcPr>
          <w:p w14:paraId="6C4E3A2B" w14:textId="06EDF952" w:rsidR="003A0450" w:rsidRPr="00CD5B68" w:rsidRDefault="003A0450" w:rsidP="0017419B">
            <w:pPr>
              <w:spacing w:before="120" w:after="120"/>
              <w:jc w:val="both"/>
              <w:rPr>
                <w:rFonts w:eastAsia="Times New Roman" w:cstheme="minorHAnsi"/>
                <w:color w:val="000000"/>
                <w:sz w:val="24"/>
                <w:szCs w:val="24"/>
                <w:lang w:eastAsia="pt-BR"/>
              </w:rPr>
            </w:pPr>
            <w:r w:rsidRPr="00CD5B68">
              <w:rPr>
                <w:rFonts w:eastAsia="Times New Roman" w:cstheme="minorHAnsi"/>
                <w:color w:val="000000"/>
                <w:sz w:val="24"/>
                <w:szCs w:val="24"/>
                <w:lang w:eastAsia="pt-BR"/>
              </w:rPr>
              <w:t xml:space="preserve">§ 2º  O estudo técnico, em relação aos ativos previstos no </w:t>
            </w:r>
            <w:r w:rsidRPr="00CD5B68">
              <w:rPr>
                <w:rFonts w:eastAsia="Times New Roman" w:cstheme="minorHAnsi"/>
                <w:b/>
                <w:color w:val="000000"/>
                <w:sz w:val="24"/>
                <w:szCs w:val="24"/>
                <w:lang w:eastAsia="pt-BR"/>
              </w:rPr>
              <w:t xml:space="preserve">caput </w:t>
            </w:r>
            <w:r w:rsidRPr="00CD5B68">
              <w:rPr>
                <w:rFonts w:eastAsia="Times New Roman" w:cstheme="minorHAnsi"/>
                <w:color w:val="000000"/>
                <w:sz w:val="24"/>
                <w:szCs w:val="24"/>
                <w:lang w:eastAsia="pt-BR"/>
              </w:rPr>
              <w:t>do art. 4º, pode contemplar:</w:t>
            </w:r>
          </w:p>
        </w:tc>
        <w:tc>
          <w:tcPr>
            <w:tcW w:w="3474" w:type="dxa"/>
          </w:tcPr>
          <w:p w14:paraId="2607AFC3" w14:textId="77777777" w:rsidR="003A0450" w:rsidRPr="00CD5B68" w:rsidRDefault="003A0450" w:rsidP="00CD5B68">
            <w:pPr>
              <w:spacing w:before="120" w:after="120"/>
              <w:jc w:val="both"/>
              <w:rPr>
                <w:rFonts w:eastAsia="Times New Roman" w:cstheme="minorHAnsi"/>
                <w:color w:val="000000"/>
                <w:sz w:val="24"/>
                <w:szCs w:val="24"/>
                <w:lang w:eastAsia="pt-BR"/>
              </w:rPr>
            </w:pPr>
          </w:p>
        </w:tc>
      </w:tr>
      <w:tr w:rsidR="003A0450" w:rsidRPr="00CD5B68" w14:paraId="132C8440" w14:textId="0FEE91D3" w:rsidTr="003A0450">
        <w:tc>
          <w:tcPr>
            <w:tcW w:w="3474" w:type="dxa"/>
          </w:tcPr>
          <w:p w14:paraId="5421E22D" w14:textId="4D378C5E" w:rsidR="003A0450" w:rsidRPr="00CD5B68" w:rsidRDefault="003A0450" w:rsidP="0017419B">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I - um único ativo; ou</w:t>
            </w:r>
          </w:p>
        </w:tc>
        <w:tc>
          <w:tcPr>
            <w:tcW w:w="3474" w:type="dxa"/>
          </w:tcPr>
          <w:p w14:paraId="647C649B" w14:textId="13E1AFCC" w:rsidR="003A0450" w:rsidRPr="00CD5B68" w:rsidRDefault="003A0450" w:rsidP="0017419B">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I - um único ativo; ou</w:t>
            </w:r>
          </w:p>
        </w:tc>
        <w:tc>
          <w:tcPr>
            <w:tcW w:w="3474" w:type="dxa"/>
          </w:tcPr>
          <w:p w14:paraId="4E5D1827" w14:textId="77777777" w:rsidR="003A0450" w:rsidRPr="00CD5B68" w:rsidRDefault="003A0450" w:rsidP="00CD5B68">
            <w:pPr>
              <w:spacing w:before="120" w:after="120"/>
              <w:jc w:val="both"/>
              <w:rPr>
                <w:rFonts w:eastAsia="Times New Roman"/>
                <w:color w:val="000000" w:themeColor="text1"/>
                <w:sz w:val="24"/>
                <w:szCs w:val="24"/>
                <w:lang w:eastAsia="pt-BR"/>
              </w:rPr>
            </w:pPr>
          </w:p>
        </w:tc>
      </w:tr>
      <w:tr w:rsidR="003A0450" w:rsidRPr="00CD5B68" w14:paraId="0095CB02" w14:textId="77777777" w:rsidTr="003A0450">
        <w:tc>
          <w:tcPr>
            <w:tcW w:w="3474" w:type="dxa"/>
          </w:tcPr>
          <w:p w14:paraId="180040AE" w14:textId="6710D979" w:rsidR="003A0450" w:rsidRPr="005611B4" w:rsidRDefault="003A0450" w:rsidP="0017419B">
            <w:pPr>
              <w:spacing w:before="120" w:after="120"/>
              <w:jc w:val="both"/>
              <w:rPr>
                <w:rFonts w:eastAsia="Times New Roman" w:cstheme="minorHAnsi"/>
                <w:b/>
                <w:color w:val="000000"/>
                <w:sz w:val="24"/>
                <w:szCs w:val="24"/>
                <w:lang w:eastAsia="pt-BR"/>
              </w:rPr>
            </w:pPr>
            <w:r w:rsidRPr="005611B4">
              <w:rPr>
                <w:rFonts w:eastAsia="Times New Roman"/>
                <w:color w:val="000000" w:themeColor="text1"/>
                <w:sz w:val="24"/>
                <w:szCs w:val="24"/>
                <w:lang w:eastAsia="pt-BR"/>
              </w:rPr>
              <w:t>II - o conjunto de ativos.</w:t>
            </w:r>
          </w:p>
        </w:tc>
        <w:tc>
          <w:tcPr>
            <w:tcW w:w="3474" w:type="dxa"/>
          </w:tcPr>
          <w:p w14:paraId="5CBE0D94" w14:textId="14065E8F" w:rsidR="003A0450" w:rsidRPr="00CD5B68" w:rsidRDefault="003A0450" w:rsidP="0017419B">
            <w:pPr>
              <w:spacing w:before="120" w:after="120"/>
              <w:jc w:val="both"/>
              <w:rPr>
                <w:rFonts w:eastAsia="Times New Roman"/>
                <w:color w:val="000000" w:themeColor="text1"/>
                <w:sz w:val="24"/>
                <w:szCs w:val="24"/>
                <w:lang w:eastAsia="pt-BR"/>
              </w:rPr>
            </w:pPr>
            <w:r w:rsidRPr="00CD5B68">
              <w:rPr>
                <w:rFonts w:eastAsia="Times New Roman"/>
                <w:color w:val="000000" w:themeColor="text1"/>
                <w:sz w:val="24"/>
                <w:szCs w:val="24"/>
                <w:lang w:eastAsia="pt-BR"/>
              </w:rPr>
              <w:t>II - o conjunto de ativos.</w:t>
            </w:r>
          </w:p>
        </w:tc>
        <w:tc>
          <w:tcPr>
            <w:tcW w:w="3474" w:type="dxa"/>
          </w:tcPr>
          <w:p w14:paraId="021BD3B7" w14:textId="77777777" w:rsidR="003A0450" w:rsidRPr="00CD5B68" w:rsidRDefault="003A0450" w:rsidP="00CD5B68">
            <w:pPr>
              <w:spacing w:before="120" w:after="120"/>
              <w:jc w:val="both"/>
              <w:rPr>
                <w:rFonts w:eastAsia="Times New Roman"/>
                <w:color w:val="000000" w:themeColor="text1"/>
                <w:sz w:val="24"/>
                <w:szCs w:val="24"/>
                <w:lang w:eastAsia="pt-BR"/>
              </w:rPr>
            </w:pPr>
          </w:p>
        </w:tc>
      </w:tr>
      <w:tr w:rsidR="003A0450" w:rsidRPr="00CD5B68" w14:paraId="1C0513BC" w14:textId="77777777" w:rsidTr="003A0450">
        <w:tc>
          <w:tcPr>
            <w:tcW w:w="3474" w:type="dxa"/>
          </w:tcPr>
          <w:p w14:paraId="72C93659" w14:textId="0C73E34F" w:rsidR="003A0450" w:rsidRPr="005611B4" w:rsidRDefault="003A0450" w:rsidP="0017419B">
            <w:pPr>
              <w:spacing w:before="120" w:after="120"/>
              <w:jc w:val="both"/>
              <w:rPr>
                <w:rFonts w:eastAsia="Times New Roman" w:cstheme="minorHAnsi"/>
                <w:b/>
                <w:color w:val="000000"/>
                <w:sz w:val="24"/>
                <w:szCs w:val="24"/>
                <w:lang w:eastAsia="pt-BR"/>
              </w:rPr>
            </w:pPr>
            <w:r w:rsidRPr="005611B4">
              <w:rPr>
                <w:rFonts w:eastAsia="Times New Roman"/>
                <w:color w:val="000000" w:themeColor="text1"/>
                <w:sz w:val="24"/>
                <w:szCs w:val="24"/>
                <w:lang w:eastAsia="pt-BR"/>
              </w:rPr>
              <w:t>§ 3º  O estudo técnico deve ter a mesma data base para os planos de benefícios administrados por uma mesma EFPC.</w:t>
            </w:r>
          </w:p>
        </w:tc>
        <w:tc>
          <w:tcPr>
            <w:tcW w:w="3474" w:type="dxa"/>
          </w:tcPr>
          <w:p w14:paraId="2C36D777" w14:textId="53665F1A" w:rsidR="003A0450" w:rsidRPr="00CD5B68" w:rsidRDefault="003A0450" w:rsidP="0017419B">
            <w:pPr>
              <w:spacing w:before="120" w:after="120"/>
              <w:jc w:val="both"/>
              <w:rPr>
                <w:rFonts w:eastAsia="Times New Roman"/>
                <w:color w:val="000000" w:themeColor="text1"/>
                <w:sz w:val="24"/>
                <w:szCs w:val="24"/>
                <w:lang w:eastAsia="pt-BR"/>
              </w:rPr>
            </w:pPr>
            <w:r w:rsidRPr="00CD5B68">
              <w:rPr>
                <w:rFonts w:eastAsia="Times New Roman"/>
                <w:color w:val="000000" w:themeColor="text1"/>
                <w:sz w:val="24"/>
                <w:szCs w:val="24"/>
                <w:lang w:eastAsia="pt-BR"/>
              </w:rPr>
              <w:t>§ 3º  O estudo técnico deve ter a mesma data base para os planos de benefícios administrados por uma mesma EFPC.</w:t>
            </w:r>
          </w:p>
        </w:tc>
        <w:tc>
          <w:tcPr>
            <w:tcW w:w="3474" w:type="dxa"/>
          </w:tcPr>
          <w:p w14:paraId="4EF4AFB2" w14:textId="77777777" w:rsidR="003A0450" w:rsidRPr="00CD5B68" w:rsidRDefault="003A0450" w:rsidP="00CD5B68">
            <w:pPr>
              <w:spacing w:before="120" w:after="120"/>
              <w:jc w:val="both"/>
              <w:rPr>
                <w:rFonts w:eastAsia="Times New Roman"/>
                <w:color w:val="000000" w:themeColor="text1"/>
                <w:sz w:val="24"/>
                <w:szCs w:val="24"/>
                <w:lang w:eastAsia="pt-BR"/>
              </w:rPr>
            </w:pPr>
          </w:p>
        </w:tc>
      </w:tr>
      <w:tr w:rsidR="003C47C9" w:rsidRPr="00CD5B68" w14:paraId="76056115" w14:textId="77777777" w:rsidTr="003A0450">
        <w:tc>
          <w:tcPr>
            <w:tcW w:w="3474" w:type="dxa"/>
          </w:tcPr>
          <w:p w14:paraId="45716F75" w14:textId="77777777" w:rsidR="003C47C9" w:rsidRPr="005611B4" w:rsidRDefault="003C47C9" w:rsidP="00CD5B68">
            <w:pPr>
              <w:spacing w:before="120" w:after="120"/>
              <w:jc w:val="both"/>
              <w:rPr>
                <w:rFonts w:eastAsia="Times New Roman" w:cstheme="minorHAnsi"/>
                <w:b/>
                <w:color w:val="000000"/>
                <w:sz w:val="24"/>
                <w:szCs w:val="24"/>
                <w:lang w:eastAsia="pt-BR"/>
              </w:rPr>
            </w:pPr>
          </w:p>
        </w:tc>
        <w:tc>
          <w:tcPr>
            <w:tcW w:w="3474" w:type="dxa"/>
          </w:tcPr>
          <w:p w14:paraId="2BCDC874" w14:textId="17BDCF5A" w:rsidR="003C47C9" w:rsidRPr="00CD5B68" w:rsidRDefault="003C47C9" w:rsidP="00CD5B68">
            <w:pPr>
              <w:spacing w:before="120" w:after="120"/>
              <w:jc w:val="both"/>
              <w:rPr>
                <w:rFonts w:eastAsia="Times New Roman"/>
                <w:color w:val="000000" w:themeColor="text1"/>
                <w:sz w:val="24"/>
                <w:szCs w:val="24"/>
                <w:lang w:eastAsia="pt-BR"/>
              </w:rPr>
            </w:pPr>
            <w:r w:rsidRPr="00CD5B68">
              <w:rPr>
                <w:sz w:val="24"/>
                <w:szCs w:val="24"/>
              </w:rPr>
              <w:t>CAPÍTULO III</w:t>
            </w:r>
          </w:p>
        </w:tc>
        <w:tc>
          <w:tcPr>
            <w:tcW w:w="3474" w:type="dxa"/>
          </w:tcPr>
          <w:p w14:paraId="108FC1AA" w14:textId="77777777" w:rsidR="003C47C9" w:rsidRPr="00CD5B68" w:rsidRDefault="003C47C9" w:rsidP="00CD5B68">
            <w:pPr>
              <w:spacing w:before="120" w:after="120"/>
              <w:jc w:val="both"/>
              <w:rPr>
                <w:rFonts w:eastAsia="Times New Roman"/>
                <w:color w:val="000000" w:themeColor="text1"/>
                <w:sz w:val="24"/>
                <w:szCs w:val="24"/>
                <w:lang w:eastAsia="pt-BR"/>
              </w:rPr>
            </w:pPr>
          </w:p>
        </w:tc>
      </w:tr>
      <w:tr w:rsidR="003C47C9" w:rsidRPr="00CD5B68" w14:paraId="74EB0F1D" w14:textId="77777777" w:rsidTr="003A0450">
        <w:tc>
          <w:tcPr>
            <w:tcW w:w="3474" w:type="dxa"/>
          </w:tcPr>
          <w:p w14:paraId="476A6A06" w14:textId="0E0AAFFB" w:rsidR="003C47C9" w:rsidRPr="005611B4" w:rsidRDefault="003C47C9" w:rsidP="00CD5B68">
            <w:pPr>
              <w:spacing w:before="120" w:after="120"/>
              <w:jc w:val="both"/>
              <w:rPr>
                <w:rFonts w:eastAsia="Times New Roman" w:cstheme="minorHAnsi"/>
                <w:b/>
                <w:color w:val="000000"/>
                <w:sz w:val="24"/>
                <w:szCs w:val="24"/>
                <w:lang w:eastAsia="pt-BR"/>
              </w:rPr>
            </w:pPr>
            <w:r w:rsidRPr="005611B4">
              <w:rPr>
                <w:rFonts w:eastAsia="Times New Roman" w:cstheme="minorHAnsi"/>
                <w:b/>
                <w:color w:val="000000"/>
                <w:sz w:val="24"/>
                <w:szCs w:val="24"/>
                <w:lang w:eastAsia="pt-BR"/>
              </w:rPr>
              <w:t>Processo Decisório</w:t>
            </w:r>
          </w:p>
        </w:tc>
        <w:tc>
          <w:tcPr>
            <w:tcW w:w="3474" w:type="dxa"/>
          </w:tcPr>
          <w:p w14:paraId="58724AB6" w14:textId="67C87693" w:rsidR="003C47C9" w:rsidRPr="00CD5B68" w:rsidRDefault="003C47C9" w:rsidP="00CD5B68">
            <w:pPr>
              <w:spacing w:before="120" w:after="120"/>
              <w:jc w:val="both"/>
              <w:rPr>
                <w:rFonts w:eastAsia="Times New Roman"/>
                <w:color w:val="000000" w:themeColor="text1"/>
                <w:sz w:val="24"/>
                <w:szCs w:val="24"/>
                <w:lang w:eastAsia="pt-BR"/>
              </w:rPr>
            </w:pPr>
            <w:r w:rsidRPr="00CD5B68">
              <w:rPr>
                <w:rFonts w:eastAsia="Times New Roman" w:cstheme="minorHAnsi"/>
                <w:color w:val="000000"/>
                <w:sz w:val="24"/>
                <w:szCs w:val="24"/>
                <w:lang w:eastAsia="pt-BR"/>
              </w:rPr>
              <w:t>PROCESSO DECISÓRIO</w:t>
            </w:r>
          </w:p>
        </w:tc>
        <w:tc>
          <w:tcPr>
            <w:tcW w:w="3474" w:type="dxa"/>
          </w:tcPr>
          <w:p w14:paraId="33A8FC7D" w14:textId="77777777" w:rsidR="003C47C9" w:rsidRPr="00CD5B68" w:rsidRDefault="003C47C9" w:rsidP="00CD5B68">
            <w:pPr>
              <w:spacing w:before="120" w:after="120"/>
              <w:jc w:val="both"/>
              <w:rPr>
                <w:rFonts w:eastAsia="Times New Roman"/>
                <w:color w:val="000000" w:themeColor="text1"/>
                <w:sz w:val="24"/>
                <w:szCs w:val="24"/>
                <w:lang w:eastAsia="pt-BR"/>
              </w:rPr>
            </w:pPr>
          </w:p>
        </w:tc>
      </w:tr>
      <w:tr w:rsidR="000D6E10" w:rsidRPr="00CD5B68" w14:paraId="02D81B19" w14:textId="2713A2F8" w:rsidTr="003A0450">
        <w:tc>
          <w:tcPr>
            <w:tcW w:w="3474" w:type="dxa"/>
          </w:tcPr>
          <w:p w14:paraId="2C462A64" w14:textId="087D4F5E" w:rsidR="000D6E10" w:rsidRPr="00CD5B68" w:rsidRDefault="000D6E10" w:rsidP="0017419B">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Art. 9º  O processo decisório relativo aos procedimentos de que trata esta Resolução deve abranger as seguintes etapas:</w:t>
            </w:r>
          </w:p>
        </w:tc>
        <w:tc>
          <w:tcPr>
            <w:tcW w:w="3474" w:type="dxa"/>
          </w:tcPr>
          <w:p w14:paraId="5B847061" w14:textId="4F2BDDD2" w:rsidR="000D6E10" w:rsidRPr="00CD5B68" w:rsidRDefault="000D6E10" w:rsidP="0017419B">
            <w:pPr>
              <w:spacing w:before="120" w:after="120"/>
              <w:jc w:val="both"/>
              <w:rPr>
                <w:rFonts w:eastAsia="Times New Roman"/>
                <w:color w:val="000000" w:themeColor="text1"/>
                <w:sz w:val="24"/>
                <w:szCs w:val="24"/>
                <w:lang w:eastAsia="pt-BR"/>
              </w:rPr>
            </w:pPr>
            <w:r w:rsidRPr="00CD5B68">
              <w:rPr>
                <w:rFonts w:eastAsia="Times New Roman"/>
                <w:color w:val="000000" w:themeColor="text1"/>
                <w:sz w:val="24"/>
                <w:szCs w:val="24"/>
                <w:lang w:eastAsia="pt-BR"/>
              </w:rPr>
              <w:t>Art. 9º  O processo decisório relativo aos procedimentos de que trata este Anexo deve abranger as seguintes etapas:</w:t>
            </w:r>
          </w:p>
        </w:tc>
        <w:tc>
          <w:tcPr>
            <w:tcW w:w="3474" w:type="dxa"/>
          </w:tcPr>
          <w:p w14:paraId="375FDCE2" w14:textId="77777777" w:rsidR="000D6E10" w:rsidRPr="00CD5B68" w:rsidRDefault="000D6E10" w:rsidP="00CD5B68">
            <w:pPr>
              <w:spacing w:before="120" w:after="120"/>
              <w:jc w:val="both"/>
              <w:rPr>
                <w:rFonts w:eastAsia="Times New Roman"/>
                <w:color w:val="000000" w:themeColor="text1"/>
                <w:sz w:val="24"/>
                <w:szCs w:val="24"/>
                <w:lang w:eastAsia="pt-BR"/>
              </w:rPr>
            </w:pPr>
          </w:p>
        </w:tc>
      </w:tr>
      <w:tr w:rsidR="000D6E10" w:rsidRPr="00CD5B68" w14:paraId="4EEB8DE1" w14:textId="73A9AD4E" w:rsidTr="003A0450">
        <w:tc>
          <w:tcPr>
            <w:tcW w:w="3474" w:type="dxa"/>
          </w:tcPr>
          <w:p w14:paraId="7B6922A9" w14:textId="4A5A7B0D" w:rsidR="000D6E10" w:rsidRPr="00CD5B68" w:rsidRDefault="000D6E10" w:rsidP="0017419B">
            <w:pPr>
              <w:spacing w:before="120" w:after="120"/>
              <w:jc w:val="both"/>
              <w:rPr>
                <w:sz w:val="24"/>
                <w:szCs w:val="24"/>
              </w:rPr>
            </w:pPr>
            <w:r w:rsidRPr="005611B4">
              <w:rPr>
                <w:rFonts w:eastAsia="Times New Roman" w:cstheme="minorHAnsi"/>
                <w:color w:val="000000"/>
                <w:sz w:val="24"/>
                <w:szCs w:val="24"/>
                <w:lang w:eastAsia="pt-BR"/>
              </w:rPr>
              <w:t>I - declaração do administrador responsável pelo plano de benefícios (ARPB) de que o procedimento atende aos objetivos dos planos de benefícios;</w:t>
            </w:r>
          </w:p>
        </w:tc>
        <w:tc>
          <w:tcPr>
            <w:tcW w:w="3474" w:type="dxa"/>
          </w:tcPr>
          <w:p w14:paraId="37944A1A" w14:textId="60E98FF6" w:rsidR="000D6E10" w:rsidRPr="00CD5B68" w:rsidRDefault="000D6E10" w:rsidP="0017419B">
            <w:pPr>
              <w:spacing w:before="120" w:after="120"/>
              <w:jc w:val="both"/>
              <w:rPr>
                <w:sz w:val="24"/>
                <w:szCs w:val="24"/>
              </w:rPr>
            </w:pPr>
            <w:r w:rsidRPr="00CD5B68">
              <w:rPr>
                <w:rFonts w:eastAsia="Times New Roman" w:cstheme="minorHAnsi"/>
                <w:color w:val="000000"/>
                <w:sz w:val="24"/>
                <w:szCs w:val="24"/>
                <w:lang w:eastAsia="pt-BR"/>
              </w:rPr>
              <w:t>I - declaração do administrador responsável pelo plano de benefícios (ARPB) de que o procedimento atende aos objetivos dos planos de benefícios;</w:t>
            </w:r>
          </w:p>
        </w:tc>
        <w:tc>
          <w:tcPr>
            <w:tcW w:w="3474" w:type="dxa"/>
          </w:tcPr>
          <w:p w14:paraId="4F6A760E" w14:textId="77777777" w:rsidR="000D6E10" w:rsidRPr="00CD5B68" w:rsidRDefault="000D6E10" w:rsidP="00CD5B68">
            <w:pPr>
              <w:spacing w:before="120" w:after="120"/>
              <w:jc w:val="center"/>
              <w:rPr>
                <w:sz w:val="24"/>
                <w:szCs w:val="24"/>
              </w:rPr>
            </w:pPr>
          </w:p>
        </w:tc>
      </w:tr>
      <w:tr w:rsidR="000D6E10" w:rsidRPr="00CD5B68" w14:paraId="77956ACD" w14:textId="423FE681" w:rsidTr="003A0450">
        <w:tc>
          <w:tcPr>
            <w:tcW w:w="3474" w:type="dxa"/>
          </w:tcPr>
          <w:p w14:paraId="0AAB70E3" w14:textId="0C2F7A84" w:rsidR="000D6E10" w:rsidRPr="00CD5B68" w:rsidRDefault="000D6E10" w:rsidP="0017419B">
            <w:pPr>
              <w:spacing w:before="120" w:after="120"/>
              <w:jc w:val="both"/>
              <w:rPr>
                <w:sz w:val="24"/>
                <w:szCs w:val="24"/>
              </w:rPr>
            </w:pPr>
            <w:r w:rsidRPr="005611B4">
              <w:rPr>
                <w:rFonts w:eastAsia="Times New Roman" w:cstheme="minorHAnsi"/>
                <w:color w:val="000000"/>
                <w:sz w:val="24"/>
                <w:szCs w:val="24"/>
                <w:lang w:eastAsia="pt-BR"/>
              </w:rPr>
              <w:t>II - apreciação pelo comitê de investimentos ou órgão similar, quando houver;</w:t>
            </w:r>
          </w:p>
        </w:tc>
        <w:tc>
          <w:tcPr>
            <w:tcW w:w="3474" w:type="dxa"/>
          </w:tcPr>
          <w:p w14:paraId="3DAED7B1" w14:textId="7B44C5ED" w:rsidR="000D6E10" w:rsidRPr="00CD5B68" w:rsidRDefault="000D6E10" w:rsidP="0017419B">
            <w:pPr>
              <w:spacing w:before="120" w:after="120"/>
              <w:jc w:val="both"/>
              <w:rPr>
                <w:rFonts w:eastAsia="Times New Roman" w:cstheme="minorHAnsi"/>
                <w:color w:val="000000"/>
                <w:sz w:val="24"/>
                <w:szCs w:val="24"/>
                <w:lang w:eastAsia="pt-BR"/>
              </w:rPr>
            </w:pPr>
            <w:r w:rsidRPr="00CD5B68">
              <w:rPr>
                <w:rFonts w:eastAsia="Times New Roman" w:cstheme="minorHAnsi"/>
                <w:color w:val="000000"/>
                <w:sz w:val="24"/>
                <w:szCs w:val="24"/>
                <w:lang w:eastAsia="pt-BR"/>
              </w:rPr>
              <w:t>II - apreciação pelo comitê de investimentos ou órgão similar, quando houver;</w:t>
            </w:r>
          </w:p>
        </w:tc>
        <w:tc>
          <w:tcPr>
            <w:tcW w:w="3474" w:type="dxa"/>
          </w:tcPr>
          <w:p w14:paraId="287AC087" w14:textId="77777777" w:rsidR="000D6E10" w:rsidRPr="00CD5B68" w:rsidRDefault="000D6E10" w:rsidP="00CD5B68">
            <w:pPr>
              <w:spacing w:before="120" w:after="120"/>
              <w:jc w:val="center"/>
              <w:rPr>
                <w:sz w:val="24"/>
                <w:szCs w:val="24"/>
              </w:rPr>
            </w:pPr>
          </w:p>
        </w:tc>
      </w:tr>
      <w:tr w:rsidR="000D6E10" w:rsidRPr="00CD5B68" w14:paraId="4201A3FA" w14:textId="0838B078" w:rsidTr="003A0450">
        <w:tc>
          <w:tcPr>
            <w:tcW w:w="3474" w:type="dxa"/>
          </w:tcPr>
          <w:p w14:paraId="6BD80325" w14:textId="147BD6CC" w:rsidR="000D6E10" w:rsidRPr="00CD5B68" w:rsidRDefault="000D6E10" w:rsidP="0017419B">
            <w:pPr>
              <w:spacing w:before="120" w:after="120"/>
              <w:jc w:val="both"/>
              <w:rPr>
                <w:rFonts w:eastAsia="Times New Roman" w:cstheme="minorHAnsi"/>
                <w:color w:val="000000"/>
                <w:sz w:val="24"/>
                <w:szCs w:val="24"/>
                <w:lang w:eastAsia="pt-BR"/>
              </w:rPr>
            </w:pPr>
            <w:r w:rsidRPr="005611B4">
              <w:rPr>
                <w:rFonts w:eastAsia="Times New Roman" w:cstheme="minorHAnsi"/>
                <w:color w:val="000000"/>
                <w:sz w:val="24"/>
                <w:szCs w:val="24"/>
                <w:lang w:eastAsia="pt-BR"/>
              </w:rPr>
              <w:t xml:space="preserve">III - declaração do administrador ou comitê responsável pela gestão de riscos, quando houver, de que os riscos a que estão expostos os ativos envolvidos na operação são compatíveis com a </w:t>
            </w:r>
            <w:r w:rsidRPr="005611B4">
              <w:rPr>
                <w:rFonts w:eastAsia="Times New Roman" w:cstheme="minorHAnsi"/>
                <w:color w:val="000000"/>
                <w:sz w:val="24"/>
                <w:szCs w:val="24"/>
                <w:lang w:eastAsia="pt-BR"/>
              </w:rPr>
              <w:lastRenderedPageBreak/>
              <w:t>política de investimentos do plano;</w:t>
            </w:r>
          </w:p>
        </w:tc>
        <w:tc>
          <w:tcPr>
            <w:tcW w:w="3474" w:type="dxa"/>
          </w:tcPr>
          <w:p w14:paraId="3A2F41F2" w14:textId="186A1514" w:rsidR="000D6E10" w:rsidRPr="00CD5B68" w:rsidRDefault="000D6E10" w:rsidP="0017419B">
            <w:pPr>
              <w:spacing w:before="120" w:after="120"/>
              <w:jc w:val="both"/>
              <w:rPr>
                <w:rFonts w:eastAsia="Times New Roman"/>
                <w:color w:val="000000"/>
                <w:sz w:val="24"/>
                <w:szCs w:val="24"/>
                <w:lang w:eastAsia="pt-BR"/>
              </w:rPr>
            </w:pPr>
            <w:r w:rsidRPr="00CD5B68">
              <w:rPr>
                <w:rFonts w:eastAsia="Times New Roman" w:cstheme="minorHAnsi"/>
                <w:color w:val="000000"/>
                <w:sz w:val="24"/>
                <w:szCs w:val="24"/>
                <w:lang w:eastAsia="pt-BR"/>
              </w:rPr>
              <w:lastRenderedPageBreak/>
              <w:t xml:space="preserve">III - declaração do administrador ou comitê responsável pela gestão de riscos, quando houver, de que os riscos a que estão expostos os ativos envolvidos na operação são compatíveis com a </w:t>
            </w:r>
            <w:r w:rsidRPr="00CD5B68">
              <w:rPr>
                <w:rFonts w:eastAsia="Times New Roman" w:cstheme="minorHAnsi"/>
                <w:color w:val="000000"/>
                <w:sz w:val="24"/>
                <w:szCs w:val="24"/>
                <w:lang w:eastAsia="pt-BR"/>
              </w:rPr>
              <w:lastRenderedPageBreak/>
              <w:t>política de investimentos do plano;</w:t>
            </w:r>
          </w:p>
        </w:tc>
        <w:tc>
          <w:tcPr>
            <w:tcW w:w="3474" w:type="dxa"/>
          </w:tcPr>
          <w:p w14:paraId="01D6B2A1" w14:textId="77777777" w:rsidR="000D6E10" w:rsidRPr="00CD5B68" w:rsidRDefault="000D6E10" w:rsidP="00CD5B68">
            <w:pPr>
              <w:spacing w:before="120" w:after="120"/>
              <w:jc w:val="center"/>
              <w:rPr>
                <w:rFonts w:eastAsia="Times New Roman" w:cstheme="minorHAnsi"/>
                <w:color w:val="000000"/>
                <w:sz w:val="24"/>
                <w:szCs w:val="24"/>
                <w:lang w:eastAsia="pt-BR"/>
              </w:rPr>
            </w:pPr>
          </w:p>
        </w:tc>
      </w:tr>
      <w:tr w:rsidR="000D6E10" w:rsidRPr="00CD5B68" w14:paraId="1771ECA6" w14:textId="248F8575" w:rsidTr="003A0450">
        <w:tc>
          <w:tcPr>
            <w:tcW w:w="3474" w:type="dxa"/>
          </w:tcPr>
          <w:p w14:paraId="11E5CD44" w14:textId="6DEC1677" w:rsidR="000D6E10" w:rsidRPr="00CD5B68" w:rsidRDefault="000D6E10" w:rsidP="0017419B">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IV - declaração do administrador estatutário tecnicamente qualificado (AETQ) de que o procedimento atende à regulamentação editada pelo Conselho Monetário Nacional;</w:t>
            </w:r>
          </w:p>
        </w:tc>
        <w:tc>
          <w:tcPr>
            <w:tcW w:w="3474" w:type="dxa"/>
          </w:tcPr>
          <w:p w14:paraId="53FC7719" w14:textId="38B75D09" w:rsidR="000D6E10" w:rsidRPr="00CD5B68" w:rsidRDefault="000D6E10" w:rsidP="0017419B">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IV - declaração do administrador estatutário tecnicamente qualificado (AETQ) de que o procedimento atende à regulamentação editada pelo Conselho Monetário Nacional;</w:t>
            </w:r>
          </w:p>
        </w:tc>
        <w:tc>
          <w:tcPr>
            <w:tcW w:w="3474" w:type="dxa"/>
          </w:tcPr>
          <w:p w14:paraId="30FFB179" w14:textId="77777777" w:rsidR="000D6E10" w:rsidRPr="00CD5B68" w:rsidRDefault="000D6E10" w:rsidP="00CD5B68">
            <w:pPr>
              <w:spacing w:before="120" w:after="120"/>
              <w:jc w:val="both"/>
              <w:rPr>
                <w:rFonts w:eastAsia="Times New Roman"/>
                <w:color w:val="000000" w:themeColor="text1"/>
                <w:sz w:val="24"/>
                <w:szCs w:val="24"/>
                <w:lang w:eastAsia="pt-BR"/>
              </w:rPr>
            </w:pPr>
          </w:p>
        </w:tc>
      </w:tr>
      <w:tr w:rsidR="000D6E10" w:rsidRPr="00CD5B68" w14:paraId="2781AD17" w14:textId="5C4842E0" w:rsidTr="003A0450">
        <w:tc>
          <w:tcPr>
            <w:tcW w:w="3474" w:type="dxa"/>
          </w:tcPr>
          <w:p w14:paraId="013FDCAC" w14:textId="1526C294" w:rsidR="000D6E10" w:rsidRPr="00CD5B68" w:rsidRDefault="000D6E10" w:rsidP="0017419B">
            <w:pPr>
              <w:spacing w:before="120" w:after="120"/>
              <w:jc w:val="both"/>
              <w:rPr>
                <w:rFonts w:eastAsia="Times New Roman" w:cstheme="minorHAnsi"/>
                <w:color w:val="000000"/>
                <w:sz w:val="24"/>
                <w:szCs w:val="24"/>
                <w:lang w:eastAsia="pt-BR"/>
              </w:rPr>
            </w:pPr>
            <w:r w:rsidRPr="005611B4">
              <w:rPr>
                <w:rFonts w:eastAsia="Times New Roman"/>
                <w:color w:val="000000" w:themeColor="text1"/>
                <w:sz w:val="24"/>
                <w:szCs w:val="24"/>
                <w:lang w:eastAsia="pt-BR"/>
              </w:rPr>
              <w:t>V - aprovação pela diretoria executiva;</w:t>
            </w:r>
          </w:p>
        </w:tc>
        <w:tc>
          <w:tcPr>
            <w:tcW w:w="3474" w:type="dxa"/>
          </w:tcPr>
          <w:p w14:paraId="08906BBB" w14:textId="6D78E1A8" w:rsidR="000D6E10" w:rsidRPr="00CD5B68" w:rsidRDefault="000D6E10" w:rsidP="0017419B">
            <w:pPr>
              <w:spacing w:before="120" w:after="120"/>
              <w:jc w:val="both"/>
              <w:rPr>
                <w:rFonts w:eastAsia="Times New Roman" w:cstheme="minorHAnsi"/>
                <w:color w:val="000000"/>
                <w:sz w:val="24"/>
                <w:szCs w:val="24"/>
                <w:lang w:eastAsia="pt-BR"/>
              </w:rPr>
            </w:pPr>
            <w:r w:rsidRPr="00CD5B68">
              <w:rPr>
                <w:rFonts w:eastAsia="Times New Roman"/>
                <w:color w:val="000000" w:themeColor="text1"/>
                <w:sz w:val="24"/>
                <w:szCs w:val="24"/>
                <w:lang w:eastAsia="pt-BR"/>
              </w:rPr>
              <w:t>V - aprovação pela diretoria executiva;</w:t>
            </w:r>
          </w:p>
        </w:tc>
        <w:tc>
          <w:tcPr>
            <w:tcW w:w="3474" w:type="dxa"/>
          </w:tcPr>
          <w:p w14:paraId="5B3A75FF" w14:textId="77777777" w:rsidR="000D6E10" w:rsidRPr="00CD5B68" w:rsidRDefault="000D6E10" w:rsidP="00CD5B68">
            <w:pPr>
              <w:spacing w:before="120" w:after="120"/>
              <w:jc w:val="both"/>
              <w:rPr>
                <w:rFonts w:eastAsia="Times New Roman" w:cstheme="minorHAnsi"/>
                <w:color w:val="000000"/>
                <w:sz w:val="24"/>
                <w:szCs w:val="24"/>
                <w:lang w:eastAsia="pt-BR"/>
              </w:rPr>
            </w:pPr>
          </w:p>
        </w:tc>
      </w:tr>
      <w:tr w:rsidR="000D6E10" w:rsidRPr="00CD5B68" w14:paraId="2F5BE624" w14:textId="6CCDA3AE" w:rsidTr="003A0450">
        <w:tc>
          <w:tcPr>
            <w:tcW w:w="3474" w:type="dxa"/>
          </w:tcPr>
          <w:p w14:paraId="712791C1" w14:textId="0B03583F" w:rsidR="000D6E10" w:rsidRPr="00CD5B68" w:rsidRDefault="000D6E10" w:rsidP="0017419B">
            <w:pPr>
              <w:spacing w:before="120" w:after="120"/>
              <w:jc w:val="both"/>
              <w:rPr>
                <w:rFonts w:eastAsia="Times New Roman" w:cstheme="minorHAnsi"/>
                <w:color w:val="000000"/>
                <w:sz w:val="24"/>
                <w:szCs w:val="24"/>
                <w:lang w:eastAsia="pt-BR"/>
              </w:rPr>
            </w:pPr>
            <w:r w:rsidRPr="005611B4">
              <w:rPr>
                <w:rFonts w:eastAsia="Times New Roman"/>
                <w:color w:val="000000" w:themeColor="text1"/>
                <w:sz w:val="24"/>
                <w:szCs w:val="24"/>
                <w:lang w:eastAsia="pt-BR"/>
              </w:rPr>
              <w:t>VI - aprovação pelo conselho deliberativo; e</w:t>
            </w:r>
          </w:p>
        </w:tc>
        <w:tc>
          <w:tcPr>
            <w:tcW w:w="3474" w:type="dxa"/>
          </w:tcPr>
          <w:p w14:paraId="34DA2220" w14:textId="5175DD7F" w:rsidR="000D6E10" w:rsidRPr="00CD5B68" w:rsidRDefault="000D6E10" w:rsidP="0017419B">
            <w:pPr>
              <w:spacing w:before="120" w:after="120"/>
              <w:jc w:val="both"/>
              <w:rPr>
                <w:rFonts w:eastAsia="Times New Roman" w:cstheme="minorHAnsi"/>
                <w:color w:val="000000"/>
                <w:sz w:val="24"/>
                <w:szCs w:val="24"/>
                <w:lang w:eastAsia="pt-BR"/>
              </w:rPr>
            </w:pPr>
            <w:r w:rsidRPr="00CD5B68">
              <w:rPr>
                <w:rFonts w:eastAsia="Times New Roman"/>
                <w:color w:val="000000" w:themeColor="text1"/>
                <w:sz w:val="24"/>
                <w:szCs w:val="24"/>
                <w:lang w:eastAsia="pt-BR"/>
              </w:rPr>
              <w:t>VI - aprovação pelo conselho deliberativo; e</w:t>
            </w:r>
          </w:p>
        </w:tc>
        <w:tc>
          <w:tcPr>
            <w:tcW w:w="3474" w:type="dxa"/>
          </w:tcPr>
          <w:p w14:paraId="280D4791" w14:textId="77777777" w:rsidR="000D6E10" w:rsidRPr="00CD5B68" w:rsidRDefault="000D6E10" w:rsidP="00CD5B68">
            <w:pPr>
              <w:spacing w:before="120" w:after="120"/>
              <w:jc w:val="both"/>
              <w:rPr>
                <w:rFonts w:eastAsia="Times New Roman" w:cstheme="minorHAnsi"/>
                <w:color w:val="000000"/>
                <w:sz w:val="24"/>
                <w:szCs w:val="24"/>
                <w:lang w:eastAsia="pt-BR"/>
              </w:rPr>
            </w:pPr>
          </w:p>
        </w:tc>
      </w:tr>
      <w:tr w:rsidR="000D6E10" w:rsidRPr="00CD5B68" w14:paraId="447C2D43" w14:textId="207F5B2C" w:rsidTr="003A0450">
        <w:tc>
          <w:tcPr>
            <w:tcW w:w="3474" w:type="dxa"/>
          </w:tcPr>
          <w:p w14:paraId="6F80B9CF" w14:textId="1A5D305F" w:rsidR="000D6E10" w:rsidRPr="00CD5B68" w:rsidRDefault="000D6E10" w:rsidP="0017419B">
            <w:pPr>
              <w:spacing w:before="120" w:after="120"/>
              <w:jc w:val="both"/>
              <w:rPr>
                <w:rFonts w:eastAsia="Times New Roman" w:cstheme="minorHAnsi"/>
                <w:color w:val="000000"/>
                <w:sz w:val="24"/>
                <w:szCs w:val="24"/>
                <w:lang w:eastAsia="pt-BR"/>
              </w:rPr>
            </w:pPr>
            <w:r w:rsidRPr="005611B4">
              <w:rPr>
                <w:rFonts w:eastAsia="Times New Roman"/>
                <w:color w:val="000000" w:themeColor="text1"/>
                <w:sz w:val="24"/>
                <w:szCs w:val="24"/>
                <w:lang w:eastAsia="pt-BR"/>
              </w:rPr>
              <w:t>VII - anuência do conselho fiscal.</w:t>
            </w:r>
          </w:p>
        </w:tc>
        <w:tc>
          <w:tcPr>
            <w:tcW w:w="3474" w:type="dxa"/>
          </w:tcPr>
          <w:p w14:paraId="7398B59D" w14:textId="31BF2788" w:rsidR="000D6E10" w:rsidRPr="00CD5B68" w:rsidRDefault="000D6E10" w:rsidP="0017419B">
            <w:pPr>
              <w:spacing w:before="120" w:after="120"/>
              <w:jc w:val="both"/>
              <w:rPr>
                <w:rFonts w:eastAsia="Times New Roman" w:cstheme="minorHAnsi"/>
                <w:color w:val="000000"/>
                <w:sz w:val="24"/>
                <w:szCs w:val="24"/>
                <w:lang w:eastAsia="pt-BR"/>
              </w:rPr>
            </w:pPr>
            <w:r w:rsidRPr="00CD5B68">
              <w:rPr>
                <w:rFonts w:eastAsia="Times New Roman"/>
                <w:color w:val="000000" w:themeColor="text1"/>
                <w:sz w:val="24"/>
                <w:szCs w:val="24"/>
                <w:lang w:eastAsia="pt-BR"/>
              </w:rPr>
              <w:t>VII - anuência do conselho fiscal.</w:t>
            </w:r>
          </w:p>
        </w:tc>
        <w:tc>
          <w:tcPr>
            <w:tcW w:w="3474" w:type="dxa"/>
          </w:tcPr>
          <w:p w14:paraId="50D96420" w14:textId="77777777" w:rsidR="000D6E10" w:rsidRPr="00CD5B68" w:rsidRDefault="000D6E10" w:rsidP="00CD5B68">
            <w:pPr>
              <w:spacing w:before="120" w:after="120"/>
              <w:jc w:val="both"/>
              <w:rPr>
                <w:rFonts w:eastAsia="Times New Roman" w:cstheme="minorHAnsi"/>
                <w:color w:val="000000"/>
                <w:sz w:val="24"/>
                <w:szCs w:val="24"/>
                <w:lang w:eastAsia="pt-BR"/>
              </w:rPr>
            </w:pPr>
          </w:p>
        </w:tc>
      </w:tr>
      <w:tr w:rsidR="000D6E10" w:rsidRPr="00CD5B68" w14:paraId="603F4500" w14:textId="3EE301DB" w:rsidTr="003A0450">
        <w:tc>
          <w:tcPr>
            <w:tcW w:w="3474" w:type="dxa"/>
          </w:tcPr>
          <w:p w14:paraId="1D677FC9" w14:textId="04156AEE" w:rsidR="000D6E10" w:rsidRPr="00CD5B68" w:rsidRDefault="000D6E10" w:rsidP="0017419B">
            <w:pPr>
              <w:spacing w:before="120" w:after="120"/>
              <w:jc w:val="both"/>
              <w:rPr>
                <w:rFonts w:eastAsia="Times New Roman"/>
                <w:color w:val="000000" w:themeColor="text1"/>
                <w:sz w:val="24"/>
                <w:szCs w:val="24"/>
                <w:lang w:eastAsia="pt-BR"/>
              </w:rPr>
            </w:pPr>
            <w:r w:rsidRPr="005611B4">
              <w:rPr>
                <w:rFonts w:eastAsia="Times New Roman" w:cstheme="minorHAnsi"/>
                <w:color w:val="000000"/>
                <w:sz w:val="24"/>
                <w:szCs w:val="24"/>
                <w:lang w:eastAsia="pt-BR"/>
              </w:rPr>
              <w:t>§ 1º  A decisão que tiver aprovado o procedimento deve ser encaminhada para ciência:</w:t>
            </w:r>
          </w:p>
        </w:tc>
        <w:tc>
          <w:tcPr>
            <w:tcW w:w="3474" w:type="dxa"/>
          </w:tcPr>
          <w:p w14:paraId="6AE14C76" w14:textId="0D5C5072" w:rsidR="000D6E10" w:rsidRPr="00CD5B68" w:rsidRDefault="000D6E10" w:rsidP="0017419B">
            <w:pPr>
              <w:spacing w:before="120" w:after="120"/>
              <w:jc w:val="both"/>
              <w:rPr>
                <w:rFonts w:eastAsia="Times New Roman"/>
                <w:color w:val="000000"/>
                <w:sz w:val="24"/>
                <w:szCs w:val="24"/>
                <w:lang w:eastAsia="pt-BR"/>
              </w:rPr>
            </w:pPr>
            <w:r w:rsidRPr="00CD5B68">
              <w:rPr>
                <w:rFonts w:eastAsia="Times New Roman" w:cstheme="minorHAnsi"/>
                <w:color w:val="000000"/>
                <w:sz w:val="24"/>
                <w:szCs w:val="24"/>
                <w:lang w:eastAsia="pt-BR"/>
              </w:rPr>
              <w:t>§ 1º  A decisão que tiver aprovado o procedimento deve ser encaminhada para ciência:</w:t>
            </w:r>
          </w:p>
        </w:tc>
        <w:tc>
          <w:tcPr>
            <w:tcW w:w="3474" w:type="dxa"/>
          </w:tcPr>
          <w:p w14:paraId="25CB0D6B" w14:textId="77777777" w:rsidR="000D6E10" w:rsidRPr="00CD5B68" w:rsidRDefault="000D6E10" w:rsidP="00CD5B68">
            <w:pPr>
              <w:spacing w:before="120" w:after="120"/>
              <w:jc w:val="both"/>
              <w:rPr>
                <w:rFonts w:eastAsia="Times New Roman"/>
                <w:color w:val="000000" w:themeColor="text1"/>
                <w:sz w:val="24"/>
                <w:szCs w:val="24"/>
                <w:lang w:eastAsia="pt-BR"/>
              </w:rPr>
            </w:pPr>
          </w:p>
        </w:tc>
      </w:tr>
      <w:tr w:rsidR="000D6E10" w:rsidRPr="00CD5B68" w14:paraId="1A1F069B" w14:textId="79CE9A0F" w:rsidTr="003A0450">
        <w:tc>
          <w:tcPr>
            <w:tcW w:w="3474" w:type="dxa"/>
          </w:tcPr>
          <w:p w14:paraId="194F47BA" w14:textId="44B3EBB3" w:rsidR="000D6E10" w:rsidRPr="00CD5B68" w:rsidRDefault="000D6E10" w:rsidP="0017419B">
            <w:pPr>
              <w:spacing w:before="120" w:after="120"/>
              <w:jc w:val="both"/>
              <w:rPr>
                <w:rFonts w:eastAsia="Times New Roman"/>
                <w:color w:val="000000" w:themeColor="text1"/>
                <w:sz w:val="24"/>
                <w:szCs w:val="24"/>
                <w:lang w:eastAsia="pt-BR"/>
              </w:rPr>
            </w:pPr>
            <w:r w:rsidRPr="005611B4">
              <w:rPr>
                <w:rFonts w:eastAsia="Times New Roman" w:cstheme="minorHAnsi"/>
                <w:color w:val="000000"/>
                <w:sz w:val="24"/>
                <w:szCs w:val="24"/>
                <w:lang w:eastAsia="pt-BR"/>
              </w:rPr>
              <w:t>I - do comitê de auditoria, quando houver;</w:t>
            </w:r>
          </w:p>
        </w:tc>
        <w:tc>
          <w:tcPr>
            <w:tcW w:w="3474" w:type="dxa"/>
          </w:tcPr>
          <w:p w14:paraId="7646EDD5" w14:textId="2986D632" w:rsidR="000D6E10" w:rsidRPr="00CD5B68" w:rsidRDefault="000D6E10" w:rsidP="0017419B">
            <w:pPr>
              <w:spacing w:before="120" w:after="120"/>
              <w:jc w:val="both"/>
              <w:rPr>
                <w:rFonts w:eastAsia="Times New Roman"/>
                <w:color w:val="000000"/>
                <w:sz w:val="24"/>
                <w:szCs w:val="24"/>
                <w:lang w:eastAsia="pt-BR"/>
              </w:rPr>
            </w:pPr>
            <w:r w:rsidRPr="00CD5B68">
              <w:rPr>
                <w:rFonts w:eastAsia="Times New Roman" w:cstheme="minorHAnsi"/>
                <w:color w:val="000000"/>
                <w:sz w:val="24"/>
                <w:szCs w:val="24"/>
                <w:lang w:eastAsia="pt-BR"/>
              </w:rPr>
              <w:t>I - do comitê de auditoria, quando houver;</w:t>
            </w:r>
          </w:p>
        </w:tc>
        <w:tc>
          <w:tcPr>
            <w:tcW w:w="3474" w:type="dxa"/>
          </w:tcPr>
          <w:p w14:paraId="05F929A3" w14:textId="77777777" w:rsidR="000D6E10" w:rsidRPr="00CD5B68" w:rsidRDefault="000D6E10" w:rsidP="00CD5B68">
            <w:pPr>
              <w:spacing w:before="120" w:after="120"/>
              <w:jc w:val="both"/>
              <w:rPr>
                <w:rFonts w:eastAsia="Times New Roman"/>
                <w:color w:val="000000" w:themeColor="text1"/>
                <w:sz w:val="24"/>
                <w:szCs w:val="24"/>
                <w:lang w:eastAsia="pt-BR"/>
              </w:rPr>
            </w:pPr>
          </w:p>
        </w:tc>
      </w:tr>
      <w:tr w:rsidR="000D6E10" w:rsidRPr="00CD5B68" w14:paraId="342F11A7" w14:textId="42BF132E" w:rsidTr="003A0450">
        <w:tc>
          <w:tcPr>
            <w:tcW w:w="3474" w:type="dxa"/>
          </w:tcPr>
          <w:p w14:paraId="617AFF2C" w14:textId="4566178E" w:rsidR="000D6E10" w:rsidRPr="00CD5B68" w:rsidRDefault="000D6E10" w:rsidP="0017419B">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II - da auditoria interna, quando houver; e</w:t>
            </w:r>
          </w:p>
        </w:tc>
        <w:tc>
          <w:tcPr>
            <w:tcW w:w="3474" w:type="dxa"/>
          </w:tcPr>
          <w:p w14:paraId="334D3676" w14:textId="34D3F928" w:rsidR="000D6E10" w:rsidRPr="00CD5B68" w:rsidRDefault="000D6E10" w:rsidP="0017419B">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II - da auditoria interna, quando houver; e</w:t>
            </w:r>
          </w:p>
        </w:tc>
        <w:tc>
          <w:tcPr>
            <w:tcW w:w="3474" w:type="dxa"/>
          </w:tcPr>
          <w:p w14:paraId="374F91B2" w14:textId="77777777" w:rsidR="000D6E10" w:rsidRPr="00CD5B68" w:rsidRDefault="000D6E10" w:rsidP="00CD5B68">
            <w:pPr>
              <w:spacing w:before="120" w:after="120"/>
              <w:jc w:val="both"/>
              <w:rPr>
                <w:rFonts w:eastAsia="Times New Roman"/>
                <w:color w:val="000000" w:themeColor="text1"/>
                <w:sz w:val="24"/>
                <w:szCs w:val="24"/>
                <w:lang w:eastAsia="pt-BR"/>
              </w:rPr>
            </w:pPr>
          </w:p>
        </w:tc>
      </w:tr>
      <w:tr w:rsidR="000D6E10" w:rsidRPr="00CD5B68" w14:paraId="7D2E56B5" w14:textId="0295262C" w:rsidTr="003A0450">
        <w:tc>
          <w:tcPr>
            <w:tcW w:w="3474" w:type="dxa"/>
          </w:tcPr>
          <w:p w14:paraId="6EFCBB9F" w14:textId="78A28124" w:rsidR="000D6E10" w:rsidRPr="00CD5B68" w:rsidRDefault="000D6E10" w:rsidP="0017419B">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III - da auditoria independente.</w:t>
            </w:r>
          </w:p>
        </w:tc>
        <w:tc>
          <w:tcPr>
            <w:tcW w:w="3474" w:type="dxa"/>
          </w:tcPr>
          <w:p w14:paraId="0CC503C5" w14:textId="430A47D3" w:rsidR="000D6E10" w:rsidRPr="00CD5B68" w:rsidRDefault="000D6E10" w:rsidP="0017419B">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III - da auditoria independente.</w:t>
            </w:r>
          </w:p>
        </w:tc>
        <w:tc>
          <w:tcPr>
            <w:tcW w:w="3474" w:type="dxa"/>
          </w:tcPr>
          <w:p w14:paraId="2EE6048E" w14:textId="77777777" w:rsidR="000D6E10" w:rsidRPr="00CD5B68" w:rsidRDefault="000D6E10" w:rsidP="00CD5B68">
            <w:pPr>
              <w:spacing w:before="120" w:after="120"/>
              <w:jc w:val="both"/>
              <w:rPr>
                <w:rFonts w:eastAsia="Times New Roman"/>
                <w:color w:val="000000" w:themeColor="text1"/>
                <w:sz w:val="24"/>
                <w:szCs w:val="24"/>
                <w:lang w:eastAsia="pt-BR"/>
              </w:rPr>
            </w:pPr>
          </w:p>
        </w:tc>
      </w:tr>
      <w:tr w:rsidR="000D6E10" w:rsidRPr="00CD5B68" w14:paraId="15F954DB" w14:textId="4949999F" w:rsidTr="003A0450">
        <w:tc>
          <w:tcPr>
            <w:tcW w:w="3474" w:type="dxa"/>
          </w:tcPr>
          <w:p w14:paraId="2B575274" w14:textId="0D414B20" w:rsidR="000D6E10" w:rsidRPr="00CD5B68" w:rsidRDefault="000D6E10" w:rsidP="0017419B">
            <w:pPr>
              <w:spacing w:before="120" w:after="120"/>
              <w:jc w:val="both"/>
              <w:rPr>
                <w:rFonts w:eastAsia="Times New Roman" w:cstheme="minorHAnsi"/>
                <w:color w:val="000000"/>
                <w:sz w:val="24"/>
                <w:szCs w:val="24"/>
                <w:lang w:eastAsia="pt-BR"/>
              </w:rPr>
            </w:pPr>
            <w:r w:rsidRPr="005611B4">
              <w:rPr>
                <w:rFonts w:eastAsia="Times New Roman"/>
                <w:color w:val="000000" w:themeColor="text1"/>
                <w:sz w:val="24"/>
                <w:szCs w:val="24"/>
                <w:lang w:eastAsia="pt-BR"/>
              </w:rPr>
              <w:t>§ 2º  O processo decisório que não envolva ativos a que se refere o</w:t>
            </w:r>
            <w:r w:rsidRPr="005611B4">
              <w:rPr>
                <w:rFonts w:eastAsia="Times New Roman"/>
                <w:b/>
                <w:bCs/>
                <w:color w:val="000000" w:themeColor="text1"/>
                <w:sz w:val="24"/>
                <w:szCs w:val="24"/>
                <w:lang w:eastAsia="pt-BR"/>
              </w:rPr>
              <w:t xml:space="preserve"> caput </w:t>
            </w:r>
            <w:r w:rsidRPr="005611B4">
              <w:rPr>
                <w:rFonts w:eastAsia="Times New Roman"/>
                <w:color w:val="000000" w:themeColor="text1"/>
                <w:sz w:val="24"/>
                <w:szCs w:val="24"/>
                <w:lang w:eastAsia="pt-BR"/>
              </w:rPr>
              <w:t>do</w:t>
            </w:r>
            <w:r w:rsidRPr="005611B4">
              <w:rPr>
                <w:rFonts w:eastAsia="Times New Roman"/>
                <w:b/>
                <w:bCs/>
                <w:color w:val="000000" w:themeColor="text1"/>
                <w:sz w:val="24"/>
                <w:szCs w:val="24"/>
                <w:lang w:eastAsia="pt-BR"/>
              </w:rPr>
              <w:t xml:space="preserve"> </w:t>
            </w:r>
            <w:r w:rsidRPr="005611B4">
              <w:rPr>
                <w:rFonts w:eastAsia="Times New Roman"/>
                <w:color w:val="000000" w:themeColor="text1"/>
                <w:sz w:val="24"/>
                <w:szCs w:val="24"/>
                <w:lang w:eastAsia="pt-BR"/>
              </w:rPr>
              <w:t>art. 4º ou o estoque de imóveis pode observar somente as etapas previstas nos incisos IV ao VII.</w:t>
            </w:r>
          </w:p>
        </w:tc>
        <w:tc>
          <w:tcPr>
            <w:tcW w:w="3474" w:type="dxa"/>
          </w:tcPr>
          <w:p w14:paraId="75C15C28" w14:textId="7C7250C0" w:rsidR="000D6E10" w:rsidRPr="00CD5B68" w:rsidRDefault="000D6E10" w:rsidP="0017419B">
            <w:pPr>
              <w:spacing w:before="120" w:after="120"/>
              <w:jc w:val="both"/>
              <w:rPr>
                <w:rFonts w:eastAsia="Times New Roman" w:cstheme="minorHAnsi"/>
                <w:color w:val="000000"/>
                <w:sz w:val="24"/>
                <w:szCs w:val="24"/>
                <w:lang w:eastAsia="pt-BR"/>
              </w:rPr>
            </w:pPr>
            <w:r w:rsidRPr="00CD5B68">
              <w:rPr>
                <w:rFonts w:eastAsia="Times New Roman"/>
                <w:color w:val="000000" w:themeColor="text1"/>
                <w:sz w:val="24"/>
                <w:szCs w:val="24"/>
                <w:lang w:eastAsia="pt-BR"/>
              </w:rPr>
              <w:t>§ 2º  O processo decisório que não envolva ativos a que se refere o</w:t>
            </w:r>
            <w:r w:rsidRPr="00CD5B68">
              <w:rPr>
                <w:rFonts w:eastAsia="Times New Roman"/>
                <w:b/>
                <w:bCs/>
                <w:color w:val="000000" w:themeColor="text1"/>
                <w:sz w:val="24"/>
                <w:szCs w:val="24"/>
                <w:lang w:eastAsia="pt-BR"/>
              </w:rPr>
              <w:t xml:space="preserve"> caput </w:t>
            </w:r>
            <w:r w:rsidRPr="00CD5B68">
              <w:rPr>
                <w:rFonts w:eastAsia="Times New Roman"/>
                <w:color w:val="000000" w:themeColor="text1"/>
                <w:sz w:val="24"/>
                <w:szCs w:val="24"/>
                <w:lang w:eastAsia="pt-BR"/>
              </w:rPr>
              <w:t>do</w:t>
            </w:r>
            <w:r w:rsidRPr="00CD5B68">
              <w:rPr>
                <w:rFonts w:eastAsia="Times New Roman"/>
                <w:b/>
                <w:bCs/>
                <w:color w:val="000000" w:themeColor="text1"/>
                <w:sz w:val="24"/>
                <w:szCs w:val="24"/>
                <w:lang w:eastAsia="pt-BR"/>
              </w:rPr>
              <w:t xml:space="preserve"> </w:t>
            </w:r>
            <w:r w:rsidRPr="00CD5B68">
              <w:rPr>
                <w:rFonts w:eastAsia="Times New Roman"/>
                <w:color w:val="000000" w:themeColor="text1"/>
                <w:sz w:val="24"/>
                <w:szCs w:val="24"/>
                <w:lang w:eastAsia="pt-BR"/>
              </w:rPr>
              <w:t>art. 4º ou o estoque de imóveis pode observar somente as etapas previstas nos incisos IV ao VII.</w:t>
            </w:r>
          </w:p>
        </w:tc>
        <w:tc>
          <w:tcPr>
            <w:tcW w:w="3474" w:type="dxa"/>
          </w:tcPr>
          <w:p w14:paraId="27975808" w14:textId="77777777" w:rsidR="000D6E10" w:rsidRPr="00CD5B68" w:rsidRDefault="000D6E10" w:rsidP="00CD5B68">
            <w:pPr>
              <w:spacing w:before="120" w:after="120"/>
              <w:jc w:val="both"/>
              <w:rPr>
                <w:rFonts w:eastAsia="Times New Roman" w:cstheme="minorHAnsi"/>
                <w:color w:val="000000"/>
                <w:sz w:val="24"/>
                <w:szCs w:val="24"/>
                <w:lang w:eastAsia="pt-BR"/>
              </w:rPr>
            </w:pPr>
          </w:p>
        </w:tc>
      </w:tr>
      <w:tr w:rsidR="0090770F" w:rsidRPr="00CD5B68" w14:paraId="720115F9" w14:textId="77777777" w:rsidTr="003A0450">
        <w:tc>
          <w:tcPr>
            <w:tcW w:w="3474" w:type="dxa"/>
          </w:tcPr>
          <w:p w14:paraId="1ECE860B" w14:textId="77777777" w:rsidR="0090770F" w:rsidRPr="005611B4" w:rsidRDefault="0090770F" w:rsidP="00CD5B68">
            <w:pPr>
              <w:spacing w:before="120" w:after="120"/>
              <w:jc w:val="both"/>
              <w:rPr>
                <w:rFonts w:eastAsia="Times New Roman" w:cstheme="minorHAnsi"/>
                <w:b/>
                <w:sz w:val="24"/>
                <w:szCs w:val="24"/>
                <w:lang w:eastAsia="pt-BR"/>
              </w:rPr>
            </w:pPr>
          </w:p>
        </w:tc>
        <w:tc>
          <w:tcPr>
            <w:tcW w:w="3474" w:type="dxa"/>
          </w:tcPr>
          <w:p w14:paraId="73F90B84" w14:textId="6C964BCD" w:rsidR="0090770F" w:rsidRPr="00CD5B68" w:rsidRDefault="0090770F" w:rsidP="00CD5B68">
            <w:pPr>
              <w:spacing w:before="120" w:after="120"/>
              <w:jc w:val="both"/>
              <w:rPr>
                <w:rFonts w:eastAsia="Times New Roman" w:cstheme="minorHAnsi"/>
                <w:color w:val="000000"/>
                <w:sz w:val="24"/>
                <w:szCs w:val="24"/>
                <w:lang w:eastAsia="pt-BR"/>
              </w:rPr>
            </w:pPr>
            <w:r w:rsidRPr="00CD5B68">
              <w:rPr>
                <w:sz w:val="24"/>
                <w:szCs w:val="24"/>
              </w:rPr>
              <w:t>CAPÍTULO IV</w:t>
            </w:r>
          </w:p>
        </w:tc>
        <w:tc>
          <w:tcPr>
            <w:tcW w:w="3474" w:type="dxa"/>
          </w:tcPr>
          <w:p w14:paraId="343BB7A5" w14:textId="77777777" w:rsidR="0090770F" w:rsidRPr="00CD5B68" w:rsidRDefault="0090770F" w:rsidP="00CD5B68">
            <w:pPr>
              <w:spacing w:before="120" w:after="120"/>
              <w:jc w:val="both"/>
              <w:rPr>
                <w:rFonts w:eastAsia="Times New Roman" w:cstheme="minorHAnsi"/>
                <w:color w:val="000000"/>
                <w:sz w:val="24"/>
                <w:szCs w:val="24"/>
                <w:lang w:eastAsia="pt-BR"/>
              </w:rPr>
            </w:pPr>
          </w:p>
        </w:tc>
      </w:tr>
      <w:tr w:rsidR="0090770F" w:rsidRPr="00CD5B68" w14:paraId="406C3E48" w14:textId="7418FAA1" w:rsidTr="003A0450">
        <w:tc>
          <w:tcPr>
            <w:tcW w:w="3474" w:type="dxa"/>
          </w:tcPr>
          <w:p w14:paraId="19DEFB59" w14:textId="1CEBC6A5" w:rsidR="0090770F" w:rsidRPr="00CD5B68" w:rsidRDefault="0090770F" w:rsidP="00CD5B68">
            <w:pPr>
              <w:spacing w:before="120" w:after="120"/>
              <w:jc w:val="both"/>
              <w:rPr>
                <w:rFonts w:eastAsia="Times New Roman" w:cstheme="minorHAnsi"/>
                <w:color w:val="000000"/>
                <w:sz w:val="24"/>
                <w:szCs w:val="24"/>
                <w:lang w:eastAsia="pt-BR"/>
              </w:rPr>
            </w:pPr>
            <w:r w:rsidRPr="005611B4">
              <w:rPr>
                <w:rFonts w:eastAsia="Times New Roman" w:cstheme="minorHAnsi"/>
                <w:b/>
                <w:sz w:val="24"/>
                <w:szCs w:val="24"/>
                <w:lang w:eastAsia="pt-BR"/>
              </w:rPr>
              <w:t>Registro dos ativos financeiros</w:t>
            </w:r>
          </w:p>
        </w:tc>
        <w:tc>
          <w:tcPr>
            <w:tcW w:w="3474" w:type="dxa"/>
          </w:tcPr>
          <w:p w14:paraId="193925CF" w14:textId="5CE6E0AC" w:rsidR="0090770F" w:rsidRPr="00CD5B68" w:rsidRDefault="0090770F" w:rsidP="00CD5B68">
            <w:pPr>
              <w:spacing w:before="120" w:after="120"/>
              <w:jc w:val="both"/>
              <w:rPr>
                <w:rFonts w:eastAsia="Times New Roman" w:cstheme="minorHAnsi"/>
                <w:color w:val="000000"/>
                <w:sz w:val="24"/>
                <w:szCs w:val="24"/>
                <w:lang w:eastAsia="pt-BR"/>
              </w:rPr>
            </w:pPr>
            <w:r w:rsidRPr="00CD5B68">
              <w:rPr>
                <w:rFonts w:eastAsia="Times New Roman" w:cstheme="minorHAnsi"/>
                <w:color w:val="000000"/>
                <w:sz w:val="24"/>
                <w:szCs w:val="24"/>
                <w:lang w:eastAsia="pt-BR"/>
              </w:rPr>
              <w:t>REGISTRO DOS ATIVOS FINANCEIROS</w:t>
            </w:r>
          </w:p>
        </w:tc>
        <w:tc>
          <w:tcPr>
            <w:tcW w:w="3474" w:type="dxa"/>
          </w:tcPr>
          <w:p w14:paraId="7D53D684" w14:textId="77777777" w:rsidR="0090770F" w:rsidRPr="00CD5B68" w:rsidRDefault="0090770F" w:rsidP="00CD5B68">
            <w:pPr>
              <w:spacing w:before="120" w:after="120"/>
              <w:jc w:val="both"/>
              <w:rPr>
                <w:rFonts w:eastAsia="Times New Roman" w:cstheme="minorHAnsi"/>
                <w:color w:val="000000"/>
                <w:sz w:val="24"/>
                <w:szCs w:val="24"/>
                <w:lang w:eastAsia="pt-BR"/>
              </w:rPr>
            </w:pPr>
          </w:p>
        </w:tc>
      </w:tr>
      <w:tr w:rsidR="0090770F" w:rsidRPr="00CD5B68" w14:paraId="343CBEA4" w14:textId="145972AD" w:rsidTr="003A0450">
        <w:tc>
          <w:tcPr>
            <w:tcW w:w="3474" w:type="dxa"/>
          </w:tcPr>
          <w:p w14:paraId="07A9543C" w14:textId="1C306E60" w:rsidR="0090770F" w:rsidRPr="00CD5B68" w:rsidRDefault="0090770F" w:rsidP="00CD5B68">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 xml:space="preserve">Art. 10.  Os ativos financeiros de cada plano de benefícios administrado por EFPC devem ser objeto de registro ou de depósito, de forma individualizada, em sistema de registro ou de depósito </w:t>
            </w:r>
            <w:r w:rsidRPr="005611B4">
              <w:rPr>
                <w:rFonts w:eastAsia="Times New Roman"/>
                <w:color w:val="000000" w:themeColor="text1"/>
                <w:sz w:val="24"/>
                <w:szCs w:val="24"/>
                <w:lang w:eastAsia="pt-BR"/>
              </w:rPr>
              <w:lastRenderedPageBreak/>
              <w:t>centralizado de ativos financeiros e de valores mobiliários autorizado pelo Banco Central do Brasil ou pela Comissão de Valores Mobiliários.</w:t>
            </w:r>
          </w:p>
        </w:tc>
        <w:tc>
          <w:tcPr>
            <w:tcW w:w="3474" w:type="dxa"/>
          </w:tcPr>
          <w:p w14:paraId="139E1FF5" w14:textId="2046013A" w:rsidR="0090770F" w:rsidRPr="00CD5B68" w:rsidRDefault="0090770F" w:rsidP="00CD5B68">
            <w:pPr>
              <w:spacing w:before="120" w:after="120"/>
              <w:jc w:val="both"/>
              <w:rPr>
                <w:rFonts w:eastAsia="Times New Roman"/>
                <w:color w:val="000000" w:themeColor="text1"/>
                <w:sz w:val="24"/>
                <w:szCs w:val="24"/>
                <w:lang w:eastAsia="pt-BR"/>
              </w:rPr>
            </w:pPr>
            <w:r w:rsidRPr="00CD5B68">
              <w:rPr>
                <w:rFonts w:eastAsia="Times New Roman"/>
                <w:color w:val="000000" w:themeColor="text1"/>
                <w:sz w:val="24"/>
                <w:szCs w:val="24"/>
                <w:lang w:eastAsia="pt-BR"/>
              </w:rPr>
              <w:lastRenderedPageBreak/>
              <w:t xml:space="preserve">Art. 10.  Os ativos financeiros de cada plano de benefícios administrado por EFPC devem ser objeto de registro ou de depósito, de forma individualizada, em sistema de registro ou de depósito </w:t>
            </w:r>
            <w:r w:rsidRPr="00CD5B68">
              <w:rPr>
                <w:rFonts w:eastAsia="Times New Roman"/>
                <w:color w:val="000000" w:themeColor="text1"/>
                <w:sz w:val="24"/>
                <w:szCs w:val="24"/>
                <w:lang w:eastAsia="pt-BR"/>
              </w:rPr>
              <w:lastRenderedPageBreak/>
              <w:t>centralizado de ativos financeiros e de valores mobiliários autorizado pelo Banco Central do Brasil ou pela Comissão de Valores Mobiliários.</w:t>
            </w:r>
          </w:p>
        </w:tc>
        <w:tc>
          <w:tcPr>
            <w:tcW w:w="3474" w:type="dxa"/>
          </w:tcPr>
          <w:p w14:paraId="46911FE7" w14:textId="77777777" w:rsidR="0090770F" w:rsidRPr="00CD5B68" w:rsidRDefault="0090770F" w:rsidP="00CD5B68">
            <w:pPr>
              <w:spacing w:before="120" w:after="120"/>
              <w:jc w:val="both"/>
              <w:rPr>
                <w:rFonts w:eastAsia="Times New Roman"/>
                <w:color w:val="000000" w:themeColor="text1"/>
                <w:sz w:val="24"/>
                <w:szCs w:val="24"/>
                <w:lang w:eastAsia="pt-BR"/>
              </w:rPr>
            </w:pPr>
          </w:p>
        </w:tc>
      </w:tr>
      <w:tr w:rsidR="0090770F" w:rsidRPr="00CD5B68" w14:paraId="375F87BB" w14:textId="77777777" w:rsidTr="003A0450">
        <w:tc>
          <w:tcPr>
            <w:tcW w:w="3474" w:type="dxa"/>
          </w:tcPr>
          <w:p w14:paraId="014D360F" w14:textId="77777777" w:rsidR="0090770F" w:rsidRPr="005611B4" w:rsidRDefault="0090770F" w:rsidP="00CD5B68">
            <w:pPr>
              <w:spacing w:before="120" w:after="120"/>
              <w:jc w:val="both"/>
              <w:rPr>
                <w:rFonts w:eastAsia="Times New Roman" w:cstheme="minorHAnsi"/>
                <w:b/>
                <w:color w:val="000000"/>
                <w:sz w:val="24"/>
                <w:szCs w:val="24"/>
                <w:lang w:eastAsia="pt-BR"/>
              </w:rPr>
            </w:pPr>
          </w:p>
        </w:tc>
        <w:tc>
          <w:tcPr>
            <w:tcW w:w="3474" w:type="dxa"/>
          </w:tcPr>
          <w:p w14:paraId="0A1F804B" w14:textId="51CD1F41" w:rsidR="0090770F" w:rsidRPr="00CD5B68" w:rsidRDefault="0090770F" w:rsidP="00CD5B68">
            <w:pPr>
              <w:spacing w:before="120" w:after="120"/>
              <w:jc w:val="both"/>
              <w:rPr>
                <w:rFonts w:eastAsia="Times New Roman"/>
                <w:color w:val="000000"/>
                <w:sz w:val="24"/>
                <w:szCs w:val="24"/>
                <w:lang w:eastAsia="pt-BR"/>
              </w:rPr>
            </w:pPr>
            <w:r w:rsidRPr="00CD5B68">
              <w:rPr>
                <w:sz w:val="24"/>
                <w:szCs w:val="24"/>
              </w:rPr>
              <w:t>CAPÍTULO V</w:t>
            </w:r>
          </w:p>
        </w:tc>
        <w:tc>
          <w:tcPr>
            <w:tcW w:w="3474" w:type="dxa"/>
          </w:tcPr>
          <w:p w14:paraId="7589827A" w14:textId="77777777" w:rsidR="0090770F" w:rsidRPr="00CD5B68" w:rsidRDefault="0090770F" w:rsidP="00CD5B68">
            <w:pPr>
              <w:spacing w:before="120" w:after="120"/>
              <w:jc w:val="both"/>
              <w:rPr>
                <w:rFonts w:eastAsia="Times New Roman"/>
                <w:color w:val="000000" w:themeColor="text1"/>
                <w:sz w:val="24"/>
                <w:szCs w:val="24"/>
                <w:lang w:eastAsia="pt-BR"/>
              </w:rPr>
            </w:pPr>
          </w:p>
        </w:tc>
      </w:tr>
      <w:tr w:rsidR="0090770F" w:rsidRPr="00CD5B68" w14:paraId="204E4A6A" w14:textId="4881BE94" w:rsidTr="003A0450">
        <w:tc>
          <w:tcPr>
            <w:tcW w:w="3474" w:type="dxa"/>
          </w:tcPr>
          <w:p w14:paraId="5C669969" w14:textId="090728D4" w:rsidR="0090770F" w:rsidRPr="00CD5B68" w:rsidRDefault="0090770F" w:rsidP="00CD5B68">
            <w:pPr>
              <w:spacing w:before="120" w:after="120"/>
              <w:jc w:val="both"/>
              <w:rPr>
                <w:rFonts w:eastAsia="Times New Roman"/>
                <w:color w:val="000000" w:themeColor="text1"/>
                <w:sz w:val="24"/>
                <w:szCs w:val="24"/>
                <w:lang w:eastAsia="pt-BR"/>
              </w:rPr>
            </w:pPr>
            <w:r w:rsidRPr="005611B4">
              <w:rPr>
                <w:rFonts w:eastAsia="Times New Roman" w:cstheme="minorHAnsi"/>
                <w:b/>
                <w:color w:val="000000"/>
                <w:sz w:val="24"/>
                <w:szCs w:val="24"/>
                <w:lang w:eastAsia="pt-BR"/>
              </w:rPr>
              <w:t xml:space="preserve">Notas Explicativas </w:t>
            </w:r>
          </w:p>
        </w:tc>
        <w:tc>
          <w:tcPr>
            <w:tcW w:w="3474" w:type="dxa"/>
          </w:tcPr>
          <w:p w14:paraId="196A5BBE" w14:textId="4534E8EA" w:rsidR="0090770F" w:rsidRPr="00CD5B68" w:rsidRDefault="0090770F" w:rsidP="00CD5B68">
            <w:pPr>
              <w:spacing w:before="120" w:after="120"/>
              <w:jc w:val="both"/>
              <w:rPr>
                <w:rFonts w:eastAsia="Times New Roman"/>
                <w:color w:val="000000"/>
                <w:sz w:val="24"/>
                <w:szCs w:val="24"/>
                <w:lang w:eastAsia="pt-BR"/>
              </w:rPr>
            </w:pPr>
            <w:r w:rsidRPr="00CD5B68">
              <w:rPr>
                <w:rFonts w:eastAsia="Times New Roman" w:cstheme="minorHAnsi"/>
                <w:color w:val="000000"/>
                <w:sz w:val="24"/>
                <w:szCs w:val="24"/>
                <w:lang w:eastAsia="pt-BR"/>
              </w:rPr>
              <w:t>NOTAS EXPLICATIVAS</w:t>
            </w:r>
          </w:p>
        </w:tc>
        <w:tc>
          <w:tcPr>
            <w:tcW w:w="3474" w:type="dxa"/>
          </w:tcPr>
          <w:p w14:paraId="34790F8E" w14:textId="77777777" w:rsidR="0090770F" w:rsidRPr="00CD5B68" w:rsidRDefault="0090770F" w:rsidP="00CD5B68">
            <w:pPr>
              <w:spacing w:before="120" w:after="120"/>
              <w:jc w:val="both"/>
              <w:rPr>
                <w:rFonts w:eastAsia="Times New Roman"/>
                <w:color w:val="000000" w:themeColor="text1"/>
                <w:sz w:val="24"/>
                <w:szCs w:val="24"/>
                <w:lang w:eastAsia="pt-BR"/>
              </w:rPr>
            </w:pPr>
          </w:p>
        </w:tc>
      </w:tr>
      <w:tr w:rsidR="0090770F" w:rsidRPr="00CD5B68" w14:paraId="126B149E" w14:textId="2356819F" w:rsidTr="003A0450">
        <w:tc>
          <w:tcPr>
            <w:tcW w:w="3474" w:type="dxa"/>
          </w:tcPr>
          <w:p w14:paraId="295D675F" w14:textId="72B5F938" w:rsidR="0090770F" w:rsidRPr="00CD5B68" w:rsidRDefault="0090770F" w:rsidP="00CD5B68">
            <w:pPr>
              <w:spacing w:before="120" w:after="120"/>
              <w:jc w:val="both"/>
              <w:rPr>
                <w:rFonts w:eastAsia="Times New Roman"/>
                <w:color w:val="000000" w:themeColor="text1"/>
                <w:sz w:val="24"/>
                <w:szCs w:val="24"/>
                <w:lang w:eastAsia="pt-BR"/>
              </w:rPr>
            </w:pPr>
            <w:r w:rsidRPr="005611B4">
              <w:rPr>
                <w:rFonts w:eastAsia="Times New Roman"/>
                <w:color w:val="000000" w:themeColor="text1"/>
                <w:sz w:val="24"/>
                <w:szCs w:val="24"/>
                <w:lang w:eastAsia="pt-BR"/>
              </w:rPr>
              <w:t>Art. 11.  A EFPC deve descrever os procedimentos a que se refere esta Resolução em notas explicativas às demonstrações contábeis dos planos, quando de sua divulgação.</w:t>
            </w:r>
          </w:p>
        </w:tc>
        <w:tc>
          <w:tcPr>
            <w:tcW w:w="3474" w:type="dxa"/>
          </w:tcPr>
          <w:p w14:paraId="7689756F" w14:textId="750496FF" w:rsidR="0090770F" w:rsidRPr="00CD5B68" w:rsidRDefault="0090770F" w:rsidP="00CD5B68">
            <w:pPr>
              <w:spacing w:before="120" w:after="120"/>
              <w:jc w:val="both"/>
              <w:rPr>
                <w:rFonts w:eastAsia="Times New Roman"/>
                <w:color w:val="000000"/>
                <w:sz w:val="24"/>
                <w:szCs w:val="24"/>
                <w:lang w:eastAsia="pt-BR"/>
              </w:rPr>
            </w:pPr>
            <w:r w:rsidRPr="00CD5B68">
              <w:rPr>
                <w:rFonts w:eastAsia="Times New Roman"/>
                <w:color w:val="000000" w:themeColor="text1"/>
                <w:sz w:val="24"/>
                <w:szCs w:val="24"/>
                <w:lang w:eastAsia="pt-BR"/>
              </w:rPr>
              <w:t>Art. 11.  A EFPC deve descrever os procedimentos a que se refere este Anexo em notas explicativas às demonstrações contábeis dos planos, quando de sua divulgação.</w:t>
            </w:r>
          </w:p>
        </w:tc>
        <w:tc>
          <w:tcPr>
            <w:tcW w:w="3474" w:type="dxa"/>
          </w:tcPr>
          <w:p w14:paraId="48B76BBB" w14:textId="77777777" w:rsidR="0090770F" w:rsidRPr="00CD5B68" w:rsidRDefault="0090770F" w:rsidP="00CD5B68">
            <w:pPr>
              <w:spacing w:before="120" w:after="120"/>
              <w:jc w:val="both"/>
              <w:rPr>
                <w:rFonts w:eastAsia="Times New Roman"/>
                <w:color w:val="000000" w:themeColor="text1"/>
                <w:sz w:val="24"/>
                <w:szCs w:val="24"/>
                <w:lang w:eastAsia="pt-BR"/>
              </w:rPr>
            </w:pPr>
          </w:p>
        </w:tc>
      </w:tr>
      <w:tr w:rsidR="0090770F" w:rsidRPr="00CD5B68" w14:paraId="19431A9A" w14:textId="77777777" w:rsidTr="003A0450">
        <w:tc>
          <w:tcPr>
            <w:tcW w:w="3474" w:type="dxa"/>
          </w:tcPr>
          <w:p w14:paraId="3B814315" w14:textId="77777777" w:rsidR="0090770F" w:rsidRPr="005611B4" w:rsidRDefault="0090770F" w:rsidP="00CD5B68">
            <w:pPr>
              <w:spacing w:before="120" w:after="120"/>
              <w:jc w:val="center"/>
              <w:rPr>
                <w:rFonts w:eastAsia="Times New Roman" w:cstheme="minorHAnsi"/>
                <w:b/>
                <w:color w:val="000000"/>
                <w:sz w:val="24"/>
                <w:szCs w:val="24"/>
                <w:lang w:eastAsia="pt-BR"/>
              </w:rPr>
            </w:pPr>
          </w:p>
        </w:tc>
        <w:tc>
          <w:tcPr>
            <w:tcW w:w="3474" w:type="dxa"/>
          </w:tcPr>
          <w:p w14:paraId="68F7465B" w14:textId="5F3E5AF2" w:rsidR="0090770F" w:rsidRPr="00CD5B68" w:rsidRDefault="0090770F" w:rsidP="00CD5B68">
            <w:pPr>
              <w:spacing w:before="120" w:after="120"/>
              <w:jc w:val="center"/>
              <w:rPr>
                <w:sz w:val="24"/>
                <w:szCs w:val="24"/>
              </w:rPr>
            </w:pPr>
            <w:r w:rsidRPr="00CD5B68">
              <w:rPr>
                <w:sz w:val="24"/>
                <w:szCs w:val="24"/>
              </w:rPr>
              <w:t>CAPÍTULO VI</w:t>
            </w:r>
          </w:p>
        </w:tc>
        <w:tc>
          <w:tcPr>
            <w:tcW w:w="3474" w:type="dxa"/>
          </w:tcPr>
          <w:p w14:paraId="71530711" w14:textId="77777777" w:rsidR="0090770F" w:rsidRPr="00CD5B68" w:rsidRDefault="0090770F" w:rsidP="00CD5B68">
            <w:pPr>
              <w:spacing w:before="120" w:after="120"/>
              <w:jc w:val="center"/>
              <w:rPr>
                <w:sz w:val="24"/>
                <w:szCs w:val="24"/>
              </w:rPr>
            </w:pPr>
          </w:p>
        </w:tc>
      </w:tr>
      <w:tr w:rsidR="0090770F" w:rsidRPr="00CD5B68" w14:paraId="512ACCA1" w14:textId="3FACBCE6" w:rsidTr="003A0450">
        <w:tc>
          <w:tcPr>
            <w:tcW w:w="3474" w:type="dxa"/>
          </w:tcPr>
          <w:p w14:paraId="3D3ADD8C" w14:textId="4A26DFFD" w:rsidR="0090770F" w:rsidRPr="00CD5B68" w:rsidRDefault="0090770F" w:rsidP="00CD5B68">
            <w:pPr>
              <w:spacing w:before="120" w:after="120"/>
              <w:jc w:val="center"/>
              <w:rPr>
                <w:sz w:val="24"/>
                <w:szCs w:val="24"/>
              </w:rPr>
            </w:pPr>
            <w:r w:rsidRPr="005611B4">
              <w:rPr>
                <w:rFonts w:eastAsia="Times New Roman" w:cstheme="minorHAnsi"/>
                <w:b/>
                <w:color w:val="000000"/>
                <w:sz w:val="24"/>
                <w:szCs w:val="24"/>
                <w:lang w:eastAsia="pt-BR"/>
              </w:rPr>
              <w:t>Disposições Finais</w:t>
            </w:r>
          </w:p>
        </w:tc>
        <w:tc>
          <w:tcPr>
            <w:tcW w:w="3474" w:type="dxa"/>
          </w:tcPr>
          <w:p w14:paraId="3102BD74" w14:textId="7633DC0A" w:rsidR="0090770F" w:rsidRPr="00CD5B68" w:rsidRDefault="0090770F" w:rsidP="00CD5B68">
            <w:pPr>
              <w:spacing w:before="120" w:after="120"/>
              <w:jc w:val="center"/>
              <w:rPr>
                <w:sz w:val="24"/>
                <w:szCs w:val="24"/>
              </w:rPr>
            </w:pPr>
            <w:r w:rsidRPr="00CD5B68">
              <w:rPr>
                <w:rFonts w:eastAsia="Times New Roman" w:cstheme="minorHAnsi"/>
                <w:color w:val="000000"/>
                <w:sz w:val="24"/>
                <w:szCs w:val="24"/>
                <w:lang w:eastAsia="pt-BR"/>
              </w:rPr>
              <w:t>DISPOSIÇÕES FINAIS</w:t>
            </w:r>
          </w:p>
        </w:tc>
        <w:tc>
          <w:tcPr>
            <w:tcW w:w="3474" w:type="dxa"/>
          </w:tcPr>
          <w:p w14:paraId="60D7A6D5" w14:textId="77777777" w:rsidR="0090770F" w:rsidRPr="00CD5B68" w:rsidRDefault="0090770F" w:rsidP="00CD5B68">
            <w:pPr>
              <w:spacing w:before="120" w:after="120"/>
              <w:jc w:val="center"/>
              <w:rPr>
                <w:sz w:val="24"/>
                <w:szCs w:val="24"/>
              </w:rPr>
            </w:pPr>
          </w:p>
        </w:tc>
      </w:tr>
      <w:tr w:rsidR="0090770F" w:rsidRPr="00CD5B68" w14:paraId="7A70367B" w14:textId="4C282D11" w:rsidTr="003A0450">
        <w:tc>
          <w:tcPr>
            <w:tcW w:w="3474" w:type="dxa"/>
          </w:tcPr>
          <w:p w14:paraId="6567436D" w14:textId="506BD67C" w:rsidR="0090770F" w:rsidRPr="00CD5B68" w:rsidRDefault="0090770F" w:rsidP="0017419B">
            <w:pPr>
              <w:spacing w:before="120" w:after="120"/>
              <w:jc w:val="both"/>
              <w:rPr>
                <w:sz w:val="24"/>
                <w:szCs w:val="24"/>
              </w:rPr>
            </w:pPr>
            <w:r w:rsidRPr="005611B4">
              <w:rPr>
                <w:rFonts w:eastAsia="Times New Roman"/>
                <w:color w:val="000000" w:themeColor="text1"/>
                <w:sz w:val="24"/>
                <w:szCs w:val="24"/>
                <w:lang w:eastAsia="pt-BR"/>
              </w:rPr>
              <w:t xml:space="preserve">Art. 12.  A EFPC deve manter à disposição da </w:t>
            </w:r>
            <w:proofErr w:type="spellStart"/>
            <w:r w:rsidRPr="005611B4">
              <w:rPr>
                <w:rFonts w:eastAsia="Times New Roman"/>
                <w:color w:val="000000" w:themeColor="text1"/>
                <w:sz w:val="24"/>
                <w:szCs w:val="24"/>
                <w:lang w:eastAsia="pt-BR"/>
              </w:rPr>
              <w:t>Previc</w:t>
            </w:r>
            <w:proofErr w:type="spellEnd"/>
            <w:r w:rsidRPr="005611B4">
              <w:rPr>
                <w:rFonts w:eastAsia="Times New Roman"/>
                <w:color w:val="000000" w:themeColor="text1"/>
                <w:sz w:val="24"/>
                <w:szCs w:val="24"/>
                <w:lang w:eastAsia="pt-BR"/>
              </w:rPr>
              <w:t xml:space="preserve"> a documentação que fundamentar os procedimentos a que se refere esta Resolução.</w:t>
            </w:r>
          </w:p>
        </w:tc>
        <w:tc>
          <w:tcPr>
            <w:tcW w:w="3474" w:type="dxa"/>
          </w:tcPr>
          <w:p w14:paraId="71F90CE2" w14:textId="3E8D5B93" w:rsidR="0090770F" w:rsidRPr="00CD5B68" w:rsidRDefault="0090770F" w:rsidP="0017419B">
            <w:pPr>
              <w:spacing w:before="120" w:after="120"/>
              <w:jc w:val="both"/>
              <w:rPr>
                <w:rFonts w:eastAsia="Times New Roman" w:cstheme="minorHAnsi"/>
                <w:color w:val="000000"/>
                <w:sz w:val="24"/>
                <w:szCs w:val="24"/>
                <w:lang w:eastAsia="pt-BR"/>
              </w:rPr>
            </w:pPr>
            <w:r w:rsidRPr="00CD5B68">
              <w:rPr>
                <w:rFonts w:eastAsia="Times New Roman"/>
                <w:color w:val="000000" w:themeColor="text1"/>
                <w:sz w:val="24"/>
                <w:szCs w:val="24"/>
                <w:lang w:eastAsia="pt-BR"/>
              </w:rPr>
              <w:t xml:space="preserve">Art. 12.  A EFPC deve manter à disposição da </w:t>
            </w:r>
            <w:proofErr w:type="spellStart"/>
            <w:r w:rsidRPr="00CD5B68">
              <w:rPr>
                <w:rFonts w:eastAsia="Times New Roman"/>
                <w:color w:val="000000" w:themeColor="text1"/>
                <w:sz w:val="24"/>
                <w:szCs w:val="24"/>
                <w:lang w:eastAsia="pt-BR"/>
              </w:rPr>
              <w:t>Previc</w:t>
            </w:r>
            <w:proofErr w:type="spellEnd"/>
            <w:r w:rsidRPr="00CD5B68">
              <w:rPr>
                <w:rFonts w:eastAsia="Times New Roman"/>
                <w:color w:val="000000" w:themeColor="text1"/>
                <w:sz w:val="24"/>
                <w:szCs w:val="24"/>
                <w:lang w:eastAsia="pt-BR"/>
              </w:rPr>
              <w:t xml:space="preserve"> a documentação que fundamentar os procedimentos a que se refere este Anexo.</w:t>
            </w:r>
          </w:p>
        </w:tc>
        <w:tc>
          <w:tcPr>
            <w:tcW w:w="3474" w:type="dxa"/>
          </w:tcPr>
          <w:p w14:paraId="3C55D066" w14:textId="77777777" w:rsidR="0090770F" w:rsidRPr="00CD5B68" w:rsidRDefault="0090770F" w:rsidP="00CD5B68">
            <w:pPr>
              <w:spacing w:before="120" w:after="120"/>
              <w:jc w:val="center"/>
              <w:rPr>
                <w:sz w:val="24"/>
                <w:szCs w:val="24"/>
              </w:rPr>
            </w:pPr>
          </w:p>
        </w:tc>
      </w:tr>
      <w:tr w:rsidR="0090770F" w:rsidRPr="00CD5B68" w14:paraId="6128D1C4" w14:textId="4328B01F" w:rsidTr="003A0450">
        <w:tc>
          <w:tcPr>
            <w:tcW w:w="3474" w:type="dxa"/>
          </w:tcPr>
          <w:p w14:paraId="21700609" w14:textId="54102A43" w:rsidR="0090770F" w:rsidRPr="00CD5B68" w:rsidRDefault="0090770F" w:rsidP="0017419B">
            <w:pPr>
              <w:spacing w:before="120" w:after="120"/>
              <w:jc w:val="both"/>
              <w:rPr>
                <w:rFonts w:eastAsia="Times New Roman" w:cstheme="minorHAnsi"/>
                <w:color w:val="000000"/>
                <w:sz w:val="24"/>
                <w:szCs w:val="24"/>
                <w:lang w:eastAsia="pt-BR"/>
              </w:rPr>
            </w:pPr>
            <w:r w:rsidRPr="005611B4">
              <w:rPr>
                <w:rFonts w:eastAsia="Times New Roman"/>
                <w:color w:val="000000" w:themeColor="text1"/>
                <w:sz w:val="24"/>
                <w:szCs w:val="24"/>
                <w:lang w:eastAsia="pt-BR"/>
              </w:rPr>
              <w:t xml:space="preserve">Art. 13.  </w:t>
            </w:r>
            <w:r w:rsidRPr="005611B4">
              <w:rPr>
                <w:rFonts w:eastAsia="Times New Roman" w:cs="Times New Roman"/>
                <w:color w:val="333333"/>
                <w:sz w:val="24"/>
                <w:szCs w:val="24"/>
              </w:rPr>
              <w:t>Os recursos de plano de assistência à saúde devem ser mantidos e controlados de forma segregada dos demais recursos administrados pela EFPC, observando o disposto no art. 76 da Lei Complementar nº 109, de 29 de maio de 2001.</w:t>
            </w:r>
          </w:p>
        </w:tc>
        <w:tc>
          <w:tcPr>
            <w:tcW w:w="3474" w:type="dxa"/>
          </w:tcPr>
          <w:p w14:paraId="3DE6FA9B" w14:textId="42CDC0B4" w:rsidR="0090770F" w:rsidRPr="00CD5B68" w:rsidRDefault="0090770F" w:rsidP="0017419B">
            <w:pPr>
              <w:spacing w:before="120" w:after="120"/>
              <w:jc w:val="both"/>
              <w:rPr>
                <w:rFonts w:eastAsia="Times New Roman" w:cstheme="minorHAnsi"/>
                <w:color w:val="000000"/>
                <w:sz w:val="24"/>
                <w:szCs w:val="24"/>
                <w:lang w:eastAsia="pt-BR"/>
              </w:rPr>
            </w:pPr>
            <w:r w:rsidRPr="005611B4">
              <w:rPr>
                <w:rFonts w:eastAsia="Times New Roman"/>
                <w:color w:val="000000" w:themeColor="text1"/>
                <w:sz w:val="24"/>
                <w:szCs w:val="24"/>
                <w:lang w:eastAsia="pt-BR"/>
              </w:rPr>
              <w:t xml:space="preserve">Art. 13.  </w:t>
            </w:r>
            <w:r w:rsidRPr="005611B4">
              <w:rPr>
                <w:rFonts w:eastAsia="Times New Roman" w:cs="Times New Roman"/>
                <w:color w:val="333333"/>
                <w:sz w:val="24"/>
                <w:szCs w:val="24"/>
              </w:rPr>
              <w:t>Os recursos de plano de assistência à saúde devem ser mantidos e controlados de forma segregada dos demais recursos administrados pela EFPC, observando o disposto no art. 76 da Lei Complementar nº 109, de 29 de maio de 2001.</w:t>
            </w:r>
          </w:p>
        </w:tc>
        <w:tc>
          <w:tcPr>
            <w:tcW w:w="3474" w:type="dxa"/>
          </w:tcPr>
          <w:p w14:paraId="0AF971A7" w14:textId="77777777" w:rsidR="0090770F" w:rsidRPr="00CD5B68" w:rsidRDefault="0090770F" w:rsidP="00CD5B68">
            <w:pPr>
              <w:spacing w:before="120" w:after="120"/>
              <w:jc w:val="center"/>
              <w:rPr>
                <w:rFonts w:eastAsia="Times New Roman" w:cstheme="minorHAnsi"/>
                <w:color w:val="000000"/>
                <w:sz w:val="24"/>
                <w:szCs w:val="24"/>
                <w:lang w:eastAsia="pt-BR"/>
              </w:rPr>
            </w:pPr>
          </w:p>
        </w:tc>
      </w:tr>
      <w:tr w:rsidR="0090770F" w:rsidRPr="00CD5B68" w14:paraId="1A64CC74" w14:textId="1E89C5B9" w:rsidTr="003A0450">
        <w:tc>
          <w:tcPr>
            <w:tcW w:w="3474" w:type="dxa"/>
          </w:tcPr>
          <w:p w14:paraId="74BEFF6F" w14:textId="35859502" w:rsidR="0090770F" w:rsidRPr="00CD5B68" w:rsidRDefault="0090770F" w:rsidP="0090770F">
            <w:pPr>
              <w:spacing w:before="120" w:after="120"/>
              <w:jc w:val="both"/>
              <w:rPr>
                <w:rFonts w:eastAsia="Times New Roman"/>
                <w:color w:val="000000" w:themeColor="text1"/>
                <w:sz w:val="24"/>
                <w:szCs w:val="24"/>
                <w:lang w:eastAsia="pt-BR"/>
              </w:rPr>
            </w:pPr>
            <w:bookmarkStart w:id="8" w:name="_Hlk122351604"/>
            <w:r w:rsidRPr="005611B4">
              <w:rPr>
                <w:rFonts w:eastAsia="Times New Roman"/>
                <w:color w:val="000000" w:themeColor="text1"/>
                <w:sz w:val="24"/>
                <w:szCs w:val="24"/>
                <w:lang w:eastAsia="pt-BR"/>
              </w:rPr>
              <w:t>Art. 14.  A EFPC deve realizar os procedimentos a que se refere esta Resolução até 30 de junho de 2023</w:t>
            </w:r>
            <w:bookmarkEnd w:id="8"/>
            <w:r w:rsidRPr="005611B4">
              <w:rPr>
                <w:rFonts w:eastAsia="Times New Roman"/>
                <w:color w:val="000000" w:themeColor="text1"/>
                <w:sz w:val="24"/>
                <w:szCs w:val="24"/>
                <w:lang w:eastAsia="pt-BR"/>
              </w:rPr>
              <w:t xml:space="preserve">. </w:t>
            </w:r>
          </w:p>
        </w:tc>
        <w:tc>
          <w:tcPr>
            <w:tcW w:w="3474" w:type="dxa"/>
          </w:tcPr>
          <w:p w14:paraId="760434A6" w14:textId="79A41483" w:rsidR="0090770F" w:rsidRPr="00CD5B68" w:rsidRDefault="0090770F" w:rsidP="00CD5B68">
            <w:pPr>
              <w:spacing w:before="120" w:after="120"/>
              <w:jc w:val="both"/>
              <w:rPr>
                <w:rFonts w:eastAsia="Times New Roman"/>
                <w:color w:val="000000" w:themeColor="text1"/>
                <w:sz w:val="24"/>
                <w:szCs w:val="24"/>
                <w:lang w:eastAsia="pt-BR"/>
              </w:rPr>
            </w:pPr>
            <w:r>
              <w:rPr>
                <w:rFonts w:eastAsia="Times New Roman" w:cs="Times New Roman"/>
                <w:color w:val="333333"/>
                <w:sz w:val="24"/>
                <w:szCs w:val="24"/>
              </w:rPr>
              <w:t>Art. 14</w:t>
            </w:r>
            <w:r w:rsidRPr="00CD5B68">
              <w:rPr>
                <w:rFonts w:eastAsia="Times New Roman" w:cs="Times New Roman"/>
                <w:color w:val="333333"/>
                <w:sz w:val="24"/>
                <w:szCs w:val="24"/>
              </w:rPr>
              <w:t>.  A EFPC deve realizar os procedimentos a que se refere este Anexo até 30 de junho de 2023. </w:t>
            </w:r>
          </w:p>
        </w:tc>
        <w:tc>
          <w:tcPr>
            <w:tcW w:w="3474" w:type="dxa"/>
          </w:tcPr>
          <w:p w14:paraId="26730A93" w14:textId="77777777" w:rsidR="0090770F" w:rsidRPr="00CD5B68" w:rsidRDefault="0090770F" w:rsidP="00CD5B68">
            <w:pPr>
              <w:spacing w:before="120" w:after="120"/>
              <w:jc w:val="both"/>
              <w:rPr>
                <w:rFonts w:eastAsia="Times New Roman"/>
                <w:color w:val="000000" w:themeColor="text1"/>
                <w:sz w:val="24"/>
                <w:szCs w:val="24"/>
                <w:lang w:eastAsia="pt-BR"/>
              </w:rPr>
            </w:pPr>
          </w:p>
        </w:tc>
      </w:tr>
      <w:tr w:rsidR="0090770F" w:rsidRPr="00CD5B68" w14:paraId="442F893A" w14:textId="26695E01" w:rsidTr="003A0450">
        <w:tc>
          <w:tcPr>
            <w:tcW w:w="3474" w:type="dxa"/>
          </w:tcPr>
          <w:p w14:paraId="480D5F15" w14:textId="2067E7EF" w:rsidR="0090770F" w:rsidRPr="00CD5B68" w:rsidRDefault="0090770F" w:rsidP="00CD5B68">
            <w:pPr>
              <w:spacing w:before="120" w:after="120"/>
              <w:jc w:val="both"/>
              <w:rPr>
                <w:rFonts w:eastAsia="Times New Roman"/>
                <w:color w:val="000000"/>
                <w:sz w:val="24"/>
                <w:szCs w:val="24"/>
                <w:lang w:eastAsia="pt-BR"/>
              </w:rPr>
            </w:pPr>
            <w:r w:rsidRPr="005611B4">
              <w:rPr>
                <w:rFonts w:eastAsia="Times New Roman"/>
                <w:color w:val="000000" w:themeColor="text1"/>
                <w:sz w:val="24"/>
                <w:szCs w:val="24"/>
                <w:lang w:eastAsia="pt-BR"/>
              </w:rPr>
              <w:t>Art. 15.  Esta Resolução entra em vigor em 1º de setembro de 2022.</w:t>
            </w:r>
          </w:p>
        </w:tc>
        <w:tc>
          <w:tcPr>
            <w:tcW w:w="3474" w:type="dxa"/>
          </w:tcPr>
          <w:p w14:paraId="28043344" w14:textId="5E5A44C7" w:rsidR="0090770F" w:rsidRPr="00CD5B68" w:rsidRDefault="0090770F" w:rsidP="00CD5B68">
            <w:pPr>
              <w:spacing w:before="120" w:after="120"/>
              <w:jc w:val="both"/>
              <w:rPr>
                <w:rFonts w:eastAsia="Times New Roman"/>
                <w:color w:val="000000"/>
                <w:sz w:val="24"/>
                <w:szCs w:val="24"/>
                <w:lang w:eastAsia="pt-BR"/>
              </w:rPr>
            </w:pPr>
          </w:p>
        </w:tc>
        <w:tc>
          <w:tcPr>
            <w:tcW w:w="3474" w:type="dxa"/>
          </w:tcPr>
          <w:p w14:paraId="33481379" w14:textId="2146D5D2" w:rsidR="0090770F" w:rsidRPr="00CD5B68" w:rsidRDefault="0090770F" w:rsidP="00CD5B68">
            <w:pPr>
              <w:spacing w:before="120" w:after="120"/>
              <w:jc w:val="both"/>
              <w:rPr>
                <w:rFonts w:eastAsia="Times New Roman"/>
                <w:color w:val="000000"/>
                <w:sz w:val="24"/>
                <w:szCs w:val="24"/>
                <w:lang w:eastAsia="pt-BR"/>
              </w:rPr>
            </w:pPr>
            <w:r>
              <w:rPr>
                <w:rFonts w:eastAsia="Times New Roman"/>
                <w:color w:val="000000"/>
                <w:sz w:val="24"/>
                <w:szCs w:val="24"/>
                <w:lang w:eastAsia="pt-BR"/>
              </w:rPr>
              <w:t>Excluído.</w:t>
            </w:r>
          </w:p>
        </w:tc>
      </w:tr>
    </w:tbl>
    <w:p w14:paraId="5F3F15E8" w14:textId="77777777" w:rsidR="000063A6" w:rsidRPr="003D7EE8" w:rsidRDefault="000063A6" w:rsidP="00CD5B68">
      <w:pPr>
        <w:spacing w:before="120" w:after="120" w:line="240" w:lineRule="auto"/>
        <w:jc w:val="center"/>
        <w:rPr>
          <w:rFonts w:eastAsia="Times New Roman" w:cstheme="minorHAnsi"/>
          <w:color w:val="000000"/>
          <w:sz w:val="24"/>
          <w:szCs w:val="24"/>
          <w:lang w:eastAsia="pt-BR"/>
        </w:rPr>
      </w:pPr>
    </w:p>
    <w:sectPr w:rsidR="000063A6" w:rsidRPr="003D7EE8" w:rsidSect="00D87751">
      <w:headerReference w:type="even" r:id="rId8"/>
      <w:headerReference w:type="default" r:id="rId9"/>
      <w:headerReference w:type="first" r:id="rId10"/>
      <w:pgSz w:w="11906" w:h="16838"/>
      <w:pgMar w:top="1417" w:right="566" w:bottom="1276" w:left="1134"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E2617C" w16cex:dateUtc="2023-04-13T14:09:00Z"/>
  <w16cex:commentExtensible w16cex:durableId="27E264E5" w16cex:dateUtc="2023-04-13T14:24: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661B46C" w14:textId="77777777" w:rsidR="00C05C21" w:rsidRDefault="00C05C21" w:rsidP="007836F1">
      <w:pPr>
        <w:spacing w:after="0" w:line="240" w:lineRule="auto"/>
      </w:pPr>
      <w:r>
        <w:separator/>
      </w:r>
    </w:p>
  </w:endnote>
  <w:endnote w:type="continuationSeparator" w:id="0">
    <w:p w14:paraId="5175C723" w14:textId="77777777" w:rsidR="00C05C21" w:rsidRDefault="00C05C21" w:rsidP="007836F1">
      <w:pPr>
        <w:spacing w:after="0" w:line="240" w:lineRule="auto"/>
      </w:pPr>
      <w:r>
        <w:continuationSeparator/>
      </w:r>
    </w:p>
  </w:endnote>
  <w:endnote w:type="continuationNotice" w:id="1">
    <w:p w14:paraId="05B40D37" w14:textId="77777777" w:rsidR="00C05C21" w:rsidRDefault="00C05C2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altName w:val="Courier New"/>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 Roman">
    <w:altName w:val="Times New Roman"/>
    <w:charset w:val="00"/>
    <w:family w:val="auto"/>
    <w:pitch w:val="variable"/>
    <w:sig w:usb0="E00002FF" w:usb1="5000205A" w:usb2="00000000" w:usb3="00000000" w:csb0="0000019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09F4DC" w14:textId="77777777" w:rsidR="00C05C21" w:rsidRDefault="00C05C21" w:rsidP="007836F1">
      <w:pPr>
        <w:spacing w:after="0" w:line="240" w:lineRule="auto"/>
      </w:pPr>
      <w:r>
        <w:separator/>
      </w:r>
    </w:p>
  </w:footnote>
  <w:footnote w:type="continuationSeparator" w:id="0">
    <w:p w14:paraId="2CCF4B41" w14:textId="77777777" w:rsidR="00C05C21" w:rsidRDefault="00C05C21" w:rsidP="007836F1">
      <w:pPr>
        <w:spacing w:after="0" w:line="240" w:lineRule="auto"/>
      </w:pPr>
      <w:r>
        <w:continuationSeparator/>
      </w:r>
    </w:p>
  </w:footnote>
  <w:footnote w:type="continuationNotice" w:id="1">
    <w:p w14:paraId="799080D0" w14:textId="77777777" w:rsidR="00C05C21" w:rsidRDefault="00C05C2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21D2E8" w14:textId="60691832" w:rsidR="000D6E10" w:rsidRDefault="00C05C21">
    <w:pPr>
      <w:pStyle w:val="Cabealho"/>
    </w:pPr>
    <w:r>
      <w:rPr>
        <w:noProof/>
        <w:lang w:val="en-US"/>
      </w:rPr>
      <w:pict w14:anchorId="4ACBE40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0" type="#_x0000_t136" style="position:absolute;margin-left:0;margin-top:0;width:539.6pt;height:179.85pt;rotation:315;z-index:-251655168;mso-wrap-edited:f;mso-position-horizontal:center;mso-position-horizontal-relative:margin;mso-position-vertical:center;mso-position-vertical-relative:margin" wrapcoords="20728 9000 20578 8550 19917 8010 19797 8190 19166 8370 18655 8820 18475 9450 17874 8640 16613 5760 16312 6390 16222 7380 16252 7740 15801 8370 15651 8820 15862 10530 15080 8550 14720 7830 14450 8550 14420 12240 12917 8550 12557 7920 12287 8550 12196 9720 12257 10080 12257 11880 10905 8910 10424 7920 10304 8190 9643 8370 9192 9000 8982 8550 7300 5130 6969 5130 6729 5310 6609 5760 6879 8010 5768 5940 5347 5220 4656 5580 4356 6750 3695 10800 1892 6390 1321 5040 1171 5310 991 5400 660 5580 570 5760 570 16200 781 16830 781 16920 961 16920 1201 16740 1231 16650 1261 13770 2944 17010 3094 17100 3334 16740 3484 16290 3935 13590 4926 16470 5437 17460 5647 16740 5677 14760 5828 15120 7029 17010 7059 16830 7330 16830 7390 16650 7450 15930 7450 13950 8261 16290 8832 17370 9102 16650 9132 12870 9853 14940 10995 17280 11235 16830 11265 16470 11295 13230 11776 14580 13128 17280 13278 17100 13849 16920 13849 16830 14329 16200 14570 16830 14960 17010 15110 16560 15141 12510 16162 15570 17093 17460 17364 17100 17844 16650 17994 16200 17814 15210 16973 11880 17874 14490 19196 17460 19406 17100 20007 16830 20668 16830 21029 16830 21089 16740 21149 11880 21089 10620 20939 9630 20728 9000" fillcolor="silver" stroked="f">
          <v:textpath style="font-family:&quot;Calibri&quot;;font-size:1pt" string="Minuta"/>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A28E62" w14:textId="5FCA8459" w:rsidR="000D6E10" w:rsidRDefault="00C05C21">
    <w:pPr>
      <w:pStyle w:val="Cabealho"/>
    </w:pPr>
    <w:r>
      <w:rPr>
        <w:noProof/>
        <w:lang w:val="en-US"/>
      </w:rPr>
      <w:pict w14:anchorId="0AF7CEC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 o:spid="_x0000_s2049" type="#_x0000_t136" style="position:absolute;margin-left:0;margin-top:0;width:539.6pt;height:179.85pt;rotation:315;z-index:-251657216;mso-wrap-edited:f;mso-position-horizontal:center;mso-position-horizontal-relative:margin;mso-position-vertical:center;mso-position-vertical-relative:margin" wrapcoords="20728 9000 20578 8550 19917 8010 19797 8190 19166 8370 18655 8820 18475 9450 17874 8640 16613 5760 16312 6390 16222 7380 16252 7740 15801 8370 15651 8820 15862 10530 15080 8550 14720 7830 14450 8550 14420 12240 12917 8550 12557 7920 12287 8550 12196 9720 12257 10080 12257 11880 10905 8910 10424 7920 10304 8190 9643 8370 9192 9000 8982 8550 7300 5130 6969 5130 6729 5310 6609 5760 6879 8010 5768 5940 5347 5220 4656 5580 4356 6750 3695 10800 1892 6390 1321 5040 1171 5310 991 5400 660 5580 570 5760 570 16200 781 16830 781 16920 961 16920 1201 16740 1231 16650 1261 13770 2944 17010 3094 17100 3334 16740 3484 16290 3935 13590 4926 16470 5437 17460 5647 16740 5677 14760 5828 15120 7029 17010 7059 16830 7330 16830 7390 16650 7450 15930 7450 13950 8261 16290 8832 17370 9102 16650 9132 12870 9853 14940 10995 17280 11235 16830 11265 16470 11295 13230 11776 14580 13128 17280 13278 17100 13849 16920 13849 16830 14329 16200 14570 16830 14960 17010 15110 16560 15141 12510 16162 15570 17093 17460 17364 17100 17844 16650 17994 16200 17814 15210 16973 11880 17874 14490 19196 17460 19406 17100 20007 16830 20668 16830 21029 16830 21089 16740 21149 11880 21089 10620 20939 9630 20728 9000" fillcolor="silver" stroked="f">
          <v:textpath style="font-family:&quot;Calibri&quot;;font-size:1pt" string="Minuta"/>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B38456" w14:textId="78A0FDB7" w:rsidR="000D6E10" w:rsidRDefault="00C05C21">
    <w:pPr>
      <w:pStyle w:val="Cabealho"/>
    </w:pPr>
    <w:r>
      <w:rPr>
        <w:noProof/>
        <w:lang w:val="en-US"/>
      </w:rPr>
      <w:pict w14:anchorId="5FC3F01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 o:spid="_x0000_s2051" type="#_x0000_t136" style="position:absolute;margin-left:0;margin-top:0;width:539.6pt;height:179.85pt;rotation:315;z-index:-251653120;mso-wrap-edited:f;mso-position-horizontal:center;mso-position-horizontal-relative:margin;mso-position-vertical:center;mso-position-vertical-relative:margin" wrapcoords="20728 9000 20578 8550 19917 8010 19797 8190 19166 8370 18655 8820 18475 9450 17874 8640 16613 5760 16312 6390 16222 7380 16252 7740 15801 8370 15651 8820 15862 10530 15080 8550 14720 7830 14450 8550 14420 12240 12917 8550 12557 7920 12287 8550 12196 9720 12257 10080 12257 11880 10905 8910 10424 7920 10304 8190 9643 8370 9192 9000 8982 8550 7300 5130 6969 5130 6729 5310 6609 5760 6879 8010 5768 5940 5347 5220 4656 5580 4356 6750 3695 10800 1892 6390 1321 5040 1171 5310 991 5400 660 5580 570 5760 570 16200 781 16830 781 16920 961 16920 1201 16740 1231 16650 1261 13770 2944 17010 3094 17100 3334 16740 3484 16290 3935 13590 4926 16470 5437 17460 5647 16740 5677 14760 5828 15120 7029 17010 7059 16830 7330 16830 7390 16650 7450 15930 7450 13950 8261 16290 8832 17370 9102 16650 9132 12870 9853 14940 10995 17280 11235 16830 11265 16470 11295 13230 11776 14580 13128 17280 13278 17100 13849 16920 13849 16830 14329 16200 14570 16830 14960 17010 15110 16560 15141 12510 16162 15570 17093 17460 17364 17100 17844 16650 17994 16200 17814 15210 16973 11880 17874 14490 19196 17460 19406 17100 20007 16830 20668 16830 21029 16830 21089 16740 21149 11880 21089 10620 20939 9630 20728 9000" fillcolor="silver" stroked="f">
          <v:textpath style="font-family:&quot;Calibri&quot;;font-size:1pt" string="Minuta"/>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CB43DFD"/>
    <w:multiLevelType w:val="hybridMultilevel"/>
    <w:tmpl w:val="81AE626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15:restartNumberingAfterBreak="0">
    <w:nsid w:val="3E893CE4"/>
    <w:multiLevelType w:val="hybridMultilevel"/>
    <w:tmpl w:val="7E0C0996"/>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585C7BA3"/>
    <w:multiLevelType w:val="multilevel"/>
    <w:tmpl w:val="C29A2C12"/>
    <w:lvl w:ilvl="0">
      <w:start w:val="1"/>
      <w:numFmt w:val="decimal"/>
      <w:lvlText w:val="%1."/>
      <w:lvlJc w:val="left"/>
      <w:pPr>
        <w:ind w:left="360" w:hanging="360"/>
      </w:pPr>
      <w:rPr>
        <w:rFonts w:hint="default"/>
        <w:b/>
      </w:rPr>
    </w:lvl>
    <w:lvl w:ilvl="1">
      <w:start w:val="1"/>
      <w:numFmt w:val="decimal"/>
      <w:lvlText w:val="%1.%2."/>
      <w:lvlJc w:val="left"/>
      <w:pPr>
        <w:ind w:left="1567" w:hanging="432"/>
      </w:pPr>
      <w:rPr>
        <w:rFonts w:hint="default"/>
        <w:b w:val="0"/>
      </w:rPr>
    </w:lvl>
    <w:lvl w:ilvl="2">
      <w:start w:val="1"/>
      <w:numFmt w:val="lowerLetter"/>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65E3756F"/>
    <w:multiLevelType w:val="hybridMultilevel"/>
    <w:tmpl w:val="023ABE76"/>
    <w:lvl w:ilvl="0" w:tplc="675E0436">
      <w:numFmt w:val="bullet"/>
      <w:lvlText w:val="-"/>
      <w:lvlJc w:val="left"/>
      <w:pPr>
        <w:ind w:left="720" w:hanging="360"/>
      </w:pPr>
      <w:rPr>
        <w:rFonts w:ascii="Calibri" w:eastAsia="Times New Roman" w:hAnsi="Calibri" w:cstheme="minorHAnsi" w:hint="default"/>
        <w:color w:val="00000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E0D470C"/>
    <w:multiLevelType w:val="hybridMultilevel"/>
    <w:tmpl w:val="941ECC1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455A"/>
    <w:rsid w:val="00001B57"/>
    <w:rsid w:val="00001DF4"/>
    <w:rsid w:val="00002532"/>
    <w:rsid w:val="00003062"/>
    <w:rsid w:val="00003290"/>
    <w:rsid w:val="00004984"/>
    <w:rsid w:val="000053EA"/>
    <w:rsid w:val="000063A6"/>
    <w:rsid w:val="0000772C"/>
    <w:rsid w:val="000078F2"/>
    <w:rsid w:val="00010700"/>
    <w:rsid w:val="000110A3"/>
    <w:rsid w:val="0001152A"/>
    <w:rsid w:val="000143D1"/>
    <w:rsid w:val="0001509B"/>
    <w:rsid w:val="00015BFE"/>
    <w:rsid w:val="000172A3"/>
    <w:rsid w:val="00022396"/>
    <w:rsid w:val="00024403"/>
    <w:rsid w:val="00024E20"/>
    <w:rsid w:val="00026043"/>
    <w:rsid w:val="000273BF"/>
    <w:rsid w:val="000303DA"/>
    <w:rsid w:val="00031726"/>
    <w:rsid w:val="00031972"/>
    <w:rsid w:val="00032A0E"/>
    <w:rsid w:val="00032F2B"/>
    <w:rsid w:val="00033E9A"/>
    <w:rsid w:val="000353C4"/>
    <w:rsid w:val="00035956"/>
    <w:rsid w:val="00036C28"/>
    <w:rsid w:val="000407CD"/>
    <w:rsid w:val="00041257"/>
    <w:rsid w:val="00042DE6"/>
    <w:rsid w:val="000515F2"/>
    <w:rsid w:val="00052AF0"/>
    <w:rsid w:val="000538F3"/>
    <w:rsid w:val="00053A3E"/>
    <w:rsid w:val="00053F7F"/>
    <w:rsid w:val="00060AF5"/>
    <w:rsid w:val="00062E9C"/>
    <w:rsid w:val="00062F4D"/>
    <w:rsid w:val="00063B64"/>
    <w:rsid w:val="00064B0B"/>
    <w:rsid w:val="000659F1"/>
    <w:rsid w:val="000734DB"/>
    <w:rsid w:val="00073962"/>
    <w:rsid w:val="000754E4"/>
    <w:rsid w:val="00076A5A"/>
    <w:rsid w:val="000772FE"/>
    <w:rsid w:val="00081522"/>
    <w:rsid w:val="0008283C"/>
    <w:rsid w:val="00083D4E"/>
    <w:rsid w:val="00085A71"/>
    <w:rsid w:val="00087DF3"/>
    <w:rsid w:val="00092669"/>
    <w:rsid w:val="000932AD"/>
    <w:rsid w:val="00093E1C"/>
    <w:rsid w:val="0009452E"/>
    <w:rsid w:val="0009531B"/>
    <w:rsid w:val="0009543A"/>
    <w:rsid w:val="00096E8F"/>
    <w:rsid w:val="00097AA8"/>
    <w:rsid w:val="000A2970"/>
    <w:rsid w:val="000A3004"/>
    <w:rsid w:val="000A7315"/>
    <w:rsid w:val="000B3BD6"/>
    <w:rsid w:val="000B3F36"/>
    <w:rsid w:val="000B67DB"/>
    <w:rsid w:val="000B6F30"/>
    <w:rsid w:val="000C0AE1"/>
    <w:rsid w:val="000C10B9"/>
    <w:rsid w:val="000C185E"/>
    <w:rsid w:val="000C28EA"/>
    <w:rsid w:val="000C3B41"/>
    <w:rsid w:val="000C4D11"/>
    <w:rsid w:val="000C74D8"/>
    <w:rsid w:val="000C77BA"/>
    <w:rsid w:val="000D04DE"/>
    <w:rsid w:val="000D15FE"/>
    <w:rsid w:val="000D1875"/>
    <w:rsid w:val="000D27A0"/>
    <w:rsid w:val="000D3546"/>
    <w:rsid w:val="000D68F6"/>
    <w:rsid w:val="000D6E10"/>
    <w:rsid w:val="000D7662"/>
    <w:rsid w:val="000E3904"/>
    <w:rsid w:val="000E4F50"/>
    <w:rsid w:val="000E5057"/>
    <w:rsid w:val="000E5B0C"/>
    <w:rsid w:val="000E61E7"/>
    <w:rsid w:val="000E635D"/>
    <w:rsid w:val="000F09A5"/>
    <w:rsid w:val="000F0BF4"/>
    <w:rsid w:val="000F0D43"/>
    <w:rsid w:val="000F2151"/>
    <w:rsid w:val="000F2764"/>
    <w:rsid w:val="000F3616"/>
    <w:rsid w:val="000F3909"/>
    <w:rsid w:val="000F4CE1"/>
    <w:rsid w:val="000F5219"/>
    <w:rsid w:val="000F58B1"/>
    <w:rsid w:val="000F6AC9"/>
    <w:rsid w:val="000F7EBD"/>
    <w:rsid w:val="00100589"/>
    <w:rsid w:val="001022FF"/>
    <w:rsid w:val="00102729"/>
    <w:rsid w:val="0010309F"/>
    <w:rsid w:val="00103B29"/>
    <w:rsid w:val="001044D7"/>
    <w:rsid w:val="001045F7"/>
    <w:rsid w:val="00104E47"/>
    <w:rsid w:val="001068A9"/>
    <w:rsid w:val="00110FF0"/>
    <w:rsid w:val="0011224D"/>
    <w:rsid w:val="00112498"/>
    <w:rsid w:val="00114178"/>
    <w:rsid w:val="00114CDF"/>
    <w:rsid w:val="00114DB1"/>
    <w:rsid w:val="001221FC"/>
    <w:rsid w:val="001226C6"/>
    <w:rsid w:val="001249E0"/>
    <w:rsid w:val="00126AD1"/>
    <w:rsid w:val="00126CBD"/>
    <w:rsid w:val="00126D4D"/>
    <w:rsid w:val="00132094"/>
    <w:rsid w:val="00133705"/>
    <w:rsid w:val="00133E5D"/>
    <w:rsid w:val="00135175"/>
    <w:rsid w:val="00141721"/>
    <w:rsid w:val="00142252"/>
    <w:rsid w:val="00142984"/>
    <w:rsid w:val="00142FC4"/>
    <w:rsid w:val="001459F0"/>
    <w:rsid w:val="00145D24"/>
    <w:rsid w:val="00146C02"/>
    <w:rsid w:val="00147C66"/>
    <w:rsid w:val="001507A7"/>
    <w:rsid w:val="00154704"/>
    <w:rsid w:val="00154C58"/>
    <w:rsid w:val="00155493"/>
    <w:rsid w:val="00156A93"/>
    <w:rsid w:val="00157CE4"/>
    <w:rsid w:val="00161AFE"/>
    <w:rsid w:val="00163347"/>
    <w:rsid w:val="001633D1"/>
    <w:rsid w:val="00163541"/>
    <w:rsid w:val="00170A3D"/>
    <w:rsid w:val="00173A5D"/>
    <w:rsid w:val="0017419B"/>
    <w:rsid w:val="00174CD1"/>
    <w:rsid w:val="00176206"/>
    <w:rsid w:val="00177DFC"/>
    <w:rsid w:val="00181493"/>
    <w:rsid w:val="00181A04"/>
    <w:rsid w:val="00181D9F"/>
    <w:rsid w:val="00182500"/>
    <w:rsid w:val="0018279B"/>
    <w:rsid w:val="00183063"/>
    <w:rsid w:val="0018464F"/>
    <w:rsid w:val="00186B97"/>
    <w:rsid w:val="00191C52"/>
    <w:rsid w:val="00191C9E"/>
    <w:rsid w:val="00191EF2"/>
    <w:rsid w:val="00192543"/>
    <w:rsid w:val="0019324C"/>
    <w:rsid w:val="00195F7A"/>
    <w:rsid w:val="00196231"/>
    <w:rsid w:val="0019686F"/>
    <w:rsid w:val="001978D7"/>
    <w:rsid w:val="001A0425"/>
    <w:rsid w:val="001A0AD9"/>
    <w:rsid w:val="001B2A3C"/>
    <w:rsid w:val="001B54F1"/>
    <w:rsid w:val="001C1096"/>
    <w:rsid w:val="001C19E7"/>
    <w:rsid w:val="001C2386"/>
    <w:rsid w:val="001D0CD3"/>
    <w:rsid w:val="001D4A5F"/>
    <w:rsid w:val="001D700A"/>
    <w:rsid w:val="001D7C4E"/>
    <w:rsid w:val="001E622D"/>
    <w:rsid w:val="001E643A"/>
    <w:rsid w:val="001E6D2B"/>
    <w:rsid w:val="001E6DE8"/>
    <w:rsid w:val="001E706F"/>
    <w:rsid w:val="001E7C50"/>
    <w:rsid w:val="001F00A5"/>
    <w:rsid w:val="001F4519"/>
    <w:rsid w:val="001F627C"/>
    <w:rsid w:val="002001F3"/>
    <w:rsid w:val="002004FA"/>
    <w:rsid w:val="0020348B"/>
    <w:rsid w:val="002035C3"/>
    <w:rsid w:val="00203C65"/>
    <w:rsid w:val="00207F81"/>
    <w:rsid w:val="00212187"/>
    <w:rsid w:val="00212FE6"/>
    <w:rsid w:val="00213157"/>
    <w:rsid w:val="00213BB8"/>
    <w:rsid w:val="00215EEC"/>
    <w:rsid w:val="00216E66"/>
    <w:rsid w:val="00216F36"/>
    <w:rsid w:val="00216FFA"/>
    <w:rsid w:val="00217CAB"/>
    <w:rsid w:val="0022215E"/>
    <w:rsid w:val="00222497"/>
    <w:rsid w:val="0022396A"/>
    <w:rsid w:val="0022528F"/>
    <w:rsid w:val="002277D8"/>
    <w:rsid w:val="00227D8A"/>
    <w:rsid w:val="002304EF"/>
    <w:rsid w:val="00230C5D"/>
    <w:rsid w:val="00231EE1"/>
    <w:rsid w:val="00234D37"/>
    <w:rsid w:val="002351A3"/>
    <w:rsid w:val="002354C9"/>
    <w:rsid w:val="0023603F"/>
    <w:rsid w:val="0023685C"/>
    <w:rsid w:val="00237402"/>
    <w:rsid w:val="0024153A"/>
    <w:rsid w:val="00242D36"/>
    <w:rsid w:val="00243131"/>
    <w:rsid w:val="002437A7"/>
    <w:rsid w:val="0024394E"/>
    <w:rsid w:val="00243EEC"/>
    <w:rsid w:val="0024472D"/>
    <w:rsid w:val="00245685"/>
    <w:rsid w:val="00245D50"/>
    <w:rsid w:val="00247247"/>
    <w:rsid w:val="00251A4C"/>
    <w:rsid w:val="00252447"/>
    <w:rsid w:val="00253F95"/>
    <w:rsid w:val="00254A3C"/>
    <w:rsid w:val="0025581F"/>
    <w:rsid w:val="00255850"/>
    <w:rsid w:val="00257F70"/>
    <w:rsid w:val="00262351"/>
    <w:rsid w:val="00264457"/>
    <w:rsid w:val="00264D08"/>
    <w:rsid w:val="00265016"/>
    <w:rsid w:val="00267B85"/>
    <w:rsid w:val="002707FE"/>
    <w:rsid w:val="00273BE9"/>
    <w:rsid w:val="0027547A"/>
    <w:rsid w:val="00277697"/>
    <w:rsid w:val="00277E6E"/>
    <w:rsid w:val="00277E72"/>
    <w:rsid w:val="00280782"/>
    <w:rsid w:val="002826D0"/>
    <w:rsid w:val="002907FE"/>
    <w:rsid w:val="00290A94"/>
    <w:rsid w:val="00292C97"/>
    <w:rsid w:val="0029322B"/>
    <w:rsid w:val="00294045"/>
    <w:rsid w:val="00294900"/>
    <w:rsid w:val="00294CFF"/>
    <w:rsid w:val="00294E8E"/>
    <w:rsid w:val="002961AB"/>
    <w:rsid w:val="0029674B"/>
    <w:rsid w:val="002A0481"/>
    <w:rsid w:val="002A070A"/>
    <w:rsid w:val="002A5F82"/>
    <w:rsid w:val="002B082D"/>
    <w:rsid w:val="002B10DA"/>
    <w:rsid w:val="002B1E18"/>
    <w:rsid w:val="002B400E"/>
    <w:rsid w:val="002B4F0F"/>
    <w:rsid w:val="002B4FC4"/>
    <w:rsid w:val="002B51A0"/>
    <w:rsid w:val="002B6575"/>
    <w:rsid w:val="002B7669"/>
    <w:rsid w:val="002C1204"/>
    <w:rsid w:val="002C400B"/>
    <w:rsid w:val="002D0E12"/>
    <w:rsid w:val="002D19E0"/>
    <w:rsid w:val="002D1A60"/>
    <w:rsid w:val="002D1FE6"/>
    <w:rsid w:val="002D266D"/>
    <w:rsid w:val="002D6DAF"/>
    <w:rsid w:val="002E394D"/>
    <w:rsid w:val="002E5F2A"/>
    <w:rsid w:val="002E7043"/>
    <w:rsid w:val="002E745C"/>
    <w:rsid w:val="002F3E06"/>
    <w:rsid w:val="002F422B"/>
    <w:rsid w:val="002F5078"/>
    <w:rsid w:val="002F5B37"/>
    <w:rsid w:val="00300B67"/>
    <w:rsid w:val="003012ED"/>
    <w:rsid w:val="00301332"/>
    <w:rsid w:val="00303CFE"/>
    <w:rsid w:val="003040AD"/>
    <w:rsid w:val="003052AC"/>
    <w:rsid w:val="003069C3"/>
    <w:rsid w:val="00310CB8"/>
    <w:rsid w:val="00315B9A"/>
    <w:rsid w:val="00317892"/>
    <w:rsid w:val="0032050F"/>
    <w:rsid w:val="00321E04"/>
    <w:rsid w:val="00323EF1"/>
    <w:rsid w:val="003245BA"/>
    <w:rsid w:val="003259F9"/>
    <w:rsid w:val="003262D9"/>
    <w:rsid w:val="00326D97"/>
    <w:rsid w:val="00326E51"/>
    <w:rsid w:val="00330B2B"/>
    <w:rsid w:val="00331AF6"/>
    <w:rsid w:val="0033417E"/>
    <w:rsid w:val="00334C3D"/>
    <w:rsid w:val="00334E27"/>
    <w:rsid w:val="00334E35"/>
    <w:rsid w:val="00337EBF"/>
    <w:rsid w:val="00340444"/>
    <w:rsid w:val="00340E02"/>
    <w:rsid w:val="00340F8E"/>
    <w:rsid w:val="00342620"/>
    <w:rsid w:val="00344B90"/>
    <w:rsid w:val="003475F8"/>
    <w:rsid w:val="00354023"/>
    <w:rsid w:val="00355021"/>
    <w:rsid w:val="00356286"/>
    <w:rsid w:val="00362A2F"/>
    <w:rsid w:val="0036359F"/>
    <w:rsid w:val="00365BA8"/>
    <w:rsid w:val="00374298"/>
    <w:rsid w:val="00375F72"/>
    <w:rsid w:val="00377242"/>
    <w:rsid w:val="0037786D"/>
    <w:rsid w:val="00377ADA"/>
    <w:rsid w:val="00377E6C"/>
    <w:rsid w:val="003834E4"/>
    <w:rsid w:val="00384D11"/>
    <w:rsid w:val="003851BF"/>
    <w:rsid w:val="0038542A"/>
    <w:rsid w:val="00385495"/>
    <w:rsid w:val="00386A09"/>
    <w:rsid w:val="00386BFC"/>
    <w:rsid w:val="003876D0"/>
    <w:rsid w:val="00394088"/>
    <w:rsid w:val="003957A4"/>
    <w:rsid w:val="003A0450"/>
    <w:rsid w:val="003A18D4"/>
    <w:rsid w:val="003A215F"/>
    <w:rsid w:val="003A244C"/>
    <w:rsid w:val="003A2A1B"/>
    <w:rsid w:val="003A2B88"/>
    <w:rsid w:val="003A3226"/>
    <w:rsid w:val="003A3FCA"/>
    <w:rsid w:val="003A47FE"/>
    <w:rsid w:val="003A5593"/>
    <w:rsid w:val="003A575C"/>
    <w:rsid w:val="003A580B"/>
    <w:rsid w:val="003B1DA6"/>
    <w:rsid w:val="003B5F53"/>
    <w:rsid w:val="003C0D40"/>
    <w:rsid w:val="003C0DFD"/>
    <w:rsid w:val="003C14F4"/>
    <w:rsid w:val="003C20EB"/>
    <w:rsid w:val="003C47C9"/>
    <w:rsid w:val="003C64A9"/>
    <w:rsid w:val="003D1C53"/>
    <w:rsid w:val="003D455A"/>
    <w:rsid w:val="003D6E6B"/>
    <w:rsid w:val="003D7962"/>
    <w:rsid w:val="003D7EE8"/>
    <w:rsid w:val="003E0489"/>
    <w:rsid w:val="003E292B"/>
    <w:rsid w:val="003E3F7D"/>
    <w:rsid w:val="003E4886"/>
    <w:rsid w:val="003E5171"/>
    <w:rsid w:val="003E5190"/>
    <w:rsid w:val="003E6569"/>
    <w:rsid w:val="003F0769"/>
    <w:rsid w:val="003F0C6F"/>
    <w:rsid w:val="003F2371"/>
    <w:rsid w:val="003F79A6"/>
    <w:rsid w:val="00400644"/>
    <w:rsid w:val="004064F9"/>
    <w:rsid w:val="00411173"/>
    <w:rsid w:val="004120B6"/>
    <w:rsid w:val="00412A90"/>
    <w:rsid w:val="00417B9E"/>
    <w:rsid w:val="004200AC"/>
    <w:rsid w:val="00421065"/>
    <w:rsid w:val="00422134"/>
    <w:rsid w:val="004229A1"/>
    <w:rsid w:val="004242DA"/>
    <w:rsid w:val="00426326"/>
    <w:rsid w:val="00426742"/>
    <w:rsid w:val="004274A4"/>
    <w:rsid w:val="00430A20"/>
    <w:rsid w:val="00432EF7"/>
    <w:rsid w:val="00434383"/>
    <w:rsid w:val="00436626"/>
    <w:rsid w:val="00440CE1"/>
    <w:rsid w:val="00442923"/>
    <w:rsid w:val="00442B36"/>
    <w:rsid w:val="004451EA"/>
    <w:rsid w:val="0044535A"/>
    <w:rsid w:val="004455EE"/>
    <w:rsid w:val="00447A6B"/>
    <w:rsid w:val="00451772"/>
    <w:rsid w:val="00451EA7"/>
    <w:rsid w:val="004524FB"/>
    <w:rsid w:val="00457168"/>
    <w:rsid w:val="004571B7"/>
    <w:rsid w:val="00457A9B"/>
    <w:rsid w:val="00460287"/>
    <w:rsid w:val="0046112B"/>
    <w:rsid w:val="00461D61"/>
    <w:rsid w:val="00462257"/>
    <w:rsid w:val="00464510"/>
    <w:rsid w:val="0046592E"/>
    <w:rsid w:val="004669C7"/>
    <w:rsid w:val="00467393"/>
    <w:rsid w:val="0047056D"/>
    <w:rsid w:val="0047057C"/>
    <w:rsid w:val="00470D03"/>
    <w:rsid w:val="0047159A"/>
    <w:rsid w:val="00471CA4"/>
    <w:rsid w:val="00475257"/>
    <w:rsid w:val="00476502"/>
    <w:rsid w:val="00481F24"/>
    <w:rsid w:val="00483289"/>
    <w:rsid w:val="00483A37"/>
    <w:rsid w:val="00484BC7"/>
    <w:rsid w:val="004857A0"/>
    <w:rsid w:val="00490DF7"/>
    <w:rsid w:val="0049265D"/>
    <w:rsid w:val="004955F0"/>
    <w:rsid w:val="00495D9A"/>
    <w:rsid w:val="00495E0C"/>
    <w:rsid w:val="00497962"/>
    <w:rsid w:val="004A1D94"/>
    <w:rsid w:val="004A3595"/>
    <w:rsid w:val="004A3888"/>
    <w:rsid w:val="004A4CDE"/>
    <w:rsid w:val="004A785C"/>
    <w:rsid w:val="004B20E5"/>
    <w:rsid w:val="004B430E"/>
    <w:rsid w:val="004B560B"/>
    <w:rsid w:val="004B63C0"/>
    <w:rsid w:val="004B6AE9"/>
    <w:rsid w:val="004C24C4"/>
    <w:rsid w:val="004C2C76"/>
    <w:rsid w:val="004C78F5"/>
    <w:rsid w:val="004D5547"/>
    <w:rsid w:val="004D7751"/>
    <w:rsid w:val="004E07FE"/>
    <w:rsid w:val="004E11AC"/>
    <w:rsid w:val="004E4577"/>
    <w:rsid w:val="004E72B1"/>
    <w:rsid w:val="004F0ED9"/>
    <w:rsid w:val="004F192A"/>
    <w:rsid w:val="004F2530"/>
    <w:rsid w:val="004F2B81"/>
    <w:rsid w:val="004F37B0"/>
    <w:rsid w:val="004F5240"/>
    <w:rsid w:val="004F529D"/>
    <w:rsid w:val="004F5880"/>
    <w:rsid w:val="004F6A22"/>
    <w:rsid w:val="004F7689"/>
    <w:rsid w:val="00501930"/>
    <w:rsid w:val="00502DB9"/>
    <w:rsid w:val="00503A2E"/>
    <w:rsid w:val="005053F8"/>
    <w:rsid w:val="00506B45"/>
    <w:rsid w:val="00507007"/>
    <w:rsid w:val="0050741E"/>
    <w:rsid w:val="00513A99"/>
    <w:rsid w:val="005159FD"/>
    <w:rsid w:val="00520BCC"/>
    <w:rsid w:val="00522C1C"/>
    <w:rsid w:val="00523090"/>
    <w:rsid w:val="0052389A"/>
    <w:rsid w:val="00525B25"/>
    <w:rsid w:val="00526587"/>
    <w:rsid w:val="00526F2A"/>
    <w:rsid w:val="00530208"/>
    <w:rsid w:val="00534147"/>
    <w:rsid w:val="00544C7D"/>
    <w:rsid w:val="00544E18"/>
    <w:rsid w:val="005463C6"/>
    <w:rsid w:val="00546728"/>
    <w:rsid w:val="005555E7"/>
    <w:rsid w:val="0055646A"/>
    <w:rsid w:val="0055736D"/>
    <w:rsid w:val="005575AF"/>
    <w:rsid w:val="005604C0"/>
    <w:rsid w:val="0056554F"/>
    <w:rsid w:val="0057072C"/>
    <w:rsid w:val="00571350"/>
    <w:rsid w:val="005745C5"/>
    <w:rsid w:val="005753F0"/>
    <w:rsid w:val="00575B8C"/>
    <w:rsid w:val="00575D30"/>
    <w:rsid w:val="005761BF"/>
    <w:rsid w:val="0057679E"/>
    <w:rsid w:val="00576968"/>
    <w:rsid w:val="00580056"/>
    <w:rsid w:val="00581463"/>
    <w:rsid w:val="00581855"/>
    <w:rsid w:val="0058262A"/>
    <w:rsid w:val="00582A5C"/>
    <w:rsid w:val="00582AB0"/>
    <w:rsid w:val="00583691"/>
    <w:rsid w:val="00583C01"/>
    <w:rsid w:val="00584037"/>
    <w:rsid w:val="00584895"/>
    <w:rsid w:val="00585511"/>
    <w:rsid w:val="00585B36"/>
    <w:rsid w:val="00586D3A"/>
    <w:rsid w:val="00586E00"/>
    <w:rsid w:val="00587441"/>
    <w:rsid w:val="00587D66"/>
    <w:rsid w:val="005934BF"/>
    <w:rsid w:val="00593CBF"/>
    <w:rsid w:val="00593CE7"/>
    <w:rsid w:val="00593E81"/>
    <w:rsid w:val="005A0A71"/>
    <w:rsid w:val="005A2DE8"/>
    <w:rsid w:val="005A341B"/>
    <w:rsid w:val="005A3D70"/>
    <w:rsid w:val="005A633E"/>
    <w:rsid w:val="005A78D8"/>
    <w:rsid w:val="005A7D02"/>
    <w:rsid w:val="005B1F42"/>
    <w:rsid w:val="005B29B4"/>
    <w:rsid w:val="005B3D9D"/>
    <w:rsid w:val="005B713A"/>
    <w:rsid w:val="005B7400"/>
    <w:rsid w:val="005B7E31"/>
    <w:rsid w:val="005C011C"/>
    <w:rsid w:val="005C2FAD"/>
    <w:rsid w:val="005C35D0"/>
    <w:rsid w:val="005C7346"/>
    <w:rsid w:val="005D06C8"/>
    <w:rsid w:val="005D22DB"/>
    <w:rsid w:val="005D2683"/>
    <w:rsid w:val="005E02D3"/>
    <w:rsid w:val="005E221A"/>
    <w:rsid w:val="005E7CC3"/>
    <w:rsid w:val="005F0820"/>
    <w:rsid w:val="005F2A17"/>
    <w:rsid w:val="005F2DE7"/>
    <w:rsid w:val="005F660A"/>
    <w:rsid w:val="006010CE"/>
    <w:rsid w:val="006019D8"/>
    <w:rsid w:val="006021F4"/>
    <w:rsid w:val="00602681"/>
    <w:rsid w:val="00603ECB"/>
    <w:rsid w:val="006058D2"/>
    <w:rsid w:val="00606DCD"/>
    <w:rsid w:val="006070A0"/>
    <w:rsid w:val="0061056F"/>
    <w:rsid w:val="0061103A"/>
    <w:rsid w:val="006112C7"/>
    <w:rsid w:val="00621AA6"/>
    <w:rsid w:val="00621D54"/>
    <w:rsid w:val="006232D4"/>
    <w:rsid w:val="00623AB7"/>
    <w:rsid w:val="00624743"/>
    <w:rsid w:val="006251F4"/>
    <w:rsid w:val="00627908"/>
    <w:rsid w:val="00630873"/>
    <w:rsid w:val="00631336"/>
    <w:rsid w:val="006358D8"/>
    <w:rsid w:val="00635C74"/>
    <w:rsid w:val="006364CD"/>
    <w:rsid w:val="00636A37"/>
    <w:rsid w:val="006402EB"/>
    <w:rsid w:val="006412A9"/>
    <w:rsid w:val="0064552C"/>
    <w:rsid w:val="00645BFB"/>
    <w:rsid w:val="00647E8B"/>
    <w:rsid w:val="00652DAF"/>
    <w:rsid w:val="006531FD"/>
    <w:rsid w:val="006561DE"/>
    <w:rsid w:val="00656A18"/>
    <w:rsid w:val="00657E3E"/>
    <w:rsid w:val="0066088B"/>
    <w:rsid w:val="0066118B"/>
    <w:rsid w:val="00662447"/>
    <w:rsid w:val="00664B5D"/>
    <w:rsid w:val="00664F1D"/>
    <w:rsid w:val="00667274"/>
    <w:rsid w:val="00667797"/>
    <w:rsid w:val="006703D3"/>
    <w:rsid w:val="006709EF"/>
    <w:rsid w:val="00672889"/>
    <w:rsid w:val="00672FB8"/>
    <w:rsid w:val="00673175"/>
    <w:rsid w:val="00675861"/>
    <w:rsid w:val="00675B96"/>
    <w:rsid w:val="006766DC"/>
    <w:rsid w:val="00676A96"/>
    <w:rsid w:val="006800A4"/>
    <w:rsid w:val="0068289B"/>
    <w:rsid w:val="00682BA6"/>
    <w:rsid w:val="006835F4"/>
    <w:rsid w:val="00690491"/>
    <w:rsid w:val="00690C59"/>
    <w:rsid w:val="006912FF"/>
    <w:rsid w:val="006931F9"/>
    <w:rsid w:val="006940C0"/>
    <w:rsid w:val="00694480"/>
    <w:rsid w:val="00694BFE"/>
    <w:rsid w:val="00697537"/>
    <w:rsid w:val="00697B4E"/>
    <w:rsid w:val="006A05DE"/>
    <w:rsid w:val="006A20A6"/>
    <w:rsid w:val="006A20CD"/>
    <w:rsid w:val="006A27E1"/>
    <w:rsid w:val="006A6CAB"/>
    <w:rsid w:val="006A6FA0"/>
    <w:rsid w:val="006A72A8"/>
    <w:rsid w:val="006A7DCE"/>
    <w:rsid w:val="006B0D35"/>
    <w:rsid w:val="006B24B0"/>
    <w:rsid w:val="006B68C0"/>
    <w:rsid w:val="006B7EC3"/>
    <w:rsid w:val="006C156B"/>
    <w:rsid w:val="006C3D9F"/>
    <w:rsid w:val="006C5816"/>
    <w:rsid w:val="006C5FE5"/>
    <w:rsid w:val="006C6F37"/>
    <w:rsid w:val="006D05D0"/>
    <w:rsid w:val="006D2EE4"/>
    <w:rsid w:val="006D4B96"/>
    <w:rsid w:val="006D7B3F"/>
    <w:rsid w:val="006E1541"/>
    <w:rsid w:val="006E45E1"/>
    <w:rsid w:val="006E6391"/>
    <w:rsid w:val="006E67F1"/>
    <w:rsid w:val="006F03F2"/>
    <w:rsid w:val="006F1634"/>
    <w:rsid w:val="006F284E"/>
    <w:rsid w:val="006F310D"/>
    <w:rsid w:val="006F47C2"/>
    <w:rsid w:val="006F66F2"/>
    <w:rsid w:val="006F6787"/>
    <w:rsid w:val="006F6AB1"/>
    <w:rsid w:val="006F70C6"/>
    <w:rsid w:val="006F7BB4"/>
    <w:rsid w:val="00700331"/>
    <w:rsid w:val="00701E48"/>
    <w:rsid w:val="00701F14"/>
    <w:rsid w:val="00702D5B"/>
    <w:rsid w:val="0070424E"/>
    <w:rsid w:val="0070502D"/>
    <w:rsid w:val="00705121"/>
    <w:rsid w:val="007053A4"/>
    <w:rsid w:val="00706733"/>
    <w:rsid w:val="007068B2"/>
    <w:rsid w:val="00707B37"/>
    <w:rsid w:val="007106BA"/>
    <w:rsid w:val="007114AC"/>
    <w:rsid w:val="00712225"/>
    <w:rsid w:val="00713F38"/>
    <w:rsid w:val="00717CFC"/>
    <w:rsid w:val="007202D8"/>
    <w:rsid w:val="007245B7"/>
    <w:rsid w:val="00725D80"/>
    <w:rsid w:val="007262F2"/>
    <w:rsid w:val="007275A3"/>
    <w:rsid w:val="0073006E"/>
    <w:rsid w:val="0073262B"/>
    <w:rsid w:val="00733B8C"/>
    <w:rsid w:val="007343A3"/>
    <w:rsid w:val="00737E53"/>
    <w:rsid w:val="00740E1C"/>
    <w:rsid w:val="007431EA"/>
    <w:rsid w:val="00745B8B"/>
    <w:rsid w:val="00751588"/>
    <w:rsid w:val="00751CBD"/>
    <w:rsid w:val="00753982"/>
    <w:rsid w:val="00754577"/>
    <w:rsid w:val="00755155"/>
    <w:rsid w:val="00755774"/>
    <w:rsid w:val="00760815"/>
    <w:rsid w:val="00763323"/>
    <w:rsid w:val="00765C0A"/>
    <w:rsid w:val="00766B6F"/>
    <w:rsid w:val="00767488"/>
    <w:rsid w:val="00767B43"/>
    <w:rsid w:val="00770056"/>
    <w:rsid w:val="00771E92"/>
    <w:rsid w:val="0077268E"/>
    <w:rsid w:val="00774527"/>
    <w:rsid w:val="00775A9C"/>
    <w:rsid w:val="00780FF4"/>
    <w:rsid w:val="007836F1"/>
    <w:rsid w:val="00785714"/>
    <w:rsid w:val="00786C06"/>
    <w:rsid w:val="007873DA"/>
    <w:rsid w:val="00791937"/>
    <w:rsid w:val="007926F1"/>
    <w:rsid w:val="0079303E"/>
    <w:rsid w:val="00794712"/>
    <w:rsid w:val="00794AC6"/>
    <w:rsid w:val="00795501"/>
    <w:rsid w:val="007970B3"/>
    <w:rsid w:val="00797265"/>
    <w:rsid w:val="007973D6"/>
    <w:rsid w:val="007A1D27"/>
    <w:rsid w:val="007A1F2B"/>
    <w:rsid w:val="007A2141"/>
    <w:rsid w:val="007A7AF0"/>
    <w:rsid w:val="007B0E46"/>
    <w:rsid w:val="007B158E"/>
    <w:rsid w:val="007B166B"/>
    <w:rsid w:val="007B16BB"/>
    <w:rsid w:val="007B2835"/>
    <w:rsid w:val="007B2BFB"/>
    <w:rsid w:val="007B3A8F"/>
    <w:rsid w:val="007B4693"/>
    <w:rsid w:val="007B6A3D"/>
    <w:rsid w:val="007B6FA2"/>
    <w:rsid w:val="007C0B70"/>
    <w:rsid w:val="007C0F9F"/>
    <w:rsid w:val="007C1258"/>
    <w:rsid w:val="007C15A3"/>
    <w:rsid w:val="007C3AEF"/>
    <w:rsid w:val="007C5182"/>
    <w:rsid w:val="007C54AF"/>
    <w:rsid w:val="007C59B1"/>
    <w:rsid w:val="007C66E1"/>
    <w:rsid w:val="007C6E6D"/>
    <w:rsid w:val="007C7071"/>
    <w:rsid w:val="007D0039"/>
    <w:rsid w:val="007D2FA2"/>
    <w:rsid w:val="007D46FE"/>
    <w:rsid w:val="007D6791"/>
    <w:rsid w:val="007E1330"/>
    <w:rsid w:val="007E19B4"/>
    <w:rsid w:val="007E1D79"/>
    <w:rsid w:val="007E39E3"/>
    <w:rsid w:val="007E758F"/>
    <w:rsid w:val="007F0D0F"/>
    <w:rsid w:val="007F14BD"/>
    <w:rsid w:val="007F6595"/>
    <w:rsid w:val="007F7824"/>
    <w:rsid w:val="007F7B90"/>
    <w:rsid w:val="008002F3"/>
    <w:rsid w:val="008040B8"/>
    <w:rsid w:val="00804EDC"/>
    <w:rsid w:val="0080551C"/>
    <w:rsid w:val="00812EE9"/>
    <w:rsid w:val="008146B0"/>
    <w:rsid w:val="008158B2"/>
    <w:rsid w:val="00817877"/>
    <w:rsid w:val="0082154D"/>
    <w:rsid w:val="00822164"/>
    <w:rsid w:val="0082261D"/>
    <w:rsid w:val="008260A7"/>
    <w:rsid w:val="00827117"/>
    <w:rsid w:val="0083012E"/>
    <w:rsid w:val="008302DB"/>
    <w:rsid w:val="00831A4D"/>
    <w:rsid w:val="00831AC2"/>
    <w:rsid w:val="008322BF"/>
    <w:rsid w:val="00832569"/>
    <w:rsid w:val="008339AE"/>
    <w:rsid w:val="00834946"/>
    <w:rsid w:val="008357C5"/>
    <w:rsid w:val="008359A0"/>
    <w:rsid w:val="008370D2"/>
    <w:rsid w:val="0083724C"/>
    <w:rsid w:val="0084086B"/>
    <w:rsid w:val="0084140F"/>
    <w:rsid w:val="0084164E"/>
    <w:rsid w:val="00841A86"/>
    <w:rsid w:val="00842B4F"/>
    <w:rsid w:val="00844C54"/>
    <w:rsid w:val="00845AFE"/>
    <w:rsid w:val="00861527"/>
    <w:rsid w:val="00863919"/>
    <w:rsid w:val="00864148"/>
    <w:rsid w:val="008642DE"/>
    <w:rsid w:val="0086586D"/>
    <w:rsid w:val="00866080"/>
    <w:rsid w:val="00866FCD"/>
    <w:rsid w:val="00867EA1"/>
    <w:rsid w:val="00870024"/>
    <w:rsid w:val="00870708"/>
    <w:rsid w:val="008803C1"/>
    <w:rsid w:val="00880440"/>
    <w:rsid w:val="00882B7A"/>
    <w:rsid w:val="00885952"/>
    <w:rsid w:val="00885F24"/>
    <w:rsid w:val="008863EA"/>
    <w:rsid w:val="00886873"/>
    <w:rsid w:val="00887C0E"/>
    <w:rsid w:val="00893442"/>
    <w:rsid w:val="008954B2"/>
    <w:rsid w:val="00896389"/>
    <w:rsid w:val="00896EA2"/>
    <w:rsid w:val="008A1093"/>
    <w:rsid w:val="008A2F41"/>
    <w:rsid w:val="008A4387"/>
    <w:rsid w:val="008A4553"/>
    <w:rsid w:val="008A6685"/>
    <w:rsid w:val="008B190A"/>
    <w:rsid w:val="008B4A70"/>
    <w:rsid w:val="008B4BD8"/>
    <w:rsid w:val="008B4D66"/>
    <w:rsid w:val="008B6085"/>
    <w:rsid w:val="008B7365"/>
    <w:rsid w:val="008B73DC"/>
    <w:rsid w:val="008C7E7D"/>
    <w:rsid w:val="008D19E0"/>
    <w:rsid w:val="008D5814"/>
    <w:rsid w:val="008D6B91"/>
    <w:rsid w:val="008D78BB"/>
    <w:rsid w:val="008E2AC3"/>
    <w:rsid w:val="008E2E5A"/>
    <w:rsid w:val="008E3206"/>
    <w:rsid w:val="008E7989"/>
    <w:rsid w:val="008F113F"/>
    <w:rsid w:val="008F1BA2"/>
    <w:rsid w:val="008F1D9A"/>
    <w:rsid w:val="008F2715"/>
    <w:rsid w:val="008F2942"/>
    <w:rsid w:val="008F4A37"/>
    <w:rsid w:val="008F54CB"/>
    <w:rsid w:val="008F54DC"/>
    <w:rsid w:val="00900E3A"/>
    <w:rsid w:val="00900F08"/>
    <w:rsid w:val="00901D9C"/>
    <w:rsid w:val="00901E3F"/>
    <w:rsid w:val="0090217B"/>
    <w:rsid w:val="00902332"/>
    <w:rsid w:val="0090242F"/>
    <w:rsid w:val="00903462"/>
    <w:rsid w:val="009049C6"/>
    <w:rsid w:val="009060DA"/>
    <w:rsid w:val="009069C6"/>
    <w:rsid w:val="00907116"/>
    <w:rsid w:val="0090770F"/>
    <w:rsid w:val="00910112"/>
    <w:rsid w:val="009122E5"/>
    <w:rsid w:val="00912C65"/>
    <w:rsid w:val="00913025"/>
    <w:rsid w:val="00915579"/>
    <w:rsid w:val="009159F2"/>
    <w:rsid w:val="00922634"/>
    <w:rsid w:val="00925FC7"/>
    <w:rsid w:val="009269A2"/>
    <w:rsid w:val="009314C2"/>
    <w:rsid w:val="00934A1E"/>
    <w:rsid w:val="00934BC3"/>
    <w:rsid w:val="0093740B"/>
    <w:rsid w:val="00941951"/>
    <w:rsid w:val="00941B51"/>
    <w:rsid w:val="00942147"/>
    <w:rsid w:val="00944596"/>
    <w:rsid w:val="009455FD"/>
    <w:rsid w:val="0094584E"/>
    <w:rsid w:val="00950B12"/>
    <w:rsid w:val="0095142C"/>
    <w:rsid w:val="00951588"/>
    <w:rsid w:val="00951F04"/>
    <w:rsid w:val="00952304"/>
    <w:rsid w:val="0095591D"/>
    <w:rsid w:val="009564E0"/>
    <w:rsid w:val="009573EA"/>
    <w:rsid w:val="009600A6"/>
    <w:rsid w:val="00960D57"/>
    <w:rsid w:val="0096190B"/>
    <w:rsid w:val="009623F0"/>
    <w:rsid w:val="00962A14"/>
    <w:rsid w:val="00963C82"/>
    <w:rsid w:val="00966498"/>
    <w:rsid w:val="00971B37"/>
    <w:rsid w:val="00973C9E"/>
    <w:rsid w:val="00973F2E"/>
    <w:rsid w:val="0097717A"/>
    <w:rsid w:val="009774AC"/>
    <w:rsid w:val="00981204"/>
    <w:rsid w:val="009840BA"/>
    <w:rsid w:val="00985779"/>
    <w:rsid w:val="00986D7A"/>
    <w:rsid w:val="009924F6"/>
    <w:rsid w:val="00992676"/>
    <w:rsid w:val="00992B72"/>
    <w:rsid w:val="00994596"/>
    <w:rsid w:val="00994C39"/>
    <w:rsid w:val="00994DC4"/>
    <w:rsid w:val="00997CDC"/>
    <w:rsid w:val="009A2AB8"/>
    <w:rsid w:val="009A3C76"/>
    <w:rsid w:val="009A45A4"/>
    <w:rsid w:val="009A4FB5"/>
    <w:rsid w:val="009B09F5"/>
    <w:rsid w:val="009B0FCB"/>
    <w:rsid w:val="009B1FAF"/>
    <w:rsid w:val="009B24A1"/>
    <w:rsid w:val="009B2870"/>
    <w:rsid w:val="009B4376"/>
    <w:rsid w:val="009B766A"/>
    <w:rsid w:val="009B7B17"/>
    <w:rsid w:val="009B7C6A"/>
    <w:rsid w:val="009C11E6"/>
    <w:rsid w:val="009C16DF"/>
    <w:rsid w:val="009C49EB"/>
    <w:rsid w:val="009C750F"/>
    <w:rsid w:val="009D2CE9"/>
    <w:rsid w:val="009D7242"/>
    <w:rsid w:val="009E235D"/>
    <w:rsid w:val="009E478E"/>
    <w:rsid w:val="009E496A"/>
    <w:rsid w:val="009E5A62"/>
    <w:rsid w:val="009E6BDC"/>
    <w:rsid w:val="009E7918"/>
    <w:rsid w:val="009F0AB3"/>
    <w:rsid w:val="009F3D82"/>
    <w:rsid w:val="009F6C88"/>
    <w:rsid w:val="00A01AE9"/>
    <w:rsid w:val="00A0371A"/>
    <w:rsid w:val="00A06DF1"/>
    <w:rsid w:val="00A115CA"/>
    <w:rsid w:val="00A119C6"/>
    <w:rsid w:val="00A122B3"/>
    <w:rsid w:val="00A13F65"/>
    <w:rsid w:val="00A14744"/>
    <w:rsid w:val="00A179F9"/>
    <w:rsid w:val="00A2069C"/>
    <w:rsid w:val="00A21093"/>
    <w:rsid w:val="00A22B25"/>
    <w:rsid w:val="00A233C2"/>
    <w:rsid w:val="00A2389D"/>
    <w:rsid w:val="00A23C83"/>
    <w:rsid w:val="00A245BF"/>
    <w:rsid w:val="00A25B30"/>
    <w:rsid w:val="00A2612F"/>
    <w:rsid w:val="00A262F5"/>
    <w:rsid w:val="00A35F34"/>
    <w:rsid w:val="00A40C1F"/>
    <w:rsid w:val="00A4225B"/>
    <w:rsid w:val="00A44EA0"/>
    <w:rsid w:val="00A45108"/>
    <w:rsid w:val="00A47A97"/>
    <w:rsid w:val="00A500B5"/>
    <w:rsid w:val="00A51950"/>
    <w:rsid w:val="00A52788"/>
    <w:rsid w:val="00A536F6"/>
    <w:rsid w:val="00A53E3B"/>
    <w:rsid w:val="00A55095"/>
    <w:rsid w:val="00A55571"/>
    <w:rsid w:val="00A56503"/>
    <w:rsid w:val="00A56854"/>
    <w:rsid w:val="00A56B15"/>
    <w:rsid w:val="00A57575"/>
    <w:rsid w:val="00A57C36"/>
    <w:rsid w:val="00A60873"/>
    <w:rsid w:val="00A61995"/>
    <w:rsid w:val="00A66511"/>
    <w:rsid w:val="00A67336"/>
    <w:rsid w:val="00A67BE5"/>
    <w:rsid w:val="00A67C29"/>
    <w:rsid w:val="00A70782"/>
    <w:rsid w:val="00A70841"/>
    <w:rsid w:val="00A724A1"/>
    <w:rsid w:val="00A73B4B"/>
    <w:rsid w:val="00A74207"/>
    <w:rsid w:val="00A769EE"/>
    <w:rsid w:val="00A82FF7"/>
    <w:rsid w:val="00A84528"/>
    <w:rsid w:val="00A86AB2"/>
    <w:rsid w:val="00A8749E"/>
    <w:rsid w:val="00A87998"/>
    <w:rsid w:val="00A91E47"/>
    <w:rsid w:val="00A937C6"/>
    <w:rsid w:val="00A96CE9"/>
    <w:rsid w:val="00AA0BAA"/>
    <w:rsid w:val="00AA22D8"/>
    <w:rsid w:val="00AA3BB7"/>
    <w:rsid w:val="00AA4392"/>
    <w:rsid w:val="00AA4EEC"/>
    <w:rsid w:val="00AB07F8"/>
    <w:rsid w:val="00AB104F"/>
    <w:rsid w:val="00AB1C97"/>
    <w:rsid w:val="00AB1D1A"/>
    <w:rsid w:val="00AB3FFD"/>
    <w:rsid w:val="00AB4199"/>
    <w:rsid w:val="00AB4231"/>
    <w:rsid w:val="00AB767F"/>
    <w:rsid w:val="00AC0850"/>
    <w:rsid w:val="00AC36AF"/>
    <w:rsid w:val="00AC3C72"/>
    <w:rsid w:val="00AC4F1E"/>
    <w:rsid w:val="00AD0007"/>
    <w:rsid w:val="00AD2AED"/>
    <w:rsid w:val="00AD4F7F"/>
    <w:rsid w:val="00AD6482"/>
    <w:rsid w:val="00AD7F52"/>
    <w:rsid w:val="00AE1132"/>
    <w:rsid w:val="00AE1A54"/>
    <w:rsid w:val="00AE279E"/>
    <w:rsid w:val="00AE3EB8"/>
    <w:rsid w:val="00AE47F6"/>
    <w:rsid w:val="00AE490E"/>
    <w:rsid w:val="00AE62E3"/>
    <w:rsid w:val="00AE7DF6"/>
    <w:rsid w:val="00AF5D49"/>
    <w:rsid w:val="00B012E2"/>
    <w:rsid w:val="00B024DB"/>
    <w:rsid w:val="00B03379"/>
    <w:rsid w:val="00B0343B"/>
    <w:rsid w:val="00B06E7C"/>
    <w:rsid w:val="00B111F1"/>
    <w:rsid w:val="00B1132D"/>
    <w:rsid w:val="00B11EC1"/>
    <w:rsid w:val="00B12EA3"/>
    <w:rsid w:val="00B135E4"/>
    <w:rsid w:val="00B16193"/>
    <w:rsid w:val="00B164A5"/>
    <w:rsid w:val="00B20F0E"/>
    <w:rsid w:val="00B2227E"/>
    <w:rsid w:val="00B235D2"/>
    <w:rsid w:val="00B23D75"/>
    <w:rsid w:val="00B23E8E"/>
    <w:rsid w:val="00B2511F"/>
    <w:rsid w:val="00B258CD"/>
    <w:rsid w:val="00B275C8"/>
    <w:rsid w:val="00B27D0A"/>
    <w:rsid w:val="00B305CA"/>
    <w:rsid w:val="00B3150D"/>
    <w:rsid w:val="00B31DA5"/>
    <w:rsid w:val="00B326A2"/>
    <w:rsid w:val="00B326D5"/>
    <w:rsid w:val="00B3297A"/>
    <w:rsid w:val="00B333DB"/>
    <w:rsid w:val="00B363DD"/>
    <w:rsid w:val="00B36647"/>
    <w:rsid w:val="00B36690"/>
    <w:rsid w:val="00B37CB8"/>
    <w:rsid w:val="00B40483"/>
    <w:rsid w:val="00B4169A"/>
    <w:rsid w:val="00B41D4C"/>
    <w:rsid w:val="00B422AB"/>
    <w:rsid w:val="00B43D4D"/>
    <w:rsid w:val="00B50CCD"/>
    <w:rsid w:val="00B51D06"/>
    <w:rsid w:val="00B57196"/>
    <w:rsid w:val="00B574E3"/>
    <w:rsid w:val="00B57A99"/>
    <w:rsid w:val="00B6156E"/>
    <w:rsid w:val="00B6394A"/>
    <w:rsid w:val="00B65DB7"/>
    <w:rsid w:val="00B66541"/>
    <w:rsid w:val="00B6757A"/>
    <w:rsid w:val="00B67D73"/>
    <w:rsid w:val="00B7073A"/>
    <w:rsid w:val="00B738F1"/>
    <w:rsid w:val="00B7415F"/>
    <w:rsid w:val="00B75347"/>
    <w:rsid w:val="00B75D7B"/>
    <w:rsid w:val="00B761B6"/>
    <w:rsid w:val="00B82F2E"/>
    <w:rsid w:val="00B85180"/>
    <w:rsid w:val="00B853E5"/>
    <w:rsid w:val="00B926EF"/>
    <w:rsid w:val="00B93837"/>
    <w:rsid w:val="00B9399E"/>
    <w:rsid w:val="00B9747A"/>
    <w:rsid w:val="00BA0837"/>
    <w:rsid w:val="00BA188C"/>
    <w:rsid w:val="00BA2085"/>
    <w:rsid w:val="00BA4085"/>
    <w:rsid w:val="00BA4643"/>
    <w:rsid w:val="00BA4D4E"/>
    <w:rsid w:val="00BA68BF"/>
    <w:rsid w:val="00BB2294"/>
    <w:rsid w:val="00BB33E8"/>
    <w:rsid w:val="00BB4AC2"/>
    <w:rsid w:val="00BB6513"/>
    <w:rsid w:val="00BB718B"/>
    <w:rsid w:val="00BC2D07"/>
    <w:rsid w:val="00BC2D84"/>
    <w:rsid w:val="00BC2ECE"/>
    <w:rsid w:val="00BC3229"/>
    <w:rsid w:val="00BC391B"/>
    <w:rsid w:val="00BC628A"/>
    <w:rsid w:val="00BD0770"/>
    <w:rsid w:val="00BD1394"/>
    <w:rsid w:val="00BD2A9E"/>
    <w:rsid w:val="00BD6FBF"/>
    <w:rsid w:val="00BE1035"/>
    <w:rsid w:val="00BE345B"/>
    <w:rsid w:val="00BE35A8"/>
    <w:rsid w:val="00BE4C77"/>
    <w:rsid w:val="00BE5E4B"/>
    <w:rsid w:val="00BE60BD"/>
    <w:rsid w:val="00BE652F"/>
    <w:rsid w:val="00BF02C6"/>
    <w:rsid w:val="00BF12BB"/>
    <w:rsid w:val="00BF27D8"/>
    <w:rsid w:val="00BF521C"/>
    <w:rsid w:val="00BF5935"/>
    <w:rsid w:val="00BF5EFF"/>
    <w:rsid w:val="00BF7067"/>
    <w:rsid w:val="00BF77DE"/>
    <w:rsid w:val="00BF7B2E"/>
    <w:rsid w:val="00C001BB"/>
    <w:rsid w:val="00C05C21"/>
    <w:rsid w:val="00C10850"/>
    <w:rsid w:val="00C12767"/>
    <w:rsid w:val="00C12F2B"/>
    <w:rsid w:val="00C16221"/>
    <w:rsid w:val="00C1686E"/>
    <w:rsid w:val="00C21700"/>
    <w:rsid w:val="00C2349B"/>
    <w:rsid w:val="00C23A87"/>
    <w:rsid w:val="00C23D84"/>
    <w:rsid w:val="00C25132"/>
    <w:rsid w:val="00C25A85"/>
    <w:rsid w:val="00C27A78"/>
    <w:rsid w:val="00C315FB"/>
    <w:rsid w:val="00C3216D"/>
    <w:rsid w:val="00C32386"/>
    <w:rsid w:val="00C329FE"/>
    <w:rsid w:val="00C346D2"/>
    <w:rsid w:val="00C35285"/>
    <w:rsid w:val="00C37113"/>
    <w:rsid w:val="00C43FF8"/>
    <w:rsid w:val="00C476DD"/>
    <w:rsid w:val="00C51935"/>
    <w:rsid w:val="00C51C52"/>
    <w:rsid w:val="00C53C2F"/>
    <w:rsid w:val="00C54B68"/>
    <w:rsid w:val="00C56BD6"/>
    <w:rsid w:val="00C60FEF"/>
    <w:rsid w:val="00C61B34"/>
    <w:rsid w:val="00C6315B"/>
    <w:rsid w:val="00C64F40"/>
    <w:rsid w:val="00C67535"/>
    <w:rsid w:val="00C70AB4"/>
    <w:rsid w:val="00C72F68"/>
    <w:rsid w:val="00C74DE7"/>
    <w:rsid w:val="00C750C4"/>
    <w:rsid w:val="00C75524"/>
    <w:rsid w:val="00C7636F"/>
    <w:rsid w:val="00C7765A"/>
    <w:rsid w:val="00C81F16"/>
    <w:rsid w:val="00C8212A"/>
    <w:rsid w:val="00C86912"/>
    <w:rsid w:val="00C901F3"/>
    <w:rsid w:val="00C90848"/>
    <w:rsid w:val="00C92606"/>
    <w:rsid w:val="00C92806"/>
    <w:rsid w:val="00C930BC"/>
    <w:rsid w:val="00C94D81"/>
    <w:rsid w:val="00C94F7B"/>
    <w:rsid w:val="00CA2296"/>
    <w:rsid w:val="00CA2479"/>
    <w:rsid w:val="00CA4DF1"/>
    <w:rsid w:val="00CB0762"/>
    <w:rsid w:val="00CB3CB6"/>
    <w:rsid w:val="00CB61EE"/>
    <w:rsid w:val="00CB644E"/>
    <w:rsid w:val="00CB6B89"/>
    <w:rsid w:val="00CB6B8E"/>
    <w:rsid w:val="00CB775F"/>
    <w:rsid w:val="00CC0849"/>
    <w:rsid w:val="00CC08BC"/>
    <w:rsid w:val="00CC0EF2"/>
    <w:rsid w:val="00CC0F56"/>
    <w:rsid w:val="00CC315A"/>
    <w:rsid w:val="00CD0400"/>
    <w:rsid w:val="00CD4337"/>
    <w:rsid w:val="00CD4614"/>
    <w:rsid w:val="00CD55A1"/>
    <w:rsid w:val="00CD57E8"/>
    <w:rsid w:val="00CD5B68"/>
    <w:rsid w:val="00CD6893"/>
    <w:rsid w:val="00CD6B1C"/>
    <w:rsid w:val="00CE178B"/>
    <w:rsid w:val="00CE5273"/>
    <w:rsid w:val="00CE64E8"/>
    <w:rsid w:val="00CE7259"/>
    <w:rsid w:val="00CE7707"/>
    <w:rsid w:val="00CF07D0"/>
    <w:rsid w:val="00CF2167"/>
    <w:rsid w:val="00CF40F6"/>
    <w:rsid w:val="00CF4551"/>
    <w:rsid w:val="00D0102C"/>
    <w:rsid w:val="00D01BE9"/>
    <w:rsid w:val="00D03746"/>
    <w:rsid w:val="00D04605"/>
    <w:rsid w:val="00D07D2E"/>
    <w:rsid w:val="00D12891"/>
    <w:rsid w:val="00D13B37"/>
    <w:rsid w:val="00D168D5"/>
    <w:rsid w:val="00D16D50"/>
    <w:rsid w:val="00D2024B"/>
    <w:rsid w:val="00D2115D"/>
    <w:rsid w:val="00D21E79"/>
    <w:rsid w:val="00D22041"/>
    <w:rsid w:val="00D244E5"/>
    <w:rsid w:val="00D271A2"/>
    <w:rsid w:val="00D27B2D"/>
    <w:rsid w:val="00D30A46"/>
    <w:rsid w:val="00D318B4"/>
    <w:rsid w:val="00D32978"/>
    <w:rsid w:val="00D32A7F"/>
    <w:rsid w:val="00D33412"/>
    <w:rsid w:val="00D33C0A"/>
    <w:rsid w:val="00D401CD"/>
    <w:rsid w:val="00D43EE7"/>
    <w:rsid w:val="00D440EB"/>
    <w:rsid w:val="00D44177"/>
    <w:rsid w:val="00D4519F"/>
    <w:rsid w:val="00D4649B"/>
    <w:rsid w:val="00D476AB"/>
    <w:rsid w:val="00D47C8B"/>
    <w:rsid w:val="00D50DBF"/>
    <w:rsid w:val="00D52C0A"/>
    <w:rsid w:val="00D53B93"/>
    <w:rsid w:val="00D5534A"/>
    <w:rsid w:val="00D57079"/>
    <w:rsid w:val="00D6430C"/>
    <w:rsid w:val="00D65022"/>
    <w:rsid w:val="00D65D7A"/>
    <w:rsid w:val="00D66111"/>
    <w:rsid w:val="00D665C9"/>
    <w:rsid w:val="00D700F0"/>
    <w:rsid w:val="00D70F24"/>
    <w:rsid w:val="00D71632"/>
    <w:rsid w:val="00D71995"/>
    <w:rsid w:val="00D74763"/>
    <w:rsid w:val="00D831B8"/>
    <w:rsid w:val="00D833AE"/>
    <w:rsid w:val="00D858BA"/>
    <w:rsid w:val="00D858E0"/>
    <w:rsid w:val="00D85BC2"/>
    <w:rsid w:val="00D86126"/>
    <w:rsid w:val="00D87368"/>
    <w:rsid w:val="00D87751"/>
    <w:rsid w:val="00D901A8"/>
    <w:rsid w:val="00D95181"/>
    <w:rsid w:val="00D971B1"/>
    <w:rsid w:val="00DA04A2"/>
    <w:rsid w:val="00DA18F4"/>
    <w:rsid w:val="00DA3602"/>
    <w:rsid w:val="00DA7246"/>
    <w:rsid w:val="00DA7638"/>
    <w:rsid w:val="00DB0B89"/>
    <w:rsid w:val="00DB100F"/>
    <w:rsid w:val="00DB1427"/>
    <w:rsid w:val="00DC3080"/>
    <w:rsid w:val="00DC5625"/>
    <w:rsid w:val="00DC5927"/>
    <w:rsid w:val="00DD0CC4"/>
    <w:rsid w:val="00DD0F8A"/>
    <w:rsid w:val="00DD158F"/>
    <w:rsid w:val="00DD1F3A"/>
    <w:rsid w:val="00DD2FF5"/>
    <w:rsid w:val="00DD4443"/>
    <w:rsid w:val="00DD4E7B"/>
    <w:rsid w:val="00DD670C"/>
    <w:rsid w:val="00DD78B6"/>
    <w:rsid w:val="00DE0751"/>
    <w:rsid w:val="00DE29C5"/>
    <w:rsid w:val="00DE3C07"/>
    <w:rsid w:val="00DE53EF"/>
    <w:rsid w:val="00DF0C6C"/>
    <w:rsid w:val="00DF355C"/>
    <w:rsid w:val="00DF5D5E"/>
    <w:rsid w:val="00E0346D"/>
    <w:rsid w:val="00E05AF5"/>
    <w:rsid w:val="00E0687B"/>
    <w:rsid w:val="00E07005"/>
    <w:rsid w:val="00E171A1"/>
    <w:rsid w:val="00E17ED4"/>
    <w:rsid w:val="00E20FC1"/>
    <w:rsid w:val="00E22160"/>
    <w:rsid w:val="00E2234E"/>
    <w:rsid w:val="00E223F9"/>
    <w:rsid w:val="00E22BA5"/>
    <w:rsid w:val="00E22C98"/>
    <w:rsid w:val="00E22F4F"/>
    <w:rsid w:val="00E232EE"/>
    <w:rsid w:val="00E257E3"/>
    <w:rsid w:val="00E30BF1"/>
    <w:rsid w:val="00E3233D"/>
    <w:rsid w:val="00E33004"/>
    <w:rsid w:val="00E34120"/>
    <w:rsid w:val="00E34613"/>
    <w:rsid w:val="00E34DDB"/>
    <w:rsid w:val="00E3660F"/>
    <w:rsid w:val="00E3743A"/>
    <w:rsid w:val="00E376C3"/>
    <w:rsid w:val="00E4022C"/>
    <w:rsid w:val="00E40372"/>
    <w:rsid w:val="00E41CB3"/>
    <w:rsid w:val="00E41ED5"/>
    <w:rsid w:val="00E42C2C"/>
    <w:rsid w:val="00E43533"/>
    <w:rsid w:val="00E43D65"/>
    <w:rsid w:val="00E43F1C"/>
    <w:rsid w:val="00E448C0"/>
    <w:rsid w:val="00E47063"/>
    <w:rsid w:val="00E50082"/>
    <w:rsid w:val="00E51414"/>
    <w:rsid w:val="00E51832"/>
    <w:rsid w:val="00E51843"/>
    <w:rsid w:val="00E5395E"/>
    <w:rsid w:val="00E54C4D"/>
    <w:rsid w:val="00E55346"/>
    <w:rsid w:val="00E568EC"/>
    <w:rsid w:val="00E57090"/>
    <w:rsid w:val="00E61AE4"/>
    <w:rsid w:val="00E61FC2"/>
    <w:rsid w:val="00E620E4"/>
    <w:rsid w:val="00E64240"/>
    <w:rsid w:val="00E64466"/>
    <w:rsid w:val="00E663F5"/>
    <w:rsid w:val="00E700D7"/>
    <w:rsid w:val="00E709D7"/>
    <w:rsid w:val="00E713C3"/>
    <w:rsid w:val="00E73C69"/>
    <w:rsid w:val="00E76A94"/>
    <w:rsid w:val="00E81445"/>
    <w:rsid w:val="00E81773"/>
    <w:rsid w:val="00E82E5B"/>
    <w:rsid w:val="00E83F7D"/>
    <w:rsid w:val="00E84464"/>
    <w:rsid w:val="00E85649"/>
    <w:rsid w:val="00E86EB1"/>
    <w:rsid w:val="00E91D8D"/>
    <w:rsid w:val="00E932AE"/>
    <w:rsid w:val="00E94278"/>
    <w:rsid w:val="00E94547"/>
    <w:rsid w:val="00E950F5"/>
    <w:rsid w:val="00E96DAC"/>
    <w:rsid w:val="00EA213E"/>
    <w:rsid w:val="00EA2E42"/>
    <w:rsid w:val="00EA48CA"/>
    <w:rsid w:val="00EA5C50"/>
    <w:rsid w:val="00EB3030"/>
    <w:rsid w:val="00EB30F2"/>
    <w:rsid w:val="00EB46D5"/>
    <w:rsid w:val="00EB69D1"/>
    <w:rsid w:val="00EB7137"/>
    <w:rsid w:val="00EB7580"/>
    <w:rsid w:val="00EB7B8D"/>
    <w:rsid w:val="00EC0C37"/>
    <w:rsid w:val="00EC1171"/>
    <w:rsid w:val="00EC21F5"/>
    <w:rsid w:val="00EC2CC0"/>
    <w:rsid w:val="00EC3109"/>
    <w:rsid w:val="00EC4009"/>
    <w:rsid w:val="00EC778B"/>
    <w:rsid w:val="00ED20AE"/>
    <w:rsid w:val="00ED28EE"/>
    <w:rsid w:val="00ED3C53"/>
    <w:rsid w:val="00ED4BDC"/>
    <w:rsid w:val="00ED59F7"/>
    <w:rsid w:val="00EE21CB"/>
    <w:rsid w:val="00EE2D4F"/>
    <w:rsid w:val="00EE5882"/>
    <w:rsid w:val="00EE6D88"/>
    <w:rsid w:val="00EE6E90"/>
    <w:rsid w:val="00EE7CD0"/>
    <w:rsid w:val="00EF1126"/>
    <w:rsid w:val="00EF2C8F"/>
    <w:rsid w:val="00EF4F4D"/>
    <w:rsid w:val="00EF5365"/>
    <w:rsid w:val="00EF6816"/>
    <w:rsid w:val="00EF6821"/>
    <w:rsid w:val="00EF6965"/>
    <w:rsid w:val="00EF7AC0"/>
    <w:rsid w:val="00F0295D"/>
    <w:rsid w:val="00F02F41"/>
    <w:rsid w:val="00F051C7"/>
    <w:rsid w:val="00F05457"/>
    <w:rsid w:val="00F05568"/>
    <w:rsid w:val="00F134F6"/>
    <w:rsid w:val="00F13610"/>
    <w:rsid w:val="00F14461"/>
    <w:rsid w:val="00F14AED"/>
    <w:rsid w:val="00F153F4"/>
    <w:rsid w:val="00F21C38"/>
    <w:rsid w:val="00F22DCB"/>
    <w:rsid w:val="00F23CE6"/>
    <w:rsid w:val="00F262A3"/>
    <w:rsid w:val="00F304E6"/>
    <w:rsid w:val="00F31E4E"/>
    <w:rsid w:val="00F3240E"/>
    <w:rsid w:val="00F32950"/>
    <w:rsid w:val="00F33F8D"/>
    <w:rsid w:val="00F35B23"/>
    <w:rsid w:val="00F40E09"/>
    <w:rsid w:val="00F4191A"/>
    <w:rsid w:val="00F431B7"/>
    <w:rsid w:val="00F45C8B"/>
    <w:rsid w:val="00F476DC"/>
    <w:rsid w:val="00F51B8E"/>
    <w:rsid w:val="00F522AA"/>
    <w:rsid w:val="00F52734"/>
    <w:rsid w:val="00F541C1"/>
    <w:rsid w:val="00F55A44"/>
    <w:rsid w:val="00F57974"/>
    <w:rsid w:val="00F60CA1"/>
    <w:rsid w:val="00F614AD"/>
    <w:rsid w:val="00F62043"/>
    <w:rsid w:val="00F622C3"/>
    <w:rsid w:val="00F63CFE"/>
    <w:rsid w:val="00F63DEC"/>
    <w:rsid w:val="00F67818"/>
    <w:rsid w:val="00F70B4E"/>
    <w:rsid w:val="00F71D7D"/>
    <w:rsid w:val="00F7318B"/>
    <w:rsid w:val="00F761C9"/>
    <w:rsid w:val="00F768F1"/>
    <w:rsid w:val="00F76C02"/>
    <w:rsid w:val="00F81D7D"/>
    <w:rsid w:val="00F82D5F"/>
    <w:rsid w:val="00F849D5"/>
    <w:rsid w:val="00F84B55"/>
    <w:rsid w:val="00F84D3E"/>
    <w:rsid w:val="00F859EE"/>
    <w:rsid w:val="00F85DB6"/>
    <w:rsid w:val="00F87D56"/>
    <w:rsid w:val="00F90AA2"/>
    <w:rsid w:val="00F92835"/>
    <w:rsid w:val="00F9314A"/>
    <w:rsid w:val="00F9518B"/>
    <w:rsid w:val="00F95EB0"/>
    <w:rsid w:val="00F961D0"/>
    <w:rsid w:val="00FA0096"/>
    <w:rsid w:val="00FA0552"/>
    <w:rsid w:val="00FA539B"/>
    <w:rsid w:val="00FA6C2B"/>
    <w:rsid w:val="00FA7201"/>
    <w:rsid w:val="00FA7640"/>
    <w:rsid w:val="00FA7B55"/>
    <w:rsid w:val="00FB0293"/>
    <w:rsid w:val="00FB1559"/>
    <w:rsid w:val="00FB4893"/>
    <w:rsid w:val="00FB4E21"/>
    <w:rsid w:val="00FB6D04"/>
    <w:rsid w:val="00FB7A68"/>
    <w:rsid w:val="00FC0CA1"/>
    <w:rsid w:val="00FC10B9"/>
    <w:rsid w:val="00FC3B42"/>
    <w:rsid w:val="00FC3DBA"/>
    <w:rsid w:val="00FC4FF7"/>
    <w:rsid w:val="00FD0036"/>
    <w:rsid w:val="00FD0C65"/>
    <w:rsid w:val="00FD1270"/>
    <w:rsid w:val="00FD1983"/>
    <w:rsid w:val="00FD305C"/>
    <w:rsid w:val="00FD420B"/>
    <w:rsid w:val="00FD639D"/>
    <w:rsid w:val="00FD7C39"/>
    <w:rsid w:val="00FD7FD2"/>
    <w:rsid w:val="00FE02A5"/>
    <w:rsid w:val="00FE110E"/>
    <w:rsid w:val="00FE1143"/>
    <w:rsid w:val="00FE24A3"/>
    <w:rsid w:val="00FE343E"/>
    <w:rsid w:val="00FE3461"/>
    <w:rsid w:val="00FE366B"/>
    <w:rsid w:val="00FE3B0B"/>
    <w:rsid w:val="00FE423D"/>
    <w:rsid w:val="00FE43D1"/>
    <w:rsid w:val="00FE4C72"/>
    <w:rsid w:val="00FF00E5"/>
    <w:rsid w:val="00FF010C"/>
    <w:rsid w:val="00FF03D1"/>
    <w:rsid w:val="00FF2F84"/>
    <w:rsid w:val="00FF3467"/>
    <w:rsid w:val="00FF4AF2"/>
    <w:rsid w:val="00FF7193"/>
    <w:rsid w:val="02790232"/>
    <w:rsid w:val="09D83D6B"/>
    <w:rsid w:val="1325F893"/>
    <w:rsid w:val="176B1B22"/>
    <w:rsid w:val="2155C567"/>
    <w:rsid w:val="25F9A952"/>
    <w:rsid w:val="29B4DEFE"/>
    <w:rsid w:val="2DE3E656"/>
    <w:rsid w:val="3704F0D5"/>
    <w:rsid w:val="41534A0C"/>
    <w:rsid w:val="444AEC0D"/>
    <w:rsid w:val="459A0ACA"/>
    <w:rsid w:val="46F43E3B"/>
    <w:rsid w:val="5DFF6E1A"/>
    <w:rsid w:val="6F013480"/>
    <w:rsid w:val="79B2D707"/>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1"/>
    </o:shapelayout>
  </w:shapeDefaults>
  <w:decimalSymbol w:val=","/>
  <w:listSeparator w:val=";"/>
  <w14:docId w14:val="27E17D2F"/>
  <w15:docId w15:val="{738305E0-47C4-44D5-A3B0-C7FAA19124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link w:val="Ttulo1Char"/>
    <w:uiPriority w:val="9"/>
    <w:qFormat/>
    <w:rsid w:val="009C49E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Ttulo2">
    <w:name w:val="heading 2"/>
    <w:basedOn w:val="Normal"/>
    <w:next w:val="Normal"/>
    <w:link w:val="Ttulo2Char"/>
    <w:uiPriority w:val="9"/>
    <w:semiHidden/>
    <w:unhideWhenUsed/>
    <w:qFormat/>
    <w:rsid w:val="007D2FA2"/>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4A3595"/>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4A3595"/>
    <w:rPr>
      <w:rFonts w:ascii="Segoe UI" w:hAnsi="Segoe UI" w:cs="Segoe UI"/>
      <w:sz w:val="18"/>
      <w:szCs w:val="18"/>
    </w:rPr>
  </w:style>
  <w:style w:type="paragraph" w:customStyle="1" w:styleId="Default">
    <w:name w:val="Default"/>
    <w:rsid w:val="00F40E09"/>
    <w:pPr>
      <w:autoSpaceDE w:val="0"/>
      <w:autoSpaceDN w:val="0"/>
      <w:adjustRightInd w:val="0"/>
      <w:spacing w:after="0" w:line="240" w:lineRule="auto"/>
    </w:pPr>
    <w:rPr>
      <w:rFonts w:ascii="Times New Roman" w:hAnsi="Times New Roman" w:cs="Times New Roman"/>
      <w:color w:val="000000"/>
      <w:sz w:val="24"/>
      <w:szCs w:val="24"/>
    </w:rPr>
  </w:style>
  <w:style w:type="character" w:styleId="Refdecomentrio">
    <w:name w:val="annotation reference"/>
    <w:basedOn w:val="Fontepargpadro"/>
    <w:uiPriority w:val="99"/>
    <w:semiHidden/>
    <w:unhideWhenUsed/>
    <w:rsid w:val="001507A7"/>
    <w:rPr>
      <w:sz w:val="16"/>
      <w:szCs w:val="16"/>
    </w:rPr>
  </w:style>
  <w:style w:type="paragraph" w:styleId="Textodecomentrio">
    <w:name w:val="annotation text"/>
    <w:basedOn w:val="Normal"/>
    <w:link w:val="TextodecomentrioChar"/>
    <w:uiPriority w:val="99"/>
    <w:unhideWhenUsed/>
    <w:rsid w:val="001507A7"/>
    <w:pPr>
      <w:spacing w:line="240" w:lineRule="auto"/>
    </w:pPr>
    <w:rPr>
      <w:sz w:val="20"/>
      <w:szCs w:val="20"/>
    </w:rPr>
  </w:style>
  <w:style w:type="character" w:customStyle="1" w:styleId="TextodecomentrioChar">
    <w:name w:val="Texto de comentário Char"/>
    <w:basedOn w:val="Fontepargpadro"/>
    <w:link w:val="Textodecomentrio"/>
    <w:uiPriority w:val="99"/>
    <w:rsid w:val="001507A7"/>
    <w:rPr>
      <w:sz w:val="20"/>
      <w:szCs w:val="20"/>
    </w:rPr>
  </w:style>
  <w:style w:type="paragraph" w:styleId="Assuntodocomentrio">
    <w:name w:val="annotation subject"/>
    <w:basedOn w:val="Textodecomentrio"/>
    <w:next w:val="Textodecomentrio"/>
    <w:link w:val="AssuntodocomentrioChar"/>
    <w:uiPriority w:val="99"/>
    <w:semiHidden/>
    <w:unhideWhenUsed/>
    <w:rsid w:val="001507A7"/>
    <w:rPr>
      <w:b/>
      <w:bCs/>
    </w:rPr>
  </w:style>
  <w:style w:type="character" w:customStyle="1" w:styleId="AssuntodocomentrioChar">
    <w:name w:val="Assunto do comentário Char"/>
    <w:basedOn w:val="TextodecomentrioChar"/>
    <w:link w:val="Assuntodocomentrio"/>
    <w:uiPriority w:val="99"/>
    <w:semiHidden/>
    <w:rsid w:val="001507A7"/>
    <w:rPr>
      <w:b/>
      <w:bCs/>
      <w:sz w:val="20"/>
      <w:szCs w:val="20"/>
    </w:rPr>
  </w:style>
  <w:style w:type="paragraph" w:styleId="PargrafodaLista">
    <w:name w:val="List Paragraph"/>
    <w:basedOn w:val="Normal"/>
    <w:uiPriority w:val="34"/>
    <w:qFormat/>
    <w:rsid w:val="00A119C6"/>
    <w:pPr>
      <w:ind w:left="720"/>
      <w:contextualSpacing/>
    </w:pPr>
  </w:style>
  <w:style w:type="paragraph" w:styleId="Reviso">
    <w:name w:val="Revision"/>
    <w:hidden/>
    <w:uiPriority w:val="99"/>
    <w:semiHidden/>
    <w:rsid w:val="00A14744"/>
    <w:pPr>
      <w:spacing w:after="0" w:line="240" w:lineRule="auto"/>
    </w:pPr>
  </w:style>
  <w:style w:type="paragraph" w:styleId="Cabealho">
    <w:name w:val="header"/>
    <w:basedOn w:val="Normal"/>
    <w:link w:val="CabealhoChar"/>
    <w:uiPriority w:val="99"/>
    <w:unhideWhenUsed/>
    <w:rsid w:val="007836F1"/>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7836F1"/>
  </w:style>
  <w:style w:type="paragraph" w:styleId="Rodap">
    <w:name w:val="footer"/>
    <w:basedOn w:val="Normal"/>
    <w:link w:val="RodapChar"/>
    <w:uiPriority w:val="99"/>
    <w:unhideWhenUsed/>
    <w:rsid w:val="007836F1"/>
    <w:pPr>
      <w:tabs>
        <w:tab w:val="center" w:pos="4252"/>
        <w:tab w:val="right" w:pos="8504"/>
      </w:tabs>
      <w:spacing w:after="0" w:line="240" w:lineRule="auto"/>
    </w:pPr>
  </w:style>
  <w:style w:type="character" w:customStyle="1" w:styleId="RodapChar">
    <w:name w:val="Rodapé Char"/>
    <w:basedOn w:val="Fontepargpadro"/>
    <w:link w:val="Rodap"/>
    <w:uiPriority w:val="99"/>
    <w:rsid w:val="007836F1"/>
  </w:style>
  <w:style w:type="character" w:customStyle="1" w:styleId="Ttulo1Char">
    <w:name w:val="Título 1 Char"/>
    <w:basedOn w:val="Fontepargpadro"/>
    <w:link w:val="Ttulo1"/>
    <w:uiPriority w:val="9"/>
    <w:rsid w:val="009C49EB"/>
    <w:rPr>
      <w:rFonts w:ascii="Times New Roman" w:eastAsia="Times New Roman" w:hAnsi="Times New Roman" w:cs="Times New Roman"/>
      <w:b/>
      <w:bCs/>
      <w:kern w:val="36"/>
      <w:sz w:val="48"/>
      <w:szCs w:val="48"/>
      <w:lang w:eastAsia="pt-BR"/>
    </w:rPr>
  </w:style>
  <w:style w:type="character" w:customStyle="1" w:styleId="A4">
    <w:name w:val="A4"/>
    <w:uiPriority w:val="99"/>
    <w:rsid w:val="00F961D0"/>
    <w:rPr>
      <w:rFonts w:cs="Georgia"/>
      <w:color w:val="000000"/>
      <w:sz w:val="16"/>
      <w:szCs w:val="16"/>
    </w:rPr>
  </w:style>
  <w:style w:type="character" w:customStyle="1" w:styleId="Ttulo2Char">
    <w:name w:val="Título 2 Char"/>
    <w:basedOn w:val="Fontepargpadro"/>
    <w:link w:val="Ttulo2"/>
    <w:uiPriority w:val="9"/>
    <w:semiHidden/>
    <w:rsid w:val="007D2FA2"/>
    <w:rPr>
      <w:rFonts w:asciiTheme="majorHAnsi" w:eastAsiaTheme="majorEastAsia" w:hAnsiTheme="majorHAnsi" w:cstheme="majorBidi"/>
      <w:b/>
      <w:bCs/>
      <w:color w:val="5B9BD5" w:themeColor="accent1"/>
      <w:sz w:val="26"/>
      <w:szCs w:val="26"/>
    </w:rPr>
  </w:style>
  <w:style w:type="paragraph" w:styleId="NormalWeb">
    <w:name w:val="Normal (Web)"/>
    <w:basedOn w:val="Normal"/>
    <w:uiPriority w:val="99"/>
    <w:unhideWhenUsed/>
    <w:rsid w:val="006C156B"/>
    <w:pPr>
      <w:spacing w:before="100" w:beforeAutospacing="1" w:after="100" w:afterAutospacing="1" w:line="240" w:lineRule="auto"/>
    </w:pPr>
    <w:rPr>
      <w:rFonts w:ascii="Times New Roman" w:hAnsi="Times New Roman" w:cs="Times New Roman"/>
      <w:sz w:val="20"/>
      <w:szCs w:val="20"/>
    </w:rPr>
  </w:style>
  <w:style w:type="paragraph" w:customStyle="1" w:styleId="pf0">
    <w:name w:val="pf0"/>
    <w:basedOn w:val="Normal"/>
    <w:rsid w:val="00AB3FFD"/>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customStyle="1" w:styleId="cf11">
    <w:name w:val="cf11"/>
    <w:basedOn w:val="Fontepargpadro"/>
    <w:rsid w:val="00AB3FFD"/>
    <w:rPr>
      <w:rFonts w:ascii="Segoe UI" w:hAnsi="Segoe UI" w:cs="Segoe UI" w:hint="default"/>
      <w:sz w:val="18"/>
      <w:szCs w:val="18"/>
    </w:rPr>
  </w:style>
  <w:style w:type="character" w:customStyle="1" w:styleId="apple-converted-space">
    <w:name w:val="apple-converted-space"/>
    <w:basedOn w:val="Fontepargpadro"/>
    <w:rsid w:val="00667797"/>
  </w:style>
  <w:style w:type="table" w:styleId="Tabelacomgrade">
    <w:name w:val="Table Grid"/>
    <w:basedOn w:val="Tabelanormal"/>
    <w:uiPriority w:val="39"/>
    <w:rsid w:val="00CD5B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068943">
      <w:bodyDiv w:val="1"/>
      <w:marLeft w:val="0"/>
      <w:marRight w:val="0"/>
      <w:marTop w:val="0"/>
      <w:marBottom w:val="0"/>
      <w:divBdr>
        <w:top w:val="none" w:sz="0" w:space="0" w:color="auto"/>
        <w:left w:val="none" w:sz="0" w:space="0" w:color="auto"/>
        <w:bottom w:val="none" w:sz="0" w:space="0" w:color="auto"/>
        <w:right w:val="none" w:sz="0" w:space="0" w:color="auto"/>
      </w:divBdr>
      <w:divsChild>
        <w:div w:id="1223564600">
          <w:marLeft w:val="0"/>
          <w:marRight w:val="0"/>
          <w:marTop w:val="0"/>
          <w:marBottom w:val="0"/>
          <w:divBdr>
            <w:top w:val="none" w:sz="0" w:space="0" w:color="auto"/>
            <w:left w:val="none" w:sz="0" w:space="0" w:color="auto"/>
            <w:bottom w:val="none" w:sz="0" w:space="0" w:color="auto"/>
            <w:right w:val="none" w:sz="0" w:space="0" w:color="auto"/>
          </w:divBdr>
        </w:div>
      </w:divsChild>
    </w:div>
    <w:div w:id="54277309">
      <w:bodyDiv w:val="1"/>
      <w:marLeft w:val="0"/>
      <w:marRight w:val="0"/>
      <w:marTop w:val="0"/>
      <w:marBottom w:val="0"/>
      <w:divBdr>
        <w:top w:val="none" w:sz="0" w:space="0" w:color="auto"/>
        <w:left w:val="none" w:sz="0" w:space="0" w:color="auto"/>
        <w:bottom w:val="none" w:sz="0" w:space="0" w:color="auto"/>
        <w:right w:val="none" w:sz="0" w:space="0" w:color="auto"/>
      </w:divBdr>
    </w:div>
    <w:div w:id="89472239">
      <w:bodyDiv w:val="1"/>
      <w:marLeft w:val="0"/>
      <w:marRight w:val="0"/>
      <w:marTop w:val="0"/>
      <w:marBottom w:val="0"/>
      <w:divBdr>
        <w:top w:val="none" w:sz="0" w:space="0" w:color="auto"/>
        <w:left w:val="none" w:sz="0" w:space="0" w:color="auto"/>
        <w:bottom w:val="none" w:sz="0" w:space="0" w:color="auto"/>
        <w:right w:val="none" w:sz="0" w:space="0" w:color="auto"/>
      </w:divBdr>
    </w:div>
    <w:div w:id="149641169">
      <w:bodyDiv w:val="1"/>
      <w:marLeft w:val="0"/>
      <w:marRight w:val="0"/>
      <w:marTop w:val="0"/>
      <w:marBottom w:val="0"/>
      <w:divBdr>
        <w:top w:val="none" w:sz="0" w:space="0" w:color="auto"/>
        <w:left w:val="none" w:sz="0" w:space="0" w:color="auto"/>
        <w:bottom w:val="none" w:sz="0" w:space="0" w:color="auto"/>
        <w:right w:val="none" w:sz="0" w:space="0" w:color="auto"/>
      </w:divBdr>
    </w:div>
    <w:div w:id="221254956">
      <w:bodyDiv w:val="1"/>
      <w:marLeft w:val="0"/>
      <w:marRight w:val="0"/>
      <w:marTop w:val="0"/>
      <w:marBottom w:val="0"/>
      <w:divBdr>
        <w:top w:val="none" w:sz="0" w:space="0" w:color="auto"/>
        <w:left w:val="none" w:sz="0" w:space="0" w:color="auto"/>
        <w:bottom w:val="none" w:sz="0" w:space="0" w:color="auto"/>
        <w:right w:val="none" w:sz="0" w:space="0" w:color="auto"/>
      </w:divBdr>
    </w:div>
    <w:div w:id="259416269">
      <w:bodyDiv w:val="1"/>
      <w:marLeft w:val="0"/>
      <w:marRight w:val="0"/>
      <w:marTop w:val="0"/>
      <w:marBottom w:val="0"/>
      <w:divBdr>
        <w:top w:val="none" w:sz="0" w:space="0" w:color="auto"/>
        <w:left w:val="none" w:sz="0" w:space="0" w:color="auto"/>
        <w:bottom w:val="none" w:sz="0" w:space="0" w:color="auto"/>
        <w:right w:val="none" w:sz="0" w:space="0" w:color="auto"/>
      </w:divBdr>
    </w:div>
    <w:div w:id="364139662">
      <w:bodyDiv w:val="1"/>
      <w:marLeft w:val="0"/>
      <w:marRight w:val="0"/>
      <w:marTop w:val="0"/>
      <w:marBottom w:val="0"/>
      <w:divBdr>
        <w:top w:val="none" w:sz="0" w:space="0" w:color="auto"/>
        <w:left w:val="none" w:sz="0" w:space="0" w:color="auto"/>
        <w:bottom w:val="none" w:sz="0" w:space="0" w:color="auto"/>
        <w:right w:val="none" w:sz="0" w:space="0" w:color="auto"/>
      </w:divBdr>
    </w:div>
    <w:div w:id="446463410">
      <w:bodyDiv w:val="1"/>
      <w:marLeft w:val="0"/>
      <w:marRight w:val="0"/>
      <w:marTop w:val="0"/>
      <w:marBottom w:val="0"/>
      <w:divBdr>
        <w:top w:val="none" w:sz="0" w:space="0" w:color="auto"/>
        <w:left w:val="none" w:sz="0" w:space="0" w:color="auto"/>
        <w:bottom w:val="none" w:sz="0" w:space="0" w:color="auto"/>
        <w:right w:val="none" w:sz="0" w:space="0" w:color="auto"/>
      </w:divBdr>
    </w:div>
    <w:div w:id="523590569">
      <w:bodyDiv w:val="1"/>
      <w:marLeft w:val="0"/>
      <w:marRight w:val="0"/>
      <w:marTop w:val="0"/>
      <w:marBottom w:val="0"/>
      <w:divBdr>
        <w:top w:val="none" w:sz="0" w:space="0" w:color="auto"/>
        <w:left w:val="none" w:sz="0" w:space="0" w:color="auto"/>
        <w:bottom w:val="none" w:sz="0" w:space="0" w:color="auto"/>
        <w:right w:val="none" w:sz="0" w:space="0" w:color="auto"/>
      </w:divBdr>
    </w:div>
    <w:div w:id="639964841">
      <w:bodyDiv w:val="1"/>
      <w:marLeft w:val="0"/>
      <w:marRight w:val="0"/>
      <w:marTop w:val="0"/>
      <w:marBottom w:val="0"/>
      <w:divBdr>
        <w:top w:val="none" w:sz="0" w:space="0" w:color="auto"/>
        <w:left w:val="none" w:sz="0" w:space="0" w:color="auto"/>
        <w:bottom w:val="none" w:sz="0" w:space="0" w:color="auto"/>
        <w:right w:val="none" w:sz="0" w:space="0" w:color="auto"/>
      </w:divBdr>
    </w:div>
    <w:div w:id="734082185">
      <w:bodyDiv w:val="1"/>
      <w:marLeft w:val="0"/>
      <w:marRight w:val="0"/>
      <w:marTop w:val="0"/>
      <w:marBottom w:val="0"/>
      <w:divBdr>
        <w:top w:val="none" w:sz="0" w:space="0" w:color="auto"/>
        <w:left w:val="none" w:sz="0" w:space="0" w:color="auto"/>
        <w:bottom w:val="none" w:sz="0" w:space="0" w:color="auto"/>
        <w:right w:val="none" w:sz="0" w:space="0" w:color="auto"/>
      </w:divBdr>
    </w:div>
    <w:div w:id="791947335">
      <w:bodyDiv w:val="1"/>
      <w:marLeft w:val="0"/>
      <w:marRight w:val="0"/>
      <w:marTop w:val="0"/>
      <w:marBottom w:val="0"/>
      <w:divBdr>
        <w:top w:val="none" w:sz="0" w:space="0" w:color="auto"/>
        <w:left w:val="none" w:sz="0" w:space="0" w:color="auto"/>
        <w:bottom w:val="none" w:sz="0" w:space="0" w:color="auto"/>
        <w:right w:val="none" w:sz="0" w:space="0" w:color="auto"/>
      </w:divBdr>
    </w:div>
    <w:div w:id="869028727">
      <w:bodyDiv w:val="1"/>
      <w:marLeft w:val="0"/>
      <w:marRight w:val="0"/>
      <w:marTop w:val="0"/>
      <w:marBottom w:val="0"/>
      <w:divBdr>
        <w:top w:val="none" w:sz="0" w:space="0" w:color="auto"/>
        <w:left w:val="none" w:sz="0" w:space="0" w:color="auto"/>
        <w:bottom w:val="none" w:sz="0" w:space="0" w:color="auto"/>
        <w:right w:val="none" w:sz="0" w:space="0" w:color="auto"/>
      </w:divBdr>
    </w:div>
    <w:div w:id="1008021991">
      <w:bodyDiv w:val="1"/>
      <w:marLeft w:val="0"/>
      <w:marRight w:val="0"/>
      <w:marTop w:val="0"/>
      <w:marBottom w:val="0"/>
      <w:divBdr>
        <w:top w:val="none" w:sz="0" w:space="0" w:color="auto"/>
        <w:left w:val="none" w:sz="0" w:space="0" w:color="auto"/>
        <w:bottom w:val="none" w:sz="0" w:space="0" w:color="auto"/>
        <w:right w:val="none" w:sz="0" w:space="0" w:color="auto"/>
      </w:divBdr>
    </w:div>
    <w:div w:id="1036663119">
      <w:bodyDiv w:val="1"/>
      <w:marLeft w:val="0"/>
      <w:marRight w:val="0"/>
      <w:marTop w:val="0"/>
      <w:marBottom w:val="0"/>
      <w:divBdr>
        <w:top w:val="none" w:sz="0" w:space="0" w:color="auto"/>
        <w:left w:val="none" w:sz="0" w:space="0" w:color="auto"/>
        <w:bottom w:val="none" w:sz="0" w:space="0" w:color="auto"/>
        <w:right w:val="none" w:sz="0" w:space="0" w:color="auto"/>
      </w:divBdr>
    </w:div>
    <w:div w:id="1103916975">
      <w:bodyDiv w:val="1"/>
      <w:marLeft w:val="0"/>
      <w:marRight w:val="0"/>
      <w:marTop w:val="0"/>
      <w:marBottom w:val="0"/>
      <w:divBdr>
        <w:top w:val="none" w:sz="0" w:space="0" w:color="auto"/>
        <w:left w:val="none" w:sz="0" w:space="0" w:color="auto"/>
        <w:bottom w:val="none" w:sz="0" w:space="0" w:color="auto"/>
        <w:right w:val="none" w:sz="0" w:space="0" w:color="auto"/>
      </w:divBdr>
    </w:div>
    <w:div w:id="1310210907">
      <w:bodyDiv w:val="1"/>
      <w:marLeft w:val="0"/>
      <w:marRight w:val="0"/>
      <w:marTop w:val="0"/>
      <w:marBottom w:val="0"/>
      <w:divBdr>
        <w:top w:val="none" w:sz="0" w:space="0" w:color="auto"/>
        <w:left w:val="none" w:sz="0" w:space="0" w:color="auto"/>
        <w:bottom w:val="none" w:sz="0" w:space="0" w:color="auto"/>
        <w:right w:val="none" w:sz="0" w:space="0" w:color="auto"/>
      </w:divBdr>
    </w:div>
    <w:div w:id="1346713660">
      <w:bodyDiv w:val="1"/>
      <w:marLeft w:val="0"/>
      <w:marRight w:val="0"/>
      <w:marTop w:val="0"/>
      <w:marBottom w:val="0"/>
      <w:divBdr>
        <w:top w:val="none" w:sz="0" w:space="0" w:color="auto"/>
        <w:left w:val="none" w:sz="0" w:space="0" w:color="auto"/>
        <w:bottom w:val="none" w:sz="0" w:space="0" w:color="auto"/>
        <w:right w:val="none" w:sz="0" w:space="0" w:color="auto"/>
      </w:divBdr>
    </w:div>
    <w:div w:id="1524706731">
      <w:bodyDiv w:val="1"/>
      <w:marLeft w:val="0"/>
      <w:marRight w:val="0"/>
      <w:marTop w:val="0"/>
      <w:marBottom w:val="0"/>
      <w:divBdr>
        <w:top w:val="none" w:sz="0" w:space="0" w:color="auto"/>
        <w:left w:val="none" w:sz="0" w:space="0" w:color="auto"/>
        <w:bottom w:val="none" w:sz="0" w:space="0" w:color="auto"/>
        <w:right w:val="none" w:sz="0" w:space="0" w:color="auto"/>
      </w:divBdr>
    </w:div>
    <w:div w:id="1670518933">
      <w:bodyDiv w:val="1"/>
      <w:marLeft w:val="0"/>
      <w:marRight w:val="0"/>
      <w:marTop w:val="0"/>
      <w:marBottom w:val="0"/>
      <w:divBdr>
        <w:top w:val="none" w:sz="0" w:space="0" w:color="auto"/>
        <w:left w:val="none" w:sz="0" w:space="0" w:color="auto"/>
        <w:bottom w:val="none" w:sz="0" w:space="0" w:color="auto"/>
        <w:right w:val="none" w:sz="0" w:space="0" w:color="auto"/>
      </w:divBdr>
    </w:div>
    <w:div w:id="1782409747">
      <w:bodyDiv w:val="1"/>
      <w:marLeft w:val="0"/>
      <w:marRight w:val="0"/>
      <w:marTop w:val="0"/>
      <w:marBottom w:val="0"/>
      <w:divBdr>
        <w:top w:val="none" w:sz="0" w:space="0" w:color="auto"/>
        <w:left w:val="none" w:sz="0" w:space="0" w:color="auto"/>
        <w:bottom w:val="none" w:sz="0" w:space="0" w:color="auto"/>
        <w:right w:val="none" w:sz="0" w:space="0" w:color="auto"/>
      </w:divBdr>
    </w:div>
    <w:div w:id="1905867318">
      <w:bodyDiv w:val="1"/>
      <w:marLeft w:val="0"/>
      <w:marRight w:val="0"/>
      <w:marTop w:val="0"/>
      <w:marBottom w:val="0"/>
      <w:divBdr>
        <w:top w:val="none" w:sz="0" w:space="0" w:color="auto"/>
        <w:left w:val="none" w:sz="0" w:space="0" w:color="auto"/>
        <w:bottom w:val="none" w:sz="0" w:space="0" w:color="auto"/>
        <w:right w:val="none" w:sz="0" w:space="0" w:color="auto"/>
      </w:divBdr>
    </w:div>
    <w:div w:id="1910144702">
      <w:bodyDiv w:val="1"/>
      <w:marLeft w:val="0"/>
      <w:marRight w:val="0"/>
      <w:marTop w:val="0"/>
      <w:marBottom w:val="0"/>
      <w:divBdr>
        <w:top w:val="none" w:sz="0" w:space="0" w:color="auto"/>
        <w:left w:val="none" w:sz="0" w:space="0" w:color="auto"/>
        <w:bottom w:val="none" w:sz="0" w:space="0" w:color="auto"/>
        <w:right w:val="none" w:sz="0" w:space="0" w:color="auto"/>
      </w:divBdr>
    </w:div>
    <w:div w:id="20506885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microsoft.com/office/2018/08/relationships/commentsExtensible" Target="commentsExtensi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404CDF-5617-4B09-881B-1276967A77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2209</Words>
  <Characters>11933</Characters>
  <Application>Microsoft Office Word</Application>
  <DocSecurity>0</DocSecurity>
  <Lines>99</Lines>
  <Paragraphs>28</Paragraphs>
  <ScaleCrop>false</ScaleCrop>
  <HeadingPairs>
    <vt:vector size="2" baseType="variant">
      <vt:variant>
        <vt:lpstr>Título</vt:lpstr>
      </vt:variant>
      <vt:variant>
        <vt:i4>1</vt:i4>
      </vt:variant>
    </vt:vector>
  </HeadingPairs>
  <TitlesOfParts>
    <vt:vector size="1" baseType="lpstr">
      <vt:lpstr/>
    </vt:vector>
  </TitlesOfParts>
  <Company>PREVIC</Company>
  <LinksUpToDate>false</LinksUpToDate>
  <CharactersWithSpaces>14114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Fernando Duarte Folle - PREVICDF</dc:creator>
  <cp:keywords/>
  <dc:description/>
  <cp:lastModifiedBy>USUARIO</cp:lastModifiedBy>
  <cp:revision>2</cp:revision>
  <cp:lastPrinted>2020-11-20T14:02:00Z</cp:lastPrinted>
  <dcterms:created xsi:type="dcterms:W3CDTF">2023-05-11T19:30:00Z</dcterms:created>
  <dcterms:modified xsi:type="dcterms:W3CDTF">2023-05-11T19:30:00Z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1942991682</vt:i4>
  </property>
</Properties>
</file>