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993C43" w:rsidRDefault="00927115">
      <w:pPr>
        <w:pStyle w:val="Normal1"/>
        <w:pBdr>
          <w:top w:val="nil"/>
          <w:left w:val="nil"/>
          <w:bottom w:val="nil"/>
          <w:right w:val="nil"/>
          <w:between w:val="nil"/>
        </w:pBdr>
        <w:spacing w:before="120" w:after="120" w:line="240" w:lineRule="auto"/>
        <w:jc w:val="center"/>
        <w:rPr>
          <w:b/>
          <w:color w:val="000000"/>
          <w:sz w:val="24"/>
          <w:szCs w:val="24"/>
        </w:rPr>
      </w:pPr>
      <w:bookmarkStart w:id="0" w:name="_GoBack"/>
      <w:bookmarkEnd w:id="0"/>
      <w:r>
        <w:rPr>
          <w:b/>
          <w:color w:val="000000"/>
          <w:sz w:val="24"/>
          <w:szCs w:val="24"/>
        </w:rPr>
        <w:t>Consolidação da IN nº 17, de 2019 (CMCA/</w:t>
      </w:r>
      <w:proofErr w:type="spellStart"/>
      <w:r>
        <w:rPr>
          <w:b/>
          <w:color w:val="000000"/>
          <w:sz w:val="24"/>
          <w:szCs w:val="24"/>
        </w:rPr>
        <w:t>Previc</w:t>
      </w:r>
      <w:proofErr w:type="spellEnd"/>
      <w:r>
        <w:rPr>
          <w:b/>
          <w:color w:val="000000"/>
          <w:sz w:val="24"/>
          <w:szCs w:val="24"/>
        </w:rPr>
        <w:t xml:space="preserve">), com a Res. </w:t>
      </w:r>
      <w:proofErr w:type="spellStart"/>
      <w:r>
        <w:rPr>
          <w:b/>
          <w:color w:val="000000"/>
          <w:sz w:val="24"/>
          <w:szCs w:val="24"/>
        </w:rPr>
        <w:t>Previc</w:t>
      </w:r>
      <w:proofErr w:type="spellEnd"/>
      <w:r>
        <w:rPr>
          <w:b/>
          <w:color w:val="000000"/>
          <w:sz w:val="24"/>
          <w:szCs w:val="24"/>
        </w:rPr>
        <w:t xml:space="preserve"> nº 06, de 2022 (TAC)</w:t>
      </w:r>
    </w:p>
    <w:p w14:paraId="00000002" w14:textId="77777777" w:rsidR="00993C43" w:rsidRDefault="00993C43">
      <w:pPr>
        <w:pStyle w:val="Normal1"/>
        <w:pBdr>
          <w:top w:val="nil"/>
          <w:left w:val="nil"/>
          <w:bottom w:val="nil"/>
          <w:right w:val="nil"/>
          <w:between w:val="nil"/>
        </w:pBdr>
        <w:spacing w:before="120" w:after="120" w:line="240" w:lineRule="auto"/>
        <w:jc w:val="center"/>
        <w:rPr>
          <w:b/>
          <w:color w:val="000000"/>
          <w:sz w:val="24"/>
          <w:szCs w:val="24"/>
        </w:rPr>
      </w:pPr>
    </w:p>
    <w:p w14:paraId="00000003" w14:textId="77777777" w:rsidR="00993C43" w:rsidRDefault="00993C43">
      <w:pPr>
        <w:pStyle w:val="Normal1"/>
        <w:pBdr>
          <w:top w:val="nil"/>
          <w:left w:val="nil"/>
          <w:bottom w:val="nil"/>
          <w:right w:val="nil"/>
          <w:between w:val="nil"/>
        </w:pBdr>
        <w:spacing w:before="120" w:after="120" w:line="240" w:lineRule="auto"/>
        <w:jc w:val="center"/>
        <w:rPr>
          <w:b/>
          <w:color w:val="000000"/>
          <w:sz w:val="24"/>
          <w:szCs w:val="24"/>
        </w:rPr>
      </w:pPr>
    </w:p>
    <w:p w14:paraId="00000004" w14:textId="77777777" w:rsidR="00993C43" w:rsidRDefault="00927115">
      <w:pPr>
        <w:pStyle w:val="Normal1"/>
        <w:spacing w:before="120" w:after="120"/>
        <w:jc w:val="both"/>
        <w:rPr>
          <w:b/>
          <w:sz w:val="24"/>
          <w:szCs w:val="24"/>
          <w:u w:val="single"/>
        </w:rPr>
      </w:pPr>
      <w:bookmarkStart w:id="1" w:name="_gjdgxs" w:colFirst="0" w:colLast="0"/>
      <w:bookmarkEnd w:id="1"/>
      <w:r>
        <w:rPr>
          <w:b/>
          <w:sz w:val="24"/>
          <w:szCs w:val="24"/>
          <w:u w:val="single"/>
        </w:rPr>
        <w:t>Referências normativas:</w:t>
      </w:r>
    </w:p>
    <w:p w14:paraId="00000005" w14:textId="77777777" w:rsidR="00993C43" w:rsidRDefault="00927115">
      <w:pPr>
        <w:pStyle w:val="Normal1"/>
        <w:spacing w:after="120"/>
        <w:rPr>
          <w:sz w:val="24"/>
          <w:szCs w:val="24"/>
        </w:rPr>
      </w:pPr>
      <w:r>
        <w:rPr>
          <w:color w:val="000000"/>
          <w:sz w:val="24"/>
          <w:szCs w:val="24"/>
        </w:rPr>
        <w:t>incisos II, V e VI do art. 3º da Lei Complementar nº 109, de 29 de maio de 2001</w:t>
      </w:r>
    </w:p>
    <w:p w14:paraId="00000006" w14:textId="77777777" w:rsidR="00993C43" w:rsidRDefault="00927115">
      <w:pPr>
        <w:pStyle w:val="Normal1"/>
        <w:spacing w:after="120"/>
        <w:rPr>
          <w:color w:val="000000"/>
          <w:sz w:val="24"/>
          <w:szCs w:val="24"/>
        </w:rPr>
      </w:pPr>
      <w:r>
        <w:rPr>
          <w:color w:val="000000"/>
          <w:sz w:val="24"/>
          <w:szCs w:val="24"/>
        </w:rPr>
        <w:t>incisos III, V e VIII do art. 2º da Lei nº 12.154, de 23 de dezembro de 2009</w:t>
      </w:r>
    </w:p>
    <w:p w14:paraId="00000007" w14:textId="77777777" w:rsidR="00993C43" w:rsidRDefault="00927115">
      <w:pPr>
        <w:pStyle w:val="Normal1"/>
        <w:spacing w:before="120" w:after="120"/>
        <w:jc w:val="both"/>
        <w:rPr>
          <w:sz w:val="24"/>
          <w:szCs w:val="24"/>
        </w:rPr>
      </w:pPr>
      <w:r>
        <w:rPr>
          <w:sz w:val="24"/>
          <w:szCs w:val="24"/>
        </w:rPr>
        <w:t>incisos III e VIII do art. 2º e inciso VIII do art. 12 do Anexo I do Decreto nº 11.241, de 18 de outubro de 2022</w:t>
      </w:r>
    </w:p>
    <w:p w14:paraId="00000008" w14:textId="77777777" w:rsidR="00993C43" w:rsidRDefault="00927115">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highlight w:val="white"/>
        </w:rPr>
        <w:t>Lei nº 13.140, de 26 de junho de 2015 (Lei de Mediação)</w:t>
      </w:r>
    </w:p>
    <w:p w14:paraId="00000009" w14:textId="77777777" w:rsidR="00993C43" w:rsidRDefault="00927115">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highlight w:val="white"/>
        </w:rPr>
        <w:t xml:space="preserve">Lei nº 9.307, </w:t>
      </w:r>
      <w:r>
        <w:rPr>
          <w:color w:val="000000"/>
          <w:sz w:val="24"/>
          <w:szCs w:val="24"/>
        </w:rPr>
        <w:t>de 23 de setembro de 1996</w:t>
      </w:r>
      <w:r>
        <w:rPr>
          <w:color w:val="000000"/>
          <w:sz w:val="24"/>
          <w:szCs w:val="24"/>
          <w:highlight w:val="white"/>
        </w:rPr>
        <w:t xml:space="preserve"> (Lei de Arbitragem</w:t>
      </w:r>
      <w:r>
        <w:rPr>
          <w:color w:val="000000"/>
          <w:sz w:val="24"/>
          <w:szCs w:val="24"/>
        </w:rPr>
        <w:t>)</w:t>
      </w:r>
    </w:p>
    <w:p w14:paraId="0000000A" w14:textId="23AA7851" w:rsidR="00993C43" w:rsidRDefault="00927115">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highlight w:val="white"/>
        </w:rPr>
        <w:t xml:space="preserve">bem como o aplicam-se subsidiariamente as normas </w:t>
      </w:r>
      <w:r>
        <w:rPr>
          <w:color w:val="000000"/>
          <w:sz w:val="24"/>
          <w:szCs w:val="24"/>
        </w:rPr>
        <w:t>da Lei n</w:t>
      </w:r>
      <w:r>
        <w:rPr>
          <w:color w:val="000000"/>
          <w:sz w:val="24"/>
          <w:szCs w:val="24"/>
          <w:highlight w:val="white"/>
        </w:rPr>
        <w:t>º</w:t>
      </w:r>
      <w:r>
        <w:rPr>
          <w:color w:val="000000"/>
          <w:sz w:val="24"/>
          <w:szCs w:val="24"/>
        </w:rPr>
        <w:t xml:space="preserve"> 13.105, de 16 de março de 2015, </w:t>
      </w:r>
      <w:r>
        <w:rPr>
          <w:color w:val="000000"/>
          <w:sz w:val="24"/>
          <w:szCs w:val="24"/>
          <w:highlight w:val="white"/>
        </w:rPr>
        <w:t>o Código de Processo Civil.</w:t>
      </w:r>
    </w:p>
    <w:p w14:paraId="0000000B" w14:textId="77777777" w:rsidR="00993C43" w:rsidRDefault="00993C43">
      <w:pPr>
        <w:pStyle w:val="Normal1"/>
        <w:pBdr>
          <w:top w:val="nil"/>
          <w:left w:val="nil"/>
          <w:bottom w:val="nil"/>
          <w:right w:val="nil"/>
          <w:between w:val="nil"/>
        </w:pBdr>
        <w:spacing w:before="120" w:after="120" w:line="240" w:lineRule="auto"/>
        <w:jc w:val="both"/>
        <w:rPr>
          <w:b/>
          <w:color w:val="000000"/>
          <w:sz w:val="24"/>
          <w:szCs w:val="24"/>
          <w:u w:val="single"/>
        </w:rPr>
      </w:pPr>
    </w:p>
    <w:p w14:paraId="0000000C" w14:textId="77777777" w:rsidR="00993C43" w:rsidRDefault="00927115">
      <w:pPr>
        <w:pStyle w:val="Normal1"/>
        <w:pBdr>
          <w:top w:val="nil"/>
          <w:left w:val="nil"/>
          <w:bottom w:val="nil"/>
          <w:right w:val="nil"/>
          <w:between w:val="nil"/>
        </w:pBdr>
        <w:spacing w:before="120" w:after="120" w:line="240" w:lineRule="auto"/>
        <w:jc w:val="both"/>
        <w:rPr>
          <w:b/>
          <w:color w:val="000000"/>
          <w:sz w:val="24"/>
          <w:szCs w:val="24"/>
          <w:u w:val="single"/>
        </w:rPr>
      </w:pPr>
      <w:r>
        <w:rPr>
          <w:b/>
          <w:color w:val="000000"/>
          <w:sz w:val="24"/>
          <w:szCs w:val="24"/>
          <w:u w:val="single"/>
        </w:rPr>
        <w:t>Definições:</w:t>
      </w:r>
    </w:p>
    <w:p w14:paraId="0000000D" w14:textId="77777777" w:rsidR="00993C43" w:rsidRDefault="00927115">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rPr>
        <w:t xml:space="preserve">Art. </w:t>
      </w:r>
      <w:proofErr w:type="spellStart"/>
      <w:r>
        <w:rPr>
          <w:color w:val="000000"/>
          <w:sz w:val="24"/>
          <w:szCs w:val="24"/>
        </w:rPr>
        <w:t>Xº</w:t>
      </w:r>
      <w:proofErr w:type="spellEnd"/>
      <w:r>
        <w:rPr>
          <w:color w:val="000000"/>
          <w:sz w:val="24"/>
          <w:szCs w:val="24"/>
        </w:rPr>
        <w:t xml:space="preserve">  Para os efeitos desta Resolução, entende-se por:</w:t>
      </w:r>
    </w:p>
    <w:p w14:paraId="0000000E" w14:textId="77777777" w:rsidR="00993C43" w:rsidRDefault="00927115">
      <w:pPr>
        <w:pStyle w:val="Normal1"/>
        <w:pBdr>
          <w:top w:val="nil"/>
          <w:left w:val="nil"/>
          <w:bottom w:val="nil"/>
          <w:right w:val="nil"/>
          <w:between w:val="nil"/>
        </w:pBdr>
        <w:jc w:val="both"/>
        <w:rPr>
          <w:color w:val="000000"/>
          <w:sz w:val="24"/>
          <w:szCs w:val="24"/>
        </w:rPr>
      </w:pPr>
      <w:r>
        <w:rPr>
          <w:b/>
          <w:color w:val="000000"/>
          <w:sz w:val="24"/>
          <w:szCs w:val="24"/>
        </w:rPr>
        <w:t>Mediação</w:t>
      </w:r>
      <w:r>
        <w:rPr>
          <w:color w:val="000000"/>
          <w:sz w:val="24"/>
          <w:szCs w:val="24"/>
        </w:rPr>
        <w:t xml:space="preserve"> – procedimento consensual e </w:t>
      </w:r>
      <w:proofErr w:type="spellStart"/>
      <w:r>
        <w:rPr>
          <w:color w:val="000000"/>
          <w:sz w:val="24"/>
          <w:szCs w:val="24"/>
        </w:rPr>
        <w:t>autocompositivo</w:t>
      </w:r>
      <w:proofErr w:type="spellEnd"/>
      <w:r>
        <w:rPr>
          <w:color w:val="000000"/>
          <w:sz w:val="24"/>
          <w:szCs w:val="24"/>
        </w:rPr>
        <w:t xml:space="preserve"> exercido por terceiro imparcial sem poder decisório, que, escolhido ou aceito pelas partes, as auxilia e estimula a identificar ou desenvolver soluções consensuais para a controvérsia.</w:t>
      </w:r>
    </w:p>
    <w:p w14:paraId="0000000F" w14:textId="77777777" w:rsidR="00993C43" w:rsidRDefault="00927115">
      <w:pPr>
        <w:pStyle w:val="Normal1"/>
        <w:pBdr>
          <w:top w:val="nil"/>
          <w:left w:val="nil"/>
          <w:bottom w:val="nil"/>
          <w:right w:val="nil"/>
          <w:between w:val="nil"/>
        </w:pBdr>
        <w:jc w:val="both"/>
        <w:rPr>
          <w:color w:val="000000"/>
          <w:sz w:val="24"/>
          <w:szCs w:val="24"/>
        </w:rPr>
      </w:pPr>
      <w:r>
        <w:rPr>
          <w:b/>
          <w:color w:val="000000"/>
          <w:sz w:val="24"/>
          <w:szCs w:val="24"/>
        </w:rPr>
        <w:t>Arbitragem</w:t>
      </w:r>
      <w:r>
        <w:rPr>
          <w:color w:val="000000"/>
          <w:sz w:val="24"/>
          <w:szCs w:val="24"/>
        </w:rPr>
        <w:t xml:space="preserve"> – processo </w:t>
      </w:r>
      <w:proofErr w:type="spellStart"/>
      <w:r>
        <w:rPr>
          <w:color w:val="000000"/>
          <w:sz w:val="24"/>
          <w:szCs w:val="24"/>
        </w:rPr>
        <w:t>heterocompositivo</w:t>
      </w:r>
      <w:proofErr w:type="spellEnd"/>
      <w:r>
        <w:rPr>
          <w:color w:val="000000"/>
          <w:sz w:val="24"/>
          <w:szCs w:val="24"/>
        </w:rPr>
        <w:t xml:space="preserve"> para solução final e vinculante de controvérsias por meio da sentença proferida por Tribunal Arbitral, que recebe seus poderes por vontade inequívoca das partes mediante convenção arbitral, decidindo com base nesta convenção, sem intervenção do Estado, sendo a decisão destinada a assumir eficácia de sentença judicial.</w:t>
      </w:r>
    </w:p>
    <w:p w14:paraId="00000010" w14:textId="77777777" w:rsidR="00993C43" w:rsidRDefault="00993C43">
      <w:pPr>
        <w:pStyle w:val="Normal1"/>
        <w:pBdr>
          <w:top w:val="nil"/>
          <w:left w:val="nil"/>
          <w:bottom w:val="nil"/>
          <w:right w:val="nil"/>
          <w:between w:val="nil"/>
        </w:pBdr>
        <w:spacing w:before="120" w:after="120" w:line="240" w:lineRule="auto"/>
        <w:jc w:val="both"/>
        <w:rPr>
          <w:b/>
          <w:color w:val="000000"/>
          <w:sz w:val="24"/>
          <w:szCs w:val="24"/>
        </w:rPr>
      </w:pPr>
    </w:p>
    <w:p w14:paraId="00000013" w14:textId="77777777" w:rsidR="00993C43" w:rsidRDefault="00927115">
      <w:pPr>
        <w:pStyle w:val="Normal1"/>
        <w:pBdr>
          <w:top w:val="nil"/>
          <w:left w:val="nil"/>
          <w:bottom w:val="nil"/>
          <w:right w:val="nil"/>
          <w:between w:val="nil"/>
        </w:pBdr>
        <w:spacing w:before="120" w:after="120" w:line="240" w:lineRule="auto"/>
        <w:jc w:val="both"/>
        <w:rPr>
          <w:b/>
          <w:color w:val="000000"/>
          <w:sz w:val="24"/>
          <w:szCs w:val="24"/>
          <w:u w:val="single"/>
        </w:rPr>
      </w:pPr>
      <w:r>
        <w:rPr>
          <w:b/>
          <w:color w:val="000000"/>
          <w:sz w:val="24"/>
          <w:szCs w:val="24"/>
          <w:u w:val="single"/>
        </w:rPr>
        <w:t>Revogações:</w:t>
      </w:r>
    </w:p>
    <w:p w14:paraId="00000014" w14:textId="77777777" w:rsidR="00993C43" w:rsidRDefault="00927115">
      <w:pPr>
        <w:pStyle w:val="Normal1"/>
        <w:spacing w:before="120" w:after="120"/>
        <w:jc w:val="both"/>
        <w:rPr>
          <w:color w:val="000000"/>
          <w:sz w:val="24"/>
          <w:szCs w:val="24"/>
        </w:rPr>
      </w:pPr>
      <w:r>
        <w:rPr>
          <w:color w:val="000000"/>
          <w:sz w:val="24"/>
          <w:szCs w:val="24"/>
        </w:rPr>
        <w:t xml:space="preserve">Resolução </w:t>
      </w:r>
      <w:proofErr w:type="spellStart"/>
      <w:r>
        <w:rPr>
          <w:color w:val="000000"/>
          <w:sz w:val="24"/>
          <w:szCs w:val="24"/>
        </w:rPr>
        <w:t>Previc</w:t>
      </w:r>
      <w:proofErr w:type="spellEnd"/>
      <w:r>
        <w:rPr>
          <w:color w:val="000000"/>
          <w:sz w:val="24"/>
          <w:szCs w:val="24"/>
        </w:rPr>
        <w:t xml:space="preserve"> nº 06, de 23 de março de 2022 </w:t>
      </w:r>
    </w:p>
    <w:p w14:paraId="00000015" w14:textId="1A315279" w:rsidR="00993C43" w:rsidRDefault="00927115">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rPr>
        <w:t xml:space="preserve">Instrução </w:t>
      </w:r>
      <w:proofErr w:type="spellStart"/>
      <w:r>
        <w:rPr>
          <w:color w:val="000000"/>
          <w:sz w:val="24"/>
          <w:szCs w:val="24"/>
        </w:rPr>
        <w:t>Previc</w:t>
      </w:r>
      <w:proofErr w:type="spellEnd"/>
      <w:r>
        <w:rPr>
          <w:color w:val="000000"/>
          <w:sz w:val="24"/>
          <w:szCs w:val="24"/>
        </w:rPr>
        <w:t xml:space="preserve"> nº 17, de </w:t>
      </w:r>
      <w:r w:rsidR="00C51D7A">
        <w:rPr>
          <w:color w:val="000000"/>
          <w:sz w:val="24"/>
          <w:szCs w:val="24"/>
        </w:rPr>
        <w:t xml:space="preserve">13 de setembro de </w:t>
      </w:r>
      <w:r>
        <w:rPr>
          <w:color w:val="000000"/>
          <w:sz w:val="24"/>
          <w:szCs w:val="24"/>
        </w:rPr>
        <w:t>2019</w:t>
      </w:r>
    </w:p>
    <w:p w14:paraId="00000016" w14:textId="77777777" w:rsidR="00993C43" w:rsidRDefault="00993C43">
      <w:pPr>
        <w:pStyle w:val="Normal1"/>
        <w:pBdr>
          <w:top w:val="nil"/>
          <w:left w:val="nil"/>
          <w:bottom w:val="nil"/>
          <w:right w:val="nil"/>
          <w:between w:val="nil"/>
        </w:pBdr>
        <w:spacing w:before="120" w:after="120" w:line="240" w:lineRule="auto"/>
        <w:jc w:val="both"/>
        <w:rPr>
          <w:b/>
          <w:color w:val="000000"/>
          <w:sz w:val="24"/>
          <w:szCs w:val="24"/>
          <w:u w:val="single"/>
        </w:rPr>
      </w:pPr>
    </w:p>
    <w:p w14:paraId="00000017" w14:textId="77777777" w:rsidR="00993C43" w:rsidRDefault="00993C43">
      <w:pPr>
        <w:pStyle w:val="Normal1"/>
        <w:pBdr>
          <w:top w:val="nil"/>
          <w:left w:val="nil"/>
          <w:bottom w:val="nil"/>
          <w:right w:val="nil"/>
          <w:between w:val="nil"/>
        </w:pBdr>
        <w:spacing w:before="120" w:after="120" w:line="240" w:lineRule="auto"/>
        <w:rPr>
          <w:color w:val="000000"/>
          <w:sz w:val="24"/>
          <w:szCs w:val="24"/>
        </w:rPr>
      </w:pPr>
      <w:bookmarkStart w:id="2" w:name="_30j0zll" w:colFirst="0" w:colLast="0"/>
      <w:bookmarkEnd w:id="2"/>
    </w:p>
    <w:p w14:paraId="00000018" w14:textId="77777777" w:rsidR="00993C43" w:rsidRDefault="00993C43">
      <w:pPr>
        <w:pStyle w:val="Normal1"/>
        <w:pBdr>
          <w:top w:val="nil"/>
          <w:left w:val="nil"/>
          <w:bottom w:val="nil"/>
          <w:right w:val="nil"/>
          <w:between w:val="nil"/>
        </w:pBdr>
        <w:spacing w:before="120" w:after="120" w:line="240" w:lineRule="auto"/>
        <w:jc w:val="center"/>
        <w:rPr>
          <w:color w:val="000000"/>
          <w:sz w:val="24"/>
          <w:szCs w:val="24"/>
        </w:rPr>
      </w:pPr>
    </w:p>
    <w:p w14:paraId="00000019" w14:textId="77777777" w:rsidR="00993C43" w:rsidRDefault="00993C43">
      <w:pPr>
        <w:pStyle w:val="Normal1"/>
        <w:pBdr>
          <w:top w:val="nil"/>
          <w:left w:val="nil"/>
          <w:bottom w:val="nil"/>
          <w:right w:val="nil"/>
          <w:between w:val="nil"/>
        </w:pBdr>
        <w:spacing w:before="120" w:after="120" w:line="240" w:lineRule="auto"/>
        <w:jc w:val="center"/>
        <w:rPr>
          <w:color w:val="000000"/>
          <w:sz w:val="24"/>
          <w:szCs w:val="24"/>
        </w:rPr>
      </w:pPr>
    </w:p>
    <w:p w14:paraId="0000001A" w14:textId="77777777" w:rsidR="00993C43" w:rsidRDefault="00927115">
      <w:pPr>
        <w:pStyle w:val="Normal1"/>
        <w:pBdr>
          <w:top w:val="nil"/>
          <w:left w:val="nil"/>
          <w:bottom w:val="nil"/>
          <w:right w:val="nil"/>
          <w:between w:val="nil"/>
        </w:pBdr>
        <w:rPr>
          <w:color w:val="000000"/>
          <w:sz w:val="24"/>
          <w:szCs w:val="24"/>
        </w:rPr>
      </w:pPr>
      <w:r>
        <w:br w:type="page"/>
      </w:r>
    </w:p>
    <w:p w14:paraId="0000001B" w14:textId="77777777" w:rsidR="00993C43" w:rsidRDefault="00927115">
      <w:pPr>
        <w:pStyle w:val="Normal1"/>
        <w:pBdr>
          <w:top w:val="nil"/>
          <w:left w:val="nil"/>
          <w:bottom w:val="nil"/>
          <w:right w:val="nil"/>
          <w:between w:val="nil"/>
        </w:pBdr>
        <w:spacing w:before="120" w:after="120" w:line="240" w:lineRule="auto"/>
        <w:jc w:val="center"/>
        <w:rPr>
          <w:color w:val="000000"/>
          <w:sz w:val="24"/>
          <w:szCs w:val="24"/>
        </w:rPr>
      </w:pPr>
      <w:r>
        <w:rPr>
          <w:color w:val="000000"/>
          <w:sz w:val="24"/>
          <w:szCs w:val="24"/>
        </w:rPr>
        <w:lastRenderedPageBreak/>
        <w:t>CAPÍTULO X</w:t>
      </w:r>
      <w:r>
        <w:rPr>
          <w:color w:val="000000"/>
          <w:sz w:val="24"/>
          <w:szCs w:val="24"/>
          <w:highlight w:val="yellow"/>
        </w:rPr>
        <w:t>XX</w:t>
      </w:r>
    </w:p>
    <w:p w14:paraId="0000001C" w14:textId="77777777" w:rsidR="00993C43" w:rsidRDefault="00927115">
      <w:pPr>
        <w:pStyle w:val="Normal1"/>
        <w:pBdr>
          <w:top w:val="nil"/>
          <w:left w:val="nil"/>
          <w:bottom w:val="nil"/>
          <w:right w:val="nil"/>
          <w:between w:val="nil"/>
        </w:pBdr>
        <w:spacing w:before="120" w:after="120" w:line="240" w:lineRule="auto"/>
        <w:jc w:val="center"/>
        <w:rPr>
          <w:color w:val="000000"/>
          <w:sz w:val="24"/>
          <w:szCs w:val="24"/>
        </w:rPr>
      </w:pPr>
      <w:r>
        <w:rPr>
          <w:color w:val="000000"/>
          <w:sz w:val="24"/>
          <w:szCs w:val="24"/>
        </w:rPr>
        <w:t xml:space="preserve">JURÍDICO </w:t>
      </w:r>
      <w:r w:rsidRPr="00C51D7A">
        <w:rPr>
          <w:color w:val="FF0000"/>
          <w:sz w:val="24"/>
          <w:szCs w:val="24"/>
        </w:rPr>
        <w:t>(Nome ainda será definido)</w:t>
      </w:r>
    </w:p>
    <w:p w14:paraId="0000001D" w14:textId="77777777" w:rsidR="00993C43" w:rsidRDefault="00927115">
      <w:pPr>
        <w:pStyle w:val="Normal1"/>
        <w:pBdr>
          <w:top w:val="nil"/>
          <w:left w:val="nil"/>
          <w:bottom w:val="nil"/>
          <w:right w:val="nil"/>
          <w:between w:val="nil"/>
        </w:pBdr>
        <w:spacing w:before="120" w:after="120" w:line="240" w:lineRule="auto"/>
        <w:jc w:val="center"/>
        <w:rPr>
          <w:b/>
          <w:color w:val="000000"/>
          <w:sz w:val="24"/>
          <w:szCs w:val="24"/>
        </w:rPr>
      </w:pPr>
      <w:r>
        <w:rPr>
          <w:b/>
          <w:color w:val="000000"/>
          <w:sz w:val="24"/>
          <w:szCs w:val="24"/>
        </w:rPr>
        <w:t>Seção I</w:t>
      </w:r>
    </w:p>
    <w:p w14:paraId="0000001E" w14:textId="77777777" w:rsidR="00993C43" w:rsidRDefault="00927115">
      <w:pPr>
        <w:pStyle w:val="Normal1"/>
        <w:pBdr>
          <w:top w:val="nil"/>
          <w:left w:val="nil"/>
          <w:bottom w:val="nil"/>
          <w:right w:val="nil"/>
          <w:between w:val="nil"/>
        </w:pBdr>
        <w:spacing w:before="120" w:after="120" w:line="240" w:lineRule="auto"/>
        <w:jc w:val="center"/>
        <w:rPr>
          <w:b/>
          <w:color w:val="000000"/>
          <w:sz w:val="24"/>
          <w:szCs w:val="24"/>
        </w:rPr>
      </w:pPr>
      <w:r>
        <w:rPr>
          <w:b/>
          <w:color w:val="000000"/>
          <w:sz w:val="24"/>
          <w:szCs w:val="24"/>
        </w:rPr>
        <w:t xml:space="preserve">Da Câmara de Mediação, Conciliação e Arbitragem </w:t>
      </w:r>
    </w:p>
    <w:p w14:paraId="0000001F" w14:textId="77777777" w:rsidR="00993C43" w:rsidRDefault="00927115">
      <w:pPr>
        <w:pStyle w:val="Normal1"/>
        <w:pBdr>
          <w:top w:val="nil"/>
          <w:left w:val="nil"/>
          <w:bottom w:val="nil"/>
          <w:right w:val="nil"/>
          <w:between w:val="nil"/>
        </w:pBdr>
        <w:spacing w:before="120" w:after="120" w:line="240" w:lineRule="auto"/>
        <w:jc w:val="both"/>
        <w:rPr>
          <w:color w:val="000000"/>
          <w:sz w:val="24"/>
          <w:szCs w:val="24"/>
        </w:rPr>
      </w:pPr>
      <w:r>
        <w:rPr>
          <w:color w:val="000000"/>
          <w:sz w:val="24"/>
          <w:szCs w:val="24"/>
        </w:rPr>
        <w:t xml:space="preserve">Art. 700.  A Câmara de Mediação, Conciliação e Arbitragem da </w:t>
      </w:r>
      <w:proofErr w:type="spellStart"/>
      <w:r>
        <w:rPr>
          <w:color w:val="000000"/>
          <w:sz w:val="24"/>
          <w:szCs w:val="24"/>
        </w:rPr>
        <w:t>Previc</w:t>
      </w:r>
      <w:proofErr w:type="spellEnd"/>
      <w:r>
        <w:rPr>
          <w:color w:val="000000"/>
          <w:sz w:val="24"/>
          <w:szCs w:val="24"/>
        </w:rPr>
        <w:t xml:space="preserve"> (CMCA) tem a competência de promover a mediação e a conciliação entre EFPC e entre estas e seus participantes, assistidos, patrocinadores ou instituidores, bem como dirimir os litígios que lhe forem submetidos na forma da Lei nº 9.307, de 23 de setembro de 1996. </w:t>
      </w:r>
    </w:p>
    <w:p w14:paraId="00000020"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1º  O exercício das competências a que se refere o </w:t>
      </w:r>
      <w:r>
        <w:rPr>
          <w:b/>
          <w:color w:val="000000"/>
          <w:sz w:val="24"/>
          <w:szCs w:val="24"/>
        </w:rPr>
        <w:t>caput</w:t>
      </w:r>
      <w:r>
        <w:rPr>
          <w:color w:val="000000"/>
          <w:sz w:val="24"/>
          <w:szCs w:val="24"/>
        </w:rPr>
        <w:t xml:space="preserve"> não constitui poder de polícia. </w:t>
      </w:r>
    </w:p>
    <w:p w14:paraId="00000021" w14:textId="3D168F3A" w:rsidR="00993C43" w:rsidRDefault="00927115">
      <w:pPr>
        <w:pStyle w:val="Normal1"/>
        <w:pBdr>
          <w:top w:val="nil"/>
          <w:left w:val="nil"/>
          <w:bottom w:val="nil"/>
          <w:right w:val="nil"/>
          <w:between w:val="nil"/>
        </w:pBdr>
        <w:jc w:val="both"/>
        <w:rPr>
          <w:color w:val="000000"/>
          <w:sz w:val="24"/>
          <w:szCs w:val="24"/>
        </w:rPr>
      </w:pPr>
      <w:bookmarkStart w:id="3" w:name="_1fob9te" w:colFirst="0" w:colLast="0"/>
      <w:bookmarkEnd w:id="3"/>
      <w:r>
        <w:rPr>
          <w:color w:val="000000"/>
          <w:sz w:val="24"/>
          <w:szCs w:val="24"/>
        </w:rPr>
        <w:t>§ 2º  A arbitragem deve ser sempre de direito e deve respeitar o princípio da publicidade, e somente pode versar sobre direitos patrimoniais disponíveis.</w:t>
      </w:r>
    </w:p>
    <w:p w14:paraId="00000022"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3º  A mediação pode versar sobre todo o conflito ou parte dele, segundo a vontade das partes.</w:t>
      </w:r>
    </w:p>
    <w:p w14:paraId="00000023"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701.  A CMCA possui a seguinte composição: </w:t>
      </w:r>
    </w:p>
    <w:p w14:paraId="00000024" w14:textId="25818854"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 - o presidente, que é o procurador-chefe ou outro advogado público federal, em exercício na Procuradoria Federal junto à </w:t>
      </w:r>
      <w:proofErr w:type="spellStart"/>
      <w:r>
        <w:rPr>
          <w:color w:val="000000"/>
          <w:sz w:val="24"/>
          <w:szCs w:val="24"/>
        </w:rPr>
        <w:t>Previc</w:t>
      </w:r>
      <w:proofErr w:type="spellEnd"/>
      <w:r>
        <w:rPr>
          <w:color w:val="000000"/>
          <w:sz w:val="24"/>
          <w:szCs w:val="24"/>
        </w:rPr>
        <w:t xml:space="preserve">, que venha a ser designado pelo procurador-chefe; </w:t>
      </w:r>
    </w:p>
    <w:p w14:paraId="00000025" w14:textId="7557B356" w:rsidR="00993C43" w:rsidRDefault="00927115">
      <w:pPr>
        <w:pStyle w:val="Normal1"/>
        <w:pBdr>
          <w:top w:val="nil"/>
          <w:left w:val="nil"/>
          <w:bottom w:val="nil"/>
          <w:right w:val="nil"/>
          <w:between w:val="nil"/>
        </w:pBdr>
        <w:jc w:val="both"/>
        <w:rPr>
          <w:color w:val="000000"/>
          <w:sz w:val="24"/>
          <w:szCs w:val="24"/>
        </w:rPr>
      </w:pPr>
      <w:r>
        <w:rPr>
          <w:color w:val="000000"/>
          <w:sz w:val="24"/>
          <w:szCs w:val="24"/>
        </w:rPr>
        <w:t>II – o mediador, o qual, no desempenho de sua função, pode reunir-se com as partes, em conjunto ou separadamente, bem como solicitar das partes as informações que entender necessárias para facilitar o entendimento entre aquelas, conforme o disposto no art. 19 da Lei nº 13.140, de 26 de junho de 2015;</w:t>
      </w:r>
    </w:p>
    <w:p w14:paraId="00000026"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III - os experts, escolhidos entre os servidores em exercício nas Diretorias da </w:t>
      </w:r>
      <w:proofErr w:type="spellStart"/>
      <w:r>
        <w:rPr>
          <w:color w:val="000000"/>
          <w:sz w:val="24"/>
          <w:szCs w:val="24"/>
        </w:rPr>
        <w:t>Previc</w:t>
      </w:r>
      <w:proofErr w:type="spellEnd"/>
      <w:r>
        <w:rPr>
          <w:color w:val="000000"/>
          <w:sz w:val="24"/>
          <w:szCs w:val="24"/>
        </w:rPr>
        <w:t>, indicados pelos respectivos Diretores, na forma prevista neste regulamento.</w:t>
      </w:r>
    </w:p>
    <w:p w14:paraId="00000027" w14:textId="4087EC9E"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1º  A Coordenação-Geral de Apoio à Diretoria Colegiada da </w:t>
      </w:r>
      <w:proofErr w:type="spellStart"/>
      <w:r>
        <w:rPr>
          <w:color w:val="000000"/>
          <w:sz w:val="24"/>
          <w:szCs w:val="24"/>
        </w:rPr>
        <w:t>Previc</w:t>
      </w:r>
      <w:proofErr w:type="spellEnd"/>
      <w:r>
        <w:rPr>
          <w:color w:val="000000"/>
          <w:sz w:val="24"/>
          <w:szCs w:val="24"/>
        </w:rPr>
        <w:t xml:space="preserve">, que funciona como sua Secretaria-Executiva. </w:t>
      </w:r>
    </w:p>
    <w:p w14:paraId="00000028" w14:textId="7BA9C935"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2º  Os serviços a que se refere este regulamento são considerados serviços relevantes e não remunerados, exercidos sem prejuízo das atribuições do cargo. </w:t>
      </w:r>
    </w:p>
    <w:p w14:paraId="00000029"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3º  Os serviços a que se refere este regulamento devem ser computados na carga semanal de trabalho dos servidores. </w:t>
      </w:r>
    </w:p>
    <w:p w14:paraId="0000002A" w14:textId="3B98F5B5"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4º  A relação com a composição atualizada dos árbitros, conciliadores e </w:t>
      </w:r>
      <w:r w:rsidRPr="0016474D">
        <w:rPr>
          <w:b/>
          <w:color w:val="000000"/>
          <w:sz w:val="24"/>
          <w:szCs w:val="24"/>
        </w:rPr>
        <w:t>experts</w:t>
      </w:r>
      <w:r>
        <w:rPr>
          <w:color w:val="000000"/>
          <w:sz w:val="24"/>
          <w:szCs w:val="24"/>
        </w:rPr>
        <w:t xml:space="preserve"> deve ser aprovada anualmente pelo Presidente da CMCA.  </w:t>
      </w:r>
    </w:p>
    <w:p w14:paraId="0000002B"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5º  A lista de conciliadores e árbitros selecionados pelo Presidente da CMCA, com profissionais com notório conhecimento em previdência complementar fechada interessados em atuar junto à CMCA, deve ser publicada na página eletrônica da </w:t>
      </w:r>
      <w:proofErr w:type="spellStart"/>
      <w:r>
        <w:rPr>
          <w:color w:val="000000"/>
          <w:sz w:val="24"/>
          <w:szCs w:val="24"/>
        </w:rPr>
        <w:t>Previc</w:t>
      </w:r>
      <w:proofErr w:type="spellEnd"/>
      <w:r>
        <w:rPr>
          <w:color w:val="000000"/>
          <w:sz w:val="24"/>
          <w:szCs w:val="24"/>
        </w:rPr>
        <w:t>.</w:t>
      </w:r>
    </w:p>
    <w:p w14:paraId="0000002C" w14:textId="7616F98A"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6º  Somente podem integrar os quadros de mediadores, árbitros e peritos na </w:t>
      </w:r>
      <w:proofErr w:type="spellStart"/>
      <w:r>
        <w:rPr>
          <w:color w:val="000000"/>
          <w:sz w:val="24"/>
          <w:szCs w:val="24"/>
        </w:rPr>
        <w:t>Previc</w:t>
      </w:r>
      <w:proofErr w:type="spellEnd"/>
      <w:r>
        <w:rPr>
          <w:color w:val="000000"/>
          <w:sz w:val="24"/>
          <w:szCs w:val="24"/>
        </w:rPr>
        <w:t xml:space="preserve"> aqueles profissionais que forem submetidos previamente à análise quanto à sua competência e reputação ilibada.</w:t>
      </w:r>
    </w:p>
    <w:p w14:paraId="0000002D" w14:textId="29B96E70"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7º  Verificada a ocorrência de qualquer fato ou ato que desabone a reputação de árbitro, conciliador ou </w:t>
      </w:r>
      <w:r w:rsidRPr="0016474D">
        <w:rPr>
          <w:b/>
          <w:color w:val="000000"/>
          <w:sz w:val="24"/>
          <w:szCs w:val="24"/>
        </w:rPr>
        <w:t>expert</w:t>
      </w:r>
      <w:r>
        <w:rPr>
          <w:color w:val="000000"/>
          <w:sz w:val="24"/>
          <w:szCs w:val="24"/>
        </w:rPr>
        <w:t>, o presidente da CMCA pode rever a relação em prazo inferior ao contido no § 4º.</w:t>
      </w:r>
    </w:p>
    <w:p w14:paraId="0000002E" w14:textId="6C6FBBBF"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 8º  Aplicam-se aos servidores constantes da relação, para os fins do §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p w14:paraId="00000030" w14:textId="118B3516"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9º  Da exclusão de árbitro, conciliador ou </w:t>
      </w:r>
      <w:r w:rsidRPr="0016474D">
        <w:rPr>
          <w:b/>
          <w:color w:val="000000"/>
          <w:sz w:val="24"/>
          <w:szCs w:val="24"/>
        </w:rPr>
        <w:t>expert</w:t>
      </w:r>
      <w:r>
        <w:rPr>
          <w:color w:val="000000"/>
          <w:sz w:val="24"/>
          <w:szCs w:val="24"/>
        </w:rPr>
        <w:t>, cabe recurso ao Presidente da CMCA, no prazo de dez dias, contados da publicação.</w:t>
      </w:r>
    </w:p>
    <w:p w14:paraId="00000031" w14:textId="30E4CF5C" w:rsidR="00993C43" w:rsidRDefault="00927115">
      <w:pPr>
        <w:pStyle w:val="Normal1"/>
        <w:pBdr>
          <w:top w:val="nil"/>
          <w:left w:val="nil"/>
          <w:bottom w:val="nil"/>
          <w:right w:val="nil"/>
          <w:between w:val="nil"/>
        </w:pBdr>
        <w:jc w:val="center"/>
        <w:rPr>
          <w:color w:val="000000"/>
          <w:sz w:val="24"/>
          <w:szCs w:val="24"/>
        </w:rPr>
      </w:pPr>
      <w:r>
        <w:rPr>
          <w:b/>
          <w:color w:val="000000"/>
          <w:sz w:val="24"/>
          <w:szCs w:val="24"/>
        </w:rPr>
        <w:t>Subseção I</w:t>
      </w:r>
    </w:p>
    <w:p w14:paraId="00000033" w14:textId="2570480E" w:rsidR="00993C43" w:rsidRDefault="00927115">
      <w:pPr>
        <w:pStyle w:val="Normal1"/>
        <w:pBdr>
          <w:top w:val="nil"/>
          <w:left w:val="nil"/>
          <w:bottom w:val="nil"/>
          <w:right w:val="nil"/>
          <w:between w:val="nil"/>
        </w:pBdr>
        <w:jc w:val="center"/>
        <w:rPr>
          <w:b/>
          <w:color w:val="000000"/>
          <w:sz w:val="24"/>
          <w:szCs w:val="24"/>
        </w:rPr>
      </w:pPr>
      <w:r>
        <w:rPr>
          <w:b/>
          <w:color w:val="000000"/>
          <w:sz w:val="24"/>
          <w:szCs w:val="24"/>
        </w:rPr>
        <w:t>Dos princípios</w:t>
      </w:r>
    </w:p>
    <w:p w14:paraId="00000034" w14:textId="5F88FD67"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702.  O procedimento de que trata este regulamento é orientado pelos seguintes princípios:</w:t>
      </w:r>
    </w:p>
    <w:p w14:paraId="00000035"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 - imparcialidade dos integrantes da CMCA;</w:t>
      </w:r>
    </w:p>
    <w:p w14:paraId="00000036"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II - isonomia e paridade entre as partes;</w:t>
      </w:r>
    </w:p>
    <w:p w14:paraId="00000037"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III - oralidade;</w:t>
      </w:r>
    </w:p>
    <w:p w14:paraId="00000038"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IV - informalidade;</w:t>
      </w:r>
    </w:p>
    <w:p w14:paraId="00000039"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V - simplicidade;</w:t>
      </w:r>
    </w:p>
    <w:p w14:paraId="0000003A"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VI - autonomia da vontade das partes;</w:t>
      </w:r>
    </w:p>
    <w:p w14:paraId="0000003B"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VII - busca do consenso;</w:t>
      </w:r>
    </w:p>
    <w:p w14:paraId="0000003C"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VIII - confidencialidade;</w:t>
      </w:r>
    </w:p>
    <w:p w14:paraId="0000003D"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IX - cooperação;</w:t>
      </w:r>
    </w:p>
    <w:p w14:paraId="0000003E"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X - lealdade e boa-fé; </w:t>
      </w:r>
    </w:p>
    <w:p w14:paraId="0000003F"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XI - moralidade; e</w:t>
      </w:r>
    </w:p>
    <w:p w14:paraId="00000040"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XII - celeridade.</w:t>
      </w:r>
    </w:p>
    <w:p w14:paraId="00000041" w14:textId="5403BFF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Parágrafo único.  Em caso de instituição de arbitragem, </w:t>
      </w:r>
      <w:r w:rsidR="00575B70">
        <w:rPr>
          <w:color w:val="000000"/>
          <w:sz w:val="24"/>
          <w:szCs w:val="24"/>
        </w:rPr>
        <w:t>devem ser</w:t>
      </w:r>
      <w:r>
        <w:rPr>
          <w:color w:val="000000"/>
          <w:sz w:val="24"/>
          <w:szCs w:val="24"/>
        </w:rPr>
        <w:t xml:space="preserve"> observados também os princípios do contraditório efetivo, da ampla defesa, do dever de revelação e do livre convencimento do árbitro. </w:t>
      </w:r>
    </w:p>
    <w:p w14:paraId="00000042" w14:textId="10CFB10A" w:rsidR="00993C43" w:rsidRDefault="00927115">
      <w:pPr>
        <w:pStyle w:val="Normal1"/>
        <w:pBdr>
          <w:top w:val="nil"/>
          <w:left w:val="nil"/>
          <w:bottom w:val="nil"/>
          <w:right w:val="nil"/>
          <w:between w:val="nil"/>
        </w:pBdr>
        <w:jc w:val="center"/>
        <w:rPr>
          <w:b/>
          <w:color w:val="000000"/>
          <w:sz w:val="24"/>
          <w:szCs w:val="24"/>
        </w:rPr>
      </w:pPr>
      <w:r>
        <w:rPr>
          <w:b/>
          <w:color w:val="000000"/>
          <w:sz w:val="24"/>
          <w:szCs w:val="24"/>
        </w:rPr>
        <w:t>Subseção II</w:t>
      </w:r>
    </w:p>
    <w:p w14:paraId="00000043" w14:textId="77777777" w:rsidR="00993C43" w:rsidRPr="0016474D" w:rsidRDefault="00927115" w:rsidP="0016474D">
      <w:pPr>
        <w:pStyle w:val="Normal1"/>
        <w:pBdr>
          <w:top w:val="nil"/>
          <w:left w:val="nil"/>
          <w:bottom w:val="nil"/>
          <w:right w:val="nil"/>
          <w:between w:val="nil"/>
        </w:pBdr>
        <w:jc w:val="center"/>
      </w:pPr>
      <w:r>
        <w:rPr>
          <w:b/>
          <w:color w:val="000000"/>
          <w:sz w:val="24"/>
          <w:szCs w:val="24"/>
        </w:rPr>
        <w:t>Do procedimento de mediação</w:t>
      </w:r>
    </w:p>
    <w:p w14:paraId="00000044" w14:textId="51487C89"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703.  O procedimento é iniciado por provocação da </w:t>
      </w:r>
      <w:proofErr w:type="spellStart"/>
      <w:r>
        <w:rPr>
          <w:color w:val="000000"/>
          <w:sz w:val="24"/>
          <w:szCs w:val="24"/>
        </w:rPr>
        <w:t>Previc</w:t>
      </w:r>
      <w:proofErr w:type="spellEnd"/>
      <w:r>
        <w:rPr>
          <w:color w:val="000000"/>
          <w:sz w:val="24"/>
          <w:szCs w:val="24"/>
        </w:rPr>
        <w:t xml:space="preserve"> ou por qualquer das pessoas indicadas no art. 701, mediante requerimento eletrônico ou físico protocolado na Secretaria-Executiva da CMCA.</w:t>
      </w:r>
    </w:p>
    <w:p w14:paraId="00000045" w14:textId="4267FF21"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1º  O requerimento deve ser datado e assinado pelas partes envolvidas no litígio e deve contar com uma breve descrição dos fatos e do objeto controvertido, acompanhado dos seguintes documentos, conforme o caso: </w:t>
      </w:r>
    </w:p>
    <w:p w14:paraId="00000046"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 - cópia da carteira de identidade e do Cadastro de Pessoa Física (CPF) da pessoa física ou do representante da pessoa jurídica; </w:t>
      </w:r>
    </w:p>
    <w:p w14:paraId="00000047"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00000048"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III - cópia do contrato ou do documento onde conste a cláusula compromissória, quando for o caso; </w:t>
      </w:r>
    </w:p>
    <w:p w14:paraId="00000049"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IV - cópias dos documentos necessários ao completo entendimento da controvérsia; e</w:t>
      </w:r>
    </w:p>
    <w:p w14:paraId="0000004A"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V - estimativa do valor atribuído à causa pelo requerente.</w:t>
      </w:r>
    </w:p>
    <w:p w14:paraId="0000004B" w14:textId="2AB37F17" w:rsidR="00993C43" w:rsidRDefault="00927115">
      <w:pPr>
        <w:pStyle w:val="Normal1"/>
        <w:pBdr>
          <w:top w:val="nil"/>
          <w:left w:val="nil"/>
          <w:bottom w:val="nil"/>
          <w:right w:val="nil"/>
          <w:between w:val="nil"/>
        </w:pBdr>
        <w:jc w:val="both"/>
        <w:rPr>
          <w:color w:val="000000"/>
          <w:sz w:val="24"/>
          <w:szCs w:val="24"/>
        </w:rPr>
      </w:pPr>
      <w:r>
        <w:rPr>
          <w:color w:val="000000"/>
          <w:sz w:val="24"/>
          <w:szCs w:val="24"/>
        </w:rPr>
        <w:t>§ 2º  Somente podem instaurar o procedimento em nome de seus representados, os sindicatos e associações de participantes e assistidos que comprovem sua representatividade, com poderes especiais para transacionar.</w:t>
      </w:r>
    </w:p>
    <w:p w14:paraId="0000004C" w14:textId="2364D79A"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3º  O requerimento referido no </w:t>
      </w:r>
      <w:r w:rsidRPr="0016474D">
        <w:rPr>
          <w:b/>
          <w:color w:val="000000"/>
          <w:sz w:val="24"/>
          <w:szCs w:val="24"/>
        </w:rPr>
        <w:t>caput</w:t>
      </w:r>
      <w:r>
        <w:rPr>
          <w:color w:val="000000"/>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p w14:paraId="0000004D" w14:textId="6EB001BD"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4º  O requerimento pode consistir em simples solicitação para que seja contatada a outra parte, a fim de averiguar a viabilidade ou interesse de se submeter ao procedimento disciplinado neste regulamento. </w:t>
      </w:r>
    </w:p>
    <w:p w14:paraId="0000004E" w14:textId="5B10FDFA"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5º  A autenticação dos documentos relacionados no § 1º, quando necessária, pode ser feita pelo servidor responsável pelo protocolo, à vista dos originais, nos termos do § 1º </w:t>
      </w:r>
      <w:r w:rsidRPr="002C36E3">
        <w:rPr>
          <w:color w:val="000000"/>
          <w:sz w:val="24"/>
          <w:szCs w:val="24"/>
        </w:rPr>
        <w:t>do art. 10</w:t>
      </w:r>
      <w:r w:rsidR="002C36E3">
        <w:rPr>
          <w:color w:val="000000"/>
          <w:sz w:val="24"/>
          <w:szCs w:val="24"/>
        </w:rPr>
        <w:t xml:space="preserve"> do Decreto nº 9.094, de 17 de julho de 2017</w:t>
      </w:r>
      <w:r>
        <w:rPr>
          <w:color w:val="000000"/>
          <w:sz w:val="24"/>
          <w:szCs w:val="24"/>
        </w:rPr>
        <w:t>, ou pelo próprio advogado da parte, sob sua responsabilidade pessoal, na forma do inciso IV do art. 425 do Código de Processo Civil, bem como observado o disposto na Lei nº 12.813, de 16 de maio de 2013.</w:t>
      </w:r>
    </w:p>
    <w:p w14:paraId="0000004F" w14:textId="1047B54E"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6º  O requerimento apresentado pode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 </w:t>
      </w:r>
    </w:p>
    <w:p w14:paraId="00000050" w14:textId="31DB24CF" w:rsidR="00993C43" w:rsidRDefault="00927115">
      <w:pPr>
        <w:pStyle w:val="Normal1"/>
        <w:pBdr>
          <w:top w:val="nil"/>
          <w:left w:val="nil"/>
          <w:bottom w:val="nil"/>
          <w:right w:val="nil"/>
          <w:between w:val="nil"/>
        </w:pBdr>
        <w:jc w:val="both"/>
        <w:rPr>
          <w:color w:val="000000"/>
          <w:sz w:val="24"/>
          <w:szCs w:val="24"/>
        </w:rPr>
      </w:pPr>
      <w:r>
        <w:rPr>
          <w:color w:val="000000"/>
          <w:sz w:val="24"/>
          <w:szCs w:val="24"/>
        </w:rPr>
        <w:t>§ 7º  Constatada a insuficiência dos documentos apresentados, as partes são comunicadas a fim de complementar a documentação no prazo de trinta dias, sob pena de arquivamento.</w:t>
      </w:r>
    </w:p>
    <w:p w14:paraId="00000051" w14:textId="7A386DB3"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704.  Verificada a regularidade d</w:t>
      </w:r>
      <w:r w:rsidR="002C36E3">
        <w:rPr>
          <w:color w:val="000000"/>
          <w:sz w:val="24"/>
          <w:szCs w:val="24"/>
        </w:rPr>
        <w:t>a documentação pela Secretaria-</w:t>
      </w:r>
      <w:r>
        <w:rPr>
          <w:color w:val="000000"/>
          <w:sz w:val="24"/>
          <w:szCs w:val="24"/>
        </w:rPr>
        <w:t xml:space="preserve">Executiva, o procedimento é encaminhado ao Presidente da CMCA, que deve proferir decisão sobre sua admissibilidade, no prazo de trinta dias, contados do recebimento dos autos. </w:t>
      </w:r>
    </w:p>
    <w:p w14:paraId="00000052" w14:textId="6B3FB628"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1º  Além das demais condições previstas neste regulamento, é levada em consideração, para a admissão do pedido, a relevância da matéria submetida à apreciação da CMCA, considerando sua possível repercussão e relevância para o regime de previdência complementar fechado. </w:t>
      </w:r>
    </w:p>
    <w:p w14:paraId="00000053" w14:textId="58E4DB16"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2º  Antes de decidir sobre o prosseguimento do feito, o presidente deve consultar as Diretorias da </w:t>
      </w:r>
      <w:proofErr w:type="spellStart"/>
      <w:r>
        <w:rPr>
          <w:color w:val="000000"/>
          <w:sz w:val="24"/>
          <w:szCs w:val="24"/>
        </w:rPr>
        <w:t>Previc</w:t>
      </w:r>
      <w:proofErr w:type="spellEnd"/>
      <w:r>
        <w:rPr>
          <w:color w:val="000000"/>
          <w:sz w:val="24"/>
          <w:szCs w:val="24"/>
        </w:rPr>
        <w:t xml:space="preserve"> sobre a existência de situação que recomende a não admissibilidade do pedido, concedendo-lhes o prazo comum de quinze dias, após o qual se presume que inexiste óbice à análise do feito.</w:t>
      </w:r>
    </w:p>
    <w:p w14:paraId="00000054" w14:textId="5EB5B714"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 3º  Quando cabível, a requerimento das partes, o Presidente da CMCA decreta o sigilo do procedimento. </w:t>
      </w:r>
    </w:p>
    <w:p w14:paraId="00000055" w14:textId="7C3D5D2B" w:rsidR="00993C43" w:rsidRDefault="00927115">
      <w:pPr>
        <w:pStyle w:val="Normal1"/>
        <w:pBdr>
          <w:top w:val="nil"/>
          <w:left w:val="nil"/>
          <w:bottom w:val="nil"/>
          <w:right w:val="nil"/>
          <w:between w:val="nil"/>
        </w:pBdr>
        <w:jc w:val="both"/>
        <w:rPr>
          <w:color w:val="000000"/>
          <w:sz w:val="24"/>
          <w:szCs w:val="24"/>
        </w:rPr>
      </w:pPr>
      <w:r>
        <w:rPr>
          <w:color w:val="000000"/>
          <w:sz w:val="24"/>
          <w:szCs w:val="24"/>
        </w:rPr>
        <w:t>§ 4º  Quando o processo envolver a administração pública, o procedimento deve respeitar o princípio da publicidade.</w:t>
      </w:r>
    </w:p>
    <w:p w14:paraId="00000056" w14:textId="592C31D5"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5º  A admissão da mediação implica a suspensão de qualquer processo em trâmite na </w:t>
      </w:r>
      <w:proofErr w:type="spellStart"/>
      <w:r>
        <w:rPr>
          <w:color w:val="000000"/>
          <w:sz w:val="24"/>
          <w:szCs w:val="24"/>
        </w:rPr>
        <w:t>Previc</w:t>
      </w:r>
      <w:proofErr w:type="spellEnd"/>
      <w:r>
        <w:rPr>
          <w:color w:val="000000"/>
          <w:sz w:val="24"/>
          <w:szCs w:val="24"/>
        </w:rPr>
        <w:t xml:space="preserve"> que tenha o mesmo objeto, enquanto durar o procedimento consensual.</w:t>
      </w:r>
    </w:p>
    <w:p w14:paraId="00000057" w14:textId="50FCA309"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w:t>
      </w:r>
      <w:r w:rsidR="00E75BE8">
        <w:rPr>
          <w:color w:val="000000"/>
          <w:sz w:val="24"/>
          <w:szCs w:val="24"/>
        </w:rPr>
        <w:t>6</w:t>
      </w:r>
      <w:r>
        <w:rPr>
          <w:color w:val="000000"/>
          <w:sz w:val="24"/>
          <w:szCs w:val="24"/>
        </w:rPr>
        <w:t>º A decisão de que trata este artigo é irrecorrível e é comunicada imediatamente aos interessados pela Secretaria-Executiva.</w:t>
      </w:r>
    </w:p>
    <w:p w14:paraId="00000058" w14:textId="0A637738"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705.  Sendo o pedido de autoria de apenas uma das partes, o mediador </w:t>
      </w:r>
      <w:r w:rsidR="0009076A">
        <w:rPr>
          <w:color w:val="000000"/>
          <w:sz w:val="24"/>
          <w:szCs w:val="24"/>
        </w:rPr>
        <w:t xml:space="preserve">deve </w:t>
      </w:r>
      <w:r>
        <w:rPr>
          <w:color w:val="000000"/>
          <w:sz w:val="24"/>
          <w:szCs w:val="24"/>
        </w:rPr>
        <w:t>envia</w:t>
      </w:r>
      <w:r w:rsidR="0009076A">
        <w:rPr>
          <w:color w:val="000000"/>
          <w:sz w:val="24"/>
          <w:szCs w:val="24"/>
        </w:rPr>
        <w:t>r</w:t>
      </w:r>
      <w:r>
        <w:rPr>
          <w:color w:val="000000"/>
          <w:sz w:val="24"/>
          <w:szCs w:val="24"/>
        </w:rPr>
        <w:t xml:space="preserve"> convite às demais partes para iniciar o procedimento de mediação extrajudicial.</w:t>
      </w:r>
    </w:p>
    <w:p w14:paraId="00000059" w14:textId="0B9CD8F2"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§1º  O convite pode ser feito por qualquer meio de comunicação e deve estipular o escopo proposto para a negociação, a data e o local da primeira reunião. </w:t>
      </w:r>
    </w:p>
    <w:p w14:paraId="0000005A" w14:textId="50F3CF19"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§2º  O convite formulado pela CMCA a qualquer das partes, bem como por uma parte à outra, considerar-se-á rejeitado se não for respondido em até trinta dias da data de seu recebimento. </w:t>
      </w:r>
    </w:p>
    <w:p w14:paraId="0000005B" w14:textId="345CC04F"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§3º  Aceita a proposta de reunião de mediação, são designados o dia, a hora e o local da audiência, providenciando-se a comunicação aos interessados, de preferência por via eletrônica. </w:t>
      </w:r>
    </w:p>
    <w:p w14:paraId="0000005C" w14:textId="654A6273"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706  Comparecendo as partes à audiência de conciliação, pessoalmente ou através de representante com poderes expressos para transigir, é tentada a solução consensual da controvérsia. </w:t>
      </w:r>
    </w:p>
    <w:p w14:paraId="0000005D" w14:textId="71AFC81D" w:rsidR="00993C43" w:rsidRDefault="00927115">
      <w:pPr>
        <w:pStyle w:val="Normal1"/>
        <w:pBdr>
          <w:top w:val="nil"/>
          <w:left w:val="nil"/>
          <w:bottom w:val="nil"/>
          <w:right w:val="nil"/>
          <w:between w:val="nil"/>
        </w:pBdr>
        <w:jc w:val="both"/>
        <w:rPr>
          <w:color w:val="000000"/>
          <w:sz w:val="24"/>
          <w:szCs w:val="24"/>
        </w:rPr>
      </w:pPr>
      <w:r>
        <w:rPr>
          <w:color w:val="000000"/>
          <w:sz w:val="24"/>
          <w:szCs w:val="24"/>
        </w:rPr>
        <w:t>§ 1º  A audiência deve ser realizada a portas fechadas na hipótese de procedimento de natureza sigilosa, desde que requerido nos moldes do § 3º do art. 704.</w:t>
      </w:r>
    </w:p>
    <w:p w14:paraId="0000005E" w14:textId="7F9D07C7" w:rsidR="00993C43" w:rsidRDefault="00927115">
      <w:pPr>
        <w:pStyle w:val="Normal1"/>
        <w:pBdr>
          <w:top w:val="nil"/>
          <w:left w:val="nil"/>
          <w:bottom w:val="nil"/>
          <w:right w:val="nil"/>
          <w:between w:val="nil"/>
        </w:pBdr>
        <w:jc w:val="both"/>
        <w:rPr>
          <w:color w:val="000000"/>
          <w:sz w:val="24"/>
          <w:szCs w:val="24"/>
        </w:rPr>
      </w:pPr>
      <w:r>
        <w:rPr>
          <w:color w:val="000000"/>
          <w:sz w:val="24"/>
          <w:szCs w:val="24"/>
        </w:rPr>
        <w:t>§ 2º  A mediação pode ser feita pela internet ou por outro meio de comunicação que permita a transação à distância, desde que as partes estejam de acordo.</w:t>
      </w:r>
    </w:p>
    <w:p w14:paraId="0000005F" w14:textId="46405840" w:rsidR="00993C43" w:rsidRDefault="00927115">
      <w:pPr>
        <w:pStyle w:val="Normal1"/>
        <w:pBdr>
          <w:top w:val="nil"/>
          <w:left w:val="nil"/>
          <w:bottom w:val="nil"/>
          <w:right w:val="nil"/>
          <w:between w:val="nil"/>
        </w:pBdr>
        <w:jc w:val="both"/>
        <w:rPr>
          <w:color w:val="000000"/>
          <w:sz w:val="24"/>
          <w:szCs w:val="24"/>
        </w:rPr>
      </w:pPr>
      <w:r>
        <w:rPr>
          <w:color w:val="000000"/>
          <w:sz w:val="24"/>
          <w:szCs w:val="24"/>
        </w:rPr>
        <w:t>§ 3º  É facultado à parte domiciliada no exterior submeter-se à mediação segundo as regras estabelecidas nesta Seção.</w:t>
      </w:r>
    </w:p>
    <w:p w14:paraId="00000060" w14:textId="2D866BF0"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4º  O mediador pode ouvir as partes, uma ou mais vezes, em conjunto ou separadamente, solicitar a apresentação de esclarecimentos ou documentos adicionais e promover as diligências que entender necessárias para informar-se sobre os pormenores do caso. </w:t>
      </w:r>
    </w:p>
    <w:p w14:paraId="00000061" w14:textId="7065D716"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5º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CMCA, para que seja homologada a autocomposição, com valor de título executivo extrajudicial, nos termos do art. 20 da Lei nº 13.140, de 2015. </w:t>
      </w:r>
    </w:p>
    <w:p w14:paraId="00000062" w14:textId="098FC2C8"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6º  O Presidente da CMCA somente pode deixar de homologar a solução consensual em caso de vício de consentimento ou de violação literal a disposição legal. </w:t>
      </w:r>
    </w:p>
    <w:p w14:paraId="00000063" w14:textId="6B3028C1"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7º  Não se obtendo solução consensual, e não sendo possível a arbitragem, o procedimento é imediatamente arquivado, mediante despacho do Presidente da CMCA. </w:t>
      </w:r>
    </w:p>
    <w:p w14:paraId="00000064" w14:textId="3BC811D1"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 8º  Havendo interesse na convenção de arbitragem, e inexistindo cláusula arbitral prévia, é lavrado o Termo de Compromisso Arbitral, que define os aspectos sobre os quais verse a controvérsia. </w:t>
      </w:r>
    </w:p>
    <w:p w14:paraId="00000065" w14:textId="0560613C"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707.  Ausente à audiência qualquer dos interessados e estando os autos instruídos com o compromisso arbitral contendo a indicação expressa de que a arbitragem será realizada pela CMCA, tem prosseguimento o procedimento arbitral. </w:t>
      </w:r>
    </w:p>
    <w:p w14:paraId="00000066" w14:textId="6B53B068" w:rsidR="00993C43" w:rsidRDefault="00927115">
      <w:pPr>
        <w:pStyle w:val="Normal1"/>
        <w:pBdr>
          <w:top w:val="nil"/>
          <w:left w:val="nil"/>
          <w:bottom w:val="nil"/>
          <w:right w:val="nil"/>
          <w:between w:val="nil"/>
        </w:pBdr>
        <w:jc w:val="center"/>
        <w:rPr>
          <w:b/>
          <w:color w:val="000000"/>
          <w:sz w:val="24"/>
          <w:szCs w:val="24"/>
        </w:rPr>
      </w:pPr>
      <w:r>
        <w:rPr>
          <w:b/>
          <w:color w:val="000000"/>
          <w:sz w:val="24"/>
          <w:szCs w:val="24"/>
        </w:rPr>
        <w:t>Subseção III</w:t>
      </w:r>
    </w:p>
    <w:p w14:paraId="00000068" w14:textId="0F32B37D" w:rsidR="00993C43" w:rsidRDefault="00927115">
      <w:pPr>
        <w:pStyle w:val="Normal1"/>
        <w:pBdr>
          <w:top w:val="nil"/>
          <w:left w:val="nil"/>
          <w:bottom w:val="nil"/>
          <w:right w:val="nil"/>
          <w:between w:val="nil"/>
        </w:pBdr>
        <w:jc w:val="center"/>
        <w:rPr>
          <w:color w:val="000000"/>
          <w:sz w:val="24"/>
          <w:szCs w:val="24"/>
        </w:rPr>
      </w:pPr>
      <w:r>
        <w:rPr>
          <w:b/>
          <w:color w:val="000000"/>
          <w:sz w:val="24"/>
          <w:szCs w:val="24"/>
        </w:rPr>
        <w:t>Da arbitragem</w:t>
      </w:r>
    </w:p>
    <w:p w14:paraId="00000069" w14:textId="16FE8EFB"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708.  Antes da nomeação do tribunal arbitral, </w:t>
      </w:r>
      <w:r w:rsidR="0034318A">
        <w:rPr>
          <w:color w:val="000000"/>
          <w:sz w:val="24"/>
          <w:szCs w:val="24"/>
        </w:rPr>
        <w:t xml:space="preserve">deve </w:t>
      </w:r>
      <w:r>
        <w:rPr>
          <w:color w:val="000000"/>
          <w:sz w:val="24"/>
          <w:szCs w:val="24"/>
        </w:rPr>
        <w:t>ser elaborada a minuta do compromisso arbitral, o qual deve conter:</w:t>
      </w:r>
    </w:p>
    <w:p w14:paraId="0000006A"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 - nome, qualificação completa, endereço e e-mail das partes e de seus advogados; </w:t>
      </w:r>
    </w:p>
    <w:p w14:paraId="0000006B" w14:textId="7A4E3E36"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II - nome, qualificação completa, endereço e e-mail dos árbitros; </w:t>
      </w:r>
    </w:p>
    <w:p w14:paraId="0000006C" w14:textId="3EBFE3AA"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III - a matéria que será objeto da arbitragem; </w:t>
      </w:r>
    </w:p>
    <w:p w14:paraId="0000006D"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IV - o valor real ou estimado do litígio; </w:t>
      </w:r>
    </w:p>
    <w:p w14:paraId="0000006E" w14:textId="26B59115"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V - local onde deve ser desenvolvida e arbitragem e proferida a sentença arbitral; </w:t>
      </w:r>
    </w:p>
    <w:p w14:paraId="0000006F"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VI - o prazo para apresentação da sentença arbitral; e</w:t>
      </w:r>
    </w:p>
    <w:p w14:paraId="00000070" w14:textId="6EE00F36" w:rsidR="00993C43" w:rsidRDefault="00927115">
      <w:pPr>
        <w:pStyle w:val="Normal1"/>
        <w:pBdr>
          <w:top w:val="nil"/>
          <w:left w:val="nil"/>
          <w:bottom w:val="nil"/>
          <w:right w:val="nil"/>
          <w:between w:val="nil"/>
        </w:pBdr>
        <w:jc w:val="both"/>
        <w:rPr>
          <w:color w:val="000000"/>
          <w:sz w:val="24"/>
          <w:szCs w:val="24"/>
        </w:rPr>
      </w:pPr>
      <w:r>
        <w:rPr>
          <w:color w:val="000000"/>
          <w:sz w:val="24"/>
          <w:szCs w:val="24"/>
        </w:rPr>
        <w:t>VII - o idioma em que deve ser conduzido o procedimento arbitral.</w:t>
      </w:r>
    </w:p>
    <w:p w14:paraId="00000071" w14:textId="1CDC9191"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709.  O tribunal arbitral é composto por três membros, designados pelo Presidente da CMCA para a solução de caso específico da seguinte forma: </w:t>
      </w:r>
    </w:p>
    <w:p w14:paraId="00000072"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 - um advogado público federal, em exercício na Procuradoria Federal junto à </w:t>
      </w:r>
      <w:proofErr w:type="spellStart"/>
      <w:r>
        <w:rPr>
          <w:color w:val="000000"/>
          <w:sz w:val="24"/>
          <w:szCs w:val="24"/>
        </w:rPr>
        <w:t>Previc</w:t>
      </w:r>
      <w:proofErr w:type="spellEnd"/>
      <w:r>
        <w:rPr>
          <w:color w:val="000000"/>
          <w:sz w:val="24"/>
          <w:szCs w:val="24"/>
        </w:rPr>
        <w:t>, escolhido pelo Presidente da CMCA, a partir de lista elaborada semestralmente; e</w:t>
      </w:r>
    </w:p>
    <w:p w14:paraId="00000073"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II - dois profissionais com notório conhecimento da matéria e reputação ilibada, indicados de comum acordo pelas partes.</w:t>
      </w:r>
    </w:p>
    <w:p w14:paraId="00000074" w14:textId="62D47419" w:rsidR="00993C43" w:rsidRDefault="00927115">
      <w:pPr>
        <w:pStyle w:val="Normal1"/>
        <w:pBdr>
          <w:top w:val="nil"/>
          <w:left w:val="nil"/>
          <w:bottom w:val="nil"/>
          <w:right w:val="nil"/>
          <w:between w:val="nil"/>
        </w:pBdr>
        <w:jc w:val="both"/>
        <w:rPr>
          <w:color w:val="000000"/>
          <w:sz w:val="24"/>
          <w:szCs w:val="24"/>
        </w:rPr>
      </w:pPr>
      <w:r>
        <w:rPr>
          <w:color w:val="000000"/>
          <w:sz w:val="24"/>
          <w:szCs w:val="24"/>
        </w:rPr>
        <w:t>§ 1º  O tribunal arbitral é presidido pelo membro designado na forma do inciso I.</w:t>
      </w:r>
    </w:p>
    <w:p w14:paraId="00000075" w14:textId="7C6179A0" w:rsidR="00993C43" w:rsidRDefault="00927115">
      <w:pPr>
        <w:pStyle w:val="Normal1"/>
        <w:pBdr>
          <w:top w:val="nil"/>
          <w:left w:val="nil"/>
          <w:bottom w:val="nil"/>
          <w:right w:val="nil"/>
          <w:between w:val="nil"/>
        </w:pBdr>
        <w:jc w:val="both"/>
        <w:rPr>
          <w:color w:val="000000"/>
          <w:sz w:val="24"/>
          <w:szCs w:val="24"/>
        </w:rPr>
      </w:pPr>
      <w:r>
        <w:rPr>
          <w:color w:val="000000"/>
          <w:sz w:val="24"/>
          <w:szCs w:val="24"/>
        </w:rPr>
        <w:t>§ 2º  Visando à maior economicidade, havendo concordância expressa, pode ser adotada para ambas as partes a arbitragem sumária, com a designação de advogado público federal, indicado na forma do inciso I, como árbitro único, o qual pode atuar isoladamente.</w:t>
      </w:r>
    </w:p>
    <w:p w14:paraId="00000076" w14:textId="4CF8396E"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3º  Nos casos de arbitragem, os componentes do tribunal arbitral deve proceder com imparcialidade, independência, competência, diligência e discrição no exercício de suas funções, assinando "Declaração de Independência", a qual deve ser juntada aos autos. </w:t>
      </w:r>
    </w:p>
    <w:p w14:paraId="00000077" w14:textId="3B1EEFEB"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4º  O tribunal arbitral pode contar com o auxílio de </w:t>
      </w:r>
      <w:r w:rsidRPr="0016474D">
        <w:rPr>
          <w:b/>
          <w:color w:val="000000"/>
          <w:sz w:val="24"/>
          <w:szCs w:val="24"/>
        </w:rPr>
        <w:t>experts</w:t>
      </w:r>
      <w:r>
        <w:rPr>
          <w:color w:val="000000"/>
          <w:sz w:val="24"/>
          <w:szCs w:val="24"/>
        </w:rPr>
        <w:t xml:space="preserve">, com conhecimento na área de finanças ou de atuária, selecionados a partir de lista elaborada semestralmente pelas Diretorias da </w:t>
      </w:r>
      <w:proofErr w:type="spellStart"/>
      <w:r>
        <w:rPr>
          <w:color w:val="000000"/>
          <w:sz w:val="24"/>
          <w:szCs w:val="24"/>
        </w:rPr>
        <w:t>Previc</w:t>
      </w:r>
      <w:proofErr w:type="spellEnd"/>
      <w:r>
        <w:rPr>
          <w:color w:val="000000"/>
          <w:sz w:val="24"/>
          <w:szCs w:val="24"/>
        </w:rPr>
        <w:t>.</w:t>
      </w:r>
    </w:p>
    <w:p w14:paraId="00000078" w14:textId="2CE6CCAF" w:rsidR="00993C43" w:rsidRDefault="00927115">
      <w:pPr>
        <w:pStyle w:val="Normal1"/>
        <w:pBdr>
          <w:top w:val="nil"/>
          <w:left w:val="nil"/>
          <w:bottom w:val="nil"/>
          <w:right w:val="nil"/>
          <w:between w:val="nil"/>
        </w:pBdr>
        <w:jc w:val="both"/>
        <w:rPr>
          <w:color w:val="000000"/>
          <w:sz w:val="24"/>
          <w:szCs w:val="24"/>
        </w:rPr>
      </w:pPr>
      <w:r>
        <w:rPr>
          <w:color w:val="000000"/>
          <w:sz w:val="24"/>
          <w:szCs w:val="24"/>
        </w:rPr>
        <w:t>§ 5º  Não pode funcionar como árbitro aquele que tiver atuado como mediador no mesmo procedimento ou em conflitos relacionados.</w:t>
      </w:r>
    </w:p>
    <w:p w14:paraId="00000079" w14:textId="2D4725E6"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 6º  A parte que pretender arguir questões relativas à competência, suspeição ou impedimento do árbitro ou dos árbitros, bem como nulidade, invalidade ou ineficácia da convenção de arbitragem, deve fazê-lo na primeira oportunidade que tiver de se manifestar, após a instituição da arbitragem.</w:t>
      </w:r>
    </w:p>
    <w:p w14:paraId="0000007A" w14:textId="1D85B79B" w:rsidR="00993C43" w:rsidRDefault="00927115">
      <w:pPr>
        <w:pStyle w:val="Normal1"/>
        <w:pBdr>
          <w:top w:val="nil"/>
          <w:left w:val="nil"/>
          <w:bottom w:val="nil"/>
          <w:right w:val="nil"/>
          <w:between w:val="nil"/>
        </w:pBdr>
        <w:jc w:val="both"/>
        <w:rPr>
          <w:color w:val="000000"/>
          <w:sz w:val="24"/>
          <w:szCs w:val="24"/>
        </w:rPr>
      </w:pPr>
      <w:r>
        <w:rPr>
          <w:color w:val="000000"/>
          <w:sz w:val="24"/>
          <w:szCs w:val="24"/>
        </w:rPr>
        <w:t>§ 7º  Acolhida a arguição de suspeição ou impedimento, o árbitro deve ser substituído por decisão fundamentada do Presidente da CMCA.</w:t>
      </w:r>
    </w:p>
    <w:p w14:paraId="0000007B" w14:textId="03FAD261"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710.  Havendo compromisso arbitral e antes de instituído o tribunal arbitral, as partes podem recorrer ao Poder Judiciário para a concessão de medida cautelar ou de urgência.</w:t>
      </w:r>
    </w:p>
    <w:p w14:paraId="0000007C" w14:textId="7AA1FDDD"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1º  Cessa a eficácia da medida cautelar ou de urgência se a parte interessada não requerer a instituição da arbitragem no prazo de trinta dias, contado da data de efetivação da respectiva decisão.           </w:t>
      </w:r>
    </w:p>
    <w:p w14:paraId="0000007D" w14:textId="770DDB00"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2º  Instituída a arbitragem, cabe aos árbitros manter, modificar ou revogar a medida cautelar ou de urgência concedida pelo Poder Judiciário.            </w:t>
      </w:r>
    </w:p>
    <w:p w14:paraId="0000007F" w14:textId="0A9C84D6" w:rsidR="00993C43" w:rsidRPr="0016474D" w:rsidRDefault="00927115" w:rsidP="0016474D">
      <w:pPr>
        <w:pStyle w:val="Normal1"/>
        <w:pBdr>
          <w:top w:val="nil"/>
          <w:left w:val="nil"/>
          <w:bottom w:val="nil"/>
          <w:right w:val="nil"/>
          <w:between w:val="nil"/>
        </w:pBdr>
        <w:jc w:val="both"/>
      </w:pPr>
      <w:r>
        <w:rPr>
          <w:color w:val="000000"/>
          <w:sz w:val="24"/>
          <w:szCs w:val="24"/>
        </w:rPr>
        <w:t xml:space="preserve">§ 3º  Estando já instituída a arbitragem, a medida cautelar ou de urgência deve ser requerida diretamente aos árbitros. </w:t>
      </w:r>
    </w:p>
    <w:p w14:paraId="00000080" w14:textId="31A0C74E" w:rsidR="00993C43" w:rsidRDefault="00927115">
      <w:pPr>
        <w:pStyle w:val="Normal1"/>
        <w:pBdr>
          <w:top w:val="nil"/>
          <w:left w:val="nil"/>
          <w:bottom w:val="nil"/>
          <w:right w:val="nil"/>
          <w:between w:val="nil"/>
        </w:pBdr>
        <w:jc w:val="center"/>
        <w:rPr>
          <w:b/>
          <w:color w:val="000000"/>
          <w:sz w:val="24"/>
          <w:szCs w:val="24"/>
        </w:rPr>
      </w:pPr>
      <w:r>
        <w:rPr>
          <w:b/>
          <w:color w:val="000000"/>
          <w:sz w:val="24"/>
          <w:szCs w:val="24"/>
        </w:rPr>
        <w:t>Subseção IV</w:t>
      </w:r>
    </w:p>
    <w:p w14:paraId="00000082" w14:textId="3A42154A" w:rsidR="00993C43" w:rsidRDefault="00927115">
      <w:pPr>
        <w:pStyle w:val="Normal1"/>
        <w:pBdr>
          <w:top w:val="nil"/>
          <w:left w:val="nil"/>
          <w:bottom w:val="nil"/>
          <w:right w:val="nil"/>
          <w:between w:val="nil"/>
        </w:pBdr>
        <w:jc w:val="center"/>
        <w:rPr>
          <w:color w:val="000000"/>
          <w:sz w:val="24"/>
          <w:szCs w:val="24"/>
        </w:rPr>
      </w:pPr>
      <w:r w:rsidRPr="0016474D">
        <w:rPr>
          <w:b/>
          <w:color w:val="000000"/>
          <w:sz w:val="24"/>
          <w:szCs w:val="24"/>
        </w:rPr>
        <w:t xml:space="preserve">Da sentença arbitral </w:t>
      </w:r>
    </w:p>
    <w:p w14:paraId="00000083" w14:textId="2060D8B9"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711.  A sentença arbitral deve ser proferida no prazo de seis meses contados a partir da assinatura do termo de compromisso arbitral, podendo este prazo ser prorrogado por acordo entre as partes.</w:t>
      </w:r>
    </w:p>
    <w:p w14:paraId="00000084" w14:textId="2253AD76" w:rsidR="00993C43" w:rsidRDefault="00927115">
      <w:pPr>
        <w:pStyle w:val="Normal1"/>
        <w:pBdr>
          <w:top w:val="nil"/>
          <w:left w:val="nil"/>
          <w:bottom w:val="nil"/>
          <w:right w:val="nil"/>
          <w:between w:val="nil"/>
        </w:pBdr>
        <w:jc w:val="both"/>
        <w:rPr>
          <w:color w:val="000000"/>
          <w:sz w:val="24"/>
          <w:szCs w:val="24"/>
        </w:rPr>
      </w:pPr>
      <w:r>
        <w:rPr>
          <w:color w:val="000000"/>
          <w:sz w:val="24"/>
          <w:szCs w:val="24"/>
        </w:rPr>
        <w:t>§ 1º  O tribunal arbitral pode definir prazos e procedimentos específicos para a instrução do feito, respeitados os princípios do art. 702.</w:t>
      </w:r>
    </w:p>
    <w:p w14:paraId="00000085" w14:textId="49CCFA95" w:rsidR="00993C43" w:rsidRDefault="00927115">
      <w:pPr>
        <w:pStyle w:val="Normal1"/>
        <w:pBdr>
          <w:top w:val="nil"/>
          <w:left w:val="nil"/>
          <w:bottom w:val="nil"/>
          <w:right w:val="nil"/>
          <w:between w:val="nil"/>
        </w:pBdr>
        <w:jc w:val="both"/>
        <w:rPr>
          <w:color w:val="000000"/>
          <w:sz w:val="24"/>
          <w:szCs w:val="24"/>
        </w:rPr>
      </w:pPr>
      <w:r>
        <w:rPr>
          <w:color w:val="000000"/>
          <w:sz w:val="24"/>
          <w:szCs w:val="24"/>
        </w:rPr>
        <w:t>§ 2º  Instituída a arbitragem e entendendo o árbitro ou o tribunal arbitral que há necessidade de explicitar questão disposta na convenção de arbitragem, é elaborado, juntamente com as partes, adendo firmado por todos, que passa a fazer parte integrante da convenção de arbitragem.</w:t>
      </w:r>
    </w:p>
    <w:p w14:paraId="00000086" w14:textId="0B3DF760"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3º  O tribunal arbitral pode, a qualquer tempo, determinar a comunicação aos interessados, a fim de complementar a instrução do procedimento, designando prazo para o atendimento, até o máximo de trinta dias. </w:t>
      </w:r>
    </w:p>
    <w:p w14:paraId="00000087" w14:textId="687B75D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4º  Quando necessário, o tribunal arbitral deve designar data, horário e local para a colheita de prova oral, determinando a comunicação aos interessados, que se responsabilizam pela presença das testemunhas eventualmente arroladas. </w:t>
      </w:r>
    </w:p>
    <w:p w14:paraId="00000088" w14:textId="305A6ED4"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5º  Concluída a instrução, o tribunal arbitral deve determinar a comunicação das partes a fim de apresentarem suas alegações finais no prazo de quinze dias, as quais podem ser substituídas por memorais apresentados na audiência de que trata o § 3º. </w:t>
      </w:r>
    </w:p>
    <w:p w14:paraId="00000089" w14:textId="72ACDE4A"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712.  A sentença arbitral proferida deve ser fundamentada nas normas constitucionais, legais e infralegais existentes, e </w:t>
      </w:r>
      <w:r w:rsidR="0034318A">
        <w:rPr>
          <w:color w:val="000000"/>
          <w:sz w:val="24"/>
          <w:szCs w:val="24"/>
        </w:rPr>
        <w:t xml:space="preserve">deve </w:t>
      </w:r>
      <w:r>
        <w:rPr>
          <w:color w:val="000000"/>
          <w:sz w:val="24"/>
          <w:szCs w:val="24"/>
        </w:rPr>
        <w:t>produz</w:t>
      </w:r>
      <w:r w:rsidR="0034318A">
        <w:rPr>
          <w:color w:val="000000"/>
          <w:sz w:val="24"/>
          <w:szCs w:val="24"/>
        </w:rPr>
        <w:t>ir</w:t>
      </w:r>
      <w:r>
        <w:rPr>
          <w:color w:val="000000"/>
          <w:sz w:val="24"/>
          <w:szCs w:val="24"/>
        </w:rPr>
        <w:t xml:space="preserve"> os efeitos previstos no art. 31 da Lei nº 9.307, de 1996. </w:t>
      </w:r>
    </w:p>
    <w:p w14:paraId="0000008A" w14:textId="620295C9" w:rsidR="00993C43" w:rsidRDefault="00927115">
      <w:pPr>
        <w:pStyle w:val="Normal1"/>
        <w:pBdr>
          <w:top w:val="nil"/>
          <w:left w:val="nil"/>
          <w:bottom w:val="nil"/>
          <w:right w:val="nil"/>
          <w:between w:val="nil"/>
        </w:pBdr>
        <w:jc w:val="both"/>
        <w:rPr>
          <w:color w:val="000000"/>
          <w:sz w:val="24"/>
          <w:szCs w:val="24"/>
        </w:rPr>
      </w:pPr>
      <w:r>
        <w:rPr>
          <w:color w:val="000000"/>
          <w:sz w:val="24"/>
          <w:szCs w:val="24"/>
        </w:rPr>
        <w:t>§ 1º  A sentença arbitral deve conter, obrigatoriamente:</w:t>
      </w:r>
    </w:p>
    <w:p w14:paraId="0000008B"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I - o relatório, com os nomes das partes e o resumo do litígio;</w:t>
      </w:r>
    </w:p>
    <w:p w14:paraId="0000008C"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II - os fundamentos da decisão; </w:t>
      </w:r>
    </w:p>
    <w:p w14:paraId="0000008D"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III - o dispositivo e o prazo para o cumprimento da decisão; e </w:t>
      </w:r>
    </w:p>
    <w:p w14:paraId="0000008E"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IV - a data e o local em que tenha sido proferida. </w:t>
      </w:r>
    </w:p>
    <w:p w14:paraId="0000008F" w14:textId="18393330"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2º  Pode fazer parte também da sentença arbitral a avaliação técnica feita por </w:t>
      </w:r>
      <w:r>
        <w:rPr>
          <w:b/>
          <w:color w:val="000000"/>
          <w:sz w:val="24"/>
          <w:szCs w:val="24"/>
        </w:rPr>
        <w:t>expert</w:t>
      </w:r>
      <w:r>
        <w:rPr>
          <w:i/>
          <w:color w:val="000000"/>
          <w:sz w:val="24"/>
          <w:szCs w:val="24"/>
        </w:rPr>
        <w:t xml:space="preserve"> </w:t>
      </w:r>
      <w:r>
        <w:rPr>
          <w:color w:val="000000"/>
          <w:sz w:val="24"/>
          <w:szCs w:val="24"/>
        </w:rPr>
        <w:t xml:space="preserve">acolhida como fundamento da decisão. </w:t>
      </w:r>
    </w:p>
    <w:p w14:paraId="00000090"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3º  As partes e seus sucessores são obrigados ao cumprimento da sentença arbitral. </w:t>
      </w:r>
    </w:p>
    <w:p w14:paraId="00000091" w14:textId="32DD15A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4º  A CMCA deve publicar extrato das sentenças arbitrais proferidas, o qual não deve conter a identificação das partes. </w:t>
      </w:r>
    </w:p>
    <w:p w14:paraId="00000092" w14:textId="3FC2CC0E"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713.  Da sentença arbitral cabe pedido de esclarecimentos, no prazo de cinco dias, a contar do recebimento da comunicação ou da ciência pessoal do interessado, salvo se outro prazo for previamente acordado entre as partes, nos termos do art. 30 da Lei nº 9.307, de 1996. </w:t>
      </w:r>
    </w:p>
    <w:p w14:paraId="00000093" w14:textId="6A8B0162" w:rsidR="00993C43" w:rsidRDefault="00927115">
      <w:pPr>
        <w:pStyle w:val="Normal1"/>
        <w:pBdr>
          <w:top w:val="nil"/>
          <w:left w:val="nil"/>
          <w:bottom w:val="nil"/>
          <w:right w:val="nil"/>
          <w:between w:val="nil"/>
        </w:pBdr>
        <w:jc w:val="both"/>
        <w:rPr>
          <w:color w:val="000000"/>
          <w:sz w:val="24"/>
          <w:szCs w:val="24"/>
        </w:rPr>
      </w:pPr>
      <w:r>
        <w:rPr>
          <w:color w:val="000000"/>
          <w:sz w:val="24"/>
          <w:szCs w:val="24"/>
        </w:rPr>
        <w:t>Parágrafo único.  O tribunal arbitral pode corrigir, de ofício ou sob requerimento das partes interessadas, quaisquer inexatidões materiais verificadas na sentença, caso em que deve decidir aditar ou não a sentença no prazo de dez dias.</w:t>
      </w:r>
    </w:p>
    <w:p w14:paraId="00000094"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714.  As partes são responsáveis pela execução da sentença arbitral.</w:t>
      </w:r>
    </w:p>
    <w:p w14:paraId="00000095"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Parágrafo único.  A sentença arbitral não afasta a necessidade de observância dos trâmites e exigências legais referentes a procedimento de licenciamento, quando houver ato que dependa de prévia autorização da </w:t>
      </w:r>
      <w:proofErr w:type="spellStart"/>
      <w:r>
        <w:rPr>
          <w:color w:val="000000"/>
          <w:sz w:val="24"/>
          <w:szCs w:val="24"/>
        </w:rPr>
        <w:t>Previc</w:t>
      </w:r>
      <w:proofErr w:type="spellEnd"/>
      <w:r>
        <w:rPr>
          <w:color w:val="000000"/>
          <w:sz w:val="24"/>
          <w:szCs w:val="24"/>
        </w:rPr>
        <w:t>.</w:t>
      </w:r>
    </w:p>
    <w:p w14:paraId="00000096" w14:textId="12777627" w:rsidR="00993C43" w:rsidRDefault="00927115">
      <w:pPr>
        <w:pStyle w:val="Normal1"/>
        <w:pBdr>
          <w:top w:val="nil"/>
          <w:left w:val="nil"/>
          <w:bottom w:val="nil"/>
          <w:right w:val="nil"/>
          <w:between w:val="nil"/>
        </w:pBdr>
        <w:jc w:val="center"/>
        <w:rPr>
          <w:b/>
          <w:color w:val="000000"/>
          <w:sz w:val="24"/>
          <w:szCs w:val="24"/>
        </w:rPr>
      </w:pPr>
      <w:r>
        <w:rPr>
          <w:b/>
          <w:color w:val="000000"/>
          <w:sz w:val="24"/>
          <w:szCs w:val="24"/>
        </w:rPr>
        <w:t>Subseção V</w:t>
      </w:r>
    </w:p>
    <w:p w14:paraId="00000097" w14:textId="77777777" w:rsidR="00993C43" w:rsidRDefault="00927115">
      <w:pPr>
        <w:pStyle w:val="Normal1"/>
        <w:pBdr>
          <w:top w:val="nil"/>
          <w:left w:val="nil"/>
          <w:bottom w:val="nil"/>
          <w:right w:val="nil"/>
          <w:between w:val="nil"/>
        </w:pBdr>
        <w:jc w:val="center"/>
        <w:rPr>
          <w:color w:val="000000"/>
          <w:sz w:val="24"/>
          <w:szCs w:val="24"/>
        </w:rPr>
      </w:pPr>
      <w:r>
        <w:rPr>
          <w:b/>
          <w:color w:val="000000"/>
          <w:sz w:val="24"/>
          <w:szCs w:val="24"/>
        </w:rPr>
        <w:t>Disposições finais</w:t>
      </w:r>
    </w:p>
    <w:p w14:paraId="00000098" w14:textId="70C08A55"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715.  As comunicações previstas nesta Seção devem ser feitas por qualquer meio que assegure a ciência inequívoca dos destinatários e serão realizadas, preferencialmente, através de endereço eletrônico previamente informado nos autos, mediante confirmação de recebimento, sob pena de nulidade.</w:t>
      </w:r>
    </w:p>
    <w:p w14:paraId="00000099" w14:textId="2587C010" w:rsidR="00993C43" w:rsidRDefault="00927115">
      <w:pPr>
        <w:pStyle w:val="Normal1"/>
        <w:pBdr>
          <w:top w:val="nil"/>
          <w:left w:val="nil"/>
          <w:bottom w:val="nil"/>
          <w:right w:val="nil"/>
          <w:between w:val="nil"/>
        </w:pBdr>
        <w:jc w:val="both"/>
        <w:rPr>
          <w:color w:val="000000"/>
          <w:sz w:val="24"/>
          <w:szCs w:val="24"/>
        </w:rPr>
      </w:pPr>
      <w:bookmarkStart w:id="4" w:name="_3znysh7" w:colFirst="0" w:colLast="0"/>
      <w:bookmarkEnd w:id="4"/>
      <w:r>
        <w:rPr>
          <w:color w:val="000000"/>
          <w:sz w:val="24"/>
          <w:szCs w:val="24"/>
        </w:rPr>
        <w:t>§ 1º  As comunicações devem ser dirigidas, sempre que possível, ao procurador nomeado pela parte.</w:t>
      </w:r>
    </w:p>
    <w:p w14:paraId="0000009A" w14:textId="1F52E749" w:rsidR="00993C43" w:rsidRDefault="00927115">
      <w:pPr>
        <w:pStyle w:val="Normal1"/>
        <w:pBdr>
          <w:top w:val="nil"/>
          <w:left w:val="nil"/>
          <w:bottom w:val="nil"/>
          <w:right w:val="nil"/>
          <w:between w:val="nil"/>
        </w:pBdr>
        <w:jc w:val="both"/>
        <w:rPr>
          <w:color w:val="000000"/>
          <w:sz w:val="24"/>
          <w:szCs w:val="24"/>
        </w:rPr>
      </w:pPr>
      <w:r>
        <w:rPr>
          <w:color w:val="000000"/>
          <w:sz w:val="24"/>
          <w:szCs w:val="24"/>
        </w:rPr>
        <w:t>§ 2º  As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CMCA determina que sejam reiteradas as comunicações eventualmente expedidas nos dez dias anteriores.</w:t>
      </w:r>
    </w:p>
    <w:p w14:paraId="0000009B" w14:textId="1A196443"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 3º  Os árbitros, conciliadores e </w:t>
      </w:r>
      <w:r>
        <w:rPr>
          <w:b/>
          <w:color w:val="000000"/>
          <w:sz w:val="24"/>
          <w:szCs w:val="24"/>
        </w:rPr>
        <w:t>experts</w:t>
      </w:r>
      <w:r>
        <w:rPr>
          <w:color w:val="000000"/>
          <w:sz w:val="24"/>
          <w:szCs w:val="24"/>
        </w:rPr>
        <w:t xml:space="preserve"> que participarem do processo de composição extrajudicial do conflito, somente podem ser responsabilizados civil, administrativa ou criminalmente quando, mediante dolo ou fraude.</w:t>
      </w:r>
    </w:p>
    <w:p w14:paraId="0000009C" w14:textId="734E1B14" w:rsidR="00993C43" w:rsidRDefault="00927115">
      <w:pPr>
        <w:pStyle w:val="Normal1"/>
        <w:pBdr>
          <w:top w:val="nil"/>
          <w:left w:val="nil"/>
          <w:bottom w:val="nil"/>
          <w:right w:val="nil"/>
          <w:between w:val="nil"/>
        </w:pBdr>
        <w:jc w:val="both"/>
        <w:rPr>
          <w:color w:val="000000"/>
          <w:sz w:val="24"/>
          <w:szCs w:val="24"/>
        </w:rPr>
      </w:pPr>
      <w:r>
        <w:rPr>
          <w:color w:val="000000"/>
          <w:sz w:val="24"/>
          <w:szCs w:val="24"/>
        </w:rPr>
        <w:t xml:space="preserve">Art.  716.  A suspeição e o impedimento podem ser arguidos pelas partes diretamente ao mediador ou ao tribunal arbitral, que deve proferir decisão no prazo de dez dias, cabendo impugnação desta decisão ao Presidente da CMCA. </w:t>
      </w:r>
    </w:p>
    <w:p w14:paraId="0000009D" w14:textId="1671BA3D"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717.  As partes podem ser assistidas por advogados por elas contratados.</w:t>
      </w:r>
    </w:p>
    <w:p w14:paraId="0000009E" w14:textId="77777777" w:rsidR="00993C43" w:rsidRDefault="00927115">
      <w:pPr>
        <w:pStyle w:val="Normal1"/>
        <w:pBdr>
          <w:top w:val="nil"/>
          <w:left w:val="nil"/>
          <w:bottom w:val="nil"/>
          <w:right w:val="nil"/>
          <w:between w:val="nil"/>
        </w:pBdr>
        <w:jc w:val="both"/>
        <w:rPr>
          <w:color w:val="000000"/>
          <w:sz w:val="24"/>
          <w:szCs w:val="24"/>
        </w:rPr>
      </w:pPr>
      <w:r>
        <w:rPr>
          <w:color w:val="000000"/>
          <w:sz w:val="24"/>
          <w:szCs w:val="24"/>
        </w:rPr>
        <w:t>Art. 718.  Aplicam-se subsidiariamente a este regulamento as regras previstas na Lei nº 9.307, de 1996.</w:t>
      </w:r>
    </w:p>
    <w:p w14:paraId="0000009F" w14:textId="0FE5727D" w:rsidR="00993C43" w:rsidRDefault="00927115">
      <w:pPr>
        <w:pStyle w:val="Normal1"/>
        <w:pBdr>
          <w:top w:val="nil"/>
          <w:left w:val="nil"/>
          <w:bottom w:val="nil"/>
          <w:right w:val="nil"/>
          <w:between w:val="nil"/>
        </w:pBdr>
        <w:jc w:val="both"/>
        <w:rPr>
          <w:color w:val="000000"/>
          <w:sz w:val="24"/>
          <w:szCs w:val="24"/>
        </w:rPr>
      </w:pPr>
      <w:r>
        <w:rPr>
          <w:color w:val="000000"/>
          <w:sz w:val="24"/>
          <w:szCs w:val="24"/>
        </w:rPr>
        <w:lastRenderedPageBreak/>
        <w:t xml:space="preserve">Art. 719.  O Presidente da CMCA pode decidir sobre os casos omissos. </w:t>
      </w:r>
    </w:p>
    <w:p w14:paraId="000000A0" w14:textId="77777777" w:rsidR="00993C43" w:rsidRDefault="00927115">
      <w:pPr>
        <w:pStyle w:val="Normal1"/>
        <w:widowControl w:val="0"/>
        <w:pBdr>
          <w:top w:val="nil"/>
          <w:left w:val="nil"/>
          <w:bottom w:val="nil"/>
          <w:right w:val="nil"/>
          <w:between w:val="nil"/>
        </w:pBdr>
        <w:spacing w:before="120" w:after="120" w:line="240" w:lineRule="auto"/>
        <w:ind w:right="3"/>
        <w:jc w:val="center"/>
        <w:rPr>
          <w:b/>
          <w:color w:val="000000"/>
          <w:sz w:val="24"/>
          <w:szCs w:val="24"/>
        </w:rPr>
      </w:pPr>
      <w:r>
        <w:rPr>
          <w:b/>
          <w:color w:val="000000"/>
          <w:sz w:val="24"/>
          <w:szCs w:val="24"/>
        </w:rPr>
        <w:t>Seção II</w:t>
      </w:r>
    </w:p>
    <w:p w14:paraId="000000A1"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721.  A celebração de Termo de Ajustamento de Conduta (TAC), com vistas à correção de irregularidades e à adequação de condutas à legislação aplicável ao regime de previdência complementar operado por EFPC, deve observar o disposto nesta Seção.</w:t>
      </w:r>
    </w:p>
    <w:p w14:paraId="000000A2" w14:textId="3D835E11"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Art. 722.  A propositura do TAC é prerrogativa do interessado em corrigir determinada conduta passível de autuação pela </w:t>
      </w:r>
      <w:proofErr w:type="spellStart"/>
      <w:r>
        <w:rPr>
          <w:color w:val="000000"/>
          <w:sz w:val="24"/>
          <w:szCs w:val="24"/>
        </w:rPr>
        <w:t>Previc</w:t>
      </w:r>
      <w:proofErr w:type="spellEnd"/>
      <w:r>
        <w:rPr>
          <w:color w:val="000000"/>
          <w:sz w:val="24"/>
          <w:szCs w:val="24"/>
        </w:rPr>
        <w:t xml:space="preserve"> e constitu</w:t>
      </w:r>
      <w:r w:rsidR="009B2F81">
        <w:rPr>
          <w:color w:val="000000"/>
          <w:sz w:val="24"/>
          <w:szCs w:val="24"/>
        </w:rPr>
        <w:t>i</w:t>
      </w:r>
      <w:r>
        <w:rPr>
          <w:color w:val="000000"/>
          <w:sz w:val="24"/>
          <w:szCs w:val="24"/>
        </w:rPr>
        <w:t xml:space="preserve"> título executivo extrajudicial, nos termos do § 6º do art. 5º da Lei nº 7.347, de 24 de julho de 1985, e do inciso IV do art. 784 do Código de Processo Civil.</w:t>
      </w:r>
    </w:p>
    <w:p w14:paraId="000000A3"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1º  A celebração do TAC não importa confissão do compromissário quanto à matéria de fato, nem reconhecimento de ilicitude da conduta analisada.</w:t>
      </w:r>
    </w:p>
    <w:p w14:paraId="000000A4"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2º  O TAC pode ter por objeto mais de uma conduta passível de correção.</w:t>
      </w:r>
    </w:p>
    <w:p w14:paraId="000000A5"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3º  A celebração do TAC não obsta a lavratura de auto de infração pela prática de condutas não abrangidas no referido termo.</w:t>
      </w:r>
    </w:p>
    <w:p w14:paraId="000000A6"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723.  Além da EFPC, podem figurar como compromissários do TAC:</w:t>
      </w:r>
    </w:p>
    <w:p w14:paraId="000000A7" w14:textId="77777777" w:rsidR="00993C43" w:rsidRDefault="00927115">
      <w:pPr>
        <w:pStyle w:val="Normal1"/>
        <w:pBdr>
          <w:top w:val="nil"/>
          <w:left w:val="nil"/>
          <w:bottom w:val="nil"/>
          <w:right w:val="nil"/>
          <w:between w:val="nil"/>
        </w:pBdr>
        <w:shd w:val="clear" w:color="auto" w:fill="FFFFFF"/>
        <w:tabs>
          <w:tab w:val="left" w:pos="284"/>
        </w:tabs>
        <w:spacing w:before="120" w:after="120" w:line="240" w:lineRule="auto"/>
        <w:ind w:right="3"/>
        <w:jc w:val="both"/>
        <w:rPr>
          <w:color w:val="000000"/>
          <w:sz w:val="24"/>
          <w:szCs w:val="24"/>
        </w:rPr>
      </w:pPr>
      <w:r>
        <w:rPr>
          <w:color w:val="000000"/>
          <w:sz w:val="24"/>
          <w:szCs w:val="24"/>
        </w:rPr>
        <w:t xml:space="preserve">I - membros de diretoria-executiva, conselho fiscal ou conselho deliberativo da EFPC; </w:t>
      </w:r>
    </w:p>
    <w:p w14:paraId="000000A8" w14:textId="77777777" w:rsidR="00993C43" w:rsidRDefault="00927115">
      <w:pPr>
        <w:pStyle w:val="Normal1"/>
        <w:pBdr>
          <w:top w:val="nil"/>
          <w:left w:val="nil"/>
          <w:bottom w:val="nil"/>
          <w:right w:val="nil"/>
          <w:between w:val="nil"/>
        </w:pBdr>
        <w:shd w:val="clear" w:color="auto" w:fill="FFFFFF"/>
        <w:tabs>
          <w:tab w:val="left" w:pos="284"/>
        </w:tabs>
        <w:spacing w:before="120" w:after="120" w:line="240" w:lineRule="auto"/>
        <w:ind w:right="3"/>
        <w:jc w:val="both"/>
        <w:rPr>
          <w:color w:val="000000"/>
          <w:sz w:val="24"/>
          <w:szCs w:val="24"/>
        </w:rPr>
      </w:pPr>
      <w:r>
        <w:rPr>
          <w:color w:val="000000"/>
          <w:sz w:val="24"/>
          <w:szCs w:val="24"/>
        </w:rPr>
        <w:t>II - administradores dos patrocinadores ou instituidores; ou</w:t>
      </w:r>
    </w:p>
    <w:p w14:paraId="000000A9" w14:textId="77777777" w:rsidR="00993C43" w:rsidRDefault="00927115">
      <w:pPr>
        <w:pStyle w:val="Normal1"/>
        <w:pBdr>
          <w:top w:val="nil"/>
          <w:left w:val="nil"/>
          <w:bottom w:val="nil"/>
          <w:right w:val="nil"/>
          <w:between w:val="nil"/>
        </w:pBdr>
        <w:shd w:val="clear" w:color="auto" w:fill="FFFFFF"/>
        <w:tabs>
          <w:tab w:val="left" w:pos="284"/>
        </w:tabs>
        <w:spacing w:before="120" w:after="120" w:line="240" w:lineRule="auto"/>
        <w:ind w:right="3"/>
        <w:jc w:val="both"/>
        <w:rPr>
          <w:color w:val="000000"/>
          <w:sz w:val="24"/>
          <w:szCs w:val="24"/>
        </w:rPr>
      </w:pPr>
      <w:r>
        <w:rPr>
          <w:color w:val="000000"/>
          <w:sz w:val="24"/>
          <w:szCs w:val="24"/>
        </w:rPr>
        <w:t>III - interventor, liquidante e administrador especial.</w:t>
      </w:r>
    </w:p>
    <w:p w14:paraId="000000AA" w14:textId="77777777" w:rsidR="00993C43" w:rsidRDefault="00927115">
      <w:pPr>
        <w:pStyle w:val="Normal1"/>
        <w:pBdr>
          <w:top w:val="nil"/>
          <w:left w:val="nil"/>
          <w:bottom w:val="nil"/>
          <w:right w:val="nil"/>
          <w:between w:val="nil"/>
        </w:pBdr>
        <w:shd w:val="clear" w:color="auto" w:fill="FFFFFF"/>
        <w:tabs>
          <w:tab w:val="left" w:pos="284"/>
        </w:tabs>
        <w:spacing w:before="120" w:after="120" w:line="240" w:lineRule="auto"/>
        <w:ind w:right="3"/>
        <w:jc w:val="both"/>
        <w:rPr>
          <w:color w:val="000000"/>
          <w:sz w:val="24"/>
          <w:szCs w:val="24"/>
        </w:rPr>
      </w:pPr>
      <w:r>
        <w:rPr>
          <w:color w:val="000000"/>
          <w:sz w:val="24"/>
          <w:szCs w:val="24"/>
        </w:rPr>
        <w:t>§ 1º  A EFPC deve figurar como interveniente anuente no TAC, quando não for compromissária.</w:t>
      </w:r>
    </w:p>
    <w:p w14:paraId="000000AB" w14:textId="77777777" w:rsidR="00993C43" w:rsidRDefault="00927115">
      <w:pPr>
        <w:pStyle w:val="Normal1"/>
        <w:widowControl w:val="0"/>
        <w:pBdr>
          <w:top w:val="nil"/>
          <w:left w:val="nil"/>
          <w:bottom w:val="nil"/>
          <w:right w:val="nil"/>
          <w:between w:val="nil"/>
        </w:pBdr>
        <w:spacing w:before="120" w:after="120" w:line="240" w:lineRule="auto"/>
        <w:jc w:val="both"/>
        <w:rPr>
          <w:color w:val="000000"/>
          <w:sz w:val="24"/>
          <w:szCs w:val="24"/>
        </w:rPr>
      </w:pPr>
      <w:r>
        <w:rPr>
          <w:color w:val="000000"/>
          <w:sz w:val="24"/>
          <w:szCs w:val="24"/>
        </w:rPr>
        <w:t xml:space="preserve">§ 2º  A celebração do compromisso de ajustamento de conduta com a </w:t>
      </w:r>
      <w:proofErr w:type="spellStart"/>
      <w:r>
        <w:rPr>
          <w:color w:val="000000"/>
          <w:sz w:val="24"/>
          <w:szCs w:val="24"/>
        </w:rPr>
        <w:t>Previc</w:t>
      </w:r>
      <w:proofErr w:type="spellEnd"/>
      <w:r>
        <w:rPr>
          <w:color w:val="000000"/>
          <w:sz w:val="24"/>
          <w:szCs w:val="24"/>
        </w:rPr>
        <w:t xml:space="preserve"> não afasta a eventual responsabilidade administrativa ou penal pelo mesmo fato, nem importa  reconhecimento de responsabilidade para outros fins que não os estabelecidos expressamente no compromisso. </w:t>
      </w:r>
    </w:p>
    <w:p w14:paraId="000000AC"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724.  O TAC somente pode ser celebrado quando:</w:t>
      </w:r>
    </w:p>
    <w:p w14:paraId="000000AD" w14:textId="77777777" w:rsidR="00993C43" w:rsidRDefault="00927115">
      <w:pPr>
        <w:pStyle w:val="Normal1"/>
        <w:widowControl w:val="0"/>
        <w:pBdr>
          <w:top w:val="nil"/>
          <w:left w:val="nil"/>
          <w:bottom w:val="nil"/>
          <w:right w:val="nil"/>
          <w:between w:val="nil"/>
        </w:pBdr>
        <w:tabs>
          <w:tab w:val="left" w:pos="284"/>
        </w:tabs>
        <w:spacing w:before="120" w:after="120" w:line="240" w:lineRule="auto"/>
        <w:ind w:right="3"/>
        <w:jc w:val="both"/>
        <w:rPr>
          <w:color w:val="000000"/>
          <w:sz w:val="24"/>
          <w:szCs w:val="24"/>
        </w:rPr>
      </w:pPr>
      <w:r>
        <w:rPr>
          <w:color w:val="000000"/>
          <w:sz w:val="24"/>
          <w:szCs w:val="24"/>
        </w:rPr>
        <w:t>I - não tiver havido prejuízo financeiro à EFPC ou a plano de benefícios por ela administrado, salvo se a  proposta abranger o ressarcimento integral desse prejuízo;</w:t>
      </w:r>
    </w:p>
    <w:p w14:paraId="000000AE" w14:textId="77777777" w:rsidR="00993C43" w:rsidRDefault="00927115">
      <w:pPr>
        <w:pStyle w:val="Normal1"/>
        <w:tabs>
          <w:tab w:val="left" w:pos="311"/>
        </w:tabs>
        <w:spacing w:before="120" w:after="120"/>
        <w:ind w:right="3"/>
        <w:jc w:val="both"/>
        <w:rPr>
          <w:sz w:val="24"/>
          <w:szCs w:val="24"/>
        </w:rPr>
      </w:pPr>
      <w:r>
        <w:rPr>
          <w:color w:val="000000"/>
          <w:sz w:val="24"/>
          <w:szCs w:val="24"/>
        </w:rPr>
        <w:t>II -</w:t>
      </w:r>
      <w:r>
        <w:rPr>
          <w:sz w:val="24"/>
          <w:szCs w:val="24"/>
        </w:rPr>
        <w:t xml:space="preserve"> for possível corrigir a irregularidade, mediante a adequação de determinadas práticas à legislação em vigor; e</w:t>
      </w:r>
    </w:p>
    <w:p w14:paraId="000000AF" w14:textId="77777777" w:rsidR="00993C43" w:rsidRDefault="00927115">
      <w:pPr>
        <w:pStyle w:val="Normal1"/>
        <w:tabs>
          <w:tab w:val="left" w:pos="284"/>
        </w:tabs>
        <w:spacing w:before="120" w:after="120"/>
        <w:ind w:right="3"/>
        <w:jc w:val="both"/>
        <w:rPr>
          <w:sz w:val="24"/>
          <w:szCs w:val="24"/>
        </w:rPr>
      </w:pPr>
      <w:r>
        <w:rPr>
          <w:sz w:val="24"/>
          <w:szCs w:val="24"/>
        </w:rPr>
        <w:t>III - não ter havido, nos últimos cinco anos, o descumprimento de outro TAC firmado pelo mesmo compromissário.</w:t>
      </w:r>
    </w:p>
    <w:p w14:paraId="000000B0"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Art. 725.  A proposta de TAC deve ser apresentada pelo interessado à unidade regional da </w:t>
      </w:r>
      <w:proofErr w:type="spellStart"/>
      <w:r>
        <w:rPr>
          <w:color w:val="000000"/>
          <w:sz w:val="24"/>
          <w:szCs w:val="24"/>
        </w:rPr>
        <w:t>Previc</w:t>
      </w:r>
      <w:proofErr w:type="spellEnd"/>
      <w:r>
        <w:rPr>
          <w:color w:val="000000"/>
          <w:sz w:val="24"/>
          <w:szCs w:val="24"/>
        </w:rPr>
        <w:t xml:space="preserve"> antes da lavratura de auto de infração em razão da conduta em análise ou antes do fim do prazo fixado para correção da irregularidade.</w:t>
      </w:r>
    </w:p>
    <w:p w14:paraId="000000B1"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1º  A unidade regional, mediante manifestação fundamentada quanto à conveniência e à oportunidade da celebração, deve submeter a proposta de TAC à Diretoria de Fiscalização e Monitoramento.</w:t>
      </w:r>
    </w:p>
    <w:p w14:paraId="000000B2"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 2º  A Diretoria de Fiscalização e Monitoramento deve apresentar a proposta à Diretoria Colegiada, para discussão e deliberação, após o pronunciamento da Procuradoria Federal junto à </w:t>
      </w:r>
      <w:proofErr w:type="spellStart"/>
      <w:r>
        <w:rPr>
          <w:color w:val="000000"/>
          <w:sz w:val="24"/>
          <w:szCs w:val="24"/>
        </w:rPr>
        <w:t>Previc</w:t>
      </w:r>
      <w:proofErr w:type="spellEnd"/>
      <w:r>
        <w:rPr>
          <w:color w:val="000000"/>
          <w:sz w:val="24"/>
          <w:szCs w:val="24"/>
        </w:rPr>
        <w:t xml:space="preserve"> quanto aos aspectos relacionados à juridicidade.</w:t>
      </w:r>
    </w:p>
    <w:p w14:paraId="000000B3"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3º  Aprovada a proposta pela Diretoria Colegiada, o TAC deve ser autorizado pelo Procurador-Chefe.</w:t>
      </w:r>
    </w:p>
    <w:p w14:paraId="000000B4"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 4º  Após a autorização pelo Procurador-Chefe, o TAC deve ser firmado pelo compromissário, pelo </w:t>
      </w:r>
      <w:r>
        <w:rPr>
          <w:color w:val="000000"/>
          <w:sz w:val="24"/>
          <w:szCs w:val="24"/>
        </w:rPr>
        <w:lastRenderedPageBreak/>
        <w:t>Diretor-Superintendente e eventual interveniente-anuente.</w:t>
      </w:r>
    </w:p>
    <w:p w14:paraId="000000B5"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5º  O extrato do TAC deve ser publicado no Diário Oficial da União.</w:t>
      </w:r>
    </w:p>
    <w:p w14:paraId="000000B6"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6º  O controle e o acompanhamento da execução do TAC devem ser efetuados pela unidade regional.</w:t>
      </w:r>
    </w:p>
    <w:p w14:paraId="000000B7"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726.  Na avaliação de conveniência e oportunidade deve ser verificado se a proposta de TAC é o meio adequado e próprio para alcançar de forma eficaz e   eficiente o interesse público, ponderando-se, no mínimo, os seguintes fatores:</w:t>
      </w:r>
    </w:p>
    <w:p w14:paraId="000000B8" w14:textId="77777777" w:rsidR="00993C43" w:rsidRDefault="00927115">
      <w:pPr>
        <w:pStyle w:val="Normal1"/>
        <w:widowControl w:val="0"/>
        <w:pBdr>
          <w:top w:val="nil"/>
          <w:left w:val="nil"/>
          <w:bottom w:val="nil"/>
          <w:right w:val="nil"/>
          <w:between w:val="nil"/>
        </w:pBdr>
        <w:tabs>
          <w:tab w:val="left" w:pos="284"/>
        </w:tabs>
        <w:spacing w:before="120" w:after="120" w:line="240" w:lineRule="auto"/>
        <w:ind w:right="6"/>
        <w:jc w:val="both"/>
        <w:rPr>
          <w:color w:val="000000"/>
          <w:sz w:val="24"/>
          <w:szCs w:val="24"/>
        </w:rPr>
      </w:pPr>
      <w:r>
        <w:rPr>
          <w:color w:val="000000"/>
          <w:sz w:val="24"/>
          <w:szCs w:val="24"/>
        </w:rPr>
        <w:t>I - a proporcionalidade da proposta em relação à gravidade da conduta em análise;</w:t>
      </w:r>
    </w:p>
    <w:p w14:paraId="000000B9" w14:textId="77777777" w:rsidR="00993C43" w:rsidRDefault="00927115">
      <w:pPr>
        <w:pStyle w:val="Normal1"/>
        <w:widowControl w:val="0"/>
        <w:pBdr>
          <w:top w:val="nil"/>
          <w:left w:val="nil"/>
          <w:bottom w:val="nil"/>
          <w:right w:val="nil"/>
          <w:between w:val="nil"/>
        </w:pBdr>
        <w:tabs>
          <w:tab w:val="left" w:pos="284"/>
        </w:tabs>
        <w:spacing w:before="120" w:after="120" w:line="240" w:lineRule="auto"/>
        <w:ind w:right="6"/>
        <w:jc w:val="both"/>
        <w:rPr>
          <w:color w:val="000000"/>
          <w:sz w:val="24"/>
          <w:szCs w:val="24"/>
        </w:rPr>
      </w:pPr>
      <w:r>
        <w:rPr>
          <w:color w:val="000000"/>
          <w:sz w:val="24"/>
          <w:szCs w:val="24"/>
        </w:rPr>
        <w:t>II - a existência de motivos que recomendem o ajustamento de determinada prática reputada irregular; e</w:t>
      </w:r>
    </w:p>
    <w:p w14:paraId="000000BA" w14:textId="77777777" w:rsidR="00993C43" w:rsidRDefault="00927115">
      <w:pPr>
        <w:pStyle w:val="Normal1"/>
        <w:widowControl w:val="0"/>
        <w:pBdr>
          <w:top w:val="nil"/>
          <w:left w:val="nil"/>
          <w:bottom w:val="nil"/>
          <w:right w:val="nil"/>
          <w:between w:val="nil"/>
        </w:pBdr>
        <w:tabs>
          <w:tab w:val="left" w:pos="284"/>
        </w:tabs>
        <w:spacing w:before="120" w:after="120" w:line="240" w:lineRule="auto"/>
        <w:ind w:right="6"/>
        <w:jc w:val="both"/>
        <w:rPr>
          <w:color w:val="000000"/>
          <w:sz w:val="24"/>
          <w:szCs w:val="24"/>
        </w:rPr>
      </w:pPr>
      <w:r>
        <w:rPr>
          <w:color w:val="000000"/>
          <w:sz w:val="24"/>
          <w:szCs w:val="24"/>
        </w:rPr>
        <w:t>III - a capacidade de desestimular a prática de novas condutas semelhantes pelo próprio compromissário e por terceiros que se encontrem em situação análoga.</w:t>
      </w:r>
    </w:p>
    <w:p w14:paraId="000000BB"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727.  Devem constar do TAC, no mínimo, os seguintes elementos:.</w:t>
      </w:r>
    </w:p>
    <w:p w14:paraId="000000BC" w14:textId="77777777" w:rsidR="00993C43" w:rsidRDefault="00927115">
      <w:pPr>
        <w:pStyle w:val="Normal1"/>
        <w:widowControl w:val="0"/>
        <w:pBdr>
          <w:top w:val="nil"/>
          <w:left w:val="nil"/>
          <w:bottom w:val="nil"/>
          <w:right w:val="nil"/>
          <w:between w:val="nil"/>
        </w:pBdr>
        <w:tabs>
          <w:tab w:val="left" w:pos="337"/>
        </w:tabs>
        <w:spacing w:before="120" w:after="120" w:line="240" w:lineRule="auto"/>
        <w:ind w:right="3"/>
        <w:jc w:val="both"/>
        <w:rPr>
          <w:color w:val="000000"/>
          <w:sz w:val="24"/>
          <w:szCs w:val="24"/>
        </w:rPr>
      </w:pPr>
      <w:r>
        <w:rPr>
          <w:color w:val="000000"/>
          <w:sz w:val="24"/>
          <w:szCs w:val="24"/>
        </w:rPr>
        <w:t>I - a descrição detalhada dos fatos ou das condutas que motivaram a sua proposição;</w:t>
      </w:r>
    </w:p>
    <w:p w14:paraId="000000BD" w14:textId="77777777" w:rsidR="00993C43" w:rsidRDefault="00927115">
      <w:pPr>
        <w:pStyle w:val="Normal1"/>
        <w:widowControl w:val="0"/>
        <w:pBdr>
          <w:top w:val="nil"/>
          <w:left w:val="nil"/>
          <w:bottom w:val="nil"/>
          <w:right w:val="nil"/>
          <w:between w:val="nil"/>
        </w:pBdr>
        <w:tabs>
          <w:tab w:val="left" w:pos="337"/>
        </w:tabs>
        <w:spacing w:before="120" w:after="120" w:line="240" w:lineRule="auto"/>
        <w:ind w:right="3"/>
        <w:jc w:val="both"/>
        <w:rPr>
          <w:color w:val="000000"/>
          <w:sz w:val="24"/>
          <w:szCs w:val="24"/>
        </w:rPr>
      </w:pPr>
      <w:r>
        <w:rPr>
          <w:color w:val="000000"/>
          <w:sz w:val="24"/>
          <w:szCs w:val="24"/>
        </w:rPr>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000000BE" w14:textId="77777777" w:rsidR="00993C43" w:rsidRDefault="00927115">
      <w:pPr>
        <w:pStyle w:val="Normal1"/>
        <w:widowControl w:val="0"/>
        <w:pBdr>
          <w:top w:val="nil"/>
          <w:left w:val="nil"/>
          <w:bottom w:val="nil"/>
          <w:right w:val="nil"/>
          <w:between w:val="nil"/>
        </w:pBdr>
        <w:tabs>
          <w:tab w:val="left" w:pos="337"/>
        </w:tabs>
        <w:spacing w:before="120" w:after="120" w:line="240" w:lineRule="auto"/>
        <w:ind w:right="3"/>
        <w:jc w:val="both"/>
        <w:rPr>
          <w:color w:val="000000"/>
          <w:sz w:val="24"/>
          <w:szCs w:val="24"/>
        </w:rPr>
      </w:pPr>
      <w:r>
        <w:rPr>
          <w:color w:val="000000"/>
          <w:sz w:val="24"/>
          <w:szCs w:val="24"/>
        </w:rPr>
        <w:t>III - o cronograma de execução e de implementação das medidas propostas, com metas a serem atingidas;</w:t>
      </w:r>
    </w:p>
    <w:p w14:paraId="000000BF" w14:textId="77777777" w:rsidR="00993C43" w:rsidRDefault="00927115">
      <w:pPr>
        <w:pStyle w:val="Normal1"/>
        <w:widowControl w:val="0"/>
        <w:pBdr>
          <w:top w:val="nil"/>
          <w:left w:val="nil"/>
          <w:bottom w:val="nil"/>
          <w:right w:val="nil"/>
          <w:between w:val="nil"/>
        </w:pBdr>
        <w:tabs>
          <w:tab w:val="left" w:pos="337"/>
        </w:tabs>
        <w:spacing w:before="120" w:after="120" w:line="240" w:lineRule="auto"/>
        <w:ind w:right="3"/>
        <w:jc w:val="both"/>
        <w:rPr>
          <w:color w:val="000000"/>
          <w:sz w:val="24"/>
          <w:szCs w:val="24"/>
        </w:rPr>
      </w:pPr>
      <w:r>
        <w:rPr>
          <w:color w:val="000000"/>
          <w:sz w:val="24"/>
          <w:szCs w:val="24"/>
        </w:rPr>
        <w:t xml:space="preserve">IV - a suspensão, no âmbito da </w:t>
      </w:r>
      <w:proofErr w:type="spellStart"/>
      <w:r>
        <w:rPr>
          <w:color w:val="000000"/>
          <w:sz w:val="24"/>
          <w:szCs w:val="24"/>
        </w:rPr>
        <w:t>Previc</w:t>
      </w:r>
      <w:proofErr w:type="spellEnd"/>
      <w:r>
        <w:rPr>
          <w:color w:val="000000"/>
          <w:sz w:val="24"/>
          <w:szCs w:val="24"/>
        </w:rPr>
        <w:t>, dos procedimentos ou processos administrativos que tiverem sido iniciados relacionados à conduta;</w:t>
      </w:r>
    </w:p>
    <w:p w14:paraId="000000C0" w14:textId="77777777" w:rsidR="00993C43" w:rsidRDefault="00927115">
      <w:pPr>
        <w:pStyle w:val="Normal1"/>
        <w:widowControl w:val="0"/>
        <w:pBdr>
          <w:top w:val="nil"/>
          <w:left w:val="nil"/>
          <w:bottom w:val="nil"/>
          <w:right w:val="nil"/>
          <w:between w:val="nil"/>
        </w:pBdr>
        <w:tabs>
          <w:tab w:val="left" w:pos="337"/>
        </w:tabs>
        <w:spacing w:before="120" w:after="120" w:line="240" w:lineRule="auto"/>
        <w:ind w:right="3"/>
        <w:jc w:val="both"/>
        <w:rPr>
          <w:color w:val="000000"/>
          <w:sz w:val="24"/>
          <w:szCs w:val="24"/>
        </w:rPr>
      </w:pPr>
      <w:r>
        <w:rPr>
          <w:color w:val="000000"/>
          <w:sz w:val="24"/>
          <w:szCs w:val="24"/>
        </w:rPr>
        <w:t>V - a penalidade a ser aplicada pelo descumprimento total ou parcial do TAC;</w:t>
      </w:r>
    </w:p>
    <w:p w14:paraId="000000C1" w14:textId="77777777" w:rsidR="00993C43" w:rsidRDefault="00927115">
      <w:pPr>
        <w:pStyle w:val="Normal1"/>
        <w:widowControl w:val="0"/>
        <w:pBdr>
          <w:top w:val="nil"/>
          <w:left w:val="nil"/>
          <w:bottom w:val="nil"/>
          <w:right w:val="nil"/>
          <w:between w:val="nil"/>
        </w:pBdr>
        <w:tabs>
          <w:tab w:val="left" w:pos="337"/>
        </w:tabs>
        <w:spacing w:before="120" w:after="120" w:line="240" w:lineRule="auto"/>
        <w:ind w:right="3"/>
        <w:jc w:val="both"/>
        <w:rPr>
          <w:color w:val="000000"/>
          <w:sz w:val="24"/>
          <w:szCs w:val="24"/>
        </w:rPr>
      </w:pPr>
      <w:r>
        <w:rPr>
          <w:color w:val="000000"/>
          <w:sz w:val="24"/>
          <w:szCs w:val="24"/>
        </w:rPr>
        <w:t>VI - o prazo de vigência;</w:t>
      </w:r>
    </w:p>
    <w:p w14:paraId="000000C2" w14:textId="77777777" w:rsidR="00993C43" w:rsidRDefault="00927115">
      <w:pPr>
        <w:pStyle w:val="Normal1"/>
        <w:rPr>
          <w:sz w:val="24"/>
          <w:szCs w:val="24"/>
        </w:rPr>
      </w:pPr>
      <w:r>
        <w:rPr>
          <w:sz w:val="24"/>
          <w:szCs w:val="24"/>
        </w:rPr>
        <w:t xml:space="preserve">VII - a qualificação e assinatura das partes; </w:t>
      </w:r>
    </w:p>
    <w:p w14:paraId="000000C3" w14:textId="77777777" w:rsidR="00993C43" w:rsidRDefault="00927115">
      <w:pPr>
        <w:pStyle w:val="Normal1"/>
        <w:rPr>
          <w:sz w:val="24"/>
          <w:szCs w:val="24"/>
        </w:rPr>
      </w:pPr>
      <w:r>
        <w:rPr>
          <w:sz w:val="24"/>
          <w:szCs w:val="24"/>
        </w:rPr>
        <w:t>VIII - a previsão da responsabilidade dos sucessores pelo cumprimento do TAC; e</w:t>
      </w:r>
    </w:p>
    <w:p w14:paraId="000000C4" w14:textId="77777777" w:rsidR="00993C43" w:rsidRDefault="00927115">
      <w:pPr>
        <w:pStyle w:val="Normal1"/>
        <w:rPr>
          <w:sz w:val="24"/>
          <w:szCs w:val="24"/>
        </w:rPr>
      </w:pPr>
      <w:r>
        <w:rPr>
          <w:sz w:val="24"/>
          <w:szCs w:val="24"/>
        </w:rPr>
        <w:t>IX - o foro competente para dirimir eventuais litígios entre as partes.</w:t>
      </w:r>
    </w:p>
    <w:p w14:paraId="000000C5"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728.  A EFPC deve disponibilizar, em local de fácil acesso em seu sítio eletrônico na internet, informações relativas à celebração do TAC.</w:t>
      </w:r>
    </w:p>
    <w:p w14:paraId="000000C6"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729.  O procedimento ou processo administrativo em curso que tiver por objeto apurar a conduta abrangida pelo TAC deve ser suspenso durante a sua vigência.</w:t>
      </w:r>
    </w:p>
    <w:p w14:paraId="000000C7"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1º  A suspensão do procedimento ou processo administrativo deve ocorrer somente em relação aos compromissários.</w:t>
      </w:r>
    </w:p>
    <w:p w14:paraId="000000C8"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2º  A celebração do TAC interrompe a prescrição administrativa na data de sua assinatura, nos termos do inciso IV, do art. 2º da Lei nº 9.873, de 23 de novembro de 1999.</w:t>
      </w:r>
    </w:p>
    <w:p w14:paraId="000000C9"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Art. 730.  O compromissário deve enviar, na periodicidade estipulada no TAC, relatório circunstanciado à  </w:t>
      </w:r>
      <w:proofErr w:type="spellStart"/>
      <w:r>
        <w:rPr>
          <w:color w:val="000000"/>
          <w:sz w:val="24"/>
          <w:szCs w:val="24"/>
        </w:rPr>
        <w:t>Previc</w:t>
      </w:r>
      <w:proofErr w:type="spellEnd"/>
      <w:r>
        <w:rPr>
          <w:color w:val="000000"/>
          <w:sz w:val="24"/>
          <w:szCs w:val="24"/>
        </w:rPr>
        <w:t xml:space="preserve"> sobre as providências adotadas.</w:t>
      </w:r>
    </w:p>
    <w:p w14:paraId="000000CA"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Art. 731.  A penalidade pecuniária pelo descumprimento total ou parcial do TAC, sem prejuízo do integral ressarcimento de eventuais prejuízos financeiros decorrentes da conduta sob ajustamento, pode variar, por compromissário, entre  R$ 60.000,00 (sessenta mil reais) e R$ 5.000.000,00 (cinco </w:t>
      </w:r>
      <w:r>
        <w:rPr>
          <w:color w:val="000000"/>
          <w:sz w:val="24"/>
          <w:szCs w:val="24"/>
        </w:rPr>
        <w:lastRenderedPageBreak/>
        <w:t>milhões de reais), conforme a gravidade da conduta, o número de indivíduos atingidos ou passíveis de serem atingidos, o porte da EFPC e os valores   envolvidos na ocorrência.</w:t>
      </w:r>
    </w:p>
    <w:p w14:paraId="000000CB"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 1º  A penalidade pecuniária a que se refere o </w:t>
      </w:r>
      <w:r>
        <w:rPr>
          <w:b/>
          <w:color w:val="000000"/>
          <w:sz w:val="24"/>
          <w:szCs w:val="24"/>
        </w:rPr>
        <w:t>caput</w:t>
      </w:r>
      <w:r>
        <w:rPr>
          <w:color w:val="000000"/>
          <w:sz w:val="24"/>
          <w:szCs w:val="24"/>
        </w:rPr>
        <w:t xml:space="preserve"> não exclui a possibilidade de serem previstas no TAC, isolada ou cumulativamente, outras obrigações de pagar, de fazer ou de não fazer.</w:t>
      </w:r>
    </w:p>
    <w:p w14:paraId="000000CC"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 2º  Os valores previstos no </w:t>
      </w:r>
      <w:r>
        <w:rPr>
          <w:b/>
          <w:color w:val="000000"/>
          <w:sz w:val="24"/>
          <w:szCs w:val="24"/>
        </w:rPr>
        <w:t>caput</w:t>
      </w:r>
      <w:r>
        <w:rPr>
          <w:color w:val="000000"/>
          <w:sz w:val="24"/>
          <w:szCs w:val="24"/>
        </w:rPr>
        <w:t xml:space="preserve"> devem ser reajustados anualmente pelo Índice Nacional de Preços ao Consumidor, apurado pela Fundação Instituto Brasileiro de Geografia e Estatística (INPC/IBGE), ou por índice que vier a substituí-lo.</w:t>
      </w:r>
    </w:p>
    <w:p w14:paraId="000000CD" w14:textId="77777777" w:rsidR="00993C43" w:rsidRDefault="00927115">
      <w:pPr>
        <w:pStyle w:val="Normal1"/>
        <w:rPr>
          <w:sz w:val="24"/>
          <w:szCs w:val="24"/>
        </w:rPr>
      </w:pPr>
      <w:r>
        <w:rPr>
          <w:sz w:val="24"/>
          <w:szCs w:val="24"/>
        </w:rPr>
        <w:t xml:space="preserve">§ 3º  Os valores previstos no </w:t>
      </w:r>
      <w:r>
        <w:rPr>
          <w:b/>
          <w:sz w:val="24"/>
          <w:szCs w:val="24"/>
        </w:rPr>
        <w:t>caput</w:t>
      </w:r>
      <w:r>
        <w:rPr>
          <w:sz w:val="24"/>
          <w:szCs w:val="24"/>
        </w:rPr>
        <w:t xml:space="preserve"> são devidos por cada compromissário do TAC.</w:t>
      </w:r>
    </w:p>
    <w:p w14:paraId="000000CE"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732.  A decisão sobre o cumprimento ou descumprimento do TAC é de competência da Diretoria Colegiada.</w:t>
      </w:r>
    </w:p>
    <w:p w14:paraId="000000CF"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1º  A unidade regional responsável pelo controle e acompanhamento da execução do TAC, quando constatar descumprimento dos compromissos assumidos, deve submeter manifestação à Diretoria Colegiada.</w:t>
      </w:r>
    </w:p>
    <w:p w14:paraId="000000D0"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2º  A unidade regional responsável pelo controle e acompanhamento da execução do TAC deve analisar o cumprimento dos compromissos assumidos, submetendo manifestação à Diretoria Colegiada.</w:t>
      </w:r>
    </w:p>
    <w:p w14:paraId="000000D1"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3º  Cabe pedido de reconsideração da decisão da Diretoria Colegiada, no prazo de quinze dias a contar da data da notificação do compromissário, com efeito suspensivo.</w:t>
      </w:r>
    </w:p>
    <w:p w14:paraId="000000D2"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733.  Os compromissários devem ser notificados do cumprimento ou descumprimento do TAC:</w:t>
      </w:r>
    </w:p>
    <w:p w14:paraId="000000D3"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I - preferencialmente por meio eletrônico, na forma do Decreto nº 8.539, de 8 de outubro de 2015;</w:t>
      </w:r>
    </w:p>
    <w:p w14:paraId="000000D4"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II - por via postal, comprovando-se sua entrega pelo aviso de recebimento ou documento similar com mesma finalidade, emitido pelo serviço postal; </w:t>
      </w:r>
    </w:p>
    <w:p w14:paraId="000000D5"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III - mediante ciência do autuado ou do seu procurador, efetivada por servidor designado, ou, no caso de recusa daquele, de aposição de assinatura desse em declaração expressa; ou</w:t>
      </w:r>
    </w:p>
    <w:p w14:paraId="000000D6"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000000D7"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Parágrafo único.  O compromissário deve manter atualizado seu endereço completo  junto à </w:t>
      </w:r>
      <w:proofErr w:type="spellStart"/>
      <w:r>
        <w:rPr>
          <w:color w:val="000000"/>
          <w:sz w:val="24"/>
          <w:szCs w:val="24"/>
        </w:rPr>
        <w:t>Previc</w:t>
      </w:r>
      <w:proofErr w:type="spellEnd"/>
      <w:r>
        <w:rPr>
          <w:color w:val="000000"/>
          <w:sz w:val="24"/>
          <w:szCs w:val="24"/>
        </w:rPr>
        <w:t>.</w:t>
      </w:r>
    </w:p>
    <w:p w14:paraId="000000D8"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734.  A penalidade pecuniária prevista no art. 11 deve ser recolhida conforme o que for disposto no TAC, no prazo máximo de quinze dias contados da notificação da decisão definitiva.</w:t>
      </w:r>
    </w:p>
    <w:p w14:paraId="000000D9"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1º  Se recolhida fora do prazo, o valor da penalidade pecuniária deve ser corrigido pela taxa referencial do Sistema Especial de Liquidação e Custódia (Selic), acumulada mensalmente, calculada a partir do primeiro dia do mês subsequente ao do vencimento do prazo, até o mês anterior ao  do pagamento, acrescido de juros de mora de um por cento ao mês.</w:t>
      </w:r>
    </w:p>
    <w:p w14:paraId="000000DA"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 xml:space="preserve">§ 2º  Quando não recolhida até a data de seu vencimento, a </w:t>
      </w:r>
      <w:proofErr w:type="spellStart"/>
      <w:r>
        <w:rPr>
          <w:color w:val="000000"/>
          <w:sz w:val="24"/>
          <w:szCs w:val="24"/>
        </w:rPr>
        <w:t>Previc</w:t>
      </w:r>
      <w:proofErr w:type="spellEnd"/>
      <w:r>
        <w:rPr>
          <w:color w:val="000000"/>
          <w:sz w:val="24"/>
          <w:szCs w:val="24"/>
        </w:rPr>
        <w:t xml:space="preserve"> deve promover a cobrança judicial da penalidade, sem prejuízo da execução das demais obrigações assumidas no TAC.</w:t>
      </w:r>
    </w:p>
    <w:p w14:paraId="000000DB" w14:textId="77777777" w:rsidR="00993C43" w:rsidRDefault="00927115">
      <w:pPr>
        <w:pStyle w:val="Normal1"/>
        <w:widowControl w:val="0"/>
        <w:pBdr>
          <w:top w:val="nil"/>
          <w:left w:val="nil"/>
          <w:bottom w:val="nil"/>
          <w:right w:val="nil"/>
          <w:between w:val="nil"/>
        </w:pBdr>
        <w:spacing w:before="120" w:after="120" w:line="240" w:lineRule="auto"/>
        <w:ind w:right="3"/>
        <w:jc w:val="both"/>
        <w:rPr>
          <w:color w:val="000000"/>
          <w:sz w:val="24"/>
          <w:szCs w:val="24"/>
        </w:rPr>
      </w:pPr>
      <w:r>
        <w:rPr>
          <w:color w:val="000000"/>
          <w:sz w:val="24"/>
          <w:szCs w:val="24"/>
        </w:rPr>
        <w:t>Art. 735.  As condições previstas no TAC podem ser alteradas por meio de termo aditivo, mediante solicitação fundamentada da EFPC ou do compromissário.</w:t>
      </w:r>
    </w:p>
    <w:p w14:paraId="000000DC" w14:textId="77777777" w:rsidR="00993C43" w:rsidRDefault="00993C43">
      <w:pPr>
        <w:pStyle w:val="Normal1"/>
        <w:pBdr>
          <w:top w:val="nil"/>
          <w:left w:val="nil"/>
          <w:bottom w:val="nil"/>
          <w:right w:val="nil"/>
          <w:between w:val="nil"/>
        </w:pBdr>
        <w:spacing w:before="120" w:after="120" w:line="240" w:lineRule="auto"/>
        <w:jc w:val="both"/>
        <w:rPr>
          <w:color w:val="000000"/>
          <w:sz w:val="24"/>
          <w:szCs w:val="24"/>
        </w:rPr>
      </w:pPr>
    </w:p>
    <w:sectPr w:rsidR="00993C43">
      <w:pgSz w:w="11906" w:h="16838"/>
      <w:pgMar w:top="1417" w:right="566" w:bottom="1276"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variable"/>
    <w:sig w:usb0="00000287" w:usb1="00000000" w:usb2="00000000" w:usb3="00000000" w:csb0="0000009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3C43"/>
    <w:rsid w:val="0009076A"/>
    <w:rsid w:val="0016474D"/>
    <w:rsid w:val="002A1832"/>
    <w:rsid w:val="002C36E3"/>
    <w:rsid w:val="0034318A"/>
    <w:rsid w:val="00575B70"/>
    <w:rsid w:val="005F43D6"/>
    <w:rsid w:val="006B14DA"/>
    <w:rsid w:val="00927115"/>
    <w:rsid w:val="00993C43"/>
    <w:rsid w:val="009B2F81"/>
    <w:rsid w:val="00AB7DB1"/>
    <w:rsid w:val="00C51D7A"/>
    <w:rsid w:val="00DF02AD"/>
    <w:rsid w:val="00E42329"/>
    <w:rsid w:val="00E75BE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295984BF-E456-411B-8647-7A16162BF2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1"/>
    <w:next w:val="Normal1"/>
    <w:pPr>
      <w:pBdr>
        <w:top w:val="nil"/>
        <w:left w:val="nil"/>
        <w:bottom w:val="nil"/>
        <w:right w:val="nil"/>
        <w:between w:val="nil"/>
      </w:pBdr>
      <w:spacing w:line="240" w:lineRule="auto"/>
      <w:outlineLvl w:val="0"/>
    </w:pPr>
    <w:rPr>
      <w:rFonts w:ascii="Times New Roman" w:eastAsia="Times New Roman" w:hAnsi="Times New Roman" w:cs="Times New Roman"/>
      <w:b/>
      <w:color w:val="000000"/>
      <w:sz w:val="48"/>
      <w:szCs w:val="48"/>
    </w:rPr>
  </w:style>
  <w:style w:type="paragraph" w:styleId="Ttulo2">
    <w:name w:val="heading 2"/>
    <w:basedOn w:val="Normal1"/>
    <w:next w:val="Normal1"/>
    <w:pPr>
      <w:keepNext/>
      <w:keepLines/>
      <w:pBdr>
        <w:top w:val="nil"/>
        <w:left w:val="nil"/>
        <w:bottom w:val="nil"/>
        <w:right w:val="nil"/>
        <w:between w:val="nil"/>
      </w:pBdr>
      <w:spacing w:before="200" w:after="0"/>
      <w:outlineLvl w:val="1"/>
    </w:pPr>
    <w:rPr>
      <w:b/>
      <w:color w:val="5B9BD5"/>
      <w:sz w:val="26"/>
      <w:szCs w:val="26"/>
    </w:rPr>
  </w:style>
  <w:style w:type="paragraph" w:styleId="Ttulo3">
    <w:name w:val="heading 3"/>
    <w:basedOn w:val="Normal1"/>
    <w:next w:val="Normal1"/>
    <w:pPr>
      <w:keepNext/>
      <w:keepLines/>
      <w:pBdr>
        <w:top w:val="nil"/>
        <w:left w:val="nil"/>
        <w:bottom w:val="nil"/>
        <w:right w:val="nil"/>
        <w:between w:val="nil"/>
      </w:pBdr>
      <w:spacing w:before="280" w:after="80"/>
      <w:outlineLvl w:val="2"/>
    </w:pPr>
    <w:rPr>
      <w:b/>
      <w:color w:val="000000"/>
      <w:sz w:val="28"/>
      <w:szCs w:val="28"/>
    </w:rPr>
  </w:style>
  <w:style w:type="paragraph" w:styleId="Ttulo4">
    <w:name w:val="heading 4"/>
    <w:basedOn w:val="Normal1"/>
    <w:next w:val="Normal1"/>
    <w:pPr>
      <w:keepNext/>
      <w:keepLines/>
      <w:pBdr>
        <w:top w:val="nil"/>
        <w:left w:val="nil"/>
        <w:bottom w:val="nil"/>
        <w:right w:val="nil"/>
        <w:between w:val="nil"/>
      </w:pBdr>
      <w:spacing w:before="240" w:after="40"/>
      <w:outlineLvl w:val="3"/>
    </w:pPr>
    <w:rPr>
      <w:b/>
      <w:color w:val="000000"/>
      <w:sz w:val="24"/>
      <w:szCs w:val="24"/>
    </w:rPr>
  </w:style>
  <w:style w:type="paragraph" w:styleId="Ttulo5">
    <w:name w:val="heading 5"/>
    <w:basedOn w:val="Normal1"/>
    <w:next w:val="Normal1"/>
    <w:pPr>
      <w:keepNext/>
      <w:keepLines/>
      <w:pBdr>
        <w:top w:val="nil"/>
        <w:left w:val="nil"/>
        <w:bottom w:val="nil"/>
        <w:right w:val="nil"/>
        <w:between w:val="nil"/>
      </w:pBdr>
      <w:spacing w:before="220" w:after="40"/>
      <w:outlineLvl w:val="4"/>
    </w:pPr>
    <w:rPr>
      <w:b/>
      <w:color w:val="000000"/>
    </w:rPr>
  </w:style>
  <w:style w:type="paragraph" w:styleId="Ttulo6">
    <w:name w:val="heading 6"/>
    <w:basedOn w:val="Normal1"/>
    <w:next w:val="Normal1"/>
    <w:pPr>
      <w:keepNext/>
      <w:keepLines/>
      <w:pBdr>
        <w:top w:val="nil"/>
        <w:left w:val="nil"/>
        <w:bottom w:val="nil"/>
        <w:right w:val="nil"/>
        <w:between w:val="nil"/>
      </w:pBdr>
      <w:spacing w:before="200" w:after="40"/>
      <w:outlineLvl w:val="5"/>
    </w:pPr>
    <w:rPr>
      <w:b/>
      <w:color w:val="000000"/>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style>
  <w:style w:type="paragraph" w:styleId="Ttulo">
    <w:name w:val="Title"/>
    <w:basedOn w:val="Normal1"/>
    <w:next w:val="Normal1"/>
    <w:pPr>
      <w:keepNext/>
      <w:keepLines/>
      <w:pBdr>
        <w:top w:val="nil"/>
        <w:left w:val="nil"/>
        <w:bottom w:val="nil"/>
        <w:right w:val="nil"/>
        <w:between w:val="nil"/>
      </w:pBdr>
      <w:spacing w:before="480" w:after="120"/>
    </w:pPr>
    <w:rPr>
      <w:b/>
      <w:color w:val="000000"/>
      <w:sz w:val="72"/>
      <w:szCs w:val="72"/>
    </w:rPr>
  </w:style>
  <w:style w:type="paragraph" w:styleId="Subttulo">
    <w:name w:val="Subtitle"/>
    <w:basedOn w:val="Normal1"/>
    <w:next w:val="Normal1"/>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Textodebalo">
    <w:name w:val="Balloon Text"/>
    <w:basedOn w:val="Normal"/>
    <w:link w:val="TextodebaloChar"/>
    <w:uiPriority w:val="99"/>
    <w:semiHidden/>
    <w:unhideWhenUsed/>
    <w:rsid w:val="0016474D"/>
    <w:pPr>
      <w:spacing w:after="0" w:line="240" w:lineRule="auto"/>
    </w:pPr>
    <w:rPr>
      <w:rFonts w:ascii="Lucida Grande" w:hAnsi="Lucida Grande" w:cs="Lucida Grande"/>
      <w:sz w:val="18"/>
      <w:szCs w:val="18"/>
    </w:rPr>
  </w:style>
  <w:style w:type="character" w:customStyle="1" w:styleId="TextodebaloChar">
    <w:name w:val="Texto de balão Char"/>
    <w:basedOn w:val="Fontepargpadro"/>
    <w:link w:val="Textodebalo"/>
    <w:uiPriority w:val="99"/>
    <w:semiHidden/>
    <w:rsid w:val="0016474D"/>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4480</Words>
  <Characters>24193</Characters>
  <Application>Microsoft Office Word</Application>
  <DocSecurity>0</DocSecurity>
  <Lines>201</Lines>
  <Paragraphs>57</Paragraphs>
  <ScaleCrop>false</ScaleCrop>
  <HeadingPairs>
    <vt:vector size="2" baseType="variant">
      <vt:variant>
        <vt:lpstr>Título</vt:lpstr>
      </vt:variant>
      <vt:variant>
        <vt:i4>1</vt:i4>
      </vt:variant>
    </vt:vector>
  </HeadingPairs>
  <TitlesOfParts>
    <vt:vector size="1" baseType="lpstr">
      <vt:lpstr/>
    </vt:vector>
  </TitlesOfParts>
  <Company>priscilasabino</Company>
  <LinksUpToDate>false</LinksUpToDate>
  <CharactersWithSpaces>28616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dcterms:created xsi:type="dcterms:W3CDTF">2023-05-11T19:32:00Z</dcterms:created>
  <dcterms:modified xsi:type="dcterms:W3CDTF">2023-05-11T19:32:00Z</dcterms:modified>
</cp:coreProperties>
</file>