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847C01" w14:textId="79C285BB" w:rsidR="00470D03" w:rsidRPr="0077064F" w:rsidRDefault="004512F6" w:rsidP="00476F04">
      <w:pPr>
        <w:spacing w:before="120" w:after="120" w:line="240" w:lineRule="auto"/>
        <w:jc w:val="center"/>
        <w:rPr>
          <w:rFonts w:ascii="Calibri" w:eastAsia="Times New Roman" w:hAnsi="Calibri" w:cstheme="minorHAnsi"/>
          <w:b/>
          <w:color w:val="000000"/>
          <w:sz w:val="24"/>
          <w:szCs w:val="24"/>
          <w:lang w:eastAsia="pt-BR"/>
        </w:rPr>
      </w:pPr>
      <w:bookmarkStart w:id="0" w:name="_GoBack"/>
      <w:bookmarkEnd w:id="0"/>
      <w:r w:rsidRPr="0077064F">
        <w:rPr>
          <w:rFonts w:ascii="Calibri" w:eastAsia="Times New Roman" w:hAnsi="Calibri" w:cstheme="minorHAnsi"/>
          <w:b/>
          <w:color w:val="000000"/>
          <w:sz w:val="24"/>
          <w:szCs w:val="24"/>
          <w:lang w:eastAsia="pt-BR"/>
        </w:rPr>
        <w:t xml:space="preserve">Consolidação da IN </w:t>
      </w:r>
      <w:r w:rsidR="005C6A38"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35</w:t>
      </w:r>
      <w:r w:rsidR="005C6A38" w:rsidRPr="0077064F">
        <w:rPr>
          <w:rFonts w:ascii="Calibri" w:eastAsia="Times New Roman" w:hAnsi="Calibri" w:cstheme="minorHAnsi"/>
          <w:b/>
          <w:color w:val="000000"/>
          <w:sz w:val="24"/>
          <w:szCs w:val="24"/>
          <w:lang w:eastAsia="pt-BR"/>
        </w:rPr>
        <w:t xml:space="preserve">, de 2020, </w:t>
      </w:r>
      <w:r w:rsidRPr="0077064F">
        <w:rPr>
          <w:rFonts w:ascii="Calibri" w:eastAsia="Times New Roman" w:hAnsi="Calibri" w:cstheme="minorHAnsi"/>
          <w:b/>
          <w:color w:val="000000"/>
          <w:sz w:val="24"/>
          <w:szCs w:val="24"/>
          <w:lang w:eastAsia="pt-BR"/>
        </w:rPr>
        <w:t xml:space="preserve">com a IN </w:t>
      </w:r>
      <w:r w:rsidR="005C6A38"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12</w:t>
      </w:r>
      <w:r w:rsidR="005C6A38" w:rsidRPr="0077064F">
        <w:rPr>
          <w:rFonts w:ascii="Calibri" w:eastAsia="Times New Roman" w:hAnsi="Calibri" w:cstheme="minorHAnsi"/>
          <w:b/>
          <w:color w:val="000000"/>
          <w:sz w:val="24"/>
          <w:szCs w:val="24"/>
          <w:lang w:eastAsia="pt-BR"/>
        </w:rPr>
        <w:t xml:space="preserve">, de </w:t>
      </w:r>
      <w:r w:rsidR="0065482E" w:rsidRPr="0077064F">
        <w:rPr>
          <w:rFonts w:ascii="Calibri" w:eastAsia="Times New Roman" w:hAnsi="Calibri" w:cstheme="minorHAnsi"/>
          <w:b/>
          <w:color w:val="000000"/>
          <w:sz w:val="24"/>
          <w:szCs w:val="24"/>
          <w:lang w:eastAsia="pt-BR"/>
        </w:rPr>
        <w:t>2019</w:t>
      </w:r>
    </w:p>
    <w:p w14:paraId="52B7DCA2" w14:textId="77777777" w:rsidR="004512F6" w:rsidRPr="0077064F" w:rsidRDefault="004512F6" w:rsidP="00476F04">
      <w:pPr>
        <w:spacing w:before="120" w:after="120" w:line="240" w:lineRule="auto"/>
        <w:jc w:val="both"/>
        <w:rPr>
          <w:rFonts w:ascii="Calibri" w:eastAsia="Times New Roman" w:hAnsi="Calibri" w:cstheme="minorHAnsi"/>
          <w:color w:val="000000"/>
          <w:sz w:val="24"/>
          <w:szCs w:val="24"/>
          <w:lang w:eastAsia="pt-BR"/>
        </w:rPr>
      </w:pPr>
    </w:p>
    <w:p w14:paraId="07A6A3CB" w14:textId="318062C4" w:rsidR="00757D33" w:rsidRPr="0077064F" w:rsidRDefault="00757D33" w:rsidP="00476F04">
      <w:pPr>
        <w:spacing w:before="120" w:after="120" w:line="240" w:lineRule="auto"/>
        <w:jc w:val="both"/>
        <w:rPr>
          <w:rFonts w:ascii="Calibri" w:hAnsi="Calibri" w:cs="Calibri"/>
          <w:b/>
          <w:sz w:val="24"/>
          <w:szCs w:val="24"/>
          <w:u w:val="single"/>
        </w:rPr>
      </w:pPr>
      <w:r w:rsidRPr="0077064F">
        <w:rPr>
          <w:rFonts w:ascii="Calibri" w:hAnsi="Calibri" w:cs="Calibri"/>
          <w:b/>
          <w:sz w:val="24"/>
          <w:szCs w:val="24"/>
          <w:u w:val="single"/>
        </w:rPr>
        <w:t>Referências normativas:</w:t>
      </w:r>
    </w:p>
    <w:p w14:paraId="0849E723" w14:textId="1CEC2CDD" w:rsidR="00E31CA9" w:rsidRPr="0077064F" w:rsidRDefault="00340447" w:rsidP="00476F04">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 xml:space="preserve">incisos II, V e VI do art. 3º </w:t>
      </w:r>
      <w:r w:rsidR="00E31CA9" w:rsidRPr="0077064F">
        <w:rPr>
          <w:rFonts w:ascii="Calibri" w:eastAsia="Times New Roman" w:hAnsi="Calibri" w:cs="Times New Roman"/>
          <w:color w:val="000000"/>
          <w:sz w:val="24"/>
          <w:szCs w:val="24"/>
        </w:rPr>
        <w:t>da Lei Complementar nº 109, de 29 de maio de 2001</w:t>
      </w:r>
    </w:p>
    <w:p w14:paraId="51A58EB4" w14:textId="5963AD28" w:rsidR="00340447" w:rsidRPr="0077064F" w:rsidRDefault="00340447" w:rsidP="00476F04">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III e V do art. 2º da Lei nº 12.154, de 23 de dezembro de 2009</w:t>
      </w:r>
    </w:p>
    <w:p w14:paraId="1F6F81B8" w14:textId="512F5E5B" w:rsidR="0072579E" w:rsidRPr="0077064F" w:rsidRDefault="0072579E" w:rsidP="00476F04">
      <w:pPr>
        <w:spacing w:before="120" w:after="120" w:line="240" w:lineRule="auto"/>
        <w:jc w:val="both"/>
        <w:rPr>
          <w:rFonts w:ascii="Calibri" w:hAnsi="Calibri" w:cs="Calibri"/>
          <w:sz w:val="24"/>
          <w:szCs w:val="24"/>
        </w:rPr>
      </w:pPr>
      <w:r w:rsidRPr="0077064F">
        <w:rPr>
          <w:rFonts w:ascii="Calibri" w:hAnsi="Calibri" w:cs="Calibri"/>
          <w:sz w:val="24"/>
          <w:szCs w:val="24"/>
        </w:rPr>
        <w:t>inciso III do art. 2º e inciso VIII do art. 12 do Anexo I do Decreto nº 11.241, de 18 de outubro de 2022</w:t>
      </w:r>
    </w:p>
    <w:p w14:paraId="3522A66E" w14:textId="4B0C65E1" w:rsidR="0072579E" w:rsidRPr="0077064F" w:rsidRDefault="0072579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41 da Resolução CMN nº 4.994, de 2</w:t>
      </w:r>
      <w:r w:rsidR="00757D33" w:rsidRPr="0077064F">
        <w:rPr>
          <w:rFonts w:ascii="Calibri" w:eastAsia="Times New Roman" w:hAnsi="Calibri" w:cstheme="minorHAnsi"/>
          <w:color w:val="000000"/>
          <w:sz w:val="24"/>
          <w:szCs w:val="24"/>
          <w:lang w:eastAsia="pt-BR"/>
        </w:rPr>
        <w:t>4</w:t>
      </w:r>
      <w:r w:rsidRPr="0077064F">
        <w:rPr>
          <w:rFonts w:ascii="Calibri" w:eastAsia="Times New Roman" w:hAnsi="Calibri" w:cstheme="minorHAnsi"/>
          <w:color w:val="000000"/>
          <w:sz w:val="24"/>
          <w:szCs w:val="24"/>
          <w:lang w:eastAsia="pt-BR"/>
        </w:rPr>
        <w:t xml:space="preserve"> de ma</w:t>
      </w:r>
      <w:r w:rsidR="00757D33" w:rsidRPr="0077064F">
        <w:rPr>
          <w:rFonts w:ascii="Calibri" w:eastAsia="Times New Roman" w:hAnsi="Calibri" w:cstheme="minorHAnsi"/>
          <w:color w:val="000000"/>
          <w:sz w:val="24"/>
          <w:szCs w:val="24"/>
          <w:lang w:eastAsia="pt-BR"/>
        </w:rPr>
        <w:t xml:space="preserve">rço </w:t>
      </w:r>
      <w:r w:rsidRPr="0077064F">
        <w:rPr>
          <w:rFonts w:ascii="Calibri" w:eastAsia="Times New Roman" w:hAnsi="Calibri" w:cstheme="minorHAnsi"/>
          <w:color w:val="000000"/>
          <w:sz w:val="24"/>
          <w:szCs w:val="24"/>
          <w:lang w:eastAsia="pt-BR"/>
        </w:rPr>
        <w:t>de 2022</w:t>
      </w:r>
      <w:r w:rsidRPr="0077064F">
        <w:rPr>
          <w:rFonts w:ascii="Calibri" w:hAnsi="Calibri" w:cstheme="minorHAnsi"/>
          <w:color w:val="000000"/>
          <w:sz w:val="24"/>
          <w:szCs w:val="24"/>
        </w:rPr>
        <w:t>.</w:t>
      </w:r>
    </w:p>
    <w:p w14:paraId="53612A64" w14:textId="6D6AC528" w:rsidR="00384D11" w:rsidRPr="0077064F" w:rsidRDefault="00384D11" w:rsidP="00476F04">
      <w:pPr>
        <w:spacing w:before="120" w:after="120" w:line="240" w:lineRule="auto"/>
        <w:jc w:val="both"/>
        <w:rPr>
          <w:rFonts w:ascii="Calibri" w:hAnsi="Calibri" w:cstheme="minorHAnsi"/>
          <w:sz w:val="24"/>
          <w:szCs w:val="24"/>
        </w:rPr>
      </w:pPr>
    </w:p>
    <w:p w14:paraId="341A8D43" w14:textId="5910EB47" w:rsidR="004E716A" w:rsidRPr="0077064F" w:rsidRDefault="004E716A" w:rsidP="00476F04">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Definições</w:t>
      </w:r>
      <w:r w:rsidR="005329D9" w:rsidRPr="0077064F">
        <w:rPr>
          <w:rFonts w:ascii="Calibri" w:hAnsi="Calibri" w:cstheme="minorHAnsi"/>
          <w:b/>
          <w:sz w:val="24"/>
          <w:szCs w:val="24"/>
          <w:u w:val="single"/>
        </w:rPr>
        <w:t>:</w:t>
      </w:r>
    </w:p>
    <w:p w14:paraId="076AA3F6" w14:textId="2931E9BA" w:rsidR="00835D0D" w:rsidRPr="0077064F" w:rsidRDefault="00835D0D" w:rsidP="00476F04">
      <w:pPr>
        <w:pStyle w:val="Normalalteradora"/>
        <w:spacing w:line="240" w:lineRule="auto"/>
        <w:ind w:firstLine="0"/>
        <w:rPr>
          <w:rFonts w:ascii="Calibri" w:hAnsi="Calibri" w:cstheme="minorHAnsi"/>
        </w:rPr>
      </w:pPr>
      <w:r w:rsidRPr="0077064F">
        <w:rPr>
          <w:rFonts w:ascii="Calibri" w:hAnsi="Calibri" w:cstheme="minorHAnsi"/>
        </w:rPr>
        <w:t xml:space="preserve">Art. </w:t>
      </w:r>
      <w:proofErr w:type="spellStart"/>
      <w:r w:rsidR="008C5EB0" w:rsidRPr="0077064F">
        <w:rPr>
          <w:rFonts w:ascii="Calibri" w:hAnsi="Calibri" w:cstheme="minorHAnsi"/>
        </w:rPr>
        <w:t>X</w:t>
      </w:r>
      <w:r w:rsidRPr="0077064F">
        <w:rPr>
          <w:rFonts w:ascii="Calibri" w:hAnsi="Calibri" w:cstheme="minorHAnsi"/>
        </w:rPr>
        <w:t>º</w:t>
      </w:r>
      <w:proofErr w:type="spellEnd"/>
      <w:r w:rsidRPr="0077064F">
        <w:rPr>
          <w:rFonts w:ascii="Calibri" w:hAnsi="Calibri" w:cstheme="minorHAnsi"/>
        </w:rPr>
        <w:t xml:space="preserve">  Para os efeitos desta Resolução, entende-se por:</w:t>
      </w:r>
    </w:p>
    <w:p w14:paraId="320AF342" w14:textId="18EF5C37" w:rsidR="00835D0D" w:rsidRPr="0077064F" w:rsidRDefault="00776EC3" w:rsidP="00476F04">
      <w:pPr>
        <w:spacing w:before="120" w:after="120" w:line="240" w:lineRule="auto"/>
        <w:jc w:val="both"/>
        <w:rPr>
          <w:rFonts w:ascii="Calibri" w:hAnsi="Calibri" w:cstheme="minorHAnsi"/>
          <w:strike/>
          <w:sz w:val="24"/>
          <w:szCs w:val="24"/>
        </w:rPr>
      </w:pPr>
      <w:r w:rsidRPr="0077064F">
        <w:rPr>
          <w:rFonts w:ascii="Calibri" w:hAnsi="Calibri" w:cstheme="minorHAnsi"/>
          <w:b/>
          <w:sz w:val="24"/>
          <w:szCs w:val="24"/>
        </w:rPr>
        <w:t>recursos garantidores:</w:t>
      </w:r>
      <w:r w:rsidRPr="0077064F">
        <w:rPr>
          <w:rFonts w:ascii="Calibri" w:hAnsi="Calibri" w:cstheme="minorHAnsi"/>
          <w:sz w:val="24"/>
          <w:szCs w:val="24"/>
        </w:rPr>
        <w:t xml:space="preserve"> os </w:t>
      </w:r>
      <w:r w:rsidR="00092842" w:rsidRPr="0077064F">
        <w:rPr>
          <w:rFonts w:ascii="Calibri" w:hAnsi="Calibri" w:cstheme="minorHAnsi"/>
          <w:sz w:val="24"/>
          <w:szCs w:val="24"/>
        </w:rPr>
        <w:t>recursos dos planos administrados, formados pelos ativos disponíveis e de investimentos, deduzidos de suas correspondentes exigibilidades, não computados os valores referentes às dívidas contratadas com os patrocinadores</w:t>
      </w:r>
      <w:r w:rsidR="005329D9" w:rsidRPr="0077064F">
        <w:rPr>
          <w:rFonts w:ascii="Calibri" w:hAnsi="Calibri" w:cstheme="minorHAnsi"/>
          <w:strike/>
          <w:sz w:val="24"/>
          <w:szCs w:val="24"/>
        </w:rPr>
        <w:t>.</w:t>
      </w:r>
    </w:p>
    <w:p w14:paraId="3D170374" w14:textId="404A69F1" w:rsidR="00835D0D" w:rsidRPr="0077064F" w:rsidRDefault="00835D0D" w:rsidP="00476F04">
      <w:pPr>
        <w:spacing w:before="120" w:after="120" w:line="240" w:lineRule="auto"/>
        <w:jc w:val="both"/>
        <w:rPr>
          <w:rFonts w:ascii="Calibri" w:hAnsi="Calibri" w:cstheme="minorHAnsi"/>
          <w:b/>
          <w:sz w:val="24"/>
          <w:szCs w:val="24"/>
        </w:rPr>
      </w:pPr>
    </w:p>
    <w:p w14:paraId="4E2023C4" w14:textId="36C429E5" w:rsidR="004E716A" w:rsidRPr="0077064F" w:rsidRDefault="004E716A" w:rsidP="00476F04">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Comandos comuns:</w:t>
      </w:r>
    </w:p>
    <w:p w14:paraId="7E9AB0D3" w14:textId="5D58F2EF" w:rsidR="004E716A" w:rsidRPr="0077064F" w:rsidRDefault="00763E86"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Pr="0077064F">
        <w:rPr>
          <w:rFonts w:ascii="Calibri" w:hAnsi="Calibri" w:cstheme="minorHAnsi"/>
          <w:sz w:val="24"/>
          <w:szCs w:val="24"/>
        </w:rPr>
        <w:t>Esta Resolução</w:t>
      </w:r>
      <w:r w:rsidR="004E716A" w:rsidRPr="0077064F">
        <w:rPr>
          <w:rFonts w:ascii="Calibri" w:hAnsi="Calibri" w:cstheme="minorHAnsi"/>
          <w:sz w:val="24"/>
          <w:szCs w:val="24"/>
        </w:rPr>
        <w:t xml:space="preserve"> não se aplica aos planos de assistência à saúde a que se refere o art. 76 da Lei Complementar nº 109, de 29 de maio de 2001, registrados na Agência Nacional de Saúde Suplementar.</w:t>
      </w:r>
    </w:p>
    <w:p w14:paraId="6FCED133" w14:textId="37D817B5" w:rsidR="004E716A" w:rsidRPr="0077064F" w:rsidRDefault="00763E86"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004E716A" w:rsidRPr="0077064F">
        <w:rPr>
          <w:rFonts w:ascii="Calibri" w:eastAsia="Times New Roman" w:hAnsi="Calibri" w:cstheme="minorHAnsi"/>
          <w:color w:val="000000"/>
          <w:sz w:val="24"/>
          <w:szCs w:val="24"/>
          <w:lang w:eastAsia="pt-BR"/>
        </w:rPr>
        <w:t xml:space="preserve">As informações disponibilizadas à </w:t>
      </w:r>
      <w:proofErr w:type="spellStart"/>
      <w:r w:rsidR="004E716A" w:rsidRPr="0077064F">
        <w:rPr>
          <w:rFonts w:ascii="Calibri" w:eastAsia="Times New Roman" w:hAnsi="Calibri" w:cstheme="minorHAnsi"/>
          <w:color w:val="000000"/>
          <w:sz w:val="24"/>
          <w:szCs w:val="24"/>
          <w:lang w:eastAsia="pt-BR"/>
        </w:rPr>
        <w:t>Previc</w:t>
      </w:r>
      <w:proofErr w:type="spellEnd"/>
      <w:r w:rsidR="004E716A" w:rsidRPr="0077064F">
        <w:rPr>
          <w:rFonts w:ascii="Calibri" w:eastAsia="Times New Roman" w:hAnsi="Calibri" w:cstheme="minorHAnsi"/>
          <w:color w:val="000000"/>
          <w:sz w:val="24"/>
          <w:szCs w:val="24"/>
          <w:lang w:eastAsia="pt-BR"/>
        </w:rPr>
        <w:t xml:space="preserve"> são de responsabilidade da EFPC, que responde por erros ou omissões, nos termos da legislação vigente.</w:t>
      </w:r>
    </w:p>
    <w:p w14:paraId="153497A6" w14:textId="77777777" w:rsidR="00735CB1" w:rsidRPr="0077064F" w:rsidRDefault="00735CB1" w:rsidP="00476F04">
      <w:pPr>
        <w:spacing w:before="120" w:after="120" w:line="240" w:lineRule="auto"/>
        <w:jc w:val="both"/>
        <w:rPr>
          <w:rFonts w:ascii="Calibri" w:eastAsia="Times New Roman" w:hAnsi="Calibri" w:cstheme="minorHAnsi"/>
          <w:color w:val="000000"/>
          <w:sz w:val="24"/>
          <w:szCs w:val="24"/>
          <w:lang w:eastAsia="pt-BR"/>
        </w:rPr>
      </w:pPr>
    </w:p>
    <w:p w14:paraId="1DAA88A2" w14:textId="233F8EE3" w:rsidR="00735CB1" w:rsidRPr="0077064F" w:rsidRDefault="00735CB1" w:rsidP="00476F04">
      <w:pPr>
        <w:spacing w:before="120" w:after="120" w:line="240" w:lineRule="auto"/>
        <w:jc w:val="both"/>
        <w:rPr>
          <w:rFonts w:ascii="Calibri" w:eastAsia="Times New Roman" w:hAnsi="Calibri" w:cstheme="minorHAnsi"/>
          <w:b/>
          <w:color w:val="000000"/>
          <w:sz w:val="24"/>
          <w:szCs w:val="24"/>
          <w:u w:val="single"/>
          <w:lang w:eastAsia="pt-BR"/>
        </w:rPr>
      </w:pPr>
      <w:r w:rsidRPr="0077064F">
        <w:rPr>
          <w:rFonts w:ascii="Calibri" w:eastAsia="Times New Roman" w:hAnsi="Calibri" w:cstheme="minorHAnsi"/>
          <w:b/>
          <w:color w:val="000000"/>
          <w:sz w:val="24"/>
          <w:szCs w:val="24"/>
          <w:u w:val="single"/>
          <w:lang w:eastAsia="pt-BR"/>
        </w:rPr>
        <w:t>Revogações:</w:t>
      </w:r>
    </w:p>
    <w:p w14:paraId="56CD7648" w14:textId="3162B964" w:rsidR="00735CB1" w:rsidRPr="0077064F" w:rsidRDefault="00735CB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Instrução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nº 12, de 21 de janeiro de 2019</w:t>
      </w:r>
    </w:p>
    <w:p w14:paraId="4CC18E60" w14:textId="13371B46" w:rsidR="004E716A" w:rsidRPr="0077064F" w:rsidRDefault="00735CB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Instrução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n</w:t>
      </w:r>
      <w:r w:rsidRPr="0077064F">
        <w:rPr>
          <w:rFonts w:ascii="Calibri" w:eastAsia="Times New Roman" w:hAnsi="Calibri" w:cstheme="minorHAnsi"/>
          <w:color w:val="000000"/>
          <w:sz w:val="24"/>
          <w:szCs w:val="24"/>
          <w:lang w:eastAsia="pt-BR"/>
        </w:rPr>
        <w:t>º</w:t>
      </w:r>
      <w:r w:rsidRPr="0077064F">
        <w:rPr>
          <w:rFonts w:ascii="Calibri" w:hAnsi="Calibri" w:cstheme="minorHAnsi"/>
          <w:sz w:val="24"/>
          <w:szCs w:val="24"/>
        </w:rPr>
        <w:t xml:space="preserve"> 35, de </w:t>
      </w:r>
      <w:r w:rsidR="00255176" w:rsidRPr="0077064F">
        <w:rPr>
          <w:rFonts w:ascii="Calibri" w:hAnsi="Calibri" w:cstheme="minorHAnsi"/>
          <w:sz w:val="24"/>
          <w:szCs w:val="24"/>
        </w:rPr>
        <w:t xml:space="preserve">11 de novembro de </w:t>
      </w:r>
      <w:r w:rsidRPr="0077064F">
        <w:rPr>
          <w:rFonts w:ascii="Calibri" w:hAnsi="Calibri" w:cstheme="minorHAnsi"/>
          <w:sz w:val="24"/>
          <w:szCs w:val="24"/>
        </w:rPr>
        <w:t>2020</w:t>
      </w:r>
    </w:p>
    <w:p w14:paraId="05BAE667" w14:textId="77777777" w:rsidR="008055A4" w:rsidRPr="0077064F" w:rsidRDefault="008055A4" w:rsidP="00476F04">
      <w:pPr>
        <w:spacing w:before="120" w:after="120" w:line="240" w:lineRule="auto"/>
        <w:jc w:val="center"/>
        <w:rPr>
          <w:rFonts w:ascii="Calibri" w:hAnsi="Calibri" w:cstheme="minorHAnsi"/>
          <w:sz w:val="24"/>
          <w:szCs w:val="24"/>
        </w:rPr>
      </w:pPr>
    </w:p>
    <w:p w14:paraId="6E25A2A8" w14:textId="77777777" w:rsidR="008055A4" w:rsidRPr="0077064F" w:rsidRDefault="008055A4" w:rsidP="00476F04">
      <w:pPr>
        <w:spacing w:before="120" w:after="120" w:line="240" w:lineRule="auto"/>
        <w:jc w:val="center"/>
        <w:rPr>
          <w:rFonts w:ascii="Calibri" w:hAnsi="Calibri" w:cstheme="minorHAnsi"/>
          <w:sz w:val="24"/>
          <w:szCs w:val="24"/>
        </w:rPr>
      </w:pPr>
    </w:p>
    <w:p w14:paraId="072618CC" w14:textId="6E31C9E2" w:rsidR="003E132B" w:rsidRPr="0077064F" w:rsidRDefault="003E132B" w:rsidP="00476F04">
      <w:pPr>
        <w:spacing w:before="120" w:after="120" w:line="240" w:lineRule="auto"/>
        <w:jc w:val="center"/>
        <w:rPr>
          <w:rFonts w:ascii="Calibri" w:hAnsi="Calibri" w:cstheme="minorHAnsi"/>
          <w:sz w:val="24"/>
          <w:szCs w:val="24"/>
        </w:rPr>
      </w:pPr>
      <w:r w:rsidRPr="0077064F">
        <w:rPr>
          <w:rFonts w:ascii="Calibri" w:hAnsi="Calibri" w:cstheme="minorHAnsi"/>
          <w:sz w:val="24"/>
          <w:szCs w:val="24"/>
        </w:rPr>
        <w:t>CAPÍTULO</w:t>
      </w:r>
    </w:p>
    <w:p w14:paraId="31FEBA87" w14:textId="7902067E" w:rsidR="00212FC6" w:rsidRPr="0077064F" w:rsidRDefault="0010784B" w:rsidP="00476F04">
      <w:pPr>
        <w:spacing w:before="120" w:after="120" w:line="240" w:lineRule="auto"/>
        <w:jc w:val="center"/>
        <w:rPr>
          <w:rFonts w:ascii="Calibri" w:hAnsi="Calibri" w:cstheme="minorHAnsi"/>
          <w:sz w:val="24"/>
          <w:szCs w:val="24"/>
        </w:rPr>
      </w:pPr>
      <w:r w:rsidRPr="0077064F">
        <w:rPr>
          <w:rFonts w:ascii="Calibri" w:hAnsi="Calibri" w:cstheme="minorHAnsi"/>
          <w:sz w:val="24"/>
          <w:szCs w:val="24"/>
        </w:rPr>
        <w:t xml:space="preserve">INVESTIMENTO </w:t>
      </w:r>
      <w:r w:rsidR="003E132B" w:rsidRPr="0077064F">
        <w:rPr>
          <w:rFonts w:ascii="Calibri" w:hAnsi="Calibri" w:cstheme="minorHAnsi"/>
          <w:sz w:val="24"/>
          <w:szCs w:val="24"/>
        </w:rPr>
        <w:t>DOS RECURSOS</w:t>
      </w:r>
      <w:r w:rsidRPr="0077064F">
        <w:rPr>
          <w:rFonts w:ascii="Calibri" w:hAnsi="Calibri" w:cstheme="minorHAnsi"/>
          <w:sz w:val="24"/>
          <w:szCs w:val="24"/>
        </w:rPr>
        <w:t xml:space="preserve"> GARANTIDORES</w:t>
      </w:r>
    </w:p>
    <w:p w14:paraId="27C16EED" w14:textId="786BD009" w:rsidR="00E25883" w:rsidRPr="0077064F" w:rsidRDefault="00E25883" w:rsidP="00476F04">
      <w:pPr>
        <w:spacing w:before="120" w:after="120" w:line="240" w:lineRule="auto"/>
        <w:jc w:val="both"/>
        <w:rPr>
          <w:rFonts w:ascii="Calibri" w:hAnsi="Calibri" w:cstheme="minorHAnsi"/>
          <w:color w:val="000000"/>
          <w:sz w:val="24"/>
          <w:szCs w:val="24"/>
        </w:rPr>
      </w:pPr>
      <w:r w:rsidRPr="0077064F">
        <w:rPr>
          <w:rFonts w:ascii="Calibri" w:hAnsi="Calibri"/>
          <w:sz w:val="24"/>
          <w:szCs w:val="24"/>
        </w:rPr>
        <w:t>Art. 601</w:t>
      </w:r>
      <w:r w:rsidR="0054557E" w:rsidRPr="0077064F">
        <w:rPr>
          <w:rFonts w:ascii="Calibri" w:hAnsi="Calibri"/>
          <w:sz w:val="24"/>
          <w:szCs w:val="24"/>
        </w:rPr>
        <w:t xml:space="preserve">. </w:t>
      </w:r>
      <w:r w:rsidRPr="0077064F">
        <w:rPr>
          <w:rFonts w:ascii="Calibri" w:hAnsi="Calibri"/>
          <w:sz w:val="24"/>
          <w:szCs w:val="24"/>
        </w:rPr>
        <w:t xml:space="preserve"> As EFPC devem observar o disposto neste </w:t>
      </w:r>
      <w:r w:rsidR="00EB27E1" w:rsidRPr="0077064F">
        <w:rPr>
          <w:rFonts w:ascii="Calibri" w:hAnsi="Calibri"/>
          <w:sz w:val="24"/>
          <w:szCs w:val="24"/>
        </w:rPr>
        <w:t>C</w:t>
      </w:r>
      <w:r w:rsidRPr="0077064F">
        <w:rPr>
          <w:rFonts w:ascii="Calibri" w:hAnsi="Calibri"/>
          <w:sz w:val="24"/>
          <w:szCs w:val="24"/>
        </w:rPr>
        <w:t>apítulo para a operacionalização de procedimentos previstos pela Resolução CMN nº 4.</w:t>
      </w:r>
      <w:r w:rsidR="00EB27E1" w:rsidRPr="0077064F">
        <w:rPr>
          <w:rFonts w:ascii="Calibri" w:hAnsi="Calibri"/>
          <w:sz w:val="24"/>
          <w:szCs w:val="24"/>
        </w:rPr>
        <w:t>994</w:t>
      </w:r>
      <w:r w:rsidRPr="0077064F">
        <w:rPr>
          <w:rFonts w:ascii="Calibri" w:hAnsi="Calibri"/>
          <w:sz w:val="24"/>
          <w:szCs w:val="24"/>
        </w:rPr>
        <w:t>, de 2</w:t>
      </w:r>
      <w:r w:rsidR="00EB27E1" w:rsidRPr="0077064F">
        <w:rPr>
          <w:rFonts w:ascii="Calibri" w:hAnsi="Calibri"/>
          <w:sz w:val="24"/>
          <w:szCs w:val="24"/>
        </w:rPr>
        <w:t>4</w:t>
      </w:r>
      <w:r w:rsidRPr="0077064F">
        <w:rPr>
          <w:rFonts w:ascii="Calibri" w:hAnsi="Calibri"/>
          <w:sz w:val="24"/>
          <w:szCs w:val="24"/>
        </w:rPr>
        <w:t xml:space="preserve"> de ma</w:t>
      </w:r>
      <w:r w:rsidR="00EB27E1" w:rsidRPr="0077064F">
        <w:rPr>
          <w:rFonts w:ascii="Calibri" w:hAnsi="Calibri"/>
          <w:sz w:val="24"/>
          <w:szCs w:val="24"/>
        </w:rPr>
        <w:t>rço</w:t>
      </w:r>
      <w:r w:rsidRPr="0077064F">
        <w:rPr>
          <w:rFonts w:ascii="Calibri" w:hAnsi="Calibri"/>
          <w:sz w:val="24"/>
          <w:szCs w:val="24"/>
        </w:rPr>
        <w:t xml:space="preserve"> de 20</w:t>
      </w:r>
      <w:r w:rsidR="00EB27E1" w:rsidRPr="0077064F">
        <w:rPr>
          <w:rFonts w:ascii="Calibri" w:hAnsi="Calibri"/>
          <w:sz w:val="24"/>
          <w:szCs w:val="24"/>
        </w:rPr>
        <w:t>22</w:t>
      </w:r>
      <w:r w:rsidRPr="0077064F">
        <w:rPr>
          <w:rFonts w:ascii="Calibri" w:hAnsi="Calibri"/>
          <w:sz w:val="24"/>
          <w:szCs w:val="24"/>
        </w:rPr>
        <w:t>.</w:t>
      </w:r>
    </w:p>
    <w:p w14:paraId="53CF9653" w14:textId="442A42E0" w:rsidR="00EB27E1" w:rsidRPr="0077064F" w:rsidRDefault="00EB27E1"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p>
    <w:p w14:paraId="5DC6DB3F" w14:textId="77777777" w:rsidR="00EB27E1" w:rsidRPr="0077064F" w:rsidRDefault="00EB27E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Das informações de investimentos </w:t>
      </w:r>
    </w:p>
    <w:p w14:paraId="30D5EBB6" w14:textId="77777777" w:rsidR="00EB27E1" w:rsidRPr="0077064F" w:rsidRDefault="00EB27E1"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Subseção I</w:t>
      </w:r>
    </w:p>
    <w:p w14:paraId="19C06735" w14:textId="1EFCB561" w:rsidR="00EB27E1" w:rsidRPr="0077064F" w:rsidRDefault="00EB27E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Calibri"/>
          <w:b/>
          <w:sz w:val="24"/>
          <w:szCs w:val="24"/>
          <w:lang w:eastAsia="pt-BR"/>
        </w:rPr>
        <w:t>Demonstrativo de investimentos, cadastro de fundos de investimento e política de investimentos</w:t>
      </w:r>
    </w:p>
    <w:p w14:paraId="0D400A99" w14:textId="4963100E" w:rsidR="00EB27E1" w:rsidRPr="0077064F" w:rsidRDefault="00EB27E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Art. 602</w:t>
      </w:r>
      <w:r w:rsidR="0054557E" w:rsidRPr="0077064F">
        <w:rPr>
          <w:rFonts w:ascii="Calibri" w:hAnsi="Calibri" w:cstheme="minorHAnsi"/>
          <w:sz w:val="24"/>
          <w:szCs w:val="24"/>
        </w:rPr>
        <w:t>.</w:t>
      </w:r>
      <w:r w:rsidRPr="0077064F">
        <w:rPr>
          <w:rFonts w:ascii="Calibri" w:hAnsi="Calibri" w:cstheme="minorHAnsi"/>
          <w:sz w:val="24"/>
          <w:szCs w:val="24"/>
        </w:rPr>
        <w:t xml:space="preserve">  A EFPC deve enviar à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informações sobre os recursos dos planos administrados, formados pelos ativos disponíveis e de investimentos, deduzidos de suas correspondentes </w:t>
      </w:r>
      <w:r w:rsidRPr="0077064F">
        <w:rPr>
          <w:rFonts w:ascii="Calibri" w:hAnsi="Calibri" w:cstheme="minorHAnsi"/>
          <w:sz w:val="24"/>
          <w:szCs w:val="24"/>
        </w:rPr>
        <w:lastRenderedPageBreak/>
        <w:t xml:space="preserve">exigibilidades, não computados os valores referentes às dívidas contratadas com os patrocinadores, conforme </w:t>
      </w:r>
      <w:r w:rsidR="0054557E" w:rsidRPr="0077064F">
        <w:rPr>
          <w:rFonts w:ascii="Calibri" w:hAnsi="Calibri" w:cstheme="minorHAnsi"/>
          <w:sz w:val="24"/>
          <w:szCs w:val="24"/>
        </w:rPr>
        <w:t>o disposto na presente Resolução</w:t>
      </w:r>
      <w:r w:rsidRPr="0077064F">
        <w:rPr>
          <w:rFonts w:ascii="Calibri" w:hAnsi="Calibri" w:cstheme="minorHAnsi"/>
          <w:sz w:val="24"/>
          <w:szCs w:val="24"/>
        </w:rPr>
        <w:t>.</w:t>
      </w:r>
    </w:p>
    <w:p w14:paraId="6CE34F0B" w14:textId="77777777" w:rsidR="00EB27E1" w:rsidRPr="0077064F" w:rsidRDefault="00EB27E1" w:rsidP="00476F04">
      <w:pPr>
        <w:spacing w:before="120" w:after="120" w:line="240" w:lineRule="auto"/>
        <w:jc w:val="both"/>
        <w:rPr>
          <w:rFonts w:ascii="Calibri" w:hAnsi="Calibri" w:cstheme="minorHAnsi"/>
          <w:sz w:val="24"/>
          <w:szCs w:val="24"/>
        </w:rPr>
      </w:pPr>
      <w:r w:rsidRPr="0077064F">
        <w:rPr>
          <w:rFonts w:ascii="Calibri" w:eastAsia="Times New Roman" w:hAnsi="Calibri" w:cstheme="minorHAnsi"/>
          <w:color w:val="000000"/>
          <w:sz w:val="24"/>
          <w:szCs w:val="24"/>
          <w:lang w:eastAsia="pt-BR"/>
        </w:rPr>
        <w:t xml:space="preserve">§1º  O envio a que se refere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inclui</w:t>
      </w:r>
      <w:r w:rsidRPr="0077064F">
        <w:rPr>
          <w:rFonts w:ascii="Calibri" w:hAnsi="Calibri"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675C536D" w14:textId="77777777" w:rsidR="00EB27E1" w:rsidRPr="0077064F" w:rsidRDefault="00EB27E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§2º  O envio das informações relativas à política de investimentos deve observar os seguintes prazos:</w:t>
      </w:r>
    </w:p>
    <w:p w14:paraId="5BF9754E" w14:textId="77777777"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até 1º de março do exercício de referência; e</w:t>
      </w:r>
    </w:p>
    <w:p w14:paraId="0C162315" w14:textId="77777777" w:rsidR="00EB27E1" w:rsidRPr="0077064F" w:rsidRDefault="00EB27E1" w:rsidP="00476F04">
      <w:pPr>
        <w:spacing w:before="120" w:after="120" w:line="240" w:lineRule="auto"/>
        <w:jc w:val="both"/>
        <w:rPr>
          <w:rFonts w:ascii="Calibri" w:hAnsi="Calibri" w:cstheme="minorHAnsi"/>
          <w:sz w:val="24"/>
          <w:szCs w:val="24"/>
        </w:rPr>
      </w:pPr>
      <w:r w:rsidRPr="0077064F">
        <w:rPr>
          <w:rFonts w:ascii="Calibri" w:eastAsia="Times New Roman" w:hAnsi="Calibri" w:cstheme="minorHAnsi"/>
          <w:color w:val="000000"/>
          <w:sz w:val="24"/>
          <w:szCs w:val="24"/>
          <w:lang w:eastAsia="pt-BR"/>
        </w:rPr>
        <w:t>II - até trinta dias contados da data da revisão aprovada pelo Conselho Deliberativo</w:t>
      </w:r>
      <w:r w:rsidRPr="0077064F">
        <w:rPr>
          <w:rFonts w:ascii="Calibri" w:hAnsi="Calibri" w:cstheme="minorHAnsi"/>
          <w:sz w:val="24"/>
          <w:szCs w:val="24"/>
        </w:rPr>
        <w:t>.</w:t>
      </w:r>
    </w:p>
    <w:p w14:paraId="484C85C4" w14:textId="2AE091EC" w:rsidR="00EB27E1" w:rsidRPr="0077064F" w:rsidRDefault="00EB27E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§3º  A forma de envio das informações deve ser</w:t>
      </w:r>
      <w:r w:rsidRPr="0077064F">
        <w:rPr>
          <w:rFonts w:ascii="Calibri" w:hAnsi="Calibri" w:cstheme="minorHAnsi"/>
          <w:b/>
          <w:sz w:val="24"/>
          <w:szCs w:val="24"/>
        </w:rPr>
        <w:t xml:space="preserve"> </w:t>
      </w:r>
      <w:r w:rsidRPr="0077064F">
        <w:rPr>
          <w:rFonts w:ascii="Calibri" w:hAnsi="Calibri" w:cstheme="minorHAnsi"/>
          <w:sz w:val="24"/>
          <w:szCs w:val="24"/>
        </w:rPr>
        <w:t>realizada conforme Portaria da Diretoria de Fisc</w:t>
      </w:r>
      <w:r w:rsidR="0054557E" w:rsidRPr="0077064F">
        <w:rPr>
          <w:rFonts w:ascii="Calibri" w:hAnsi="Calibri" w:cstheme="minorHAnsi"/>
          <w:sz w:val="24"/>
          <w:szCs w:val="24"/>
        </w:rPr>
        <w:t>alização e Monitoramento</w:t>
      </w:r>
      <w:r w:rsidRPr="0077064F">
        <w:rPr>
          <w:rFonts w:ascii="Calibri" w:hAnsi="Calibri" w:cstheme="minorHAnsi"/>
          <w:sz w:val="24"/>
          <w:szCs w:val="24"/>
        </w:rPr>
        <w:t>.</w:t>
      </w:r>
    </w:p>
    <w:p w14:paraId="3AB47F54" w14:textId="6715E595"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w:t>
      </w:r>
      <w:r w:rsidR="0054557E" w:rsidRPr="0077064F">
        <w:rPr>
          <w:rFonts w:ascii="Calibri" w:eastAsia="Times New Roman" w:hAnsi="Calibri" w:cstheme="minorHAnsi"/>
          <w:color w:val="000000"/>
          <w:sz w:val="24"/>
          <w:szCs w:val="24"/>
          <w:lang w:eastAsia="pt-BR"/>
        </w:rPr>
        <w:t>t. 603.</w:t>
      </w:r>
      <w:r w:rsidRPr="0077064F">
        <w:rPr>
          <w:rFonts w:ascii="Calibri" w:eastAsia="Times New Roman" w:hAnsi="Calibri" w:cstheme="minorHAnsi"/>
          <w:color w:val="000000"/>
          <w:sz w:val="24"/>
          <w:szCs w:val="24"/>
          <w:lang w:eastAsia="pt-BR"/>
        </w:rPr>
        <w:t xml:space="preserve">  A EFPC deve enviar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o demonstrativo de investimentos de todos os planos por ela administrados, inclusive do </w:t>
      </w:r>
      <w:r w:rsidR="0054557E" w:rsidRPr="0077064F">
        <w:rPr>
          <w:rFonts w:ascii="Calibri" w:eastAsia="Times New Roman" w:hAnsi="Calibri" w:cstheme="minorHAnsi"/>
          <w:color w:val="000000"/>
          <w:sz w:val="24"/>
          <w:szCs w:val="24"/>
          <w:lang w:eastAsia="pt-BR"/>
        </w:rPr>
        <w:t>PGA</w:t>
      </w:r>
      <w:r w:rsidRPr="0077064F">
        <w:rPr>
          <w:rFonts w:ascii="Calibri" w:eastAsia="Times New Roman" w:hAnsi="Calibri" w:cstheme="minorHAnsi"/>
          <w:color w:val="000000"/>
          <w:sz w:val="24"/>
          <w:szCs w:val="24"/>
          <w:lang w:eastAsia="pt-BR"/>
        </w:rPr>
        <w:t>, até o último dia do mês subsequente à data-base do demonstrativo.</w:t>
      </w:r>
    </w:p>
    <w:p w14:paraId="39858C2A" w14:textId="77777777"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535EE825" w14:textId="7F8BC64B"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§2º  A eventual substituição de informações do demonstrativo de investimentos deve ser justificada pelo Administrador Estatutário Tecnicamente Qualificado (AETQ) e perm</w:t>
      </w:r>
      <w:r w:rsidR="0054557E" w:rsidRPr="0077064F">
        <w:rPr>
          <w:rFonts w:ascii="Calibri" w:eastAsia="Times New Roman" w:hAnsi="Calibri" w:cstheme="minorHAnsi"/>
          <w:color w:val="000000"/>
          <w:sz w:val="24"/>
          <w:szCs w:val="24"/>
          <w:lang w:eastAsia="pt-BR"/>
        </w:rPr>
        <w:t>anecer na EFPC à disposição do conselho f</w:t>
      </w:r>
      <w:r w:rsidRPr="0077064F">
        <w:rPr>
          <w:rFonts w:ascii="Calibri" w:eastAsia="Times New Roman" w:hAnsi="Calibri" w:cstheme="minorHAnsi"/>
          <w:color w:val="000000"/>
          <w:sz w:val="24"/>
          <w:szCs w:val="24"/>
          <w:lang w:eastAsia="pt-BR"/>
        </w:rPr>
        <w:t xml:space="preserve">iscal e da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w:t>
      </w:r>
    </w:p>
    <w:p w14:paraId="7AFCB8D1" w14:textId="1BB8AE99" w:rsidR="00EB27E1" w:rsidRPr="0077064F" w:rsidRDefault="0054557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604.</w:t>
      </w:r>
      <w:r w:rsidR="00EB27E1" w:rsidRPr="0077064F">
        <w:rPr>
          <w:rFonts w:ascii="Calibri" w:eastAsia="Times New Roman" w:hAnsi="Calibri" w:cstheme="minorHAnsi"/>
          <w:color w:val="000000"/>
          <w:sz w:val="24"/>
          <w:szCs w:val="24"/>
          <w:lang w:eastAsia="pt-BR"/>
        </w:rPr>
        <w:t xml:space="preserve">  A EFPC deve manter cadastro atualizado dos fundos de investimento e dos fundos de investimento em cotas de fundos de investimento constituídos no Brasil:</w:t>
      </w:r>
    </w:p>
    <w:p w14:paraId="4C4B20E9" w14:textId="77777777"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em que a EFPC ou seus planos de benefícios sejam os únicos cotistas; ou</w:t>
      </w:r>
    </w:p>
    <w:p w14:paraId="793A7590" w14:textId="77777777" w:rsidR="00EB27E1"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em que a EFPC seja cotista e o fundo classificado como multimercado (FIM), no segmento estruturado.</w:t>
      </w:r>
    </w:p>
    <w:p w14:paraId="152844B2" w14:textId="2EB9537E" w:rsidR="009242A5" w:rsidRPr="0077064F" w:rsidRDefault="00EB27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Parágrafo único.  O cadastro a que se refere este artigo deve ser realizado até dez dias da data de aquisição do primeiro lote de cotas de fundo de investimento ou de fundo de investimento em cotas de fundos </w:t>
      </w:r>
      <w:r w:rsidR="0054557E" w:rsidRPr="0077064F">
        <w:rPr>
          <w:rFonts w:ascii="Calibri" w:eastAsia="Times New Roman" w:hAnsi="Calibri" w:cstheme="minorHAnsi"/>
          <w:color w:val="000000"/>
          <w:sz w:val="24"/>
          <w:szCs w:val="24"/>
          <w:lang w:eastAsia="pt-BR"/>
        </w:rPr>
        <w:t>de investimento.</w:t>
      </w:r>
    </w:p>
    <w:p w14:paraId="2402B7E7" w14:textId="6215C9C6" w:rsidR="0054557E" w:rsidRPr="0077064F" w:rsidRDefault="0054557E"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Subseção II</w:t>
      </w:r>
    </w:p>
    <w:p w14:paraId="1755EBA4" w14:textId="77777777" w:rsidR="0054557E" w:rsidRPr="0077064F" w:rsidRDefault="0054557E"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Calibri"/>
          <w:b/>
          <w:sz w:val="24"/>
          <w:szCs w:val="24"/>
          <w:lang w:eastAsia="pt-BR"/>
        </w:rPr>
        <w:t>Autorização, da custódia e do extrato de movimentação e posição de títulos públicos federais</w:t>
      </w:r>
    </w:p>
    <w:p w14:paraId="563DBA6F" w14:textId="500C9B4E" w:rsidR="0054557E" w:rsidRPr="0077064F" w:rsidRDefault="0054557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w:t>
      </w:r>
      <w:r w:rsidRPr="0077064F">
        <w:rPr>
          <w:rFonts w:ascii="Calibri" w:eastAsia="Times New Roman" w:hAnsi="Calibri" w:cstheme="minorHAnsi"/>
          <w:sz w:val="24"/>
          <w:szCs w:val="24"/>
          <w:lang w:eastAsia="pt-BR"/>
        </w:rPr>
        <w:t>. 605.</w:t>
      </w:r>
      <w:r w:rsidRPr="0077064F">
        <w:rPr>
          <w:rFonts w:ascii="Calibri" w:eastAsia="Times New Roman" w:hAnsi="Calibri"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77064F" w:rsidDel="00A47A97">
        <w:rPr>
          <w:rFonts w:ascii="Calibri" w:eastAsia="Times New Roman" w:hAnsi="Calibri" w:cstheme="minorHAnsi"/>
          <w:color w:val="000000"/>
          <w:sz w:val="24"/>
          <w:szCs w:val="24"/>
          <w:lang w:eastAsia="pt-BR"/>
        </w:rPr>
        <w:t xml:space="preserve"> </w:t>
      </w:r>
      <w:r w:rsidRPr="0077064F">
        <w:rPr>
          <w:rFonts w:ascii="Calibri" w:eastAsia="Times New Roman" w:hAnsi="Calibri" w:cstheme="minorHAnsi"/>
          <w:color w:val="000000"/>
          <w:sz w:val="24"/>
          <w:szCs w:val="24"/>
          <w:lang w:eastAsia="pt-BR"/>
        </w:rPr>
        <w:t>observada a regulamentação do Banco Central do Brasil ou da Comissão de Valores Mobiliários, nas suas respectivas áreas de competência.</w:t>
      </w:r>
    </w:p>
    <w:p w14:paraId="19261595" w14:textId="37657A0C" w:rsidR="0054557E" w:rsidRPr="0077064F" w:rsidRDefault="0054557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606.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w:t>
      </w:r>
      <w:r w:rsidR="00420AD7" w:rsidRPr="0077064F">
        <w:rPr>
          <w:rFonts w:ascii="Calibri" w:eastAsia="Times New Roman" w:hAnsi="Calibri" w:cstheme="minorHAnsi"/>
          <w:color w:val="000000"/>
          <w:sz w:val="24"/>
          <w:szCs w:val="24"/>
          <w:lang w:eastAsia="pt-BR"/>
        </w:rPr>
        <w:t>º do art. 602</w:t>
      </w:r>
      <w:r w:rsidRPr="0077064F">
        <w:rPr>
          <w:rFonts w:ascii="Calibri" w:eastAsia="Times New Roman" w:hAnsi="Calibri" w:cstheme="minorHAnsi"/>
          <w:color w:val="000000"/>
          <w:sz w:val="24"/>
          <w:szCs w:val="24"/>
          <w:lang w:eastAsia="pt-BR"/>
        </w:rPr>
        <w:t>.</w:t>
      </w:r>
    </w:p>
    <w:p w14:paraId="6516C620" w14:textId="0C91C5DC" w:rsidR="0054557E" w:rsidRPr="0077064F" w:rsidRDefault="0054557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§1º  A individualização e a identificação mencionadas no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devem atender ao disposto no §2º do art. 16 da </w:t>
      </w:r>
      <w:r w:rsidRPr="0077064F">
        <w:rPr>
          <w:rFonts w:ascii="Calibri" w:hAnsi="Calibri" w:cstheme="minorHAnsi"/>
          <w:sz w:val="24"/>
          <w:szCs w:val="24"/>
        </w:rPr>
        <w:t xml:space="preserve">Resolução CMN </w:t>
      </w:r>
      <w:r w:rsidR="00420AD7" w:rsidRPr="0077064F">
        <w:rPr>
          <w:rFonts w:ascii="Calibri" w:hAnsi="Calibri" w:cstheme="minorHAnsi"/>
          <w:sz w:val="24"/>
          <w:szCs w:val="24"/>
        </w:rPr>
        <w:t>nº 4.994, de 2022</w:t>
      </w:r>
      <w:r w:rsidRPr="0077064F">
        <w:rPr>
          <w:rFonts w:ascii="Calibri" w:eastAsia="Times New Roman" w:hAnsi="Calibri" w:cstheme="minorHAnsi"/>
          <w:color w:val="000000"/>
          <w:sz w:val="24"/>
          <w:szCs w:val="24"/>
          <w:lang w:eastAsia="pt-BR"/>
        </w:rPr>
        <w:t>.</w:t>
      </w:r>
    </w:p>
    <w:p w14:paraId="35BBA107" w14:textId="77777777" w:rsidR="0054557E" w:rsidRPr="0077064F" w:rsidRDefault="0054557E"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sz w:val="24"/>
          <w:szCs w:val="24"/>
          <w:lang w:eastAsia="pt-BR"/>
        </w:rPr>
        <w:lastRenderedPageBreak/>
        <w:t>§2º</w:t>
      </w:r>
      <w:r w:rsidRPr="0077064F" w:rsidDel="00CE5273">
        <w:rPr>
          <w:rFonts w:ascii="Calibri" w:eastAsia="Times New Roman" w:hAnsi="Calibri" w:cstheme="minorHAnsi"/>
          <w:color w:val="000000"/>
          <w:sz w:val="24"/>
          <w:szCs w:val="24"/>
          <w:lang w:eastAsia="pt-BR"/>
        </w:rPr>
        <w:t xml:space="preserve"> </w:t>
      </w:r>
      <w:r w:rsidRPr="0077064F">
        <w:rPr>
          <w:rFonts w:ascii="Calibri" w:eastAsia="Times New Roman" w:hAnsi="Calibri" w:cstheme="minorHAnsi"/>
          <w:color w:val="000000"/>
          <w:sz w:val="24"/>
          <w:szCs w:val="24"/>
          <w:lang w:eastAsia="pt-BR"/>
        </w:rPr>
        <w:t xml:space="preserve"> É vedado às EFPC incluir informações no sistema informatizado com restrição de acesso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em relação às informações sobre os títulos mencionados no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w:t>
      </w:r>
    </w:p>
    <w:p w14:paraId="08125AF5" w14:textId="59AAA56F" w:rsidR="00FC20E4" w:rsidRPr="0077064F" w:rsidRDefault="00FC20E4"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r w:rsidR="00FD45AF" w:rsidRPr="0077064F">
        <w:rPr>
          <w:rFonts w:ascii="Calibri" w:eastAsia="Times New Roman" w:hAnsi="Calibri" w:cs="Calibri"/>
          <w:b/>
          <w:sz w:val="24"/>
          <w:szCs w:val="24"/>
          <w:lang w:eastAsia="pt-BR"/>
        </w:rPr>
        <w:t>I</w:t>
      </w:r>
    </w:p>
    <w:p w14:paraId="43382865" w14:textId="77777777" w:rsidR="00FC20E4" w:rsidRPr="0077064F" w:rsidRDefault="00FC20E4"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política de investimento</w:t>
      </w:r>
    </w:p>
    <w:p w14:paraId="5C7277CB" w14:textId="6C6909BF"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607.  A política de investimento a que se refere o art. 19 da</w:t>
      </w:r>
      <w:r w:rsidRPr="0077064F">
        <w:rPr>
          <w:rFonts w:ascii="Calibri" w:eastAsia="Times New Roman" w:hAnsi="Calibri" w:cstheme="minorHAnsi"/>
          <w:sz w:val="24"/>
          <w:szCs w:val="24"/>
          <w:lang w:eastAsia="pt-BR"/>
        </w:rPr>
        <w:t xml:space="preserve"> </w:t>
      </w:r>
      <w:r w:rsidRPr="0077064F">
        <w:rPr>
          <w:rFonts w:ascii="Calibri" w:eastAsia="Times New Roman" w:hAnsi="Calibri" w:cstheme="minorHAnsi"/>
          <w:color w:val="000000"/>
          <w:sz w:val="24"/>
          <w:szCs w:val="24"/>
          <w:lang w:eastAsia="pt-BR"/>
        </w:rPr>
        <w:t>Resolução CMN nº 4.994, de 2022</w:t>
      </w:r>
      <w:r w:rsidRPr="0077064F">
        <w:rPr>
          <w:rFonts w:ascii="Calibri" w:hAnsi="Calibri" w:cstheme="minorHAnsi"/>
          <w:color w:val="000000"/>
          <w:sz w:val="24"/>
          <w:szCs w:val="24"/>
        </w:rPr>
        <w:t>,</w:t>
      </w:r>
      <w:r w:rsidRPr="0077064F">
        <w:rPr>
          <w:rFonts w:ascii="Calibri" w:eastAsia="Times New Roman" w:hAnsi="Calibri" w:cstheme="minorHAnsi"/>
          <w:color w:val="000000"/>
          <w:sz w:val="24"/>
          <w:szCs w:val="24"/>
          <w:lang w:eastAsia="pt-BR"/>
        </w:rPr>
        <w:t xml:space="preserve"> deve conter, no mínimo, as seguintes informações:</w:t>
      </w:r>
    </w:p>
    <w:p w14:paraId="2E6A7D11"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 previsão de alocação de recursos e os limites por segmento de aplicação;</w:t>
      </w:r>
    </w:p>
    <w:p w14:paraId="464CB23E"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 meta de rentabilidade por plano e segmento de aplicação;</w:t>
      </w:r>
    </w:p>
    <w:p w14:paraId="075ECFCA"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p w14:paraId="5B563500"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a taxa mínima atuarial ou os índices de referência, observado o regulamento de cada plano de benefícios;</w:t>
      </w:r>
    </w:p>
    <w:p w14:paraId="153C18D2"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os objetivos para utilização de derivativos;</w:t>
      </w:r>
    </w:p>
    <w:p w14:paraId="3D90DF45"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as diretrizes para observância de princípios de responsabilidade ambiental, social e de governança, preferencialmente, de forma diferenciada por setores da atividade econômica; e</w:t>
      </w:r>
    </w:p>
    <w:p w14:paraId="79D22FA2"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VII - as informações ou a indicação de documento em que conste procedimentos e critérios relativos à:</w:t>
      </w:r>
    </w:p>
    <w:p w14:paraId="0F7A4454"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 precificação  dos ativos financeiros com metodologia ou as fontes de referência adotadas;</w:t>
      </w:r>
    </w:p>
    <w:p w14:paraId="609C0256"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b) avaliação dos riscos de investimento, incluídos os riscos de crédito, de mercado, de liquidez, operacional, legal, sistêmico </w:t>
      </w:r>
      <w:r w:rsidRPr="0077064F">
        <w:rPr>
          <w:rFonts w:ascii="Calibri" w:eastAsia="Times New Roman" w:hAnsi="Calibri" w:cstheme="minorHAnsi"/>
          <w:sz w:val="24"/>
          <w:szCs w:val="24"/>
          <w:lang w:eastAsia="pt-BR"/>
        </w:rPr>
        <w:t>e outros inerentes às operações</w:t>
      </w:r>
      <w:r w:rsidRPr="0077064F">
        <w:rPr>
          <w:rFonts w:ascii="Calibri" w:eastAsia="Times New Roman" w:hAnsi="Calibri" w:cstheme="minorHAnsi"/>
          <w:color w:val="000000"/>
          <w:sz w:val="24"/>
          <w:szCs w:val="24"/>
          <w:lang w:eastAsia="pt-BR"/>
        </w:rPr>
        <w:t>;</w:t>
      </w:r>
    </w:p>
    <w:p w14:paraId="5C128371" w14:textId="77777777" w:rsidR="00FC20E4" w:rsidRPr="0077064F" w:rsidRDefault="00FC20E4" w:rsidP="00476F04">
      <w:pPr>
        <w:spacing w:before="120" w:after="120" w:line="240" w:lineRule="auto"/>
        <w:jc w:val="both"/>
        <w:rPr>
          <w:rFonts w:ascii="Calibri" w:hAnsi="Calibri" w:cstheme="minorHAnsi"/>
          <w:color w:val="444444"/>
          <w:sz w:val="24"/>
          <w:szCs w:val="24"/>
          <w:shd w:val="clear" w:color="auto" w:fill="FFFFFF"/>
        </w:rPr>
      </w:pPr>
      <w:r w:rsidRPr="0077064F">
        <w:rPr>
          <w:rFonts w:ascii="Calibri" w:eastAsia="Times New Roman" w:hAnsi="Calibri" w:cstheme="minorHAnsi"/>
          <w:color w:val="000000"/>
          <w:sz w:val="24"/>
          <w:szCs w:val="24"/>
          <w:lang w:eastAsia="pt-BR"/>
        </w:rPr>
        <w:t>c) seleção, acompanhamento e avaliação de prestadores de serviços relacionados à administração de carteiras de valores mobiliários e de fundo de investimento;</w:t>
      </w:r>
    </w:p>
    <w:p w14:paraId="4D497CF6"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d) observância dos limites e requisitos da Resolução CMN nº 4.994, de 2022;</w:t>
      </w:r>
    </w:p>
    <w:p w14:paraId="174BCD53"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e) avaliação, gerenciamento e acompanhamento do risco e do retorno esperado dos investimentos em carteira própria;</w:t>
      </w:r>
    </w:p>
    <w:p w14:paraId="5210A877"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641BC9BA" w14:textId="77777777" w:rsidR="00FC20E4" w:rsidRPr="004457EE" w:rsidRDefault="00FC20E4" w:rsidP="00476F04">
      <w:pPr>
        <w:spacing w:before="120" w:after="120" w:line="240" w:lineRule="auto"/>
        <w:jc w:val="both"/>
        <w:rPr>
          <w:rFonts w:ascii="Calibri" w:eastAsia="Times New Roman" w:hAnsi="Calibri" w:cstheme="minorHAnsi"/>
          <w:sz w:val="24"/>
          <w:szCs w:val="24"/>
          <w:lang w:eastAsia="pt-BR"/>
        </w:rPr>
      </w:pPr>
      <w:r w:rsidRPr="0077064F">
        <w:rPr>
          <w:rFonts w:ascii="Calibri" w:eastAsia="Times New Roman" w:hAnsi="Calibri" w:cstheme="minorHAnsi"/>
          <w:color w:val="000000"/>
          <w:sz w:val="24"/>
          <w:szCs w:val="24"/>
          <w:lang w:eastAsia="pt-BR"/>
        </w:rPr>
        <w:t xml:space="preserve">g) mitigação de potenciais conflitos de interesse de seus prestadores de serviços e das pessoas que </w:t>
      </w:r>
      <w:r w:rsidRPr="004457EE">
        <w:rPr>
          <w:rFonts w:ascii="Calibri" w:eastAsia="Times New Roman" w:hAnsi="Calibri" w:cstheme="minorHAnsi"/>
          <w:sz w:val="24"/>
          <w:szCs w:val="24"/>
          <w:lang w:eastAsia="pt-BR"/>
        </w:rPr>
        <w:t>participam do processo decisório.</w:t>
      </w:r>
    </w:p>
    <w:p w14:paraId="1916BF03" w14:textId="4B8D9A67" w:rsidR="00FC20E4" w:rsidRPr="004457EE" w:rsidRDefault="00FC20E4" w:rsidP="00476F04">
      <w:pPr>
        <w:spacing w:before="120" w:after="120" w:line="240" w:lineRule="auto"/>
        <w:jc w:val="both"/>
        <w:rPr>
          <w:rFonts w:ascii="Calibri" w:eastAsia="Times New Roman" w:hAnsi="Calibri" w:cstheme="minorHAnsi"/>
          <w:sz w:val="24"/>
          <w:szCs w:val="24"/>
          <w:lang w:eastAsia="pt-BR"/>
        </w:rPr>
      </w:pPr>
      <w:r w:rsidRPr="004457EE">
        <w:rPr>
          <w:rFonts w:ascii="Calibri" w:hAnsi="Calibri"/>
          <w:sz w:val="24"/>
          <w:szCs w:val="24"/>
        </w:rPr>
        <w:t xml:space="preserve">§ 1º  </w:t>
      </w:r>
      <w:r w:rsidRPr="004457EE">
        <w:rPr>
          <w:rFonts w:ascii="Calibri" w:eastAsia="Times New Roman" w:hAnsi="Calibri" w:cstheme="minorHAnsi"/>
          <w:sz w:val="24"/>
          <w:szCs w:val="24"/>
          <w:lang w:eastAsia="pt-BR"/>
        </w:rPr>
        <w:t>Os requisitos estabelecidos nos incisos I a V devem ser, preferencialmente, individualizados por perfil de investimento, quando houver.</w:t>
      </w:r>
    </w:p>
    <w:p w14:paraId="18AA92C9" w14:textId="77777777" w:rsidR="00FC20E4" w:rsidRPr="004457EE" w:rsidRDefault="00FC20E4" w:rsidP="00476F04">
      <w:pPr>
        <w:spacing w:before="120" w:after="120" w:line="240" w:lineRule="auto"/>
        <w:jc w:val="both"/>
        <w:rPr>
          <w:rFonts w:ascii="Calibri" w:hAnsi="Calibri" w:cstheme="minorHAnsi"/>
          <w:sz w:val="24"/>
          <w:szCs w:val="24"/>
        </w:rPr>
      </w:pPr>
      <w:r w:rsidRPr="004457EE">
        <w:rPr>
          <w:rFonts w:ascii="Calibri" w:hAnsi="Calibri"/>
          <w:sz w:val="24"/>
          <w:szCs w:val="24"/>
        </w:rPr>
        <w:t>§ 2º  A EFPC deve</w:t>
      </w:r>
      <w:r w:rsidRPr="004457EE">
        <w:rPr>
          <w:rFonts w:ascii="Calibri" w:hAnsi="Calibri" w:cstheme="minorHAnsi"/>
          <w:sz w:val="24"/>
          <w:szCs w:val="24"/>
        </w:rPr>
        <w:t xml:space="preserve"> manter cópia, por meio digital, de todos os documentos utilizados pela EFPC para atender os procedimentos de que trata o </w:t>
      </w:r>
      <w:r w:rsidRPr="004457EE">
        <w:rPr>
          <w:rFonts w:ascii="Calibri" w:hAnsi="Calibri" w:cstheme="minorHAnsi"/>
          <w:b/>
          <w:sz w:val="24"/>
          <w:szCs w:val="24"/>
        </w:rPr>
        <w:t>caput</w:t>
      </w:r>
      <w:r w:rsidRPr="004457EE">
        <w:rPr>
          <w:rFonts w:ascii="Calibri" w:hAnsi="Calibri" w:cstheme="minorHAnsi"/>
          <w:sz w:val="24"/>
          <w:szCs w:val="24"/>
        </w:rPr>
        <w:t>.</w:t>
      </w:r>
    </w:p>
    <w:p w14:paraId="62CDE170" w14:textId="05EE1E25"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4457EE">
        <w:rPr>
          <w:rFonts w:ascii="Calibri" w:eastAsia="Times New Roman" w:hAnsi="Calibri" w:cstheme="minorHAnsi"/>
          <w:sz w:val="24"/>
          <w:szCs w:val="24"/>
          <w:lang w:eastAsia="pt-BR"/>
        </w:rPr>
        <w:t>Art. 608.  A EFPC fica dispensada de elaborar e enviar a política de investimento dos planos de benefícios que</w:t>
      </w:r>
      <w:r w:rsidRPr="0077064F">
        <w:rPr>
          <w:rFonts w:ascii="Calibri" w:eastAsia="Times New Roman" w:hAnsi="Calibri" w:cstheme="minorHAnsi"/>
          <w:color w:val="000000"/>
          <w:sz w:val="24"/>
          <w:szCs w:val="24"/>
          <w:lang w:eastAsia="pt-BR"/>
        </w:rPr>
        <w:t xml:space="preserve"> se encontrem sob administração especial com poderes de liquidação extrajudicial, sem atividades ou com pendência para cancelamento.</w:t>
      </w:r>
    </w:p>
    <w:p w14:paraId="0F4E7D47" w14:textId="77777777" w:rsidR="00FC20E4" w:rsidRPr="0077064F" w:rsidRDefault="00FC20E4"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Parágrafo único.  A dispensa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se aplica à EFPC que se encontrar sob liquidação extrajudicial, sem atividades ou com pendência de cancelamento ou encerramento.</w:t>
      </w:r>
    </w:p>
    <w:p w14:paraId="29AB49E3" w14:textId="029970D7" w:rsidR="00FC20E4" w:rsidRPr="0077064F" w:rsidRDefault="00FC20E4"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lastRenderedPageBreak/>
        <w:t>Seção II</w:t>
      </w:r>
      <w:r w:rsidR="00FD45AF" w:rsidRPr="0077064F">
        <w:rPr>
          <w:rFonts w:ascii="Calibri" w:eastAsia="Times New Roman" w:hAnsi="Calibri" w:cs="Calibri"/>
          <w:b/>
          <w:sz w:val="24"/>
          <w:szCs w:val="24"/>
          <w:lang w:eastAsia="pt-BR"/>
        </w:rPr>
        <w:t>I</w:t>
      </w:r>
    </w:p>
    <w:p w14:paraId="2B3E6062" w14:textId="77777777" w:rsidR="00FC20E4" w:rsidRPr="0077064F" w:rsidRDefault="00FC20E4"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Do perfil de investimento </w:t>
      </w:r>
    </w:p>
    <w:p w14:paraId="13045E0E" w14:textId="068FDF3A"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Art. </w:t>
      </w:r>
      <w:r w:rsidRPr="0077064F">
        <w:rPr>
          <w:rFonts w:ascii="Calibri" w:eastAsia="Times New Roman" w:hAnsi="Calibri" w:cstheme="minorHAnsi"/>
          <w:color w:val="000000"/>
          <w:sz w:val="24"/>
          <w:szCs w:val="24"/>
          <w:lang w:eastAsia="pt-BR"/>
        </w:rPr>
        <w:t>609.</w:t>
      </w:r>
      <w:r w:rsidRPr="0077064F">
        <w:rPr>
          <w:rFonts w:ascii="Calibri" w:hAnsi="Calibri" w:cstheme="minorHAnsi"/>
          <w:sz w:val="24"/>
          <w:szCs w:val="24"/>
        </w:rPr>
        <w:t xml:space="preserve">  A EFPC que oferecer perfil de investimento deve:</w:t>
      </w:r>
    </w:p>
    <w:p w14:paraId="2998F962"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 - observar as diretrizes e os limites de aplicação dos recursos garantidores dos planos administrados da Resolução CMN nº 4.994, de 2022;</w:t>
      </w:r>
    </w:p>
    <w:p w14:paraId="6CA3E437"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6676F3FC"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III - verificar se o perfil de investimento é adequado aos objetivos</w:t>
      </w:r>
      <w:r w:rsidRPr="0077064F" w:rsidDel="003E5190">
        <w:rPr>
          <w:rFonts w:ascii="Calibri" w:hAnsi="Calibri" w:cstheme="minorHAnsi"/>
          <w:sz w:val="24"/>
          <w:szCs w:val="24"/>
        </w:rPr>
        <w:t xml:space="preserve"> </w:t>
      </w:r>
      <w:r w:rsidRPr="0077064F">
        <w:rPr>
          <w:rFonts w:ascii="Calibri" w:hAnsi="Calibri" w:cstheme="minorHAnsi"/>
          <w:sz w:val="24"/>
          <w:szCs w:val="24"/>
        </w:rPr>
        <w:t>do participante ou assistido;</w:t>
      </w:r>
    </w:p>
    <w:p w14:paraId="7C7AFADC"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14F6D4D8"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V - manter cópia, por meio digital, de todos os documentos utilizados pela EFPC para atender os procedimentos de que trata esta Seção.</w:t>
      </w:r>
    </w:p>
    <w:p w14:paraId="5C500CF4"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§1º  O disposto do </w:t>
      </w:r>
      <w:r w:rsidRPr="0077064F">
        <w:rPr>
          <w:rFonts w:ascii="Calibri" w:hAnsi="Calibri" w:cstheme="minorHAnsi"/>
          <w:b/>
          <w:sz w:val="24"/>
          <w:szCs w:val="24"/>
        </w:rPr>
        <w:t>caput</w:t>
      </w:r>
      <w:r w:rsidRPr="0077064F">
        <w:rPr>
          <w:rFonts w:ascii="Calibri" w:hAnsi="Calibri" w:cstheme="minorHAnsi"/>
          <w:sz w:val="24"/>
          <w:szCs w:val="24"/>
        </w:rPr>
        <w:t xml:space="preserve"> inclui os perfis de investimento do tipo ciclo de vida oferecido ao participante ou assistido pela EFPC.</w:t>
      </w:r>
    </w:p>
    <w:p w14:paraId="060DC61C" w14:textId="2EEEB07D"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5975CF00" w14:textId="6099FD89"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Art. 610.  A opção do participante ou assistido por perfil de investimento ou a sua alteração deve ser formalizada em termo específico.</w:t>
      </w:r>
    </w:p>
    <w:p w14:paraId="179320FF"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p w14:paraId="0265A2FE" w14:textId="77777777" w:rsidR="00FC20E4"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§2º  O participante ou assistido poderá alterar seu perfil de investimento em prazo estabelecido pela EFPC.</w:t>
      </w:r>
    </w:p>
    <w:p w14:paraId="1C5C8262" w14:textId="538A8F98" w:rsidR="0054557E" w:rsidRPr="0077064F" w:rsidRDefault="00FC20E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Art. 611.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47CFC751" w14:textId="73B4C54D" w:rsidR="00FD45AF" w:rsidRPr="0077064F" w:rsidRDefault="00FD45AF"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IV</w:t>
      </w:r>
    </w:p>
    <w:p w14:paraId="091E371C" w14:textId="77777777" w:rsidR="00FD45AF" w:rsidRPr="0077064F" w:rsidRDefault="00FD45AF"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Do ativo final</w:t>
      </w:r>
    </w:p>
    <w:p w14:paraId="6820A7BC" w14:textId="63F9580A" w:rsidR="00FD45AF" w:rsidRPr="0077064F" w:rsidRDefault="00FD45AF" w:rsidP="00476F04">
      <w:pPr>
        <w:spacing w:before="120" w:after="120" w:line="240" w:lineRule="auto"/>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Art. 612.  Os ativos a que se refere o parágrafo único do art. 32 da Resolução CMN nº 4.994, de 2022, podem ser desconsiderados, para fins de supervisão, aplicando-se os limites, requisitos e vedações</w:t>
      </w:r>
      <w:r w:rsidRPr="0077064F">
        <w:rPr>
          <w:rFonts w:ascii="Calibri" w:hAnsi="Calibri" w:cstheme="minorHAnsi"/>
          <w:sz w:val="24"/>
          <w:szCs w:val="24"/>
        </w:rPr>
        <w:t>,</w:t>
      </w:r>
      <w:r w:rsidRPr="0077064F">
        <w:rPr>
          <w:rFonts w:ascii="Calibri" w:eastAsia="Times New Roman" w:hAnsi="Calibri"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p w14:paraId="12CA520E" w14:textId="36F867AA" w:rsidR="009C4074" w:rsidRPr="0077064F" w:rsidRDefault="00603172"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w:t>
      </w:r>
    </w:p>
    <w:p w14:paraId="2991D2C5" w14:textId="19F05C60" w:rsidR="009C4074" w:rsidRPr="0077064F" w:rsidRDefault="005449F2"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Do administrador ou comitê responsável pela gestão de riscos </w:t>
      </w:r>
    </w:p>
    <w:p w14:paraId="5A4F8AD5" w14:textId="5A0AFD97" w:rsidR="009C4074" w:rsidRPr="0077064F" w:rsidRDefault="009C4074" w:rsidP="00476F04">
      <w:pPr>
        <w:spacing w:before="120" w:after="120" w:line="240" w:lineRule="auto"/>
        <w:jc w:val="both"/>
        <w:rPr>
          <w:rFonts w:ascii="Calibri" w:eastAsia="Times New Roman" w:hAnsi="Calibri" w:cstheme="minorHAnsi"/>
          <w:sz w:val="24"/>
          <w:szCs w:val="24"/>
          <w:lang w:eastAsia="pt-BR"/>
        </w:rPr>
      </w:pPr>
      <w:r w:rsidRPr="0077064F">
        <w:rPr>
          <w:rFonts w:ascii="Calibri" w:hAnsi="Calibri" w:cstheme="minorHAnsi"/>
          <w:sz w:val="24"/>
          <w:szCs w:val="24"/>
        </w:rPr>
        <w:t xml:space="preserve">Art. </w:t>
      </w:r>
      <w:r w:rsidR="00603172" w:rsidRPr="0077064F">
        <w:rPr>
          <w:rFonts w:ascii="Calibri" w:hAnsi="Calibri" w:cstheme="minorHAnsi"/>
          <w:sz w:val="24"/>
          <w:szCs w:val="24"/>
        </w:rPr>
        <w:t>61</w:t>
      </w:r>
      <w:r w:rsidR="00735CB1" w:rsidRPr="0077064F">
        <w:rPr>
          <w:rFonts w:ascii="Calibri" w:hAnsi="Calibri" w:cstheme="minorHAnsi"/>
          <w:sz w:val="24"/>
          <w:szCs w:val="24"/>
        </w:rPr>
        <w:t>3</w:t>
      </w:r>
      <w:r w:rsidRPr="0077064F">
        <w:rPr>
          <w:rFonts w:ascii="Calibri" w:hAnsi="Calibri" w:cstheme="minorHAnsi"/>
          <w:sz w:val="24"/>
          <w:szCs w:val="24"/>
        </w:rPr>
        <w:t xml:space="preserve">.  A EFPC classificada como </w:t>
      </w:r>
      <w:r w:rsidR="002567E8" w:rsidRPr="0077064F">
        <w:rPr>
          <w:rFonts w:ascii="Calibri" w:hAnsi="Calibri" w:cstheme="minorHAnsi"/>
          <w:color w:val="FF6600"/>
          <w:sz w:val="24"/>
          <w:szCs w:val="24"/>
        </w:rPr>
        <w:t>e</w:t>
      </w:r>
      <w:r w:rsidR="006162D5" w:rsidRPr="0077064F">
        <w:rPr>
          <w:rFonts w:ascii="Calibri" w:hAnsi="Calibri" w:cstheme="minorHAnsi"/>
          <w:color w:val="FF6600"/>
          <w:sz w:val="24"/>
          <w:szCs w:val="24"/>
        </w:rPr>
        <w:t>ntidade</w:t>
      </w:r>
      <w:r w:rsidR="006162D5" w:rsidRPr="0077064F">
        <w:rPr>
          <w:rFonts w:ascii="Calibri" w:hAnsi="Calibri" w:cstheme="minorHAnsi"/>
          <w:sz w:val="24"/>
          <w:szCs w:val="24"/>
        </w:rPr>
        <w:t xml:space="preserve"> </w:t>
      </w:r>
      <w:r w:rsidR="002567E8" w:rsidRPr="0077064F">
        <w:rPr>
          <w:rFonts w:ascii="Calibri" w:hAnsi="Calibri" w:cstheme="minorHAnsi"/>
          <w:color w:val="FF0000"/>
          <w:sz w:val="24"/>
          <w:szCs w:val="24"/>
        </w:rPr>
        <w:t>sistemicamente i</w:t>
      </w:r>
      <w:r w:rsidRPr="0077064F">
        <w:rPr>
          <w:rFonts w:ascii="Calibri" w:hAnsi="Calibri" w:cstheme="minorHAnsi"/>
          <w:color w:val="FF0000"/>
          <w:sz w:val="24"/>
          <w:szCs w:val="24"/>
        </w:rPr>
        <w:t>mportante (ESI)</w:t>
      </w:r>
      <w:r w:rsidRPr="0077064F">
        <w:rPr>
          <w:rFonts w:ascii="Calibri" w:hAnsi="Calibri" w:cstheme="minorHAnsi"/>
          <w:sz w:val="24"/>
          <w:szCs w:val="24"/>
        </w:rPr>
        <w:t xml:space="preserve"> deve segregar a gestão de recursos da gestão de risco e</w:t>
      </w:r>
      <w:r w:rsidRPr="0077064F">
        <w:rPr>
          <w:rFonts w:ascii="Calibri" w:eastAsia="Times New Roman" w:hAnsi="Calibri" w:cstheme="minorHAnsi"/>
          <w:sz w:val="24"/>
          <w:szCs w:val="24"/>
          <w:lang w:eastAsia="pt-BR"/>
        </w:rPr>
        <w:t xml:space="preserve"> designar:</w:t>
      </w:r>
    </w:p>
    <w:p w14:paraId="388E0138" w14:textId="0AD82EE6" w:rsidR="009C4074" w:rsidRPr="0077064F" w:rsidRDefault="009C4074" w:rsidP="00476F04">
      <w:pPr>
        <w:spacing w:before="120" w:after="120" w:line="240" w:lineRule="auto"/>
        <w:jc w:val="both"/>
        <w:rPr>
          <w:rFonts w:ascii="Calibri" w:hAnsi="Calibri" w:cstheme="minorHAnsi"/>
          <w:sz w:val="24"/>
          <w:szCs w:val="24"/>
        </w:rPr>
      </w:pPr>
      <w:r w:rsidRPr="0077064F">
        <w:rPr>
          <w:rFonts w:ascii="Calibri" w:eastAsia="Times New Roman" w:hAnsi="Calibri" w:cstheme="minorHAnsi"/>
          <w:sz w:val="24"/>
          <w:szCs w:val="24"/>
          <w:lang w:eastAsia="pt-BR"/>
        </w:rPr>
        <w:t xml:space="preserve">I </w:t>
      </w:r>
      <w:r w:rsidR="0092531F" w:rsidRPr="0077064F">
        <w:rPr>
          <w:rFonts w:ascii="Calibri" w:eastAsia="Times New Roman" w:hAnsi="Calibri" w:cstheme="minorHAnsi"/>
          <w:sz w:val="24"/>
          <w:szCs w:val="24"/>
          <w:lang w:eastAsia="pt-BR"/>
        </w:rPr>
        <w:t>-</w:t>
      </w:r>
      <w:r w:rsidRPr="0077064F">
        <w:rPr>
          <w:rFonts w:ascii="Calibri" w:eastAsia="Times New Roman" w:hAnsi="Calibri" w:cstheme="minorHAnsi"/>
          <w:sz w:val="24"/>
          <w:szCs w:val="24"/>
          <w:lang w:eastAsia="pt-BR"/>
        </w:rPr>
        <w:t xml:space="preserve"> AETQ como principal responsável pela gestão, alocação, supervisão e acompanhamento dos recursos garantidores de seus planos</w:t>
      </w:r>
      <w:r w:rsidRPr="0077064F">
        <w:rPr>
          <w:rFonts w:ascii="Calibri" w:hAnsi="Calibri" w:cstheme="minorHAnsi"/>
          <w:sz w:val="24"/>
          <w:szCs w:val="24"/>
        </w:rPr>
        <w:t>; e</w:t>
      </w:r>
    </w:p>
    <w:p w14:paraId="3AD19424" w14:textId="77777777" w:rsidR="009C4074" w:rsidRPr="0077064F" w:rsidRDefault="009C4074" w:rsidP="00476F04">
      <w:pPr>
        <w:spacing w:before="120" w:after="120" w:line="240" w:lineRule="auto"/>
        <w:jc w:val="both"/>
        <w:rPr>
          <w:rFonts w:ascii="Calibri" w:hAnsi="Calibri" w:cstheme="minorHAnsi"/>
          <w:sz w:val="24"/>
          <w:szCs w:val="24"/>
        </w:rPr>
      </w:pPr>
      <w:r w:rsidRPr="0077064F">
        <w:rPr>
          <w:rFonts w:ascii="Calibri" w:eastAsia="Times New Roman" w:hAnsi="Calibri" w:cstheme="minorHAnsi"/>
          <w:sz w:val="24"/>
          <w:szCs w:val="24"/>
          <w:lang w:eastAsia="pt-BR"/>
        </w:rPr>
        <w:lastRenderedPageBreak/>
        <w:t>II -</w:t>
      </w:r>
      <w:r w:rsidRPr="0077064F" w:rsidDel="00977767">
        <w:rPr>
          <w:rFonts w:ascii="Calibri" w:hAnsi="Calibri" w:cstheme="minorHAnsi"/>
          <w:sz w:val="24"/>
          <w:szCs w:val="24"/>
        </w:rPr>
        <w:t xml:space="preserve"> </w:t>
      </w:r>
      <w:r w:rsidRPr="0077064F">
        <w:rPr>
          <w:rFonts w:ascii="Calibri" w:eastAsia="Times New Roman" w:hAnsi="Calibri" w:cstheme="minorHAnsi"/>
          <w:sz w:val="24"/>
          <w:szCs w:val="24"/>
          <w:lang w:eastAsia="pt-BR"/>
        </w:rPr>
        <w:t>administrador ou comitê responsável pela gestão de riscos</w:t>
      </w:r>
      <w:r w:rsidRPr="0077064F">
        <w:rPr>
          <w:rFonts w:ascii="Calibri" w:hAnsi="Calibri" w:cstheme="minorHAnsi"/>
          <w:sz w:val="24"/>
          <w:szCs w:val="24"/>
        </w:rPr>
        <w:t>.</w:t>
      </w:r>
    </w:p>
    <w:p w14:paraId="152CF7E8" w14:textId="77777777" w:rsidR="009C4074" w:rsidRPr="0077064F" w:rsidRDefault="009C407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§1º  O AETQ e o responsável pela gestão de risco devem exercer suas funções com independência e sem qualquer subordinação hierárquica entre si.</w:t>
      </w:r>
    </w:p>
    <w:p w14:paraId="792F360D" w14:textId="77777777" w:rsidR="009C4074" w:rsidRPr="0077064F" w:rsidRDefault="009C4074"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§2º  É vedada a participação do AETQ no </w:t>
      </w:r>
      <w:r w:rsidRPr="0077064F">
        <w:rPr>
          <w:rFonts w:ascii="Calibri" w:eastAsia="Times New Roman" w:hAnsi="Calibri" w:cstheme="minorHAnsi"/>
          <w:sz w:val="24"/>
          <w:szCs w:val="24"/>
          <w:lang w:eastAsia="pt-BR"/>
        </w:rPr>
        <w:t>comitê responsável pela gestão de riscos</w:t>
      </w:r>
      <w:r w:rsidRPr="0077064F">
        <w:rPr>
          <w:rFonts w:ascii="Calibri" w:hAnsi="Calibri" w:cstheme="minorHAnsi"/>
          <w:sz w:val="24"/>
          <w:szCs w:val="24"/>
        </w:rPr>
        <w:t>.</w:t>
      </w:r>
    </w:p>
    <w:p w14:paraId="544216A3" w14:textId="6E979B4C" w:rsidR="00E939E1" w:rsidRPr="0077064F" w:rsidRDefault="00603172"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w:t>
      </w:r>
      <w:r w:rsidR="00E939E1" w:rsidRPr="0077064F">
        <w:rPr>
          <w:rFonts w:ascii="Calibri" w:eastAsia="Times New Roman" w:hAnsi="Calibri" w:cs="Calibri"/>
          <w:b/>
          <w:sz w:val="24"/>
          <w:szCs w:val="24"/>
          <w:lang w:eastAsia="pt-BR"/>
        </w:rPr>
        <w:t>I</w:t>
      </w:r>
    </w:p>
    <w:p w14:paraId="066B54A5" w14:textId="77777777" w:rsidR="00E939E1" w:rsidRPr="0077064F" w:rsidRDefault="00E939E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 negociação privada </w:t>
      </w:r>
    </w:p>
    <w:p w14:paraId="5E9AE0DB" w14:textId="4D375958"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00603172" w:rsidRPr="0077064F">
        <w:rPr>
          <w:rFonts w:ascii="Calibri" w:eastAsia="Times New Roman" w:hAnsi="Calibri" w:cstheme="minorHAnsi"/>
          <w:color w:val="000000"/>
          <w:sz w:val="24"/>
          <w:szCs w:val="24"/>
          <w:lang w:eastAsia="pt-BR"/>
        </w:rPr>
        <w:t>614</w:t>
      </w:r>
      <w:r w:rsidRPr="0077064F">
        <w:rPr>
          <w:rFonts w:ascii="Calibri" w:eastAsia="Times New Roman" w:hAnsi="Calibri" w:cstheme="minorHAnsi"/>
          <w:color w:val="000000"/>
          <w:sz w:val="24"/>
          <w:szCs w:val="24"/>
          <w:lang w:eastAsia="pt-BR"/>
        </w:rPr>
        <w:t>.</w:t>
      </w:r>
      <w:r w:rsidRPr="0077064F">
        <w:rPr>
          <w:rFonts w:ascii="Calibri" w:eastAsia="Times New Roman" w:hAnsi="Calibri" w:cstheme="minorHAnsi"/>
          <w:color w:val="000000" w:themeColor="text1"/>
          <w:sz w:val="24"/>
          <w:szCs w:val="24"/>
          <w:lang w:eastAsia="pt-BR"/>
        </w:rPr>
        <w:t xml:space="preserve">  </w:t>
      </w:r>
      <w:r w:rsidRPr="0077064F">
        <w:rPr>
          <w:rFonts w:ascii="Calibri" w:eastAsia="Times New Roman" w:hAnsi="Calibri"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p w14:paraId="76B1241F"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elaboração de estudo técnico;</w:t>
      </w:r>
    </w:p>
    <w:p w14:paraId="04C3AF0E"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apreciação da operação pelo comitê de investimentos da EFPC ou órgão similar, quando prevista em regulamento interno;</w:t>
      </w:r>
    </w:p>
    <w:p w14:paraId="621F4DE0"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declaração do administrador ou comitê responsável pela gestão de riscos acerca dos riscos envolvidos na operação;</w:t>
      </w:r>
    </w:p>
    <w:p w14:paraId="65FB8781"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declaração do AETQ sobre o atendimento dos requisitos e limites previstos na legislação em vigor;</w:t>
      </w:r>
    </w:p>
    <w:p w14:paraId="7D8A46BD"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aprovação da operação pretendida pela diretoria executiva; e</w:t>
      </w:r>
    </w:p>
    <w:p w14:paraId="3CC8A98F"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aprovação da operação pretendida pelo conselho deliberativo.</w:t>
      </w:r>
    </w:p>
    <w:p w14:paraId="791DB82D"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 xml:space="preserve">§1º  </w:t>
      </w:r>
      <w:r w:rsidRPr="0077064F">
        <w:rPr>
          <w:rFonts w:ascii="Calibri" w:eastAsia="Times New Roman" w:hAnsi="Calibri" w:cstheme="minorHAnsi"/>
          <w:color w:val="000000"/>
          <w:sz w:val="24"/>
          <w:szCs w:val="24"/>
          <w:lang w:eastAsia="pt-BR"/>
        </w:rPr>
        <w:t>A operação pretendida deve estar em conformidade com a política de investimentos dos planos administrados pela EFPC e constar das notas explicativas às demonstrações contábeis.</w:t>
      </w:r>
    </w:p>
    <w:p w14:paraId="042F7F67" w14:textId="77777777" w:rsidR="00E939E1" w:rsidRPr="0077064F" w:rsidRDefault="00E939E1" w:rsidP="00476F04">
      <w:pPr>
        <w:spacing w:before="120" w:after="120" w:line="240" w:lineRule="auto"/>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§2º</w:t>
      </w:r>
      <w:r w:rsidRPr="0077064F">
        <w:rPr>
          <w:rFonts w:ascii="Calibri" w:eastAsia="Times New Roman" w:hAnsi="Calibri" w:cstheme="minorHAnsi"/>
          <w:color w:val="000000"/>
          <w:sz w:val="24"/>
          <w:szCs w:val="24"/>
          <w:lang w:eastAsia="pt-BR"/>
        </w:rPr>
        <w:t xml:space="preserve">  Para efeito desta Resolução, equiparam-se às operações de negociação privada com ações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3A1DF88B" w14:textId="557A0185" w:rsidR="00E939E1" w:rsidRPr="0077064F" w:rsidRDefault="00E939E1" w:rsidP="00476F04">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§3º  </w:t>
      </w:r>
      <w:r w:rsidRPr="0077064F">
        <w:rPr>
          <w:rFonts w:ascii="Calibri" w:eastAsia="Times New Roman" w:hAnsi="Calibri" w:cstheme="minorHAnsi"/>
          <w:color w:val="000000"/>
          <w:sz w:val="24"/>
          <w:szCs w:val="24"/>
          <w:lang w:eastAsia="pt-BR"/>
        </w:rPr>
        <w:t xml:space="preserve">O estudo técnico e a documentação necessária sobre a operação pretendida </w:t>
      </w:r>
      <w:r w:rsidRPr="0077064F">
        <w:rPr>
          <w:rFonts w:ascii="Calibri" w:hAnsi="Calibri" w:cstheme="minorHAnsi"/>
          <w:sz w:val="24"/>
          <w:szCs w:val="24"/>
        </w:rPr>
        <w:t>deve ser</w:t>
      </w:r>
      <w:r w:rsidRPr="0077064F">
        <w:rPr>
          <w:rFonts w:ascii="Calibri" w:hAnsi="Calibri" w:cstheme="minorHAnsi"/>
          <w:b/>
          <w:sz w:val="24"/>
          <w:szCs w:val="24"/>
        </w:rPr>
        <w:t xml:space="preserve"> </w:t>
      </w:r>
      <w:r w:rsidRPr="0077064F">
        <w:rPr>
          <w:rFonts w:ascii="Calibri" w:hAnsi="Calibri" w:cstheme="minorHAnsi"/>
          <w:sz w:val="24"/>
          <w:szCs w:val="24"/>
        </w:rPr>
        <w:t>realizada conforme Portaria da Diretoria de Fiscalização e Monitoramento</w:t>
      </w:r>
      <w:r w:rsidRPr="0077064F">
        <w:rPr>
          <w:rFonts w:ascii="Calibri" w:eastAsia="Times New Roman" w:hAnsi="Calibri" w:cstheme="minorHAnsi"/>
          <w:color w:val="000000"/>
          <w:sz w:val="24"/>
          <w:szCs w:val="24"/>
          <w:lang w:eastAsia="pt-BR"/>
        </w:rPr>
        <w:t>.</w:t>
      </w:r>
    </w:p>
    <w:p w14:paraId="1C6209EC" w14:textId="41725D37" w:rsidR="006739F1" w:rsidRPr="0077064F" w:rsidRDefault="00603172" w:rsidP="00476F04">
      <w:pPr>
        <w:adjustRightInd w:val="0"/>
        <w:spacing w:before="120" w:after="120" w:line="240" w:lineRule="auto"/>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VII</w:t>
      </w:r>
    </w:p>
    <w:p w14:paraId="656E4258" w14:textId="72D95F4D" w:rsidR="006739F1" w:rsidRPr="0077064F" w:rsidRDefault="006739F1" w:rsidP="00476F04">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seleção e monitoramento de prestadores de serviço de administração de carteiras de valores mobiliários e de fundos de investimento</w:t>
      </w:r>
    </w:p>
    <w:p w14:paraId="22AE721A" w14:textId="2F1CF3B3" w:rsidR="00FA4DB0" w:rsidRPr="0077064F" w:rsidRDefault="00603172" w:rsidP="00476F04">
      <w:pPr>
        <w:widowControl w:val="0"/>
        <w:autoSpaceDE w:val="0"/>
        <w:autoSpaceDN w:val="0"/>
        <w:adjustRightInd w:val="0"/>
        <w:spacing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615.</w:t>
      </w:r>
      <w:r w:rsidR="00FA4DB0" w:rsidRPr="0077064F">
        <w:rPr>
          <w:rFonts w:ascii="Calibri" w:eastAsia="Times New Roman" w:hAnsi="Calibri" w:cstheme="minorHAnsi"/>
          <w:color w:val="000000"/>
          <w:sz w:val="24"/>
          <w:szCs w:val="24"/>
          <w:lang w:eastAsia="pt-BR"/>
        </w:rPr>
        <w:t xml:space="preserve"> </w:t>
      </w:r>
      <w:r w:rsidR="005D51B6" w:rsidRPr="0077064F">
        <w:rPr>
          <w:rFonts w:ascii="Calibri" w:eastAsia="Times New Roman" w:hAnsi="Calibri" w:cstheme="minorHAnsi"/>
          <w:color w:val="000000"/>
          <w:sz w:val="24"/>
          <w:szCs w:val="24"/>
          <w:lang w:eastAsia="pt-BR"/>
        </w:rPr>
        <w:t xml:space="preserve"> </w:t>
      </w:r>
      <w:r w:rsidR="00FA4DB0" w:rsidRPr="0077064F">
        <w:rPr>
          <w:rFonts w:ascii="Calibri" w:eastAsia="Times New Roman" w:hAnsi="Calibri" w:cstheme="minorHAnsi"/>
          <w:color w:val="000000"/>
          <w:sz w:val="24"/>
          <w:szCs w:val="24"/>
          <w:lang w:eastAsia="pt-BR"/>
        </w:rPr>
        <w:t xml:space="preserve">A EFPC deve observar o disposto nesta Seção para seleção e monitoramento de prestadores de serviço de administração de carteiras de valores mobiliários e de fundo de investimento. </w:t>
      </w:r>
    </w:p>
    <w:p w14:paraId="3BE1EEE9" w14:textId="0BCC13B6" w:rsidR="00306777" w:rsidRPr="0077064F" w:rsidRDefault="00306777" w:rsidP="00476F04">
      <w:pPr>
        <w:widowControl w:val="0"/>
        <w:autoSpaceDE w:val="0"/>
        <w:autoSpaceDN w:val="0"/>
        <w:adjustRightInd w:val="0"/>
        <w:spacing w:after="120" w:line="240" w:lineRule="auto"/>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Parágrafo únic</w:t>
      </w:r>
      <w:r w:rsidR="00603172" w:rsidRPr="0077064F">
        <w:rPr>
          <w:rFonts w:ascii="Calibri" w:eastAsia="Times New Roman" w:hAnsi="Calibri" w:cstheme="minorHAnsi"/>
          <w:sz w:val="24"/>
          <w:szCs w:val="24"/>
          <w:lang w:eastAsia="pt-BR"/>
        </w:rPr>
        <w:t xml:space="preserve">o. </w:t>
      </w:r>
      <w:r w:rsidR="005D51B6" w:rsidRPr="0077064F">
        <w:rPr>
          <w:rFonts w:ascii="Calibri" w:eastAsia="Times New Roman" w:hAnsi="Calibri" w:cstheme="minorHAnsi"/>
          <w:sz w:val="24"/>
          <w:szCs w:val="24"/>
          <w:lang w:eastAsia="pt-BR"/>
        </w:rPr>
        <w:t xml:space="preserve"> </w:t>
      </w:r>
      <w:r w:rsidR="00603172" w:rsidRPr="0077064F">
        <w:rPr>
          <w:rFonts w:ascii="Calibri" w:eastAsia="Times New Roman" w:hAnsi="Calibri" w:cstheme="minorHAnsi"/>
          <w:sz w:val="24"/>
          <w:szCs w:val="24"/>
          <w:lang w:eastAsia="pt-BR"/>
        </w:rPr>
        <w:t>Para fins do disposto nesta S</w:t>
      </w:r>
      <w:r w:rsidRPr="0077064F">
        <w:rPr>
          <w:rFonts w:ascii="Calibri" w:eastAsia="Times New Roman" w:hAnsi="Calibri" w:cstheme="minorHAnsi"/>
          <w:sz w:val="24"/>
          <w:szCs w:val="24"/>
          <w:lang w:eastAsia="pt-BR"/>
        </w:rPr>
        <w:t>eção, considera-se administração de carteiras de valores mobiliários, nas categorias de administrador fiduciário e gestor de recursos, a estabelecida pela Comissão de Valores Mobiliários.</w:t>
      </w:r>
    </w:p>
    <w:p w14:paraId="58FDCBFD" w14:textId="49D10494"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w:t>
      </w:r>
    </w:p>
    <w:p w14:paraId="2FF6C117"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prestador de serviço de administração de carteiras de valores mobiliários</w:t>
      </w:r>
    </w:p>
    <w:p w14:paraId="285A5976" w14:textId="023FFC07"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lastRenderedPageBreak/>
        <w:t>Art. 616</w:t>
      </w:r>
      <w:r w:rsidR="00735CB1"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A EFPC na seleção de prestadores de serviço de administração de carteiras de valores mobiliários e de gestão de fundo de investimento exclusivo deve, no mínimo:</w:t>
      </w:r>
    </w:p>
    <w:p w14:paraId="2D26CFF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estabelecer critérios de seleção que visem à impessoalidade, à concorrência e à transparência;</w:t>
      </w:r>
    </w:p>
    <w:p w14:paraId="45063218" w14:textId="7694A10C"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avaliar se o administrador de carteira de valores mobiliários é devidamente autorizado pela C</w:t>
      </w:r>
      <w:r w:rsidR="00C33AA1" w:rsidRPr="0077064F">
        <w:rPr>
          <w:rFonts w:ascii="Calibri" w:hAnsi="Calibri"/>
          <w:color w:val="000000"/>
          <w:sz w:val="24"/>
          <w:szCs w:val="24"/>
        </w:rPr>
        <w:t xml:space="preserve">omissão de Valores Mobiliários </w:t>
      </w:r>
      <w:r w:rsidRPr="0077064F">
        <w:rPr>
          <w:rFonts w:ascii="Calibri" w:hAnsi="Calibri"/>
          <w:color w:val="000000"/>
          <w:sz w:val="24"/>
          <w:szCs w:val="24"/>
        </w:rPr>
        <w:t>e tem reputação ilibada;</w:t>
      </w:r>
    </w:p>
    <w:p w14:paraId="19BC8F0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71C6A30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estabelecer o escopo do serviço a ser prestado inclusive contemplando objetivos passíveis de verificação de acordo com as características do mandato;</w:t>
      </w:r>
    </w:p>
    <w:p w14:paraId="6C692DF0" w14:textId="037EC8F3"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estabelecer critérios relacionados à política de divulgação de informações sobre os investimentos e performance, especificando a periodicidade e as informações necessárias para o monitoramento das atividades pela EFPC, cons</w:t>
      </w:r>
      <w:r w:rsidR="00C33AA1" w:rsidRPr="0077064F">
        <w:rPr>
          <w:rFonts w:ascii="Calibri" w:hAnsi="Calibri"/>
          <w:color w:val="000000"/>
          <w:sz w:val="24"/>
          <w:szCs w:val="24"/>
        </w:rPr>
        <w:t>iderando a regulamentação da Comissão de Valores Mobiliários</w:t>
      </w:r>
      <w:r w:rsidRPr="0077064F">
        <w:rPr>
          <w:rFonts w:ascii="Calibri" w:hAnsi="Calibri"/>
          <w:color w:val="000000"/>
          <w:sz w:val="24"/>
          <w:szCs w:val="24"/>
        </w:rPr>
        <w:t>;</w:t>
      </w:r>
    </w:p>
    <w:p w14:paraId="1A144DB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incluir, nos contratos, quando couber, cláusulas sobre penalidades e condições para rescisão antecipada quando verificado descumprimento;</w:t>
      </w:r>
    </w:p>
    <w:p w14:paraId="17F562BC"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analisar se a política de gestão de riscos da carteira administrada ou do fundo de investimento está alinhada às diretrizes da política de investimento dos planos de benefícios da EFPC; e</w:t>
      </w:r>
    </w:p>
    <w:p w14:paraId="3BD97B3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1581026" w14:textId="5679AF2C"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 1º </w:t>
      </w:r>
      <w:r w:rsidR="007A12D4" w:rsidRPr="0077064F">
        <w:rPr>
          <w:rFonts w:ascii="Calibri" w:hAnsi="Calibri"/>
          <w:color w:val="000000"/>
          <w:sz w:val="24"/>
          <w:szCs w:val="24"/>
        </w:rPr>
        <w:t xml:space="preserve"> Os critérios de seleção devem, ainda, ser proporcionais à complexidade do mandato.</w:t>
      </w:r>
    </w:p>
    <w:p w14:paraId="1EF36A88" w14:textId="66CDB029" w:rsidR="00594962" w:rsidRPr="004457EE" w:rsidRDefault="00C33AA1"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t xml:space="preserve">§ 2º  </w:t>
      </w:r>
      <w:r w:rsidR="007A12D4" w:rsidRPr="0077064F">
        <w:rPr>
          <w:rFonts w:ascii="Calibri" w:hAnsi="Calibri"/>
          <w:color w:val="000000"/>
          <w:sz w:val="24"/>
          <w:szCs w:val="24"/>
        </w:rPr>
        <w:t xml:space="preserve">O membro de diretoria ou conselho deliberativo da EFPC deve formalizar ao conselho deliberativo a </w:t>
      </w:r>
      <w:r w:rsidR="007A12D4" w:rsidRPr="004457EE">
        <w:rPr>
          <w:rFonts w:ascii="Calibri" w:hAnsi="Calibri"/>
          <w:sz w:val="24"/>
          <w:szCs w:val="24"/>
        </w:rPr>
        <w:t>existência de qualquer potencial conflito de interesse quando da seleção do prestador de serviço de administração de carteiras de valores mobiliários.</w:t>
      </w:r>
    </w:p>
    <w:p w14:paraId="5CA795D9" w14:textId="3FFBE206" w:rsidR="00CF2D83" w:rsidRPr="004457EE" w:rsidRDefault="00CF2D83"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§3º A EFPC deve revisar periodicamente os critérios de seleção de prestadores de serviço de administração de carteiras de valores mobiliários e de gestão de fundo de investimento exclusivo.</w:t>
      </w:r>
    </w:p>
    <w:p w14:paraId="72A96B58" w14:textId="063D7010"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II</w:t>
      </w:r>
    </w:p>
    <w:p w14:paraId="4D6B4052"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w:t>
      </w:r>
    </w:p>
    <w:p w14:paraId="268F5F5C" w14:textId="7C400B3B"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617</w:t>
      </w:r>
      <w:r w:rsidR="00735CB1"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Na seleção de fundo de investimento, a EFPC deve, no mínimo, analisar:</w:t>
      </w:r>
    </w:p>
    <w:p w14:paraId="654A1088"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o regulamento e demais documentos disponibilizados pelo gestor do fundo de investimento, previamente às alocações, identificando os riscos inerentes às operações previstas;</w:t>
      </w:r>
    </w:p>
    <w:p w14:paraId="65690F84" w14:textId="58F5CE57"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II - </w:t>
      </w:r>
      <w:r w:rsidR="007A12D4" w:rsidRPr="0077064F">
        <w:rPr>
          <w:rFonts w:ascii="Calibri" w:hAnsi="Calibri"/>
          <w:color w:val="000000"/>
          <w:sz w:val="24"/>
          <w:szCs w:val="24"/>
        </w:rPr>
        <w:t>as características do fundo frente às necessidades de liquidez da EFPC;</w:t>
      </w:r>
    </w:p>
    <w:p w14:paraId="0A851A31"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 política de seleção, alocação e diversificação de ativos e, quando for o caso, política de concentração de ativos;</w:t>
      </w:r>
    </w:p>
    <w:p w14:paraId="2F4A781C"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p w14:paraId="56EE8763" w14:textId="77777777" w:rsidR="007A12D4" w:rsidRPr="0077064F" w:rsidRDefault="007A12D4" w:rsidP="00476F04">
      <w:pPr>
        <w:pStyle w:val="textojustificado"/>
        <w:spacing w:before="120" w:beforeAutospacing="0" w:after="120" w:afterAutospacing="0"/>
        <w:ind w:right="120"/>
        <w:jc w:val="both"/>
        <w:rPr>
          <w:rFonts w:ascii="Calibri" w:hAnsi="Calibri"/>
          <w:strike/>
          <w:color w:val="000000"/>
          <w:sz w:val="24"/>
          <w:szCs w:val="24"/>
        </w:rPr>
      </w:pPr>
      <w:r w:rsidRPr="0077064F">
        <w:rPr>
          <w:rFonts w:ascii="Calibri" w:hAnsi="Calibri"/>
          <w:color w:val="000000"/>
          <w:sz w:val="24"/>
          <w:szCs w:val="24"/>
        </w:rPr>
        <w:t xml:space="preserve">V - as hipóteses de eventos de avaliação, amortização e liquidação, inclusive antecipada, quando aplicável; </w:t>
      </w:r>
      <w:r w:rsidRPr="0077064F">
        <w:rPr>
          <w:rFonts w:ascii="Calibri" w:hAnsi="Calibri"/>
          <w:strike/>
          <w:color w:val="000000"/>
          <w:sz w:val="24"/>
          <w:szCs w:val="24"/>
        </w:rPr>
        <w:t>e</w:t>
      </w:r>
    </w:p>
    <w:p w14:paraId="17CCCA2B" w14:textId="08251DF3"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o histórico de performance do gestor em relação à gestão do fundo de investimento, se houver</w:t>
      </w:r>
      <w:r w:rsidR="00FA4DB0" w:rsidRPr="0077064F">
        <w:rPr>
          <w:rFonts w:ascii="Calibri" w:hAnsi="Calibri"/>
          <w:color w:val="000000"/>
          <w:sz w:val="24"/>
          <w:szCs w:val="24"/>
        </w:rPr>
        <w:t>; e</w:t>
      </w:r>
    </w:p>
    <w:p w14:paraId="63D8A8C7" w14:textId="4F541124" w:rsidR="000528E8" w:rsidRPr="004457EE" w:rsidRDefault="000528E8" w:rsidP="00476F04">
      <w:pPr>
        <w:pStyle w:val="Normalalteradora"/>
        <w:spacing w:line="240" w:lineRule="auto"/>
        <w:ind w:firstLine="0"/>
        <w:rPr>
          <w:rFonts w:ascii="Calibri" w:hAnsi="Calibri" w:cstheme="minorHAnsi"/>
        </w:rPr>
      </w:pPr>
      <w:r w:rsidRPr="004457EE">
        <w:rPr>
          <w:rFonts w:ascii="Calibri" w:hAnsi="Calibri"/>
        </w:rPr>
        <w:lastRenderedPageBreak/>
        <w:t>V</w:t>
      </w:r>
      <w:r w:rsidR="00FA4DB0" w:rsidRPr="004457EE">
        <w:rPr>
          <w:rFonts w:ascii="Calibri" w:hAnsi="Calibri"/>
        </w:rPr>
        <w:t>II</w:t>
      </w:r>
      <w:r w:rsidRPr="004457EE">
        <w:rPr>
          <w:rFonts w:ascii="Calibri" w:hAnsi="Calibri"/>
        </w:rPr>
        <w:t xml:space="preserve"> – as taxas de administração</w:t>
      </w:r>
      <w:r w:rsidR="00594962" w:rsidRPr="004457EE">
        <w:rPr>
          <w:rFonts w:ascii="Calibri" w:hAnsi="Calibri"/>
        </w:rPr>
        <w:t>,</w:t>
      </w:r>
      <w:r w:rsidRPr="004457EE">
        <w:rPr>
          <w:rFonts w:ascii="Calibri" w:hAnsi="Calibri"/>
        </w:rPr>
        <w:t xml:space="preserve"> gestão</w:t>
      </w:r>
      <w:r w:rsidRPr="004457EE">
        <w:rPr>
          <w:rFonts w:ascii="Calibri" w:hAnsi="Calibri" w:cstheme="minorHAnsi"/>
        </w:rPr>
        <w:t xml:space="preserve"> </w:t>
      </w:r>
      <w:r w:rsidR="00594962" w:rsidRPr="004457EE">
        <w:rPr>
          <w:rFonts w:ascii="Calibri" w:hAnsi="Calibri" w:cstheme="minorHAnsi"/>
        </w:rPr>
        <w:t xml:space="preserve">e performance </w:t>
      </w:r>
      <w:r w:rsidRPr="004457EE">
        <w:rPr>
          <w:rFonts w:ascii="Calibri" w:hAnsi="Calibri" w:cstheme="minorHAnsi"/>
        </w:rPr>
        <w:t>efetivas dos fundos</w:t>
      </w:r>
      <w:r w:rsidR="00C6774E" w:rsidRPr="004457EE">
        <w:rPr>
          <w:rFonts w:ascii="Calibri" w:hAnsi="Calibri" w:cstheme="minorHAnsi"/>
        </w:rPr>
        <w:t>, principalmente daqueles</w:t>
      </w:r>
      <w:r w:rsidRPr="004457EE">
        <w:rPr>
          <w:rFonts w:ascii="Calibri" w:hAnsi="Calibri" w:cstheme="minorHAnsi"/>
        </w:rPr>
        <w:t xml:space="preserve"> que possam adquirir cotas de outros fundos de investimento</w:t>
      </w:r>
      <w:r w:rsidR="00D97FF8" w:rsidRPr="004457EE">
        <w:rPr>
          <w:rFonts w:ascii="Calibri" w:hAnsi="Calibri" w:cstheme="minorHAnsi"/>
        </w:rPr>
        <w:t>.</w:t>
      </w:r>
      <w:r w:rsidRPr="004457EE">
        <w:rPr>
          <w:rFonts w:ascii="Calibri" w:hAnsi="Calibri" w:cstheme="minorHAnsi"/>
        </w:rPr>
        <w:t xml:space="preserve"> </w:t>
      </w:r>
    </w:p>
    <w:p w14:paraId="267487FF" w14:textId="57804246"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Parágrafo único.  </w:t>
      </w:r>
      <w:r w:rsidR="007A12D4" w:rsidRPr="0077064F">
        <w:rPr>
          <w:rFonts w:ascii="Calibri" w:hAnsi="Calibri"/>
          <w:color w:val="000000"/>
          <w:sz w:val="24"/>
          <w:szCs w:val="24"/>
        </w:rPr>
        <w:t xml:space="preserve">Adicionalmente ao disposto neste artigo, a EFPC deve observar o disposto nos incisos I, II e VII do art. </w:t>
      </w:r>
      <w:r w:rsidR="00BD06DC" w:rsidRPr="0077064F">
        <w:rPr>
          <w:rFonts w:ascii="Calibri" w:hAnsi="Calibri"/>
          <w:color w:val="FF0000"/>
          <w:sz w:val="24"/>
          <w:szCs w:val="24"/>
        </w:rPr>
        <w:t>616</w:t>
      </w:r>
      <w:r w:rsidR="007A12D4" w:rsidRPr="0077064F">
        <w:rPr>
          <w:rFonts w:ascii="Calibri" w:hAnsi="Calibri"/>
          <w:color w:val="FF0000"/>
          <w:sz w:val="24"/>
          <w:szCs w:val="24"/>
        </w:rPr>
        <w:t xml:space="preserve"> </w:t>
      </w:r>
      <w:r w:rsidR="007A12D4" w:rsidRPr="0077064F">
        <w:rPr>
          <w:rFonts w:ascii="Calibri" w:hAnsi="Calibri"/>
          <w:color w:val="000000"/>
          <w:sz w:val="24"/>
          <w:szCs w:val="24"/>
        </w:rPr>
        <w:t>na seleção de fundo de investimento não exclusivo.</w:t>
      </w:r>
    </w:p>
    <w:p w14:paraId="7E00D101" w14:textId="27328966" w:rsidR="00AB152C" w:rsidRPr="0077064F" w:rsidRDefault="00AB152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III</w:t>
      </w:r>
    </w:p>
    <w:p w14:paraId="5F921A33"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em participações (FIP)</w:t>
      </w:r>
    </w:p>
    <w:p w14:paraId="03040B32" w14:textId="0D3426DF" w:rsidR="007A12D4" w:rsidRPr="0077064F" w:rsidRDefault="00C21F8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618.</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 xml:space="preserve"> Na seleção de fundo de investimento em participações (FIP), a EFPC deve, adicionalmente ao disposto no art. </w:t>
      </w:r>
      <w:r w:rsidR="00BD06DC" w:rsidRPr="0077064F">
        <w:rPr>
          <w:rFonts w:ascii="Calibri" w:hAnsi="Calibri"/>
          <w:color w:val="FF6600"/>
          <w:sz w:val="24"/>
          <w:szCs w:val="24"/>
        </w:rPr>
        <w:t>617</w:t>
      </w:r>
      <w:r w:rsidR="007A12D4" w:rsidRPr="0077064F">
        <w:rPr>
          <w:rFonts w:ascii="Calibri" w:hAnsi="Calibri"/>
          <w:color w:val="FF6600"/>
          <w:sz w:val="24"/>
          <w:szCs w:val="24"/>
        </w:rPr>
        <w:t>,</w:t>
      </w:r>
      <w:r w:rsidR="007A12D4" w:rsidRPr="0077064F">
        <w:rPr>
          <w:rFonts w:ascii="Calibri" w:hAnsi="Calibri"/>
          <w:color w:val="000000"/>
          <w:sz w:val="24"/>
          <w:szCs w:val="24"/>
        </w:rPr>
        <w:t xml:space="preserve"> analisar:</w:t>
      </w:r>
    </w:p>
    <w:p w14:paraId="4D2E298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as regras aplicáveis para subscrição e integralização de cotas;</w:t>
      </w:r>
    </w:p>
    <w:p w14:paraId="7EFBC18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 política de amortização e distribuição de rendimentos;</w:t>
      </w:r>
    </w:p>
    <w:p w14:paraId="1B3C9D08"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 política de divulgação de informações do fundo e de suas sociedades investidas, conforme regulamentação aplicável;</w:t>
      </w:r>
    </w:p>
    <w:p w14:paraId="7F6103E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 forma do aporte do gestor em relação aos demais investidores;</w:t>
      </w:r>
    </w:p>
    <w:p w14:paraId="47DFF0D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a duração do fundo, o período de investimento e de desinvestimento;</w:t>
      </w:r>
    </w:p>
    <w:p w14:paraId="752730DC"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possibilidade de o gestor lançar outro fundo com objetivos concorrentes ou com potencial impacto para a performance do FIP;</w:t>
      </w:r>
    </w:p>
    <w:p w14:paraId="7B8A501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os riscos envolvidos na participação da EFPC em comitê de investimento do FIP;</w:t>
      </w:r>
    </w:p>
    <w:p w14:paraId="042EAEF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VIII - os critérios e metodologias utilizados pelo gestor ou empresa avaliadora independente por ele contratada para realizar a avaliação dos investimentos do FIP ao valor justo;</w:t>
      </w:r>
    </w:p>
    <w:p w14:paraId="0DFAE6EA"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IX - a política para a contratação de consultores e terceiros pelo FIP para auxiliar na gestão do fundo ou das sociedades investidas; e</w:t>
      </w:r>
    </w:p>
    <w:p w14:paraId="6D7966C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X - as regras de diversificação por empresa investida dos ativos que podem compor a carteira do FIP previstas na política de investimento do fundo.</w:t>
      </w:r>
    </w:p>
    <w:p w14:paraId="65692DAB" w14:textId="37084F86"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 </w:t>
      </w:r>
      <w:r w:rsidR="00C33AA1" w:rsidRPr="0077064F">
        <w:rPr>
          <w:rFonts w:ascii="Calibri" w:hAnsi="Calibri"/>
          <w:color w:val="000000"/>
          <w:sz w:val="24"/>
          <w:szCs w:val="24"/>
        </w:rPr>
        <w:t xml:space="preserve">1º </w:t>
      </w:r>
      <w:r w:rsidRPr="0077064F">
        <w:rPr>
          <w:rFonts w:ascii="Calibri" w:hAnsi="Calibri"/>
          <w:color w:val="000000"/>
          <w:sz w:val="24"/>
          <w:szCs w:val="24"/>
        </w:rPr>
        <w:t xml:space="preserve"> Para fins do disposto no § 2º </w:t>
      </w:r>
      <w:r w:rsidR="005C4F5C" w:rsidRPr="0077064F">
        <w:rPr>
          <w:rFonts w:ascii="Calibri" w:hAnsi="Calibri"/>
          <w:color w:val="000000"/>
          <w:sz w:val="24"/>
          <w:szCs w:val="24"/>
        </w:rPr>
        <w:t>do art. 23 da Resolução CMN nº 4.994, de 2022</w:t>
      </w:r>
      <w:r w:rsidRPr="0077064F">
        <w:rPr>
          <w:rFonts w:ascii="Calibri" w:hAnsi="Calibri"/>
          <w:color w:val="000000"/>
          <w:sz w:val="24"/>
          <w:szCs w:val="24"/>
        </w:rPr>
        <w:t>,</w:t>
      </w:r>
      <w:r w:rsidR="005C4F5C" w:rsidRPr="0077064F">
        <w:rPr>
          <w:rFonts w:ascii="Calibri" w:hAnsi="Calibri"/>
          <w:color w:val="000000"/>
          <w:sz w:val="24"/>
          <w:szCs w:val="24"/>
        </w:rPr>
        <w:t xml:space="preserve"> </w:t>
      </w:r>
      <w:r w:rsidRPr="0077064F">
        <w:rPr>
          <w:rFonts w:ascii="Calibri" w:hAnsi="Calibri"/>
          <w:color w:val="000000"/>
          <w:sz w:val="24"/>
          <w:szCs w:val="24"/>
        </w:rPr>
        <w:t>o regulamento do FIP, no qual se dará a participação da EFPC, deve determinar que o gestor da ca</w:t>
      </w:r>
      <w:r w:rsidR="00F9749B" w:rsidRPr="0077064F">
        <w:rPr>
          <w:rFonts w:ascii="Calibri" w:hAnsi="Calibri"/>
          <w:color w:val="000000"/>
          <w:sz w:val="24"/>
          <w:szCs w:val="24"/>
        </w:rPr>
        <w:t>rteira mantenha, no mínimo, três por cento</w:t>
      </w:r>
      <w:r w:rsidRPr="0077064F">
        <w:rPr>
          <w:rFonts w:ascii="Calibri" w:hAnsi="Calibri"/>
          <w:color w:val="000000"/>
          <w:sz w:val="24"/>
          <w:szCs w:val="24"/>
        </w:rPr>
        <w:t xml:space="preserve"> do capital subscrito do fundo sob sua gestão, considerando as subscrições efetuadas por todos os cotistas do FIP.</w:t>
      </w:r>
    </w:p>
    <w:p w14:paraId="0F09F4AE" w14:textId="7CD1095F"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 2º </w:t>
      </w:r>
      <w:r w:rsidR="007A12D4" w:rsidRPr="0077064F">
        <w:rPr>
          <w:rFonts w:ascii="Calibri" w:hAnsi="Calibri"/>
          <w:color w:val="000000"/>
          <w:sz w:val="24"/>
          <w:szCs w:val="24"/>
        </w:rPr>
        <w:t xml:space="preserve"> Para fins de composição do percentual do capital subscrito a que se refere o § 1º, podem ser considerados os aportes efetuados por:</w:t>
      </w:r>
    </w:p>
    <w:p w14:paraId="0BFC7ED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gestor do FIP, pessoa jurídica credenciada como administrador de carteiras de valores mobiliários pela CVM, diretamente ou por meio de fundo de investimento exclusivo;</w:t>
      </w:r>
    </w:p>
    <w:p w14:paraId="709AF0D1"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p w14:paraId="031585A7"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pessoa jurídica, sediada no Brasil ou exterior, ligada ao mesmo grupo econômico, excetuadas as empresas coligadas, do gestor referido no inciso I deste parágrafo.</w:t>
      </w:r>
    </w:p>
    <w:p w14:paraId="6BB517BB" w14:textId="248F9914"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 3º  </w:t>
      </w:r>
      <w:r w:rsidR="007A12D4" w:rsidRPr="0077064F">
        <w:rPr>
          <w:rFonts w:ascii="Calibri" w:hAnsi="Calibri"/>
          <w:color w:val="000000"/>
          <w:sz w:val="24"/>
          <w:szCs w:val="24"/>
        </w:rPr>
        <w:t>Para fin</w:t>
      </w:r>
      <w:r w:rsidR="003F46E2" w:rsidRPr="0077064F">
        <w:rPr>
          <w:rFonts w:ascii="Calibri" w:hAnsi="Calibri"/>
          <w:color w:val="000000"/>
          <w:sz w:val="24"/>
          <w:szCs w:val="24"/>
        </w:rPr>
        <w:t xml:space="preserve">s do disposto no inciso II do § </w:t>
      </w:r>
      <w:r w:rsidR="007A12D4" w:rsidRPr="0077064F">
        <w:rPr>
          <w:rFonts w:ascii="Calibri" w:hAnsi="Calibri"/>
          <w:color w:val="000000"/>
          <w:sz w:val="24"/>
          <w:szCs w:val="24"/>
        </w:rPr>
        <w:t>2º, entende-se como membro da equipe-chave os responsáveis pela gestão do FIP, os quais devem ser indicados no regulamento do fundo.</w:t>
      </w:r>
    </w:p>
    <w:p w14:paraId="1D5C4664" w14:textId="39E1B37B"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lastRenderedPageBreak/>
        <w:t xml:space="preserve">§ 4º </w:t>
      </w:r>
      <w:r w:rsidR="007A12D4" w:rsidRPr="0077064F">
        <w:rPr>
          <w:rFonts w:ascii="Calibri" w:hAnsi="Calibri"/>
          <w:color w:val="000000"/>
          <w:sz w:val="24"/>
          <w:szCs w:val="24"/>
        </w:rPr>
        <w:t xml:space="preserve"> Caso pessoa referida nos incisos II e III do § 2º, que tenha realizado aporte de recursos para fins de composição do percentual disposto no § 1º, deixe de manter vínculo ou ligação com o referido gestor do FIP, o gestor da carteira do FIP deve realizar os procedimentos necessários para a manutenção do referido percentual, conforme previsto em regulamento do fundo.</w:t>
      </w:r>
    </w:p>
    <w:p w14:paraId="48E3ADBC" w14:textId="7064B034"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IV</w:t>
      </w:r>
    </w:p>
    <w:p w14:paraId="780532A1"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em direitos creditórios (FIDC)</w:t>
      </w:r>
    </w:p>
    <w:p w14:paraId="7A74558D" w14:textId="1C5B945C"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Art. </w:t>
      </w:r>
      <w:r w:rsidR="00C21F8C" w:rsidRPr="0077064F">
        <w:rPr>
          <w:rFonts w:ascii="Calibri" w:hAnsi="Calibri"/>
          <w:color w:val="000000"/>
          <w:sz w:val="24"/>
          <w:szCs w:val="24"/>
        </w:rPr>
        <w:t>619</w:t>
      </w:r>
      <w:r w:rsidR="00D97FF8" w:rsidRPr="0077064F">
        <w:rPr>
          <w:rFonts w:ascii="Calibri" w:hAnsi="Calibri"/>
          <w:color w:val="000000"/>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 Na seleção de fundo de investimento em direitos creditórios (FIDC), a EFPC deve, adicionalmente ao disposto no art. </w:t>
      </w:r>
      <w:r w:rsidR="00BD06DC" w:rsidRPr="0077064F">
        <w:rPr>
          <w:rFonts w:ascii="Calibri" w:hAnsi="Calibri"/>
          <w:color w:val="FF6600"/>
          <w:sz w:val="24"/>
          <w:szCs w:val="24"/>
        </w:rPr>
        <w:t>617</w:t>
      </w:r>
      <w:r w:rsidR="007A12D4" w:rsidRPr="0077064F">
        <w:rPr>
          <w:rFonts w:ascii="Calibri" w:hAnsi="Calibri"/>
          <w:color w:val="000000"/>
          <w:sz w:val="24"/>
          <w:szCs w:val="24"/>
        </w:rPr>
        <w:t>, analisar:</w:t>
      </w:r>
    </w:p>
    <w:p w14:paraId="5C030738" w14:textId="429E0B86"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 estrutura da carteira, o cedente, o nível de subordinação, a inadimplência e a perda que a classificação de risco e a subordinação deveriam suportar comparando-se com a perda estimada, e a classificação de risco no Sistema de Informaçõ</w:t>
      </w:r>
      <w:r w:rsidR="00F9749B" w:rsidRPr="0077064F">
        <w:rPr>
          <w:rFonts w:ascii="Calibri" w:hAnsi="Calibri"/>
          <w:color w:val="000000"/>
          <w:sz w:val="24"/>
          <w:szCs w:val="24"/>
        </w:rPr>
        <w:t>es de Crédito do Banco Central</w:t>
      </w:r>
      <w:r w:rsidRPr="0077064F">
        <w:rPr>
          <w:rFonts w:ascii="Calibri" w:hAnsi="Calibri"/>
          <w:color w:val="000000"/>
          <w:sz w:val="24"/>
          <w:szCs w:val="24"/>
        </w:rPr>
        <w:t>, quando disponível;</w:t>
      </w:r>
    </w:p>
    <w:p w14:paraId="7B38D91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os mecanismos de proteção do FIDC;</w:t>
      </w:r>
    </w:p>
    <w:p w14:paraId="4EEC465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as características do FIDC;</w:t>
      </w:r>
    </w:p>
    <w:p w14:paraId="5952E6B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as características dos direitos creditórios;</w:t>
      </w:r>
    </w:p>
    <w:p w14:paraId="5C6B0C3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o fluxograma operacional da estrutura do FIDC, descrevendo o procedimento de cessão, quando houver, e o fluxo financeiro; e</w:t>
      </w:r>
    </w:p>
    <w:p w14:paraId="11C1A51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política do gestor do fundo para a contratação de terceiros para auxiliar na gestão de recursos, quando houver.</w:t>
      </w:r>
    </w:p>
    <w:p w14:paraId="61C8B8EB" w14:textId="2DE1AFBD"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w:t>
      </w:r>
    </w:p>
    <w:p w14:paraId="4CE6C216"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Seleção de fundo de investimento imobiliário (FII)</w:t>
      </w:r>
    </w:p>
    <w:p w14:paraId="4BB0AD51" w14:textId="28131422"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Art. </w:t>
      </w:r>
      <w:r w:rsidR="00C21F8C" w:rsidRPr="0077064F">
        <w:rPr>
          <w:rFonts w:ascii="Calibri" w:hAnsi="Calibri"/>
          <w:sz w:val="24"/>
          <w:szCs w:val="24"/>
        </w:rPr>
        <w:t>620</w:t>
      </w:r>
      <w:r w:rsidR="00D545AE" w:rsidRPr="0077064F">
        <w:rPr>
          <w:rFonts w:ascii="Calibri" w:hAnsi="Calibri"/>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Na seleção de fundo de investimento imobiliário (FII), a EFPC deve, adicionalmente ao disposto no art. </w:t>
      </w:r>
      <w:r w:rsidR="00BD06DC" w:rsidRPr="0077064F">
        <w:rPr>
          <w:rFonts w:ascii="Calibri" w:hAnsi="Calibri"/>
          <w:color w:val="FF6600"/>
          <w:sz w:val="24"/>
          <w:szCs w:val="24"/>
        </w:rPr>
        <w:t>617</w:t>
      </w:r>
      <w:r w:rsidR="007A12D4" w:rsidRPr="0077064F">
        <w:rPr>
          <w:rFonts w:ascii="Calibri" w:hAnsi="Calibri"/>
          <w:color w:val="000000"/>
          <w:sz w:val="24"/>
          <w:szCs w:val="24"/>
        </w:rPr>
        <w:t>, analisar:</w:t>
      </w:r>
    </w:p>
    <w:p w14:paraId="53F5E8C5"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as características dos créditos imobiliários e garantias atreladas, caso existam;</w:t>
      </w:r>
    </w:p>
    <w:p w14:paraId="1BEFC06F"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a descrição dos riscos inerentes aos ativos-alvo que podem ser investidos pelo FII;</w:t>
      </w:r>
    </w:p>
    <w:p w14:paraId="57B62742"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III - o laudo de avaliação quando houver definição específica dos ativos-alvo que integrarão a carteira do FII;</w:t>
      </w:r>
    </w:p>
    <w:p w14:paraId="020CED0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fato relativo ao FII, considerado relevante, que possa afetar a decisão do potencial investidor no que diz respeito à aquisição das cotas do FII.</w:t>
      </w:r>
    </w:p>
    <w:p w14:paraId="44ED645B"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 - os critérios e metodologias utilizados pelo gestor ou empresa avaliadora independente por ele contratada para realizar a avaliação dos investimentos do FII ao valor justo; e</w:t>
      </w:r>
    </w:p>
    <w:p w14:paraId="622FCFD9"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 política para a contratação de consultores e terceiros para auxiliar na gestão dos ativos do FII ou dos empreendimentos imobiliários.</w:t>
      </w:r>
    </w:p>
    <w:p w14:paraId="673D1183" w14:textId="05D2B36F"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w:t>
      </w:r>
    </w:p>
    <w:p w14:paraId="5F45B20A" w14:textId="2D203AB9"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Monitoramento de prestador de serviço de administração de carteiras de valores mobiliários</w:t>
      </w:r>
    </w:p>
    <w:p w14:paraId="0FCC0D4A" w14:textId="71E1DA0E" w:rsidR="007A12D4" w:rsidRPr="0077064F" w:rsidRDefault="00C33AA1"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 xml:space="preserve">Art. </w:t>
      </w:r>
      <w:r w:rsidR="00BD06DC" w:rsidRPr="0077064F">
        <w:rPr>
          <w:rFonts w:ascii="Calibri" w:hAnsi="Calibri"/>
          <w:color w:val="000000"/>
          <w:sz w:val="24"/>
          <w:szCs w:val="24"/>
        </w:rPr>
        <w:t>621</w:t>
      </w:r>
      <w:r w:rsidR="00D545AE" w:rsidRPr="0077064F">
        <w:rPr>
          <w:rFonts w:ascii="Calibri" w:hAnsi="Calibri"/>
          <w:color w:val="000000"/>
          <w:sz w:val="24"/>
          <w:szCs w:val="24"/>
        </w:rPr>
        <w:t>.</w:t>
      </w:r>
      <w:r w:rsidRPr="0077064F">
        <w:rPr>
          <w:rFonts w:ascii="Calibri" w:hAnsi="Calibri"/>
          <w:color w:val="000000"/>
          <w:sz w:val="24"/>
          <w:szCs w:val="24"/>
        </w:rPr>
        <w:t xml:space="preserve"> </w:t>
      </w:r>
      <w:r w:rsidR="007A12D4" w:rsidRPr="0077064F">
        <w:rPr>
          <w:rFonts w:ascii="Calibri" w:hAnsi="Calibri"/>
          <w:color w:val="000000"/>
          <w:sz w:val="24"/>
          <w:szCs w:val="24"/>
        </w:rPr>
        <w:t xml:space="preserve"> A EFPC no monitoramento de prestador de serviço de administração de carteiras de valores mobiliários deve, no mínimo:</w:t>
      </w:r>
    </w:p>
    <w:p w14:paraId="222699B0"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zelar pela manutenção da relação fiduciária entre a EFPC e o administrador de carteiras de valores mobiliários;</w:t>
      </w:r>
    </w:p>
    <w:p w14:paraId="3DE2CB8E"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lastRenderedPageBreak/>
        <w:t>II - utilizar procedimentos e metodologias com critérios quantitativos e qualitativos;</w:t>
      </w:r>
    </w:p>
    <w:p w14:paraId="40A7DF87" w14:textId="77777777"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t xml:space="preserve">III - zelar pela </w:t>
      </w:r>
      <w:r w:rsidRPr="004457EE">
        <w:rPr>
          <w:rFonts w:ascii="Calibri" w:hAnsi="Calibri"/>
          <w:sz w:val="24"/>
          <w:szCs w:val="24"/>
        </w:rPr>
        <w:t>transparência de informações divulgadas pelo gestor de recursos;</w:t>
      </w:r>
    </w:p>
    <w:p w14:paraId="033708D3" w14:textId="1FDEFA09"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IV - monitorar o risco e o retorno esperado dos investimentos</w:t>
      </w:r>
      <w:r w:rsidR="001B2F69" w:rsidRPr="004457EE">
        <w:rPr>
          <w:rFonts w:ascii="Calibri" w:hAnsi="Calibri"/>
          <w:sz w:val="24"/>
          <w:szCs w:val="24"/>
        </w:rPr>
        <w:t xml:space="preserve">, considerando os custos </w:t>
      </w:r>
      <w:r w:rsidR="00594962" w:rsidRPr="004457EE">
        <w:rPr>
          <w:rFonts w:ascii="Calibri" w:hAnsi="Calibri"/>
          <w:sz w:val="24"/>
          <w:szCs w:val="24"/>
        </w:rPr>
        <w:t>inerentes à utilização do</w:t>
      </w:r>
      <w:r w:rsidR="001B2F69" w:rsidRPr="004457EE">
        <w:rPr>
          <w:rFonts w:ascii="Calibri" w:hAnsi="Calibri"/>
          <w:sz w:val="24"/>
          <w:szCs w:val="24"/>
        </w:rPr>
        <w:t xml:space="preserve"> serviço de administração de carteiras de valores mobiliários</w:t>
      </w:r>
      <w:r w:rsidRPr="004457EE">
        <w:rPr>
          <w:rFonts w:ascii="Calibri" w:hAnsi="Calibri"/>
          <w:sz w:val="24"/>
          <w:szCs w:val="24"/>
        </w:rPr>
        <w:t>;</w:t>
      </w:r>
    </w:p>
    <w:p w14:paraId="715A44C4"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4457EE">
        <w:rPr>
          <w:rFonts w:ascii="Calibri" w:hAnsi="Calibri"/>
          <w:sz w:val="24"/>
          <w:szCs w:val="24"/>
        </w:rPr>
        <w:t>V - monitorar se o administrador de carteira de valores mobiliários mantém estrutura de gerenciamento de investimentos</w:t>
      </w:r>
      <w:r w:rsidRPr="0077064F">
        <w:rPr>
          <w:rFonts w:ascii="Calibri" w:hAnsi="Calibri"/>
          <w:color w:val="000000"/>
          <w:sz w:val="24"/>
          <w:szCs w:val="24"/>
        </w:rPr>
        <w:t xml:space="preserve"> e riscos compatível com a complexidade do mandato;</w:t>
      </w:r>
    </w:p>
    <w:p w14:paraId="2F0D034D" w14:textId="77777777"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 - atuar com diligência e tempestividade nos casos de descumprimento dos mandatos; e</w:t>
      </w:r>
    </w:p>
    <w:p w14:paraId="4D999C4E" w14:textId="4B729FE4" w:rsidR="00306777"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VII - avaliar as demonstrações financeiras anuais do fundo investido e o respectivo parecer dos auditores independentes.</w:t>
      </w:r>
    </w:p>
    <w:p w14:paraId="751DC17C" w14:textId="7F3A651D" w:rsidR="000E0830" w:rsidRPr="0077064F" w:rsidRDefault="000E0830"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VII</w:t>
      </w:r>
    </w:p>
    <w:p w14:paraId="5756FB34" w14:textId="77777777" w:rsidR="007A12D4" w:rsidRPr="0077064F" w:rsidRDefault="007A12D4"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Monitoramento de fundos de investimento</w:t>
      </w:r>
    </w:p>
    <w:p w14:paraId="3EEFE75C" w14:textId="78CA277F" w:rsidR="007A12D4"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622</w:t>
      </w:r>
      <w:r w:rsidR="00B13E46" w:rsidRPr="0077064F">
        <w:rPr>
          <w:rFonts w:ascii="Calibri" w:hAnsi="Calibri"/>
          <w:color w:val="000000"/>
          <w:sz w:val="24"/>
          <w:szCs w:val="24"/>
        </w:rPr>
        <w:t>.</w:t>
      </w:r>
      <w:r w:rsidR="00C33AA1" w:rsidRPr="0077064F">
        <w:rPr>
          <w:rFonts w:ascii="Calibri" w:hAnsi="Calibri"/>
          <w:color w:val="000000"/>
          <w:sz w:val="24"/>
          <w:szCs w:val="24"/>
        </w:rPr>
        <w:t xml:space="preserve">  </w:t>
      </w:r>
      <w:r w:rsidR="007A12D4" w:rsidRPr="0077064F">
        <w:rPr>
          <w:rFonts w:ascii="Calibri" w:hAnsi="Calibri"/>
          <w:color w:val="000000"/>
          <w:sz w:val="24"/>
          <w:szCs w:val="24"/>
        </w:rPr>
        <w:t>No monitoramento de fundo de investimento, a EFPC deve, no mínimo:</w:t>
      </w:r>
    </w:p>
    <w:p w14:paraId="148B9CBA" w14:textId="77777777"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77064F">
        <w:rPr>
          <w:rFonts w:ascii="Calibri" w:hAnsi="Calibri"/>
          <w:color w:val="000000"/>
          <w:sz w:val="24"/>
          <w:szCs w:val="24"/>
        </w:rPr>
        <w:t xml:space="preserve">I - utilizar </w:t>
      </w:r>
      <w:r w:rsidRPr="004457EE">
        <w:rPr>
          <w:rFonts w:ascii="Calibri" w:hAnsi="Calibri"/>
          <w:sz w:val="24"/>
          <w:szCs w:val="24"/>
        </w:rPr>
        <w:t>procedimentos e metodologias com critérios quantitativos e qualitativos;</w:t>
      </w:r>
    </w:p>
    <w:p w14:paraId="4B08390D" w14:textId="55C751AE" w:rsidR="007A12D4" w:rsidRPr="004457EE" w:rsidRDefault="007A12D4" w:rsidP="00476F04">
      <w:pPr>
        <w:pStyle w:val="textojustificado"/>
        <w:spacing w:before="120" w:beforeAutospacing="0" w:after="120" w:afterAutospacing="0"/>
        <w:ind w:right="120"/>
        <w:jc w:val="both"/>
        <w:rPr>
          <w:rFonts w:ascii="Calibri" w:hAnsi="Calibri"/>
          <w:sz w:val="24"/>
          <w:szCs w:val="24"/>
        </w:rPr>
      </w:pPr>
      <w:r w:rsidRPr="004457EE">
        <w:rPr>
          <w:rFonts w:ascii="Calibri" w:hAnsi="Calibri"/>
          <w:sz w:val="24"/>
          <w:szCs w:val="24"/>
        </w:rPr>
        <w:t>II - monitorar o risco e o retorno esperado dos investimentos</w:t>
      </w:r>
      <w:r w:rsidR="00C6774E" w:rsidRPr="004457EE">
        <w:rPr>
          <w:rFonts w:ascii="Calibri" w:hAnsi="Calibri"/>
          <w:sz w:val="24"/>
          <w:szCs w:val="24"/>
        </w:rPr>
        <w:t>, considerando as taxas de administração</w:t>
      </w:r>
      <w:r w:rsidR="00594962" w:rsidRPr="004457EE">
        <w:rPr>
          <w:rFonts w:ascii="Calibri" w:hAnsi="Calibri"/>
          <w:sz w:val="24"/>
          <w:szCs w:val="24"/>
        </w:rPr>
        <w:t>,</w:t>
      </w:r>
      <w:r w:rsidR="00C6774E" w:rsidRPr="004457EE">
        <w:rPr>
          <w:rFonts w:ascii="Calibri" w:hAnsi="Calibri"/>
          <w:sz w:val="24"/>
          <w:szCs w:val="24"/>
        </w:rPr>
        <w:t xml:space="preserve"> gestão </w:t>
      </w:r>
      <w:r w:rsidR="00594962" w:rsidRPr="004457EE">
        <w:rPr>
          <w:rFonts w:ascii="Calibri" w:hAnsi="Calibri"/>
          <w:sz w:val="24"/>
          <w:szCs w:val="24"/>
        </w:rPr>
        <w:t xml:space="preserve">e performance </w:t>
      </w:r>
      <w:r w:rsidR="00C6774E" w:rsidRPr="004457EE">
        <w:rPr>
          <w:rFonts w:ascii="Calibri" w:hAnsi="Calibri"/>
          <w:sz w:val="24"/>
          <w:szCs w:val="24"/>
        </w:rPr>
        <w:t>efetivas dos fundos, principalmente daqueles que possam adquirir cotas de outros fundos de investimento</w:t>
      </w:r>
      <w:r w:rsidRPr="004457EE">
        <w:rPr>
          <w:rFonts w:ascii="Calibri" w:hAnsi="Calibri"/>
          <w:sz w:val="24"/>
          <w:szCs w:val="24"/>
        </w:rPr>
        <w:t>;</w:t>
      </w:r>
    </w:p>
    <w:p w14:paraId="15818B61" w14:textId="03D3D8F5" w:rsidR="007A12D4"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4457EE">
        <w:rPr>
          <w:rFonts w:ascii="Calibri" w:hAnsi="Calibri"/>
          <w:sz w:val="24"/>
          <w:szCs w:val="24"/>
        </w:rPr>
        <w:t>III - analisar os relatórios divulgados</w:t>
      </w:r>
      <w:r w:rsidRPr="0077064F">
        <w:rPr>
          <w:rFonts w:ascii="Calibri" w:hAnsi="Calibri"/>
          <w:color w:val="000000"/>
          <w:sz w:val="24"/>
          <w:szCs w:val="24"/>
        </w:rPr>
        <w:t xml:space="preserve"> </w:t>
      </w:r>
      <w:r w:rsidR="00D545AE" w:rsidRPr="0077064F">
        <w:rPr>
          <w:rFonts w:ascii="Calibri" w:hAnsi="Calibri"/>
          <w:color w:val="000000"/>
          <w:sz w:val="24"/>
          <w:szCs w:val="24"/>
        </w:rPr>
        <w:t>pelo fundo</w:t>
      </w:r>
      <w:r w:rsidRPr="0077064F">
        <w:rPr>
          <w:rFonts w:ascii="Calibri" w:hAnsi="Calibri"/>
          <w:color w:val="000000"/>
          <w:sz w:val="24"/>
          <w:szCs w:val="24"/>
        </w:rPr>
        <w:t xml:space="preserve"> de investimento, observando a ocorrência de fatos relevantes; e</w:t>
      </w:r>
    </w:p>
    <w:p w14:paraId="54CEBECC" w14:textId="66F2A5E2" w:rsidR="006F311F" w:rsidRPr="0077064F" w:rsidRDefault="007A12D4"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IV - analisar a aderência do fundo de investimento à política de investimento da EFPC.</w:t>
      </w:r>
    </w:p>
    <w:p w14:paraId="32CAB1D9" w14:textId="7E4607C9" w:rsidR="00BD06DC" w:rsidRPr="0077064F" w:rsidRDefault="00BD06DC" w:rsidP="00476F04">
      <w:pPr>
        <w:pStyle w:val="textojustificado"/>
        <w:spacing w:before="120" w:beforeAutospacing="0" w:after="120" w:afterAutospacing="0"/>
        <w:ind w:right="120"/>
        <w:jc w:val="center"/>
        <w:rPr>
          <w:rStyle w:val="Forte"/>
          <w:rFonts w:ascii="Calibri" w:hAnsi="Calibri"/>
          <w:color w:val="000000"/>
          <w:sz w:val="24"/>
          <w:szCs w:val="24"/>
        </w:rPr>
      </w:pPr>
      <w:r w:rsidRPr="0077064F">
        <w:rPr>
          <w:rStyle w:val="Forte"/>
          <w:rFonts w:ascii="Calibri" w:hAnsi="Calibri"/>
          <w:color w:val="000000"/>
          <w:sz w:val="24"/>
          <w:szCs w:val="24"/>
        </w:rPr>
        <w:t>Subseção VIII</w:t>
      </w:r>
    </w:p>
    <w:p w14:paraId="2515A860" w14:textId="77777777" w:rsidR="00BD06DC" w:rsidRPr="0077064F" w:rsidRDefault="00BD06DC" w:rsidP="00476F04">
      <w:pPr>
        <w:pStyle w:val="textojustificado"/>
        <w:spacing w:before="120" w:beforeAutospacing="0" w:after="120" w:afterAutospacing="0"/>
        <w:ind w:right="120"/>
        <w:jc w:val="center"/>
        <w:rPr>
          <w:rFonts w:ascii="Calibri" w:hAnsi="Calibri"/>
          <w:color w:val="000000"/>
          <w:sz w:val="24"/>
          <w:szCs w:val="24"/>
        </w:rPr>
      </w:pPr>
      <w:r w:rsidRPr="0077064F">
        <w:rPr>
          <w:rStyle w:val="Forte"/>
          <w:rFonts w:ascii="Calibri" w:hAnsi="Calibri"/>
          <w:color w:val="000000"/>
          <w:sz w:val="24"/>
          <w:szCs w:val="24"/>
        </w:rPr>
        <w:t>Fundo de investimento constituído no exterior</w:t>
      </w:r>
    </w:p>
    <w:p w14:paraId="4AE93CD9" w14:textId="62B02D80" w:rsidR="00BD06DC"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Art. 623.  Para fins do disposto no inciso II do § 1º do art. 26 da Resolução CMN nº 4.994, de 2022, considera-se como gestor do fundo de investimento constituído no exterior:</w:t>
      </w:r>
    </w:p>
    <w:p w14:paraId="70D01FBB" w14:textId="77777777" w:rsidR="00BD06DC"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7B5E2D09" w14:textId="77777777" w:rsidR="00BD06DC" w:rsidRPr="0077064F" w:rsidRDefault="00BD06DC" w:rsidP="00476F04">
      <w:pPr>
        <w:pStyle w:val="textojustificado"/>
        <w:spacing w:before="120" w:beforeAutospacing="0" w:after="120" w:afterAutospacing="0"/>
        <w:ind w:right="120"/>
        <w:jc w:val="both"/>
        <w:rPr>
          <w:rFonts w:ascii="Calibri" w:hAnsi="Calibri"/>
          <w:color w:val="000000"/>
          <w:sz w:val="24"/>
          <w:szCs w:val="24"/>
        </w:rPr>
      </w:pPr>
      <w:r w:rsidRPr="0077064F">
        <w:rPr>
          <w:rFonts w:ascii="Calibri" w:hAnsi="Calibri"/>
          <w:color w:val="000000"/>
          <w:sz w:val="24"/>
          <w:szCs w:val="24"/>
        </w:rPr>
        <w:t>II - pessoa jurídica pertencente ao mesmo grupo econômico do gestor referido no inciso I.</w:t>
      </w:r>
    </w:p>
    <w:p w14:paraId="3515662B" w14:textId="53AAA328" w:rsidR="00F65608" w:rsidRPr="0077064F" w:rsidRDefault="00F65608" w:rsidP="00476F04">
      <w:pPr>
        <w:adjustRightInd w:val="0"/>
        <w:spacing w:before="120" w:after="120" w:line="240" w:lineRule="auto"/>
        <w:jc w:val="center"/>
        <w:rPr>
          <w:rFonts w:ascii="Calibri" w:eastAsia="Times New Roman" w:hAnsi="Calibri" w:cstheme="minorHAnsi"/>
          <w:color w:val="000000"/>
          <w:sz w:val="24"/>
          <w:szCs w:val="24"/>
          <w:lang w:eastAsia="pt-BR"/>
        </w:rPr>
      </w:pPr>
    </w:p>
    <w:sectPr w:rsidR="00F65608" w:rsidRPr="0077064F" w:rsidSect="00D87751">
      <w:pgSz w:w="11906" w:h="16838"/>
      <w:pgMar w:top="1417" w:right="566" w:bottom="1276"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D6C599" w16cex:dateUtc="2023-04-04T18:49:00Z"/>
  <w16cex:commentExtensible w16cex:durableId="27DFF402" w16cex:dateUtc="2023-04-11T17:58:00Z"/>
  <w16cex:commentExtensible w16cex:durableId="27DFF589" w16cex:dateUtc="2023-04-11T18:04:00Z"/>
  <w16cex:commentExtensible w16cex:durableId="27E0009D" w16cex:dateUtc="2023-04-11T18:51:00Z"/>
  <w16cex:commentExtensible w16cex:durableId="27DFF641" w16cex:dateUtc="2023-04-11T18:07:00Z"/>
  <w16cex:commentExtensible w16cex:durableId="27E0004A" w16cex:dateUtc="2023-04-11T18:50:00Z"/>
  <w16cex:commentExtensible w16cex:durableId="27E000C0" w16cex:dateUtc="2023-04-11T18:52:00Z"/>
  <w16cex:commentExtensible w16cex:durableId="27E006AC" w16cex:dateUtc="2023-04-11T19:17:00Z"/>
  <w16cex:commentExtensible w16cex:durableId="27E00118" w16cex:dateUtc="2023-04-11T18:54:00Z"/>
  <w16cex:commentExtensible w16cex:durableId="27E009DF" w16cex:dateUtc="2023-04-11T19:3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732A97" w14:textId="77777777" w:rsidR="00301E3D" w:rsidRDefault="00301E3D" w:rsidP="007836F1">
      <w:pPr>
        <w:spacing w:after="0" w:line="240" w:lineRule="auto"/>
      </w:pPr>
      <w:r>
        <w:separator/>
      </w:r>
    </w:p>
  </w:endnote>
  <w:endnote w:type="continuationSeparator" w:id="0">
    <w:p w14:paraId="57165006" w14:textId="77777777" w:rsidR="00301E3D" w:rsidRDefault="00301E3D" w:rsidP="007836F1">
      <w:pPr>
        <w:spacing w:after="0" w:line="240" w:lineRule="auto"/>
      </w:pPr>
      <w:r>
        <w:continuationSeparator/>
      </w:r>
    </w:p>
  </w:endnote>
  <w:endnote w:type="continuationNotice" w:id="1">
    <w:p w14:paraId="0742F1E6" w14:textId="77777777" w:rsidR="00301E3D" w:rsidRDefault="00301E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Georgia">
    <w:panose1 w:val="02040502050405020303"/>
    <w:charset w:val="00"/>
    <w:family w:val="auto"/>
    <w:pitch w:val="variable"/>
    <w:sig w:usb0="00000287" w:usb1="00000000" w:usb2="00000000" w:usb3="00000000" w:csb0="0000009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A6CAF1" w14:textId="77777777" w:rsidR="00301E3D" w:rsidRDefault="00301E3D" w:rsidP="007836F1">
      <w:pPr>
        <w:spacing w:after="0" w:line="240" w:lineRule="auto"/>
      </w:pPr>
      <w:r>
        <w:separator/>
      </w:r>
    </w:p>
  </w:footnote>
  <w:footnote w:type="continuationSeparator" w:id="0">
    <w:p w14:paraId="7E61261A" w14:textId="77777777" w:rsidR="00301E3D" w:rsidRDefault="00301E3D" w:rsidP="007836F1">
      <w:pPr>
        <w:spacing w:after="0" w:line="240" w:lineRule="auto"/>
      </w:pPr>
      <w:r>
        <w:continuationSeparator/>
      </w:r>
    </w:p>
  </w:footnote>
  <w:footnote w:type="continuationNotice" w:id="1">
    <w:p w14:paraId="3D1D95C3" w14:textId="77777777" w:rsidR="00301E3D" w:rsidRDefault="00301E3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DF4"/>
    <w:rsid w:val="00004984"/>
    <w:rsid w:val="000053EA"/>
    <w:rsid w:val="000078F2"/>
    <w:rsid w:val="00010700"/>
    <w:rsid w:val="000143D1"/>
    <w:rsid w:val="0001509B"/>
    <w:rsid w:val="00015BFE"/>
    <w:rsid w:val="00024403"/>
    <w:rsid w:val="00024E20"/>
    <w:rsid w:val="00026043"/>
    <w:rsid w:val="00031972"/>
    <w:rsid w:val="00032A0E"/>
    <w:rsid w:val="00032F2B"/>
    <w:rsid w:val="00033E9A"/>
    <w:rsid w:val="000353C4"/>
    <w:rsid w:val="00036C28"/>
    <w:rsid w:val="000515F2"/>
    <w:rsid w:val="000528E8"/>
    <w:rsid w:val="00052AF0"/>
    <w:rsid w:val="000538F3"/>
    <w:rsid w:val="00060AF5"/>
    <w:rsid w:val="00062E9C"/>
    <w:rsid w:val="00062F4D"/>
    <w:rsid w:val="00063B64"/>
    <w:rsid w:val="00064B0B"/>
    <w:rsid w:val="000734DB"/>
    <w:rsid w:val="00073962"/>
    <w:rsid w:val="000772FE"/>
    <w:rsid w:val="00081522"/>
    <w:rsid w:val="00083D4E"/>
    <w:rsid w:val="00087DF3"/>
    <w:rsid w:val="00092669"/>
    <w:rsid w:val="00092842"/>
    <w:rsid w:val="00093E1C"/>
    <w:rsid w:val="0009452E"/>
    <w:rsid w:val="000A3004"/>
    <w:rsid w:val="000A7315"/>
    <w:rsid w:val="000B3BD6"/>
    <w:rsid w:val="000B3F36"/>
    <w:rsid w:val="000B67DB"/>
    <w:rsid w:val="000C10B9"/>
    <w:rsid w:val="000C28EA"/>
    <w:rsid w:val="000C3B41"/>
    <w:rsid w:val="000C74D8"/>
    <w:rsid w:val="000C77BA"/>
    <w:rsid w:val="000D1875"/>
    <w:rsid w:val="000D27A0"/>
    <w:rsid w:val="000D3546"/>
    <w:rsid w:val="000D68F6"/>
    <w:rsid w:val="000E0830"/>
    <w:rsid w:val="000E5057"/>
    <w:rsid w:val="000E5B0C"/>
    <w:rsid w:val="000E61E7"/>
    <w:rsid w:val="000F0BF4"/>
    <w:rsid w:val="000F0D43"/>
    <w:rsid w:val="000F342F"/>
    <w:rsid w:val="000F3616"/>
    <w:rsid w:val="000F5219"/>
    <w:rsid w:val="000F6AC9"/>
    <w:rsid w:val="00100589"/>
    <w:rsid w:val="001022FF"/>
    <w:rsid w:val="001044D7"/>
    <w:rsid w:val="00104E47"/>
    <w:rsid w:val="001068A9"/>
    <w:rsid w:val="0010784B"/>
    <w:rsid w:val="00110FF0"/>
    <w:rsid w:val="00112498"/>
    <w:rsid w:val="00114178"/>
    <w:rsid w:val="00114CDF"/>
    <w:rsid w:val="00114DB1"/>
    <w:rsid w:val="00126CBD"/>
    <w:rsid w:val="00126D4D"/>
    <w:rsid w:val="00135175"/>
    <w:rsid w:val="00141721"/>
    <w:rsid w:val="00142984"/>
    <w:rsid w:val="00142FC4"/>
    <w:rsid w:val="00145D24"/>
    <w:rsid w:val="00146C02"/>
    <w:rsid w:val="001472A9"/>
    <w:rsid w:val="001507A7"/>
    <w:rsid w:val="00154704"/>
    <w:rsid w:val="00154C58"/>
    <w:rsid w:val="00155493"/>
    <w:rsid w:val="00157CE4"/>
    <w:rsid w:val="00161AFE"/>
    <w:rsid w:val="00163347"/>
    <w:rsid w:val="001633D1"/>
    <w:rsid w:val="00163541"/>
    <w:rsid w:val="00170A3D"/>
    <w:rsid w:val="00173278"/>
    <w:rsid w:val="00177DFC"/>
    <w:rsid w:val="00181A04"/>
    <w:rsid w:val="00181D9F"/>
    <w:rsid w:val="00183063"/>
    <w:rsid w:val="0018464F"/>
    <w:rsid w:val="00186B97"/>
    <w:rsid w:val="00191C52"/>
    <w:rsid w:val="00191C9E"/>
    <w:rsid w:val="00191EF2"/>
    <w:rsid w:val="00192543"/>
    <w:rsid w:val="00195F7A"/>
    <w:rsid w:val="00196231"/>
    <w:rsid w:val="0019686F"/>
    <w:rsid w:val="001A0AD9"/>
    <w:rsid w:val="001B2A3C"/>
    <w:rsid w:val="001B2F69"/>
    <w:rsid w:val="001B54F1"/>
    <w:rsid w:val="001C1096"/>
    <w:rsid w:val="001C2386"/>
    <w:rsid w:val="001D0CD3"/>
    <w:rsid w:val="001D4A5F"/>
    <w:rsid w:val="001D700A"/>
    <w:rsid w:val="001D7C4E"/>
    <w:rsid w:val="001E622D"/>
    <w:rsid w:val="001E643A"/>
    <w:rsid w:val="001E706F"/>
    <w:rsid w:val="001F00A5"/>
    <w:rsid w:val="001F627C"/>
    <w:rsid w:val="002001F3"/>
    <w:rsid w:val="002004FA"/>
    <w:rsid w:val="002035C3"/>
    <w:rsid w:val="00203C65"/>
    <w:rsid w:val="00212FC6"/>
    <w:rsid w:val="00213157"/>
    <w:rsid w:val="00213BB8"/>
    <w:rsid w:val="00216F36"/>
    <w:rsid w:val="0022215E"/>
    <w:rsid w:val="00222497"/>
    <w:rsid w:val="002277D8"/>
    <w:rsid w:val="00227D8A"/>
    <w:rsid w:val="002304EF"/>
    <w:rsid w:val="00230C5D"/>
    <w:rsid w:val="00231EE1"/>
    <w:rsid w:val="00234D37"/>
    <w:rsid w:val="002351A3"/>
    <w:rsid w:val="002354C9"/>
    <w:rsid w:val="0023603F"/>
    <w:rsid w:val="0023685C"/>
    <w:rsid w:val="00242D36"/>
    <w:rsid w:val="00243131"/>
    <w:rsid w:val="002437A7"/>
    <w:rsid w:val="0024394E"/>
    <w:rsid w:val="00243EEC"/>
    <w:rsid w:val="0024472D"/>
    <w:rsid w:val="00251A4C"/>
    <w:rsid w:val="002520BA"/>
    <w:rsid w:val="00253F95"/>
    <w:rsid w:val="00254A3C"/>
    <w:rsid w:val="00255176"/>
    <w:rsid w:val="0025581F"/>
    <w:rsid w:val="00255850"/>
    <w:rsid w:val="002567E8"/>
    <w:rsid w:val="00257F70"/>
    <w:rsid w:val="00264D08"/>
    <w:rsid w:val="00267B85"/>
    <w:rsid w:val="00273BE9"/>
    <w:rsid w:val="0027547A"/>
    <w:rsid w:val="00277697"/>
    <w:rsid w:val="00277E72"/>
    <w:rsid w:val="00287C52"/>
    <w:rsid w:val="002907FE"/>
    <w:rsid w:val="00291C15"/>
    <w:rsid w:val="00292C97"/>
    <w:rsid w:val="0029322B"/>
    <w:rsid w:val="00294045"/>
    <w:rsid w:val="00294900"/>
    <w:rsid w:val="00294CFF"/>
    <w:rsid w:val="00294E8E"/>
    <w:rsid w:val="0029674B"/>
    <w:rsid w:val="002B10DA"/>
    <w:rsid w:val="002B1E18"/>
    <w:rsid w:val="002B400E"/>
    <w:rsid w:val="002B4F0F"/>
    <w:rsid w:val="002B4FC4"/>
    <w:rsid w:val="002B51A0"/>
    <w:rsid w:val="002B6575"/>
    <w:rsid w:val="002C08C9"/>
    <w:rsid w:val="002C400B"/>
    <w:rsid w:val="002D1A60"/>
    <w:rsid w:val="002D1FE6"/>
    <w:rsid w:val="002D266D"/>
    <w:rsid w:val="002D6DAF"/>
    <w:rsid w:val="002D6EDC"/>
    <w:rsid w:val="002E5F2A"/>
    <w:rsid w:val="002E745C"/>
    <w:rsid w:val="002F3E06"/>
    <w:rsid w:val="00300B67"/>
    <w:rsid w:val="003012ED"/>
    <w:rsid w:val="00301332"/>
    <w:rsid w:val="00301E3D"/>
    <w:rsid w:val="00306777"/>
    <w:rsid w:val="003069C3"/>
    <w:rsid w:val="00310CB8"/>
    <w:rsid w:val="00315B9A"/>
    <w:rsid w:val="0032050F"/>
    <w:rsid w:val="00321E04"/>
    <w:rsid w:val="00323EF1"/>
    <w:rsid w:val="003259F9"/>
    <w:rsid w:val="003262D9"/>
    <w:rsid w:val="00330B2B"/>
    <w:rsid w:val="0033417E"/>
    <w:rsid w:val="00334C3D"/>
    <w:rsid w:val="00334E27"/>
    <w:rsid w:val="00334E35"/>
    <w:rsid w:val="00340444"/>
    <w:rsid w:val="00340447"/>
    <w:rsid w:val="00340F8E"/>
    <w:rsid w:val="00342620"/>
    <w:rsid w:val="00355021"/>
    <w:rsid w:val="00365BA8"/>
    <w:rsid w:val="0037786D"/>
    <w:rsid w:val="00377ADA"/>
    <w:rsid w:val="00377E6C"/>
    <w:rsid w:val="003834E4"/>
    <w:rsid w:val="00384D11"/>
    <w:rsid w:val="00386A09"/>
    <w:rsid w:val="00394088"/>
    <w:rsid w:val="003A05FB"/>
    <w:rsid w:val="003A215F"/>
    <w:rsid w:val="003A2A1B"/>
    <w:rsid w:val="003A2B88"/>
    <w:rsid w:val="003A39EE"/>
    <w:rsid w:val="003A3FCA"/>
    <w:rsid w:val="003A47FE"/>
    <w:rsid w:val="003A5593"/>
    <w:rsid w:val="003A575C"/>
    <w:rsid w:val="003B5F53"/>
    <w:rsid w:val="003D455A"/>
    <w:rsid w:val="003D6E6B"/>
    <w:rsid w:val="003D7962"/>
    <w:rsid w:val="003E0489"/>
    <w:rsid w:val="003E132B"/>
    <w:rsid w:val="003E292B"/>
    <w:rsid w:val="003E4886"/>
    <w:rsid w:val="003E5190"/>
    <w:rsid w:val="003E6569"/>
    <w:rsid w:val="003F0C6F"/>
    <w:rsid w:val="003F46E2"/>
    <w:rsid w:val="003F79A6"/>
    <w:rsid w:val="00400644"/>
    <w:rsid w:val="004064F9"/>
    <w:rsid w:val="00411173"/>
    <w:rsid w:val="004120B6"/>
    <w:rsid w:val="00420AD7"/>
    <w:rsid w:val="00421065"/>
    <w:rsid w:val="00422134"/>
    <w:rsid w:val="004229A1"/>
    <w:rsid w:val="004242DA"/>
    <w:rsid w:val="00430A20"/>
    <w:rsid w:val="00432EF7"/>
    <w:rsid w:val="004339B7"/>
    <w:rsid w:val="00434383"/>
    <w:rsid w:val="00442B36"/>
    <w:rsid w:val="004451EA"/>
    <w:rsid w:val="0044535A"/>
    <w:rsid w:val="004455EE"/>
    <w:rsid w:val="004457EE"/>
    <w:rsid w:val="00447A6B"/>
    <w:rsid w:val="004512F6"/>
    <w:rsid w:val="00451772"/>
    <w:rsid w:val="00457168"/>
    <w:rsid w:val="004571B7"/>
    <w:rsid w:val="00460287"/>
    <w:rsid w:val="00464510"/>
    <w:rsid w:val="004669C7"/>
    <w:rsid w:val="00467393"/>
    <w:rsid w:val="0047056D"/>
    <w:rsid w:val="0047057C"/>
    <w:rsid w:val="00470D03"/>
    <w:rsid w:val="00471CA4"/>
    <w:rsid w:val="00476502"/>
    <w:rsid w:val="00476F04"/>
    <w:rsid w:val="00483A37"/>
    <w:rsid w:val="004857A0"/>
    <w:rsid w:val="0049265D"/>
    <w:rsid w:val="00495E0C"/>
    <w:rsid w:val="004A1D94"/>
    <w:rsid w:val="004A3595"/>
    <w:rsid w:val="004A3888"/>
    <w:rsid w:val="004A4CDE"/>
    <w:rsid w:val="004A785C"/>
    <w:rsid w:val="004B20E5"/>
    <w:rsid w:val="004B430E"/>
    <w:rsid w:val="004B63C0"/>
    <w:rsid w:val="004B6AE9"/>
    <w:rsid w:val="004C24C4"/>
    <w:rsid w:val="004C2C76"/>
    <w:rsid w:val="004D7751"/>
    <w:rsid w:val="004E11AC"/>
    <w:rsid w:val="004E4577"/>
    <w:rsid w:val="004E716A"/>
    <w:rsid w:val="004F0BA1"/>
    <w:rsid w:val="004F192A"/>
    <w:rsid w:val="004F2B81"/>
    <w:rsid w:val="004F529D"/>
    <w:rsid w:val="004F7689"/>
    <w:rsid w:val="00502DB9"/>
    <w:rsid w:val="00503A2E"/>
    <w:rsid w:val="005053F8"/>
    <w:rsid w:val="00513A99"/>
    <w:rsid w:val="00520BCC"/>
    <w:rsid w:val="0052389A"/>
    <w:rsid w:val="00526587"/>
    <w:rsid w:val="00530208"/>
    <w:rsid w:val="005329D9"/>
    <w:rsid w:val="00534147"/>
    <w:rsid w:val="005449F2"/>
    <w:rsid w:val="00544C7D"/>
    <w:rsid w:val="00544E18"/>
    <w:rsid w:val="0054557E"/>
    <w:rsid w:val="005555E7"/>
    <w:rsid w:val="0055736D"/>
    <w:rsid w:val="005575AF"/>
    <w:rsid w:val="0057072C"/>
    <w:rsid w:val="00571350"/>
    <w:rsid w:val="00573A97"/>
    <w:rsid w:val="00575B8C"/>
    <w:rsid w:val="00575D30"/>
    <w:rsid w:val="005761BF"/>
    <w:rsid w:val="0057679E"/>
    <w:rsid w:val="00576968"/>
    <w:rsid w:val="00580056"/>
    <w:rsid w:val="00581463"/>
    <w:rsid w:val="00582A5C"/>
    <w:rsid w:val="00582AB0"/>
    <w:rsid w:val="00582CCD"/>
    <w:rsid w:val="00583691"/>
    <w:rsid w:val="00583C01"/>
    <w:rsid w:val="00585B36"/>
    <w:rsid w:val="00586D3A"/>
    <w:rsid w:val="005934BF"/>
    <w:rsid w:val="00593CBF"/>
    <w:rsid w:val="00593CE7"/>
    <w:rsid w:val="00594962"/>
    <w:rsid w:val="005A0A71"/>
    <w:rsid w:val="005A2DE8"/>
    <w:rsid w:val="005A341B"/>
    <w:rsid w:val="005A3D70"/>
    <w:rsid w:val="005B1F42"/>
    <w:rsid w:val="005B29B4"/>
    <w:rsid w:val="005B4D56"/>
    <w:rsid w:val="005B7400"/>
    <w:rsid w:val="005C2FAD"/>
    <w:rsid w:val="005C4F5C"/>
    <w:rsid w:val="005C6A38"/>
    <w:rsid w:val="005D1F78"/>
    <w:rsid w:val="005D22DB"/>
    <w:rsid w:val="005D2683"/>
    <w:rsid w:val="005D48C3"/>
    <w:rsid w:val="005D51B6"/>
    <w:rsid w:val="005E4F92"/>
    <w:rsid w:val="005E7CC3"/>
    <w:rsid w:val="005F2DE7"/>
    <w:rsid w:val="005F660A"/>
    <w:rsid w:val="006019D8"/>
    <w:rsid w:val="00602681"/>
    <w:rsid w:val="00603172"/>
    <w:rsid w:val="00603ECB"/>
    <w:rsid w:val="00606DCD"/>
    <w:rsid w:val="0061056F"/>
    <w:rsid w:val="006112C7"/>
    <w:rsid w:val="006162D5"/>
    <w:rsid w:val="00621AA6"/>
    <w:rsid w:val="00621D54"/>
    <w:rsid w:val="006232D4"/>
    <w:rsid w:val="00623AB7"/>
    <w:rsid w:val="00627B50"/>
    <w:rsid w:val="006358D8"/>
    <w:rsid w:val="00635C74"/>
    <w:rsid w:val="006412A9"/>
    <w:rsid w:val="00647E8B"/>
    <w:rsid w:val="00652DAF"/>
    <w:rsid w:val="0065482E"/>
    <w:rsid w:val="00656A18"/>
    <w:rsid w:val="00657E3E"/>
    <w:rsid w:val="00664B5D"/>
    <w:rsid w:val="00665B22"/>
    <w:rsid w:val="006703D3"/>
    <w:rsid w:val="006709EF"/>
    <w:rsid w:val="00672889"/>
    <w:rsid w:val="00672FB8"/>
    <w:rsid w:val="006739F1"/>
    <w:rsid w:val="00675B96"/>
    <w:rsid w:val="006766DC"/>
    <w:rsid w:val="006800A4"/>
    <w:rsid w:val="0068289B"/>
    <w:rsid w:val="00690491"/>
    <w:rsid w:val="006931F9"/>
    <w:rsid w:val="006940C0"/>
    <w:rsid w:val="00694480"/>
    <w:rsid w:val="00694BFE"/>
    <w:rsid w:val="006A20A6"/>
    <w:rsid w:val="006A27E1"/>
    <w:rsid w:val="006A6FA0"/>
    <w:rsid w:val="006A72A8"/>
    <w:rsid w:val="006A7DCE"/>
    <w:rsid w:val="006B17F6"/>
    <w:rsid w:val="006B7EC3"/>
    <w:rsid w:val="006C3D9F"/>
    <w:rsid w:val="006C5816"/>
    <w:rsid w:val="006C5FE5"/>
    <w:rsid w:val="006D05D0"/>
    <w:rsid w:val="006D2EE4"/>
    <w:rsid w:val="006D7B3F"/>
    <w:rsid w:val="006E1541"/>
    <w:rsid w:val="006E45E1"/>
    <w:rsid w:val="006E6391"/>
    <w:rsid w:val="006F1634"/>
    <w:rsid w:val="006F284E"/>
    <w:rsid w:val="006F310D"/>
    <w:rsid w:val="006F311F"/>
    <w:rsid w:val="006F3D3A"/>
    <w:rsid w:val="006F66F2"/>
    <w:rsid w:val="006F6787"/>
    <w:rsid w:val="006F7BB4"/>
    <w:rsid w:val="00700331"/>
    <w:rsid w:val="00701E48"/>
    <w:rsid w:val="00701F14"/>
    <w:rsid w:val="00702D5B"/>
    <w:rsid w:val="0070424E"/>
    <w:rsid w:val="0070502D"/>
    <w:rsid w:val="00705121"/>
    <w:rsid w:val="00706733"/>
    <w:rsid w:val="007068B2"/>
    <w:rsid w:val="00707408"/>
    <w:rsid w:val="00707B37"/>
    <w:rsid w:val="007114AC"/>
    <w:rsid w:val="00713F38"/>
    <w:rsid w:val="00721541"/>
    <w:rsid w:val="007245B7"/>
    <w:rsid w:val="0072579E"/>
    <w:rsid w:val="007262F2"/>
    <w:rsid w:val="0073006E"/>
    <w:rsid w:val="007343A3"/>
    <w:rsid w:val="00735CB1"/>
    <w:rsid w:val="00735FB0"/>
    <w:rsid w:val="00737E53"/>
    <w:rsid w:val="007431EA"/>
    <w:rsid w:val="00745B8B"/>
    <w:rsid w:val="00751588"/>
    <w:rsid w:val="00751CBD"/>
    <w:rsid w:val="00755155"/>
    <w:rsid w:val="00755774"/>
    <w:rsid w:val="00757D33"/>
    <w:rsid w:val="00760815"/>
    <w:rsid w:val="00763E86"/>
    <w:rsid w:val="00765C0A"/>
    <w:rsid w:val="00766B6F"/>
    <w:rsid w:val="00767488"/>
    <w:rsid w:val="00767B43"/>
    <w:rsid w:val="00770056"/>
    <w:rsid w:val="0077064F"/>
    <w:rsid w:val="0077268E"/>
    <w:rsid w:val="00773DF2"/>
    <w:rsid w:val="00774527"/>
    <w:rsid w:val="00776EC3"/>
    <w:rsid w:val="00780FF4"/>
    <w:rsid w:val="007836F1"/>
    <w:rsid w:val="00784BF3"/>
    <w:rsid w:val="00786C06"/>
    <w:rsid w:val="00794712"/>
    <w:rsid w:val="00794AC6"/>
    <w:rsid w:val="00795501"/>
    <w:rsid w:val="00797265"/>
    <w:rsid w:val="007973D6"/>
    <w:rsid w:val="007A12D4"/>
    <w:rsid w:val="007A1D27"/>
    <w:rsid w:val="007A1F2B"/>
    <w:rsid w:val="007A7AF0"/>
    <w:rsid w:val="007B166B"/>
    <w:rsid w:val="007B16BB"/>
    <w:rsid w:val="007B2BFB"/>
    <w:rsid w:val="007B3A8F"/>
    <w:rsid w:val="007B6A3D"/>
    <w:rsid w:val="007C0B70"/>
    <w:rsid w:val="007C1258"/>
    <w:rsid w:val="007C5182"/>
    <w:rsid w:val="007C59B1"/>
    <w:rsid w:val="007C6E6D"/>
    <w:rsid w:val="007D0039"/>
    <w:rsid w:val="007D2FA2"/>
    <w:rsid w:val="007D46FE"/>
    <w:rsid w:val="007D6791"/>
    <w:rsid w:val="007E1D79"/>
    <w:rsid w:val="007E39E3"/>
    <w:rsid w:val="007E427F"/>
    <w:rsid w:val="007E758F"/>
    <w:rsid w:val="007F6595"/>
    <w:rsid w:val="008002F3"/>
    <w:rsid w:val="008040B8"/>
    <w:rsid w:val="0080551C"/>
    <w:rsid w:val="008055A4"/>
    <w:rsid w:val="00812EE9"/>
    <w:rsid w:val="0082154D"/>
    <w:rsid w:val="0082261D"/>
    <w:rsid w:val="008260A7"/>
    <w:rsid w:val="00827117"/>
    <w:rsid w:val="008302DB"/>
    <w:rsid w:val="00830815"/>
    <w:rsid w:val="00831A4D"/>
    <w:rsid w:val="008322BF"/>
    <w:rsid w:val="00832569"/>
    <w:rsid w:val="00834946"/>
    <w:rsid w:val="008357C5"/>
    <w:rsid w:val="00835D0D"/>
    <w:rsid w:val="00836D48"/>
    <w:rsid w:val="0083724C"/>
    <w:rsid w:val="0084086B"/>
    <w:rsid w:val="0084164E"/>
    <w:rsid w:val="00842B4F"/>
    <w:rsid w:val="00845AFE"/>
    <w:rsid w:val="00846FC4"/>
    <w:rsid w:val="00861527"/>
    <w:rsid w:val="008642DE"/>
    <w:rsid w:val="00866080"/>
    <w:rsid w:val="00867EA1"/>
    <w:rsid w:val="00870024"/>
    <w:rsid w:val="00870708"/>
    <w:rsid w:val="00875E29"/>
    <w:rsid w:val="008803C1"/>
    <w:rsid w:val="00880440"/>
    <w:rsid w:val="00885F24"/>
    <w:rsid w:val="008863EA"/>
    <w:rsid w:val="00886873"/>
    <w:rsid w:val="00887C0E"/>
    <w:rsid w:val="00893442"/>
    <w:rsid w:val="00896389"/>
    <w:rsid w:val="008A4387"/>
    <w:rsid w:val="008A4553"/>
    <w:rsid w:val="008A6685"/>
    <w:rsid w:val="008B0BF0"/>
    <w:rsid w:val="008B190A"/>
    <w:rsid w:val="008B4D66"/>
    <w:rsid w:val="008B7365"/>
    <w:rsid w:val="008B73DC"/>
    <w:rsid w:val="008C5EB0"/>
    <w:rsid w:val="008D5814"/>
    <w:rsid w:val="008D6B91"/>
    <w:rsid w:val="008D78BB"/>
    <w:rsid w:val="008E2AC3"/>
    <w:rsid w:val="008E2E5A"/>
    <w:rsid w:val="008E7989"/>
    <w:rsid w:val="008F1BA2"/>
    <w:rsid w:val="008F1D9A"/>
    <w:rsid w:val="008F2715"/>
    <w:rsid w:val="008F2942"/>
    <w:rsid w:val="008F54CB"/>
    <w:rsid w:val="00900E3A"/>
    <w:rsid w:val="00900F08"/>
    <w:rsid w:val="00901D9C"/>
    <w:rsid w:val="00901E3F"/>
    <w:rsid w:val="0090217B"/>
    <w:rsid w:val="0090242F"/>
    <w:rsid w:val="00903462"/>
    <w:rsid w:val="009049C6"/>
    <w:rsid w:val="009060DA"/>
    <w:rsid w:val="00907116"/>
    <w:rsid w:val="00910112"/>
    <w:rsid w:val="009122E5"/>
    <w:rsid w:val="00912C65"/>
    <w:rsid w:val="00922634"/>
    <w:rsid w:val="009242A5"/>
    <w:rsid w:val="0092531F"/>
    <w:rsid w:val="009314C2"/>
    <w:rsid w:val="00934A1E"/>
    <w:rsid w:val="00934BC3"/>
    <w:rsid w:val="0093740B"/>
    <w:rsid w:val="00942147"/>
    <w:rsid w:val="00944596"/>
    <w:rsid w:val="009455FD"/>
    <w:rsid w:val="0094584E"/>
    <w:rsid w:val="00951588"/>
    <w:rsid w:val="00952304"/>
    <w:rsid w:val="0095591D"/>
    <w:rsid w:val="00960D57"/>
    <w:rsid w:val="0096190B"/>
    <w:rsid w:val="009623F0"/>
    <w:rsid w:val="00962A14"/>
    <w:rsid w:val="00971B37"/>
    <w:rsid w:val="00973C9E"/>
    <w:rsid w:val="00973F2E"/>
    <w:rsid w:val="00981204"/>
    <w:rsid w:val="009924F6"/>
    <w:rsid w:val="00992B72"/>
    <w:rsid w:val="00994596"/>
    <w:rsid w:val="00994C39"/>
    <w:rsid w:val="00994DC4"/>
    <w:rsid w:val="009A3C76"/>
    <w:rsid w:val="009A622F"/>
    <w:rsid w:val="009B09F5"/>
    <w:rsid w:val="009B0FCB"/>
    <w:rsid w:val="009B1FAF"/>
    <w:rsid w:val="009B24A1"/>
    <w:rsid w:val="009B2870"/>
    <w:rsid w:val="009C11E6"/>
    <w:rsid w:val="009C16DF"/>
    <w:rsid w:val="009C4074"/>
    <w:rsid w:val="009C49EB"/>
    <w:rsid w:val="009C750F"/>
    <w:rsid w:val="009D17E7"/>
    <w:rsid w:val="009D2CE9"/>
    <w:rsid w:val="009E235D"/>
    <w:rsid w:val="009E496A"/>
    <w:rsid w:val="009E6BDC"/>
    <w:rsid w:val="009F3D82"/>
    <w:rsid w:val="00A019C7"/>
    <w:rsid w:val="00A01AE9"/>
    <w:rsid w:val="00A119C6"/>
    <w:rsid w:val="00A14744"/>
    <w:rsid w:val="00A179F9"/>
    <w:rsid w:val="00A2069C"/>
    <w:rsid w:val="00A22B25"/>
    <w:rsid w:val="00A2389D"/>
    <w:rsid w:val="00A23C83"/>
    <w:rsid w:val="00A25B30"/>
    <w:rsid w:val="00A2612F"/>
    <w:rsid w:val="00A262F5"/>
    <w:rsid w:val="00A40C1F"/>
    <w:rsid w:val="00A4225B"/>
    <w:rsid w:val="00A44EA0"/>
    <w:rsid w:val="00A463EF"/>
    <w:rsid w:val="00A47A97"/>
    <w:rsid w:val="00A500B5"/>
    <w:rsid w:val="00A51950"/>
    <w:rsid w:val="00A52788"/>
    <w:rsid w:val="00A536F6"/>
    <w:rsid w:val="00A55571"/>
    <w:rsid w:val="00A56503"/>
    <w:rsid w:val="00A56B15"/>
    <w:rsid w:val="00A57C36"/>
    <w:rsid w:val="00A67336"/>
    <w:rsid w:val="00A70841"/>
    <w:rsid w:val="00A74207"/>
    <w:rsid w:val="00A82FF7"/>
    <w:rsid w:val="00A86AB2"/>
    <w:rsid w:val="00A8749E"/>
    <w:rsid w:val="00A87998"/>
    <w:rsid w:val="00AA22D8"/>
    <w:rsid w:val="00AA3BB7"/>
    <w:rsid w:val="00AA4392"/>
    <w:rsid w:val="00AB0003"/>
    <w:rsid w:val="00AB152C"/>
    <w:rsid w:val="00AB1C97"/>
    <w:rsid w:val="00AB1D1A"/>
    <w:rsid w:val="00AB4199"/>
    <w:rsid w:val="00AB4231"/>
    <w:rsid w:val="00AB767F"/>
    <w:rsid w:val="00AC3C72"/>
    <w:rsid w:val="00AD2AED"/>
    <w:rsid w:val="00AD7F52"/>
    <w:rsid w:val="00AE279E"/>
    <w:rsid w:val="00AE2D57"/>
    <w:rsid w:val="00AE3EB8"/>
    <w:rsid w:val="00AE62E3"/>
    <w:rsid w:val="00AE7DF6"/>
    <w:rsid w:val="00AF5D49"/>
    <w:rsid w:val="00B012E2"/>
    <w:rsid w:val="00B024DB"/>
    <w:rsid w:val="00B111F1"/>
    <w:rsid w:val="00B1132D"/>
    <w:rsid w:val="00B11EC1"/>
    <w:rsid w:val="00B13E46"/>
    <w:rsid w:val="00B15BE5"/>
    <w:rsid w:val="00B164A5"/>
    <w:rsid w:val="00B1707B"/>
    <w:rsid w:val="00B20F0E"/>
    <w:rsid w:val="00B235D2"/>
    <w:rsid w:val="00B23D75"/>
    <w:rsid w:val="00B23E8E"/>
    <w:rsid w:val="00B3150D"/>
    <w:rsid w:val="00B326A2"/>
    <w:rsid w:val="00B3297A"/>
    <w:rsid w:val="00B333DB"/>
    <w:rsid w:val="00B36690"/>
    <w:rsid w:val="00B40483"/>
    <w:rsid w:val="00B422AB"/>
    <w:rsid w:val="00B43D4D"/>
    <w:rsid w:val="00B50CCD"/>
    <w:rsid w:val="00B51D06"/>
    <w:rsid w:val="00B574E3"/>
    <w:rsid w:val="00B6394A"/>
    <w:rsid w:val="00B65DB7"/>
    <w:rsid w:val="00B66A4E"/>
    <w:rsid w:val="00B6757A"/>
    <w:rsid w:val="00B75347"/>
    <w:rsid w:val="00B761B6"/>
    <w:rsid w:val="00B85180"/>
    <w:rsid w:val="00B926EF"/>
    <w:rsid w:val="00B9399E"/>
    <w:rsid w:val="00B9747A"/>
    <w:rsid w:val="00BA0837"/>
    <w:rsid w:val="00BA188C"/>
    <w:rsid w:val="00BA4085"/>
    <w:rsid w:val="00BA4643"/>
    <w:rsid w:val="00BA4D4E"/>
    <w:rsid w:val="00BB2294"/>
    <w:rsid w:val="00BB33E8"/>
    <w:rsid w:val="00BB4AC2"/>
    <w:rsid w:val="00BB6513"/>
    <w:rsid w:val="00BB718B"/>
    <w:rsid w:val="00BC2D07"/>
    <w:rsid w:val="00BC391B"/>
    <w:rsid w:val="00BD06DC"/>
    <w:rsid w:val="00BD0770"/>
    <w:rsid w:val="00BD1394"/>
    <w:rsid w:val="00BD2A9E"/>
    <w:rsid w:val="00BD508F"/>
    <w:rsid w:val="00BD6FBF"/>
    <w:rsid w:val="00BE1035"/>
    <w:rsid w:val="00BE345B"/>
    <w:rsid w:val="00BE4C77"/>
    <w:rsid w:val="00BE5E4B"/>
    <w:rsid w:val="00BE652F"/>
    <w:rsid w:val="00BF02C6"/>
    <w:rsid w:val="00BF12BB"/>
    <w:rsid w:val="00BF521C"/>
    <w:rsid w:val="00BF5935"/>
    <w:rsid w:val="00BF7067"/>
    <w:rsid w:val="00BF77DE"/>
    <w:rsid w:val="00C001BB"/>
    <w:rsid w:val="00C06CAB"/>
    <w:rsid w:val="00C12767"/>
    <w:rsid w:val="00C21700"/>
    <w:rsid w:val="00C21F8C"/>
    <w:rsid w:val="00C23A87"/>
    <w:rsid w:val="00C25A85"/>
    <w:rsid w:val="00C27A78"/>
    <w:rsid w:val="00C315FB"/>
    <w:rsid w:val="00C3216D"/>
    <w:rsid w:val="00C329FE"/>
    <w:rsid w:val="00C33AA1"/>
    <w:rsid w:val="00C346D2"/>
    <w:rsid w:val="00C35285"/>
    <w:rsid w:val="00C37113"/>
    <w:rsid w:val="00C476DD"/>
    <w:rsid w:val="00C51935"/>
    <w:rsid w:val="00C56BD6"/>
    <w:rsid w:val="00C60FEF"/>
    <w:rsid w:val="00C61B34"/>
    <w:rsid w:val="00C64F40"/>
    <w:rsid w:val="00C67535"/>
    <w:rsid w:val="00C6774E"/>
    <w:rsid w:val="00C70AB4"/>
    <w:rsid w:val="00C750C4"/>
    <w:rsid w:val="00C75524"/>
    <w:rsid w:val="00C7636F"/>
    <w:rsid w:val="00C8212A"/>
    <w:rsid w:val="00C86912"/>
    <w:rsid w:val="00C92606"/>
    <w:rsid w:val="00CA2296"/>
    <w:rsid w:val="00CA4DF1"/>
    <w:rsid w:val="00CB61EE"/>
    <w:rsid w:val="00CB644E"/>
    <w:rsid w:val="00CB6B8E"/>
    <w:rsid w:val="00CB775F"/>
    <w:rsid w:val="00CC0849"/>
    <w:rsid w:val="00CC0EF2"/>
    <w:rsid w:val="00CC0F56"/>
    <w:rsid w:val="00CC315A"/>
    <w:rsid w:val="00CD4614"/>
    <w:rsid w:val="00CD57E8"/>
    <w:rsid w:val="00CD6893"/>
    <w:rsid w:val="00CD6B1C"/>
    <w:rsid w:val="00CE178B"/>
    <w:rsid w:val="00CE5273"/>
    <w:rsid w:val="00CF07D0"/>
    <w:rsid w:val="00CF2167"/>
    <w:rsid w:val="00CF2D83"/>
    <w:rsid w:val="00CF34D6"/>
    <w:rsid w:val="00CF40F6"/>
    <w:rsid w:val="00CF4551"/>
    <w:rsid w:val="00D0102C"/>
    <w:rsid w:val="00D03746"/>
    <w:rsid w:val="00D04605"/>
    <w:rsid w:val="00D07D2E"/>
    <w:rsid w:val="00D12891"/>
    <w:rsid w:val="00D168D5"/>
    <w:rsid w:val="00D2024B"/>
    <w:rsid w:val="00D2115D"/>
    <w:rsid w:val="00D21E79"/>
    <w:rsid w:val="00D244E5"/>
    <w:rsid w:val="00D271A2"/>
    <w:rsid w:val="00D30A46"/>
    <w:rsid w:val="00D318B4"/>
    <w:rsid w:val="00D32978"/>
    <w:rsid w:val="00D32A7F"/>
    <w:rsid w:val="00D33C0A"/>
    <w:rsid w:val="00D401CD"/>
    <w:rsid w:val="00D43EE7"/>
    <w:rsid w:val="00D440EB"/>
    <w:rsid w:val="00D44177"/>
    <w:rsid w:val="00D4519F"/>
    <w:rsid w:val="00D476AB"/>
    <w:rsid w:val="00D50DBF"/>
    <w:rsid w:val="00D53B93"/>
    <w:rsid w:val="00D545AE"/>
    <w:rsid w:val="00D5534A"/>
    <w:rsid w:val="00D65022"/>
    <w:rsid w:val="00D6573D"/>
    <w:rsid w:val="00D65D7A"/>
    <w:rsid w:val="00D665C9"/>
    <w:rsid w:val="00D74763"/>
    <w:rsid w:val="00D833AE"/>
    <w:rsid w:val="00D858BA"/>
    <w:rsid w:val="00D858E0"/>
    <w:rsid w:val="00D85BC2"/>
    <w:rsid w:val="00D86126"/>
    <w:rsid w:val="00D87368"/>
    <w:rsid w:val="00D87751"/>
    <w:rsid w:val="00D901A8"/>
    <w:rsid w:val="00D95181"/>
    <w:rsid w:val="00D971B1"/>
    <w:rsid w:val="00D97FF8"/>
    <w:rsid w:val="00DA3602"/>
    <w:rsid w:val="00DA7638"/>
    <w:rsid w:val="00DB0B89"/>
    <w:rsid w:val="00DC3080"/>
    <w:rsid w:val="00DC5625"/>
    <w:rsid w:val="00DC5927"/>
    <w:rsid w:val="00DD0CC4"/>
    <w:rsid w:val="00DD4443"/>
    <w:rsid w:val="00DD670C"/>
    <w:rsid w:val="00DD78B6"/>
    <w:rsid w:val="00DE0751"/>
    <w:rsid w:val="00DE3C07"/>
    <w:rsid w:val="00DE53EF"/>
    <w:rsid w:val="00DF355C"/>
    <w:rsid w:val="00DF3C47"/>
    <w:rsid w:val="00DF5D5E"/>
    <w:rsid w:val="00DF71CD"/>
    <w:rsid w:val="00E0346D"/>
    <w:rsid w:val="00E05AF5"/>
    <w:rsid w:val="00E0687B"/>
    <w:rsid w:val="00E07005"/>
    <w:rsid w:val="00E14E6E"/>
    <w:rsid w:val="00E171A1"/>
    <w:rsid w:val="00E178E0"/>
    <w:rsid w:val="00E20FC1"/>
    <w:rsid w:val="00E22160"/>
    <w:rsid w:val="00E223F9"/>
    <w:rsid w:val="00E257E3"/>
    <w:rsid w:val="00E25883"/>
    <w:rsid w:val="00E31CA9"/>
    <w:rsid w:val="00E31FEE"/>
    <w:rsid w:val="00E33004"/>
    <w:rsid w:val="00E34120"/>
    <w:rsid w:val="00E34613"/>
    <w:rsid w:val="00E34DDB"/>
    <w:rsid w:val="00E3660F"/>
    <w:rsid w:val="00E4026E"/>
    <w:rsid w:val="00E40372"/>
    <w:rsid w:val="00E41CB3"/>
    <w:rsid w:val="00E448C0"/>
    <w:rsid w:val="00E47063"/>
    <w:rsid w:val="00E51843"/>
    <w:rsid w:val="00E54C4D"/>
    <w:rsid w:val="00E57090"/>
    <w:rsid w:val="00E61FC2"/>
    <w:rsid w:val="00E64240"/>
    <w:rsid w:val="00E663F5"/>
    <w:rsid w:val="00E700D7"/>
    <w:rsid w:val="00E713C3"/>
    <w:rsid w:val="00E7162E"/>
    <w:rsid w:val="00E73C69"/>
    <w:rsid w:val="00E81773"/>
    <w:rsid w:val="00E81AB3"/>
    <w:rsid w:val="00E82E5B"/>
    <w:rsid w:val="00E83F7D"/>
    <w:rsid w:val="00E86EB1"/>
    <w:rsid w:val="00E91D8D"/>
    <w:rsid w:val="00E932AE"/>
    <w:rsid w:val="00E939E1"/>
    <w:rsid w:val="00E96DAC"/>
    <w:rsid w:val="00EA213E"/>
    <w:rsid w:val="00EA5E63"/>
    <w:rsid w:val="00EB27E1"/>
    <w:rsid w:val="00EB46D5"/>
    <w:rsid w:val="00EB4B8A"/>
    <w:rsid w:val="00EB69D1"/>
    <w:rsid w:val="00EB7137"/>
    <w:rsid w:val="00EC0C37"/>
    <w:rsid w:val="00EC1171"/>
    <w:rsid w:val="00EC21F5"/>
    <w:rsid w:val="00EC2CC0"/>
    <w:rsid w:val="00EC3109"/>
    <w:rsid w:val="00EC778B"/>
    <w:rsid w:val="00ED28EE"/>
    <w:rsid w:val="00ED3C53"/>
    <w:rsid w:val="00ED4BDC"/>
    <w:rsid w:val="00ED59F7"/>
    <w:rsid w:val="00EE21CB"/>
    <w:rsid w:val="00EE6D88"/>
    <w:rsid w:val="00EF1126"/>
    <w:rsid w:val="00EF2C8F"/>
    <w:rsid w:val="00EF4F4D"/>
    <w:rsid w:val="00EF6816"/>
    <w:rsid w:val="00EF6821"/>
    <w:rsid w:val="00EF6965"/>
    <w:rsid w:val="00EF7AC0"/>
    <w:rsid w:val="00F051C7"/>
    <w:rsid w:val="00F134F6"/>
    <w:rsid w:val="00F13610"/>
    <w:rsid w:val="00F14461"/>
    <w:rsid w:val="00F14AED"/>
    <w:rsid w:val="00F153F4"/>
    <w:rsid w:val="00F21C38"/>
    <w:rsid w:val="00F22DCB"/>
    <w:rsid w:val="00F262A3"/>
    <w:rsid w:val="00F31E4E"/>
    <w:rsid w:val="00F3240E"/>
    <w:rsid w:val="00F32950"/>
    <w:rsid w:val="00F4042E"/>
    <w:rsid w:val="00F40E09"/>
    <w:rsid w:val="00F4191A"/>
    <w:rsid w:val="00F46BAF"/>
    <w:rsid w:val="00F51B8E"/>
    <w:rsid w:val="00F522AA"/>
    <w:rsid w:val="00F52734"/>
    <w:rsid w:val="00F555F5"/>
    <w:rsid w:val="00F57974"/>
    <w:rsid w:val="00F60CA1"/>
    <w:rsid w:val="00F614AD"/>
    <w:rsid w:val="00F62043"/>
    <w:rsid w:val="00F622C3"/>
    <w:rsid w:val="00F65608"/>
    <w:rsid w:val="00F67818"/>
    <w:rsid w:val="00F70B4E"/>
    <w:rsid w:val="00F7318B"/>
    <w:rsid w:val="00F761C9"/>
    <w:rsid w:val="00F768F1"/>
    <w:rsid w:val="00F81D7D"/>
    <w:rsid w:val="00F82D5F"/>
    <w:rsid w:val="00F84B55"/>
    <w:rsid w:val="00F84D3E"/>
    <w:rsid w:val="00F85DB6"/>
    <w:rsid w:val="00F87D56"/>
    <w:rsid w:val="00F90AA2"/>
    <w:rsid w:val="00F92835"/>
    <w:rsid w:val="00F9518B"/>
    <w:rsid w:val="00F95EB0"/>
    <w:rsid w:val="00F961D0"/>
    <w:rsid w:val="00F9749B"/>
    <w:rsid w:val="00FA0096"/>
    <w:rsid w:val="00FA0552"/>
    <w:rsid w:val="00FA1E00"/>
    <w:rsid w:val="00FA4DB0"/>
    <w:rsid w:val="00FA7201"/>
    <w:rsid w:val="00FB0293"/>
    <w:rsid w:val="00FB0F7E"/>
    <w:rsid w:val="00FB1559"/>
    <w:rsid w:val="00FB4893"/>
    <w:rsid w:val="00FB4E21"/>
    <w:rsid w:val="00FB6D04"/>
    <w:rsid w:val="00FC10B9"/>
    <w:rsid w:val="00FC20E4"/>
    <w:rsid w:val="00FC4FF7"/>
    <w:rsid w:val="00FD1270"/>
    <w:rsid w:val="00FD1983"/>
    <w:rsid w:val="00FD305C"/>
    <w:rsid w:val="00FD45AF"/>
    <w:rsid w:val="00FD7C39"/>
    <w:rsid w:val="00FD7FD2"/>
    <w:rsid w:val="00FE110E"/>
    <w:rsid w:val="00FE1143"/>
    <w:rsid w:val="00FE24A3"/>
    <w:rsid w:val="00FE366B"/>
    <w:rsid w:val="00FE43D1"/>
    <w:rsid w:val="00FE4C72"/>
    <w:rsid w:val="00FF00E5"/>
    <w:rsid w:val="00FF03D1"/>
    <w:rsid w:val="00FF3467"/>
    <w:rsid w:val="00FF4AF2"/>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E17D2F"/>
  <w15:docId w15:val="{78796199-4AC2-487E-8FDA-8D53163AB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customStyle="1" w:styleId="textojustificado">
    <w:name w:val="texto_justificado"/>
    <w:basedOn w:val="Normal"/>
    <w:rsid w:val="007A12D4"/>
    <w:pPr>
      <w:spacing w:before="100" w:beforeAutospacing="1" w:after="100" w:afterAutospacing="1" w:line="240" w:lineRule="auto"/>
    </w:pPr>
    <w:rPr>
      <w:rFonts w:ascii="Times New Roman" w:hAnsi="Times New Roman" w:cs="Times New Roman"/>
      <w:sz w:val="20"/>
      <w:szCs w:val="20"/>
    </w:rPr>
  </w:style>
  <w:style w:type="character" w:styleId="Forte">
    <w:name w:val="Strong"/>
    <w:basedOn w:val="Fontepargpadro"/>
    <w:uiPriority w:val="22"/>
    <w:qFormat/>
    <w:rsid w:val="007A12D4"/>
    <w:rPr>
      <w:b/>
      <w:bCs/>
    </w:rPr>
  </w:style>
  <w:style w:type="character" w:customStyle="1" w:styleId="apple-converted-space">
    <w:name w:val="apple-converted-space"/>
    <w:basedOn w:val="Fontepargpadro"/>
    <w:rsid w:val="007A12D4"/>
  </w:style>
  <w:style w:type="paragraph" w:customStyle="1" w:styleId="Normalalteradora">
    <w:name w:val="Normal alteradora"/>
    <w:basedOn w:val="Normal"/>
    <w:link w:val="NormalalteradoraChar"/>
    <w:qFormat/>
    <w:rsid w:val="00835D0D"/>
    <w:pPr>
      <w:spacing w:before="120" w:after="120" w:line="312" w:lineRule="auto"/>
      <w:ind w:firstLine="567"/>
      <w:jc w:val="both"/>
    </w:pPr>
    <w:rPr>
      <w:rFonts w:eastAsia="Times New Roman"/>
      <w:sz w:val="24"/>
      <w:szCs w:val="24"/>
      <w:lang w:eastAsia="pt-BR"/>
    </w:rPr>
  </w:style>
  <w:style w:type="character" w:customStyle="1" w:styleId="NormalalteradoraChar">
    <w:name w:val="Normal alteradora Char"/>
    <w:basedOn w:val="Fontepargpadro"/>
    <w:link w:val="Normalalteradora"/>
    <w:rsid w:val="00835D0D"/>
    <w:rPr>
      <w:rFonts w:eastAsia="Times New Roman"/>
      <w:sz w:val="24"/>
      <w:szCs w:val="24"/>
      <w:lang w:eastAsia="pt-BR"/>
    </w:rPr>
  </w:style>
  <w:style w:type="paragraph" w:customStyle="1" w:styleId="Captulo">
    <w:name w:val="Capítulo"/>
    <w:basedOn w:val="Normal"/>
    <w:next w:val="Normal"/>
    <w:qFormat/>
    <w:rsid w:val="00835D0D"/>
    <w:pPr>
      <w:keepNext/>
      <w:spacing w:before="360" w:after="120" w:line="312" w:lineRule="auto"/>
      <w:ind w:firstLine="567"/>
      <w:jc w:val="center"/>
      <w:outlineLvl w:val="1"/>
    </w:pPr>
    <w:rPr>
      <w:rFonts w:ascii="Calibri" w:eastAsia="Calibri" w:hAnsi="Calibri" w:cs="Calibri"/>
      <w:caps/>
      <w:sz w:val="24"/>
      <w:szCs w:val="24"/>
    </w:rPr>
  </w:style>
  <w:style w:type="paragraph" w:customStyle="1" w:styleId="Ementa">
    <w:name w:val="Ementa"/>
    <w:basedOn w:val="Normal"/>
    <w:next w:val="Normal"/>
    <w:qFormat/>
    <w:rsid w:val="0010784B"/>
    <w:pPr>
      <w:spacing w:before="120" w:after="120" w:line="312" w:lineRule="auto"/>
      <w:ind w:left="5103"/>
      <w:jc w:val="both"/>
    </w:pPr>
    <w:rPr>
      <w:rFonts w:ascii="Calibri" w:eastAsia="Calibri" w:hAnsi="Calibri" w:cs="Calibri"/>
      <w:sz w:val="24"/>
      <w:szCs w:val="24"/>
    </w:rPr>
  </w:style>
  <w:style w:type="paragraph" w:customStyle="1" w:styleId="dou-paragraph">
    <w:name w:val="dou-paragraph"/>
    <w:basedOn w:val="Normal"/>
    <w:rsid w:val="00BD508F"/>
    <w:pPr>
      <w:spacing w:before="100" w:beforeAutospacing="1" w:after="100" w:afterAutospacing="1" w:line="240" w:lineRule="auto"/>
    </w:pPr>
    <w:rPr>
      <w:rFonts w:ascii="Times New Roman" w:hAnsi="Times New Roman" w:cs="Times New Roman"/>
      <w:sz w:val="20"/>
      <w:szCs w:val="20"/>
    </w:rPr>
  </w:style>
  <w:style w:type="character" w:customStyle="1" w:styleId="cf01">
    <w:name w:val="cf01"/>
    <w:basedOn w:val="Fontepargpadro"/>
    <w:rsid w:val="0030677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297298343">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907229430">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35764358">
      <w:bodyDiv w:val="1"/>
      <w:marLeft w:val="0"/>
      <w:marRight w:val="0"/>
      <w:marTop w:val="0"/>
      <w:marBottom w:val="0"/>
      <w:divBdr>
        <w:top w:val="none" w:sz="0" w:space="0" w:color="auto"/>
        <w:left w:val="none" w:sz="0" w:space="0" w:color="auto"/>
        <w:bottom w:val="none" w:sz="0" w:space="0" w:color="auto"/>
        <w:right w:val="none" w:sz="0" w:space="0" w:color="auto"/>
      </w:divBdr>
    </w:div>
    <w:div w:id="1626420696">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839610282">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 w:id="2145266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1C424D-6D6D-4453-995A-FCDC8CDF3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3777</Words>
  <Characters>20399</Characters>
  <Application>Microsoft Office Word</Application>
  <DocSecurity>0</DocSecurity>
  <Lines>169</Lines>
  <Paragraphs>48</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24128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Duarte Folle - PREVICDF</dc:creator>
  <cp:lastModifiedBy>USUARIO</cp:lastModifiedBy>
  <cp:revision>2</cp:revision>
  <cp:lastPrinted>2020-11-20T14:02:00Z</cp:lastPrinted>
  <dcterms:created xsi:type="dcterms:W3CDTF">2023-05-11T19:34:00Z</dcterms:created>
  <dcterms:modified xsi:type="dcterms:W3CDTF">2023-05-11T19:34:00Z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