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Mar>
          <w:left w:w="70" w:type="dxa"/>
          <w:right w:w="70" w:type="dxa"/>
        </w:tblCellMar>
        <w:tblLook w:val="04A0" w:firstRow="1" w:lastRow="0" w:firstColumn="1" w:lastColumn="0" w:noHBand="0" w:noVBand="1"/>
      </w:tblPr>
      <w:tblGrid>
        <w:gridCol w:w="5023"/>
        <w:gridCol w:w="5023"/>
        <w:gridCol w:w="5081"/>
      </w:tblGrid>
      <w:tr w:rsidR="00704883" w:rsidRPr="00704883" w14:paraId="55517683" w14:textId="77777777" w:rsidTr="00704883">
        <w:trPr>
          <w:trHeight w:val="315"/>
        </w:trPr>
        <w:tc>
          <w:tcPr>
            <w:tcW w:w="166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A6C135" w14:textId="77777777" w:rsidR="00704883" w:rsidRPr="00704883" w:rsidRDefault="00704883" w:rsidP="00704883">
            <w:pPr>
              <w:spacing w:after="0" w:line="240" w:lineRule="auto"/>
              <w:jc w:val="center"/>
              <w:rPr>
                <w:rFonts w:ascii="Calibri" w:eastAsia="Times New Roman" w:hAnsi="Calibri" w:cs="Calibri"/>
                <w:b/>
                <w:bCs/>
                <w:color w:val="000000"/>
                <w:sz w:val="24"/>
                <w:szCs w:val="24"/>
                <w:lang w:eastAsia="pt-BR"/>
              </w:rPr>
            </w:pPr>
            <w:bookmarkStart w:id="0" w:name="RANGE!A1"/>
            <w:bookmarkStart w:id="1" w:name="_Hlk133159557" w:colFirst="1" w:colLast="2"/>
            <w:r w:rsidRPr="00704883">
              <w:rPr>
                <w:rFonts w:ascii="Calibri" w:eastAsia="Times New Roman" w:hAnsi="Calibri" w:cs="Calibri"/>
                <w:b/>
                <w:bCs/>
                <w:color w:val="000000"/>
                <w:sz w:val="24"/>
                <w:szCs w:val="24"/>
                <w:lang w:eastAsia="pt-BR"/>
              </w:rPr>
              <w:t>DE</w:t>
            </w:r>
            <w:bookmarkEnd w:id="0"/>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5C4EC806" w14:textId="77777777" w:rsidR="00704883" w:rsidRPr="00704883" w:rsidRDefault="00704883" w:rsidP="00704883">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PARA</w:t>
            </w:r>
          </w:p>
        </w:tc>
        <w:tc>
          <w:tcPr>
            <w:tcW w:w="1679" w:type="pct"/>
            <w:tcBorders>
              <w:top w:val="single" w:sz="4" w:space="0" w:color="auto"/>
              <w:left w:val="nil"/>
              <w:bottom w:val="single" w:sz="4" w:space="0" w:color="auto"/>
              <w:right w:val="single" w:sz="4" w:space="0" w:color="auto"/>
            </w:tcBorders>
            <w:shd w:val="clear" w:color="auto" w:fill="auto"/>
            <w:vAlign w:val="center"/>
            <w:hideMark/>
          </w:tcPr>
          <w:p w14:paraId="555C69BE" w14:textId="77777777" w:rsidR="00704883" w:rsidRPr="00704883" w:rsidRDefault="00704883" w:rsidP="00704883">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JUSTIFICATIVA</w:t>
            </w:r>
          </w:p>
        </w:tc>
      </w:tr>
      <w:tr w:rsidR="00704883" w:rsidRPr="00704883" w14:paraId="39E1F0A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3C6D49" w14:textId="77777777" w:rsidR="00704883" w:rsidRPr="00704883" w:rsidRDefault="00704883" w:rsidP="00704883">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nil"/>
              <w:right w:val="single" w:sz="4" w:space="0" w:color="auto"/>
            </w:tcBorders>
            <w:shd w:val="clear" w:color="auto" w:fill="auto"/>
            <w:vAlign w:val="center"/>
            <w:hideMark/>
          </w:tcPr>
          <w:p w14:paraId="7639605C" w14:textId="77777777" w:rsidR="00704883" w:rsidRPr="00704883" w:rsidRDefault="00704883" w:rsidP="00704883">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II</w:t>
            </w:r>
            <w:r w:rsidRPr="00704883">
              <w:rPr>
                <w:rFonts w:ascii="Calibri" w:eastAsia="Times New Roman" w:hAnsi="Calibri" w:cs="Calibri"/>
                <w:color w:val="000000"/>
                <w:sz w:val="24"/>
                <w:szCs w:val="24"/>
                <w:lang w:eastAsia="pt-BR"/>
              </w:rPr>
              <w:br/>
              <w:t>LICENCIAMENTO</w:t>
            </w:r>
          </w:p>
        </w:tc>
        <w:tc>
          <w:tcPr>
            <w:tcW w:w="1679" w:type="pct"/>
            <w:tcBorders>
              <w:top w:val="nil"/>
              <w:left w:val="nil"/>
              <w:bottom w:val="single" w:sz="4" w:space="0" w:color="auto"/>
              <w:right w:val="single" w:sz="4" w:space="0" w:color="auto"/>
            </w:tcBorders>
            <w:shd w:val="clear" w:color="auto" w:fill="auto"/>
            <w:vAlign w:val="center"/>
            <w:hideMark/>
          </w:tcPr>
          <w:p w14:paraId="12329745" w14:textId="77777777" w:rsidR="00704883" w:rsidRPr="00704883" w:rsidRDefault="00704883" w:rsidP="00704883">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18F824C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D94407" w14:textId="77777777" w:rsidR="00704883" w:rsidRPr="00704883" w:rsidRDefault="00704883" w:rsidP="00704883">
            <w:pPr>
              <w:spacing w:after="0" w:line="240" w:lineRule="auto"/>
              <w:rPr>
                <w:rFonts w:ascii="Calibri" w:eastAsia="Times New Roman" w:hAnsi="Calibri" w:cs="Calibri"/>
                <w:color w:val="000000"/>
                <w:sz w:val="24"/>
                <w:szCs w:val="24"/>
                <w:lang w:eastAsia="pt-BR"/>
              </w:rPr>
            </w:pPr>
            <w:bookmarkStart w:id="2" w:name="_Hlk132904161"/>
            <w:r w:rsidRPr="00704883">
              <w:rPr>
                <w:rFonts w:ascii="Calibri" w:eastAsia="Times New Roman" w:hAnsi="Calibri" w:cs="Calibri"/>
                <w:color w:val="000000"/>
                <w:sz w:val="24"/>
                <w:szCs w:val="24"/>
                <w:lang w:eastAsia="pt-BR"/>
              </w:rPr>
              <w:t> </w:t>
            </w:r>
          </w:p>
        </w:tc>
        <w:tc>
          <w:tcPr>
            <w:tcW w:w="1660" w:type="pct"/>
            <w:tcBorders>
              <w:top w:val="single" w:sz="4" w:space="0" w:color="auto"/>
              <w:left w:val="nil"/>
              <w:bottom w:val="nil"/>
              <w:right w:val="single" w:sz="4" w:space="0" w:color="auto"/>
            </w:tcBorders>
            <w:shd w:val="clear" w:color="auto" w:fill="auto"/>
            <w:vAlign w:val="center"/>
            <w:hideMark/>
          </w:tcPr>
          <w:p w14:paraId="49139DD4" w14:textId="77777777" w:rsidR="00704883" w:rsidRPr="00704883" w:rsidRDefault="00704883" w:rsidP="00704883">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I</w:t>
            </w:r>
            <w:r w:rsidRPr="00704883">
              <w:rPr>
                <w:rFonts w:ascii="Calibri" w:eastAsia="Times New Roman" w:hAnsi="Calibri" w:cs="Calibri"/>
                <w:b/>
                <w:bCs/>
                <w:color w:val="000000"/>
                <w:sz w:val="24"/>
                <w:szCs w:val="24"/>
                <w:lang w:eastAsia="pt-BR"/>
              </w:rPr>
              <w:br/>
              <w:t>Conceitos e Definições</w:t>
            </w:r>
          </w:p>
        </w:tc>
        <w:tc>
          <w:tcPr>
            <w:tcW w:w="1679" w:type="pct"/>
            <w:tcBorders>
              <w:top w:val="nil"/>
              <w:left w:val="nil"/>
              <w:bottom w:val="single" w:sz="4" w:space="0" w:color="auto"/>
              <w:right w:val="single" w:sz="4" w:space="0" w:color="auto"/>
            </w:tcBorders>
            <w:shd w:val="clear" w:color="auto" w:fill="auto"/>
            <w:vAlign w:val="center"/>
            <w:hideMark/>
          </w:tcPr>
          <w:p w14:paraId="109AAD54" w14:textId="77777777" w:rsidR="00704883" w:rsidRPr="00704883" w:rsidRDefault="00704883" w:rsidP="00704883">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bookmarkEnd w:id="2"/>
          </w:p>
        </w:tc>
      </w:tr>
      <w:tr w:rsidR="00704883" w:rsidRPr="00704883" w14:paraId="26D159E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2A838D8" w14:textId="77777777" w:rsidR="00704883" w:rsidRPr="00704883" w:rsidRDefault="00704883" w:rsidP="00704883">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45, de 13 de julho de 2022.</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0A9979A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CDDDF6E"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55742E9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8734431"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Para os fins desta Instrução Normativa, além das definições estabelecidas pela legislação aplicável, considera-se: </w:t>
            </w:r>
          </w:p>
        </w:tc>
        <w:tc>
          <w:tcPr>
            <w:tcW w:w="1660" w:type="pct"/>
            <w:tcBorders>
              <w:top w:val="nil"/>
              <w:left w:val="nil"/>
              <w:bottom w:val="single" w:sz="4" w:space="0" w:color="auto"/>
              <w:right w:val="single" w:sz="4" w:space="0" w:color="auto"/>
            </w:tcBorders>
            <w:shd w:val="clear" w:color="auto" w:fill="auto"/>
            <w:vAlign w:val="center"/>
            <w:hideMark/>
          </w:tcPr>
          <w:p w14:paraId="090BF202"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101.  Para fins deste Capítulo, considera-se:</w:t>
            </w:r>
          </w:p>
        </w:tc>
        <w:tc>
          <w:tcPr>
            <w:tcW w:w="1679" w:type="pct"/>
            <w:tcBorders>
              <w:top w:val="nil"/>
              <w:left w:val="nil"/>
              <w:bottom w:val="single" w:sz="4" w:space="0" w:color="auto"/>
              <w:right w:val="single" w:sz="4" w:space="0" w:color="auto"/>
            </w:tcBorders>
            <w:shd w:val="clear" w:color="auto" w:fill="auto"/>
            <w:vAlign w:val="center"/>
            <w:hideMark/>
          </w:tcPr>
          <w:p w14:paraId="2A4FE0EA"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0B258ED3"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2C8942"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data-base</w:t>
            </w:r>
            <w:proofErr w:type="gramEnd"/>
            <w:r w:rsidRPr="00704883">
              <w:rPr>
                <w:rFonts w:ascii="Calibri" w:eastAsia="Times New Roman" w:hAnsi="Calibri" w:cs="Calibri"/>
                <w:color w:val="000000"/>
                <w:sz w:val="24"/>
                <w:szCs w:val="24"/>
                <w:lang w:eastAsia="pt-BR"/>
              </w:rPr>
              <w:t xml:space="preserv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tc>
        <w:tc>
          <w:tcPr>
            <w:tcW w:w="1660" w:type="pct"/>
            <w:tcBorders>
              <w:top w:val="nil"/>
              <w:left w:val="nil"/>
              <w:bottom w:val="single" w:sz="4" w:space="0" w:color="auto"/>
              <w:right w:val="single" w:sz="4" w:space="0" w:color="auto"/>
            </w:tcBorders>
            <w:shd w:val="clear" w:color="auto" w:fill="auto"/>
            <w:vAlign w:val="center"/>
            <w:hideMark/>
          </w:tcPr>
          <w:p w14:paraId="789A9578"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data-base</w:t>
            </w:r>
            <w:proofErr w:type="gramEnd"/>
            <w:r w:rsidRPr="00704883">
              <w:rPr>
                <w:rFonts w:ascii="Calibri" w:eastAsia="Times New Roman" w:hAnsi="Calibri" w:cs="Calibri"/>
                <w:color w:val="000000"/>
                <w:sz w:val="24"/>
                <w:szCs w:val="24"/>
                <w:lang w:eastAsia="pt-BR"/>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1679" w:type="pct"/>
            <w:tcBorders>
              <w:top w:val="nil"/>
              <w:left w:val="nil"/>
              <w:bottom w:val="single" w:sz="4" w:space="0" w:color="auto"/>
              <w:right w:val="single" w:sz="4" w:space="0" w:color="auto"/>
            </w:tcBorders>
            <w:shd w:val="clear" w:color="auto" w:fill="auto"/>
            <w:vAlign w:val="center"/>
            <w:hideMark/>
          </w:tcPr>
          <w:p w14:paraId="5D651D65"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3D985C7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AE4F40B"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autorização: aquela em que for publicado, no Diário Oficial da União (DOU), o ato de aprovação da Previc, referente à operação pretendida ou a data da emissão de protocolo pelo sistema informatizado, no caso de licenciamento automático; </w:t>
            </w:r>
          </w:p>
        </w:tc>
        <w:tc>
          <w:tcPr>
            <w:tcW w:w="1660" w:type="pct"/>
            <w:tcBorders>
              <w:top w:val="nil"/>
              <w:left w:val="nil"/>
              <w:bottom w:val="single" w:sz="4" w:space="0" w:color="auto"/>
              <w:right w:val="single" w:sz="4" w:space="0" w:color="auto"/>
            </w:tcBorders>
            <w:shd w:val="clear" w:color="auto" w:fill="auto"/>
            <w:vAlign w:val="center"/>
            <w:hideMark/>
          </w:tcPr>
          <w:p w14:paraId="7C731718" w14:textId="2AE887ED"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autorização: aquela em que for publicado, no Diário Oficial da União (DOU), o ato de aprovação da Previc, referente à operação pretendida</w:t>
            </w:r>
            <w:r w:rsidR="008A7C89">
              <w:rPr>
                <w:rFonts w:ascii="Calibri" w:eastAsia="Times New Roman" w:hAnsi="Calibri" w:cs="Calibri"/>
                <w:color w:val="000000"/>
                <w:sz w:val="24"/>
                <w:szCs w:val="24"/>
                <w:lang w:eastAsia="pt-BR"/>
              </w:rPr>
              <w:t xml:space="preserve"> de licenciamento</w:t>
            </w:r>
            <w:r w:rsidRPr="00704883">
              <w:rPr>
                <w:rFonts w:ascii="Calibri" w:eastAsia="Times New Roman" w:hAnsi="Calibri" w:cs="Calibri"/>
                <w:color w:val="000000"/>
                <w:sz w:val="24"/>
                <w:szCs w:val="24"/>
                <w:lang w:eastAsia="pt-BR"/>
              </w:rPr>
              <w:t xml:space="preserve"> ou a data da emissão de protocolo pelo sistema informatizado, no caso de licenciamento automático;</w:t>
            </w:r>
          </w:p>
        </w:tc>
        <w:tc>
          <w:tcPr>
            <w:tcW w:w="1679" w:type="pct"/>
            <w:tcBorders>
              <w:top w:val="nil"/>
              <w:left w:val="nil"/>
              <w:bottom w:val="single" w:sz="4" w:space="0" w:color="auto"/>
              <w:right w:val="single" w:sz="4" w:space="0" w:color="auto"/>
            </w:tcBorders>
            <w:shd w:val="clear" w:color="auto" w:fill="auto"/>
            <w:vAlign w:val="center"/>
            <w:hideMark/>
          </w:tcPr>
          <w:p w14:paraId="6649F066"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4A95CDE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20DC50"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data do cálculo: aquela correspondente ao último dia do mês em que ocorrer a data de autorização, momento em que os cálculos devem ser posicionados para a finalização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1CB0A5A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data do cálculo: aquela correspondente ao último dia do mês em que ocorrer a data de autorização, momento em que os cálculos devem ser posicionados para a finalização da operação;</w:t>
            </w:r>
          </w:p>
        </w:tc>
        <w:tc>
          <w:tcPr>
            <w:tcW w:w="1679" w:type="pct"/>
            <w:tcBorders>
              <w:top w:val="nil"/>
              <w:left w:val="nil"/>
              <w:bottom w:val="single" w:sz="4" w:space="0" w:color="auto"/>
              <w:right w:val="single" w:sz="4" w:space="0" w:color="auto"/>
            </w:tcBorders>
            <w:shd w:val="clear" w:color="auto" w:fill="auto"/>
            <w:vAlign w:val="center"/>
            <w:hideMark/>
          </w:tcPr>
          <w:p w14:paraId="3FD0DC07"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6BDAE46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085308"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data-efetiva</w:t>
            </w:r>
            <w:proofErr w:type="gramEnd"/>
            <w:r w:rsidRPr="00704883">
              <w:rPr>
                <w:rFonts w:ascii="Calibri" w:eastAsia="Times New Roman" w:hAnsi="Calibri" w:cs="Calibri"/>
                <w:color w:val="000000"/>
                <w:sz w:val="24"/>
                <w:szCs w:val="24"/>
                <w:lang w:eastAsia="pt-BR"/>
              </w:rPr>
              <w:t xml:space="preserve">: aquela, posterior à data de autorização, acordada formalmente entre as partes, até a qual deve ocorrer a finalização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0A664462" w14:textId="54C38A4C"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w:t>
            </w:r>
            <w:r w:rsidR="00734D5B">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w:t>
            </w:r>
            <w:proofErr w:type="gramStart"/>
            <w:r w:rsidRPr="00704883">
              <w:rPr>
                <w:rFonts w:ascii="Calibri" w:eastAsia="Times New Roman" w:hAnsi="Calibri" w:cs="Calibri"/>
                <w:color w:val="000000"/>
                <w:sz w:val="24"/>
                <w:szCs w:val="24"/>
                <w:lang w:eastAsia="pt-BR"/>
              </w:rPr>
              <w:t>data</w:t>
            </w:r>
            <w:proofErr w:type="gramEnd"/>
            <w:r w:rsidR="00734D5B">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sz w:val="24"/>
                <w:szCs w:val="24"/>
                <w:lang w:eastAsia="pt-BR"/>
              </w:rPr>
              <w:t>efetiva: aquela, posterior à data de autorização, acordada formalmente entre as partes, até a qual deve ocorrer a finalização da operação</w:t>
            </w:r>
            <w:r w:rsidR="00BB2046">
              <w:rPr>
                <w:rFonts w:ascii="Calibri" w:eastAsia="Times New Roman" w:hAnsi="Calibri" w:cs="Calibri"/>
                <w:color w:val="000000"/>
                <w:sz w:val="24"/>
                <w:szCs w:val="24"/>
                <w:lang w:eastAsia="pt-BR"/>
              </w:rPr>
              <w:t xml:space="preserve"> </w:t>
            </w:r>
            <w:r w:rsidR="00F0064B">
              <w:rPr>
                <w:rFonts w:ascii="Calibri" w:eastAsia="Times New Roman" w:hAnsi="Calibri" w:cs="Calibri"/>
                <w:color w:val="000000"/>
                <w:sz w:val="24"/>
                <w:szCs w:val="24"/>
                <w:lang w:eastAsia="pt-BR"/>
              </w:rPr>
              <w:t>com</w:t>
            </w:r>
            <w:r w:rsidR="00BB2046">
              <w:rPr>
                <w:rFonts w:ascii="Calibri" w:eastAsia="Times New Roman" w:hAnsi="Calibri" w:cs="Calibri"/>
                <w:color w:val="000000"/>
                <w:sz w:val="24"/>
                <w:szCs w:val="24"/>
                <w:lang w:eastAsia="pt-BR"/>
              </w:rPr>
              <w:t xml:space="preserve"> o cumprimento do </w:t>
            </w:r>
            <w:r w:rsidR="00F0064B">
              <w:rPr>
                <w:rFonts w:ascii="Calibri" w:eastAsia="Times New Roman" w:hAnsi="Calibri" w:cs="Calibri"/>
                <w:color w:val="000000"/>
                <w:sz w:val="24"/>
                <w:szCs w:val="24"/>
                <w:lang w:eastAsia="pt-BR"/>
              </w:rPr>
              <w:t>termo da operação</w:t>
            </w:r>
            <w:r w:rsidR="00734D5B">
              <w:rPr>
                <w:rFonts w:ascii="Calibri" w:eastAsia="Times New Roman" w:hAnsi="Calibri" w:cs="Calibri"/>
                <w:color w:val="000000"/>
                <w:sz w:val="24"/>
                <w:szCs w:val="24"/>
                <w:lang w:eastAsia="pt-BR"/>
              </w:rPr>
              <w:t xml:space="preserve">, para os casos de </w:t>
            </w:r>
            <w:r w:rsidR="00734D5B" w:rsidRPr="00704883">
              <w:rPr>
                <w:rFonts w:ascii="Calibri" w:eastAsia="Times New Roman" w:hAnsi="Calibri" w:cstheme="minorHAnsi"/>
                <w:sz w:val="24"/>
                <w:szCs w:val="24"/>
                <w:lang w:eastAsia="pt-BR"/>
              </w:rPr>
              <w:t>retirada de patrocínio ou de rescisão unilateral</w:t>
            </w:r>
            <w:r w:rsidR="00734D5B">
              <w:rPr>
                <w:rFonts w:ascii="Calibri" w:eastAsia="Times New Roman" w:hAnsi="Calibri" w:cs="Calibri"/>
                <w:color w:val="000000"/>
                <w:sz w:val="24"/>
                <w:szCs w:val="24"/>
                <w:lang w:eastAsia="pt-BR"/>
              </w:rPr>
              <w:t xml:space="preserve"> é </w:t>
            </w:r>
            <w:r w:rsidR="00734D5B" w:rsidRPr="00704883">
              <w:rPr>
                <w:rFonts w:ascii="Calibri" w:eastAsia="Times New Roman" w:hAnsi="Calibri" w:cstheme="minorHAnsi"/>
                <w:sz w:val="24"/>
                <w:szCs w:val="24"/>
                <w:lang w:eastAsia="pt-BR"/>
              </w:rPr>
              <w:t xml:space="preserve">aquela na qual a </w:t>
            </w:r>
            <w:r w:rsidR="00734D5B">
              <w:rPr>
                <w:rFonts w:ascii="Calibri" w:eastAsia="Times New Roman" w:hAnsi="Calibri" w:cstheme="minorHAnsi"/>
                <w:sz w:val="24"/>
                <w:szCs w:val="24"/>
                <w:lang w:eastAsia="pt-BR"/>
              </w:rPr>
              <w:t>entidade</w:t>
            </w:r>
            <w:r w:rsidR="00734D5B" w:rsidRPr="00704883">
              <w:rPr>
                <w:rFonts w:ascii="Calibri" w:eastAsia="Times New Roman" w:hAnsi="Calibri" w:cstheme="minorHAnsi"/>
                <w:sz w:val="24"/>
                <w:szCs w:val="24"/>
                <w:lang w:eastAsia="pt-BR"/>
              </w:rPr>
              <w:t xml:space="preserve"> deve finalizar a liquidação dos </w:t>
            </w:r>
            <w:r w:rsidR="00734D5B" w:rsidRPr="00704883">
              <w:rPr>
                <w:rFonts w:ascii="Calibri" w:eastAsia="Times New Roman" w:hAnsi="Calibri" w:cstheme="minorHAnsi"/>
                <w:sz w:val="24"/>
                <w:szCs w:val="24"/>
                <w:lang w:eastAsia="pt-BR"/>
              </w:rPr>
              <w:lastRenderedPageBreak/>
              <w:t>compromissos no prazo máximo de duzentos e dez dias, contados da data do cálculo, observado o disposto no art. 165</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105A1B6D" w14:textId="467981C4" w:rsidR="00704883" w:rsidRPr="00704883" w:rsidRDefault="00F0064B" w:rsidP="00704883">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lastRenderedPageBreak/>
              <w:t>Definição</w:t>
            </w:r>
            <w:r w:rsidR="00734D5B">
              <w:rPr>
                <w:rFonts w:ascii="Calibri" w:eastAsia="Times New Roman" w:hAnsi="Calibri" w:cs="Calibri"/>
                <w:color w:val="000000"/>
                <w:sz w:val="24"/>
                <w:szCs w:val="24"/>
                <w:lang w:eastAsia="pt-BR"/>
              </w:rPr>
              <w:t xml:space="preserve"> maior para conter</w:t>
            </w:r>
            <w:r>
              <w:rPr>
                <w:rFonts w:ascii="Calibri" w:eastAsia="Times New Roman" w:hAnsi="Calibri" w:cs="Calibri"/>
                <w:color w:val="000000"/>
                <w:sz w:val="24"/>
                <w:szCs w:val="24"/>
                <w:lang w:eastAsia="pt-BR"/>
              </w:rPr>
              <w:t xml:space="preserve"> todas as operações de licenciamento. </w:t>
            </w:r>
          </w:p>
        </w:tc>
      </w:tr>
      <w:tr w:rsidR="00704883" w:rsidRPr="00704883" w14:paraId="42BF94F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7A6D3C"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termo</w:t>
            </w:r>
            <w:proofErr w:type="gramEnd"/>
            <w:r w:rsidRPr="00704883">
              <w:rPr>
                <w:rFonts w:ascii="Calibri" w:eastAsia="Times New Roman" w:hAnsi="Calibri" w:cs="Calibri"/>
                <w:color w:val="000000"/>
                <w:sz w:val="24"/>
                <w:szCs w:val="24"/>
                <w:lang w:eastAsia="pt-BR"/>
              </w:rPr>
              <w:t xml:space="preserve"> da operação: instrumento contratual firmado entre as partes envolvidas na operação pretendida, no qual são pactuadas as condições, os critérios e as metodologias aplicáveis ao requerimento; e </w:t>
            </w:r>
          </w:p>
        </w:tc>
        <w:tc>
          <w:tcPr>
            <w:tcW w:w="1660" w:type="pct"/>
            <w:tcBorders>
              <w:top w:val="nil"/>
              <w:left w:val="nil"/>
              <w:bottom w:val="single" w:sz="4" w:space="0" w:color="auto"/>
              <w:right w:val="single" w:sz="4" w:space="0" w:color="auto"/>
            </w:tcBorders>
            <w:shd w:val="clear" w:color="auto" w:fill="auto"/>
            <w:vAlign w:val="center"/>
            <w:hideMark/>
          </w:tcPr>
          <w:p w14:paraId="3EBD7AD4"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termo</w:t>
            </w:r>
            <w:proofErr w:type="gramEnd"/>
            <w:r w:rsidRPr="00704883">
              <w:rPr>
                <w:rFonts w:ascii="Calibri" w:eastAsia="Times New Roman" w:hAnsi="Calibri" w:cs="Calibri"/>
                <w:color w:val="000000"/>
                <w:sz w:val="24"/>
                <w:szCs w:val="24"/>
                <w:lang w:eastAsia="pt-BR"/>
              </w:rPr>
              <w:t xml:space="preserve"> da operação: instrumento contratual firmado entre as partes envolvidas na operação pretendida, no qual são pactuadas as condições, os critérios e as metodologias aplicáveis ao requerimento;</w:t>
            </w:r>
          </w:p>
        </w:tc>
        <w:tc>
          <w:tcPr>
            <w:tcW w:w="1679" w:type="pct"/>
            <w:tcBorders>
              <w:top w:val="nil"/>
              <w:left w:val="nil"/>
              <w:bottom w:val="single" w:sz="4" w:space="0" w:color="auto"/>
              <w:right w:val="single" w:sz="4" w:space="0" w:color="auto"/>
            </w:tcBorders>
            <w:shd w:val="clear" w:color="auto" w:fill="auto"/>
            <w:vAlign w:val="center"/>
            <w:hideMark/>
          </w:tcPr>
          <w:p w14:paraId="061DDD4D"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038C8D2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C3625C"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relatório</w:t>
            </w:r>
            <w:proofErr w:type="gramEnd"/>
            <w:r w:rsidRPr="00704883">
              <w:rPr>
                <w:rFonts w:ascii="Calibri" w:eastAsia="Times New Roman" w:hAnsi="Calibri" w:cs="Calibri"/>
                <w:color w:val="000000"/>
                <w:sz w:val="24"/>
                <w:szCs w:val="24"/>
                <w:lang w:eastAsia="pt-BR"/>
              </w:rPr>
              <w:t xml:space="preserve"> da operação: documento, posicionado na data-base, que apresenta as informações e os valores relacionados com a operação pretendida, resultantes da aplicação das condições, dos critérios e das metodologias definidas no termo da operação.</w:t>
            </w:r>
          </w:p>
        </w:tc>
        <w:tc>
          <w:tcPr>
            <w:tcW w:w="1660" w:type="pct"/>
            <w:tcBorders>
              <w:top w:val="nil"/>
              <w:left w:val="nil"/>
              <w:bottom w:val="single" w:sz="4" w:space="0" w:color="auto"/>
              <w:right w:val="single" w:sz="4" w:space="0" w:color="auto"/>
            </w:tcBorders>
            <w:shd w:val="clear" w:color="auto" w:fill="auto"/>
            <w:vAlign w:val="center"/>
            <w:hideMark/>
          </w:tcPr>
          <w:p w14:paraId="44A142F5"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relatório</w:t>
            </w:r>
            <w:proofErr w:type="gramEnd"/>
            <w:r w:rsidRPr="00704883">
              <w:rPr>
                <w:rFonts w:ascii="Calibri" w:eastAsia="Times New Roman" w:hAnsi="Calibri" w:cs="Calibri"/>
                <w:color w:val="000000"/>
                <w:sz w:val="24"/>
                <w:szCs w:val="24"/>
                <w:lang w:eastAsia="pt-BR"/>
              </w:rPr>
              <w:t xml:space="preserve"> da operação: documento, posicionado na data-base, que apresenta as informações e os valores relacionados com a operação pretendida, resultantes da aplicação das condições, dos critérios e das metodologias definidas no termo da operação;</w:t>
            </w:r>
          </w:p>
        </w:tc>
        <w:tc>
          <w:tcPr>
            <w:tcW w:w="1679" w:type="pct"/>
            <w:tcBorders>
              <w:top w:val="nil"/>
              <w:left w:val="nil"/>
              <w:bottom w:val="single" w:sz="4" w:space="0" w:color="auto"/>
              <w:right w:val="single" w:sz="4" w:space="0" w:color="auto"/>
            </w:tcBorders>
            <w:shd w:val="clear" w:color="auto" w:fill="auto"/>
            <w:vAlign w:val="center"/>
            <w:hideMark/>
          </w:tcPr>
          <w:p w14:paraId="79927B2E"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269CCFB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109565" w14:textId="77777777" w:rsidR="00704883" w:rsidRPr="00704883" w:rsidRDefault="00704883" w:rsidP="00704883">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9, de 30 de março de 2022.</w:t>
            </w:r>
          </w:p>
        </w:tc>
        <w:tc>
          <w:tcPr>
            <w:tcW w:w="1660" w:type="pct"/>
            <w:tcBorders>
              <w:top w:val="nil"/>
              <w:left w:val="nil"/>
              <w:bottom w:val="single" w:sz="4" w:space="0" w:color="auto"/>
              <w:right w:val="single" w:sz="4" w:space="0" w:color="auto"/>
            </w:tcBorders>
            <w:shd w:val="clear" w:color="auto" w:fill="auto"/>
            <w:vAlign w:val="center"/>
            <w:hideMark/>
          </w:tcPr>
          <w:p w14:paraId="11401751"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2CB26C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43021DB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DA0E6D"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18.  O licenciamento automático é o processo pelo qual a autorização ocorre na data de emissão do protocolo de instrução de requerimento de licenciamento pelo sistema informatizado da Previc. </w:t>
            </w:r>
          </w:p>
        </w:tc>
        <w:tc>
          <w:tcPr>
            <w:tcW w:w="1660" w:type="pct"/>
            <w:tcBorders>
              <w:top w:val="nil"/>
              <w:left w:val="nil"/>
              <w:bottom w:val="single" w:sz="4" w:space="0" w:color="auto"/>
              <w:right w:val="single" w:sz="4" w:space="0" w:color="auto"/>
            </w:tcBorders>
            <w:shd w:val="clear" w:color="auto" w:fill="auto"/>
            <w:vAlign w:val="center"/>
            <w:hideMark/>
          </w:tcPr>
          <w:p w14:paraId="10684F1B" w14:textId="1937AD1F"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 - licenciamento automático</w:t>
            </w:r>
            <w:r w:rsidR="00712BB4">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é o processo pelo qual a autorização ocorre na data de emissão do protocolo de instrução de requerimento de licenciamento pelo sistema informatizado da Previc;</w:t>
            </w:r>
          </w:p>
        </w:tc>
        <w:tc>
          <w:tcPr>
            <w:tcW w:w="1679" w:type="pct"/>
            <w:tcBorders>
              <w:top w:val="nil"/>
              <w:left w:val="nil"/>
              <w:bottom w:val="single" w:sz="4" w:space="0" w:color="auto"/>
              <w:right w:val="single" w:sz="4" w:space="0" w:color="auto"/>
            </w:tcBorders>
            <w:shd w:val="clear" w:color="auto" w:fill="auto"/>
            <w:vAlign w:val="center"/>
            <w:hideMark/>
          </w:tcPr>
          <w:p w14:paraId="0CAF7AAE"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5711A41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3A80F2" w14:textId="77777777" w:rsidR="00704883" w:rsidRPr="00704883" w:rsidRDefault="00704883" w:rsidP="00704883">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13, de 16 de agosto de 2022.</w:t>
            </w:r>
          </w:p>
        </w:tc>
        <w:tc>
          <w:tcPr>
            <w:tcW w:w="1660" w:type="pct"/>
            <w:tcBorders>
              <w:top w:val="nil"/>
              <w:left w:val="nil"/>
              <w:bottom w:val="single" w:sz="4" w:space="0" w:color="auto"/>
              <w:right w:val="single" w:sz="4" w:space="0" w:color="auto"/>
            </w:tcBorders>
            <w:shd w:val="clear" w:color="auto" w:fill="auto"/>
            <w:vAlign w:val="center"/>
            <w:hideMark/>
          </w:tcPr>
          <w:p w14:paraId="367195BD"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E8A34A0"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1CB0EF9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D192AC"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Para fins de licenciamento e funcionamento de planos de benefícios setoriais, entende-se por: setorial; </w:t>
            </w:r>
          </w:p>
        </w:tc>
        <w:tc>
          <w:tcPr>
            <w:tcW w:w="1660" w:type="pct"/>
            <w:tcBorders>
              <w:top w:val="nil"/>
              <w:left w:val="nil"/>
              <w:bottom w:val="single" w:sz="4" w:space="0" w:color="auto"/>
              <w:right w:val="single" w:sz="4" w:space="0" w:color="auto"/>
            </w:tcBorders>
            <w:shd w:val="clear" w:color="auto" w:fill="auto"/>
            <w:vAlign w:val="center"/>
            <w:hideMark/>
          </w:tcPr>
          <w:p w14:paraId="34F4BBC8"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BD4C5B1"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04883" w:rsidRPr="00704883" w14:paraId="491CFE5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E36677" w14:textId="2D755510"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instituidor</w:t>
            </w:r>
            <w:proofErr w:type="gramEnd"/>
            <w:r w:rsidRPr="00704883">
              <w:rPr>
                <w:rFonts w:ascii="Calibri" w:eastAsia="Times New Roman" w:hAnsi="Calibri" w:cs="Calibri"/>
                <w:color w:val="000000"/>
                <w:sz w:val="24"/>
                <w:szCs w:val="24"/>
                <w:lang w:eastAsia="pt-BR"/>
              </w:rPr>
              <w:t xml:space="preserve"> setorial - pessoa jurídica que represente segmento econômico ou social de caráter </w:t>
            </w:r>
            <w:r w:rsidR="00712BB4">
              <w:rPr>
                <w:rFonts w:ascii="Calibri" w:eastAsia="Times New Roman" w:hAnsi="Calibri" w:cs="Calibri"/>
                <w:color w:val="000000"/>
                <w:sz w:val="24"/>
                <w:szCs w:val="24"/>
                <w:lang w:eastAsia="pt-BR"/>
              </w:rPr>
              <w:t>setorial;</w:t>
            </w:r>
          </w:p>
        </w:tc>
        <w:tc>
          <w:tcPr>
            <w:tcW w:w="1660" w:type="pct"/>
            <w:tcBorders>
              <w:top w:val="nil"/>
              <w:left w:val="nil"/>
              <w:bottom w:val="single" w:sz="4" w:space="0" w:color="auto"/>
              <w:right w:val="single" w:sz="4" w:space="0" w:color="auto"/>
            </w:tcBorders>
            <w:shd w:val="clear" w:color="auto" w:fill="auto"/>
            <w:vAlign w:val="center"/>
            <w:hideMark/>
          </w:tcPr>
          <w:p w14:paraId="10DEC670" w14:textId="5D624C90"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VIII - instituidor setorial</w:t>
            </w:r>
            <w:r w:rsidR="00712BB4">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pessoa jurídica que represente segmento econômico ou social de caráter</w:t>
            </w:r>
            <w:r w:rsidR="00712BB4">
              <w:rPr>
                <w:rFonts w:ascii="Calibri" w:eastAsia="Times New Roman" w:hAnsi="Calibri" w:cs="Calibri"/>
                <w:color w:val="000000"/>
                <w:sz w:val="24"/>
                <w:szCs w:val="24"/>
                <w:lang w:eastAsia="pt-BR"/>
              </w:rPr>
              <w:t xml:space="preserve"> setorial</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4D6F7D0B"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76ADF24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56264B"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plano</w:t>
            </w:r>
            <w:proofErr w:type="gramEnd"/>
            <w:r w:rsidRPr="00704883">
              <w:rPr>
                <w:rFonts w:ascii="Calibri" w:eastAsia="Times New Roman" w:hAnsi="Calibri" w:cs="Calibri"/>
                <w:color w:val="000000"/>
                <w:sz w:val="24"/>
                <w:szCs w:val="24"/>
                <w:lang w:eastAsia="pt-BR"/>
              </w:rPr>
              <w:t xml:space="preserve"> setorial - plano de benefícios instituído por instituidor setorial; e </w:t>
            </w:r>
          </w:p>
        </w:tc>
        <w:tc>
          <w:tcPr>
            <w:tcW w:w="1660" w:type="pct"/>
            <w:tcBorders>
              <w:top w:val="nil"/>
              <w:left w:val="nil"/>
              <w:bottom w:val="single" w:sz="4" w:space="0" w:color="auto"/>
              <w:right w:val="single" w:sz="4" w:space="0" w:color="auto"/>
            </w:tcBorders>
            <w:shd w:val="clear" w:color="auto" w:fill="auto"/>
            <w:vAlign w:val="center"/>
            <w:hideMark/>
          </w:tcPr>
          <w:p w14:paraId="1C081185" w14:textId="44C085EB"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IX - </w:t>
            </w:r>
            <w:proofErr w:type="gramStart"/>
            <w:r w:rsidRPr="00704883">
              <w:rPr>
                <w:rFonts w:ascii="Calibri" w:eastAsia="Times New Roman" w:hAnsi="Calibri" w:cs="Calibri"/>
                <w:color w:val="000000"/>
                <w:sz w:val="24"/>
                <w:szCs w:val="24"/>
                <w:lang w:eastAsia="pt-BR"/>
              </w:rPr>
              <w:t>plano</w:t>
            </w:r>
            <w:proofErr w:type="gramEnd"/>
            <w:r w:rsidRPr="00704883">
              <w:rPr>
                <w:rFonts w:ascii="Calibri" w:eastAsia="Times New Roman" w:hAnsi="Calibri" w:cs="Calibri"/>
                <w:color w:val="000000"/>
                <w:sz w:val="24"/>
                <w:szCs w:val="24"/>
                <w:lang w:eastAsia="pt-BR"/>
              </w:rPr>
              <w:t xml:space="preserve"> setorial</w:t>
            </w:r>
            <w:r w:rsidR="00712BB4">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plano de benefícios instituído por instituidor setorial;</w:t>
            </w:r>
          </w:p>
        </w:tc>
        <w:tc>
          <w:tcPr>
            <w:tcW w:w="1679" w:type="pct"/>
            <w:tcBorders>
              <w:top w:val="nil"/>
              <w:left w:val="nil"/>
              <w:bottom w:val="single" w:sz="4" w:space="0" w:color="auto"/>
              <w:right w:val="single" w:sz="4" w:space="0" w:color="auto"/>
            </w:tcBorders>
            <w:shd w:val="clear" w:color="auto" w:fill="auto"/>
            <w:vAlign w:val="center"/>
            <w:hideMark/>
          </w:tcPr>
          <w:p w14:paraId="7C94E1F8"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6F186D4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35AD6C"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afiliado setorial - pessoa jurídica que mantenha vínculo de natureza econômica ou social com instituidor setorial. </w:t>
            </w:r>
          </w:p>
        </w:tc>
        <w:tc>
          <w:tcPr>
            <w:tcW w:w="1660" w:type="pct"/>
            <w:tcBorders>
              <w:top w:val="nil"/>
              <w:left w:val="nil"/>
              <w:bottom w:val="single" w:sz="4" w:space="0" w:color="auto"/>
              <w:right w:val="single" w:sz="4" w:space="0" w:color="auto"/>
            </w:tcBorders>
            <w:shd w:val="clear" w:color="auto" w:fill="auto"/>
            <w:vAlign w:val="center"/>
            <w:hideMark/>
          </w:tcPr>
          <w:p w14:paraId="484AD14A" w14:textId="7D275540"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 - </w:t>
            </w:r>
            <w:proofErr w:type="gramStart"/>
            <w:r w:rsidRPr="00704883">
              <w:rPr>
                <w:rFonts w:ascii="Calibri" w:eastAsia="Times New Roman" w:hAnsi="Calibri" w:cs="Calibri"/>
                <w:color w:val="000000"/>
                <w:sz w:val="24"/>
                <w:szCs w:val="24"/>
                <w:lang w:eastAsia="pt-BR"/>
              </w:rPr>
              <w:t>afiliado setorial</w:t>
            </w:r>
            <w:proofErr w:type="gramEnd"/>
            <w:r w:rsidR="00712BB4">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pessoa jurídica que mantenha vínculo de natureza econômica ou social com instituidor setorial;</w:t>
            </w:r>
          </w:p>
        </w:tc>
        <w:tc>
          <w:tcPr>
            <w:tcW w:w="1679" w:type="pct"/>
            <w:tcBorders>
              <w:top w:val="nil"/>
              <w:left w:val="nil"/>
              <w:bottom w:val="single" w:sz="4" w:space="0" w:color="auto"/>
              <w:right w:val="single" w:sz="4" w:space="0" w:color="auto"/>
            </w:tcBorders>
            <w:shd w:val="clear" w:color="auto" w:fill="auto"/>
            <w:vAlign w:val="center"/>
            <w:hideMark/>
          </w:tcPr>
          <w:p w14:paraId="794BE18A"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6A1C239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2550A1" w14:textId="77777777" w:rsidR="00704883" w:rsidRPr="00704883" w:rsidRDefault="00704883" w:rsidP="00704883">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10, de 3 de maio de 2022.</w:t>
            </w:r>
          </w:p>
        </w:tc>
        <w:tc>
          <w:tcPr>
            <w:tcW w:w="1660" w:type="pct"/>
            <w:tcBorders>
              <w:top w:val="nil"/>
              <w:left w:val="nil"/>
              <w:bottom w:val="single" w:sz="4" w:space="0" w:color="auto"/>
              <w:right w:val="single" w:sz="4" w:space="0" w:color="auto"/>
            </w:tcBorders>
            <w:shd w:val="clear" w:color="auto" w:fill="auto"/>
            <w:vAlign w:val="center"/>
            <w:hideMark/>
          </w:tcPr>
          <w:p w14:paraId="0D92F281"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96DF350"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61709954"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8E6EC3"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Art. 2</w:t>
            </w:r>
            <w:proofErr w:type="gramStart"/>
            <w:r w:rsidRPr="00704883">
              <w:rPr>
                <w:rFonts w:ascii="Calibri" w:eastAsia="Times New Roman" w:hAnsi="Calibri" w:cs="Calibri"/>
                <w:color w:val="000000"/>
                <w:sz w:val="24"/>
                <w:szCs w:val="24"/>
                <w:lang w:eastAsia="pt-BR"/>
              </w:rPr>
              <w:t>º  Para</w:t>
            </w:r>
            <w:proofErr w:type="gramEnd"/>
            <w:r w:rsidRPr="00704883">
              <w:rPr>
                <w:rFonts w:ascii="Calibri" w:eastAsia="Times New Roman" w:hAnsi="Calibri" w:cs="Calibri"/>
                <w:color w:val="000000"/>
                <w:sz w:val="24"/>
                <w:szCs w:val="24"/>
                <w:lang w:eastAsia="pt-BR"/>
              </w:rPr>
              <w:t xml:space="preserve"> os fins desta Resolução, considera-se: </w:t>
            </w:r>
          </w:p>
        </w:tc>
        <w:tc>
          <w:tcPr>
            <w:tcW w:w="1660" w:type="pct"/>
            <w:tcBorders>
              <w:top w:val="nil"/>
              <w:left w:val="nil"/>
              <w:bottom w:val="single" w:sz="4" w:space="0" w:color="auto"/>
              <w:right w:val="single" w:sz="4" w:space="0" w:color="auto"/>
            </w:tcBorders>
            <w:shd w:val="clear" w:color="auto" w:fill="auto"/>
            <w:vAlign w:val="center"/>
            <w:hideMark/>
          </w:tcPr>
          <w:p w14:paraId="773C01E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4231885"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04883" w:rsidRPr="00704883" w14:paraId="7CD7B35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B724C0"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da notificação: aquela em que a entidade de origem receber do patrocinador a notificação da decisão de transferir o gerenciamento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0809AF8C" w14:textId="2C75ACBD"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 - data da notificação: aquela em que a entidade de origem receber do patrocinador a notificação da decisão de transferir o gerenciamento do plano de benefícios</w:t>
            </w:r>
            <w:r w:rsidR="008445D0">
              <w:rPr>
                <w:rFonts w:ascii="Calibri" w:eastAsia="Times New Roman" w:hAnsi="Calibri" w:cs="Calibri"/>
                <w:color w:val="000000"/>
                <w:sz w:val="24"/>
                <w:szCs w:val="24"/>
                <w:lang w:eastAsia="pt-BR"/>
              </w:rPr>
              <w:t xml:space="preserve"> e </w:t>
            </w:r>
            <w:r w:rsidR="008445D0" w:rsidRPr="00704883">
              <w:rPr>
                <w:rFonts w:ascii="Calibri" w:eastAsia="Times New Roman" w:hAnsi="Calibri" w:cstheme="minorHAnsi"/>
                <w:color w:val="000000"/>
                <w:sz w:val="24"/>
                <w:szCs w:val="24"/>
                <w:lang w:eastAsia="pt-BR"/>
              </w:rPr>
              <w:t>aquela</w:t>
            </w:r>
            <w:r w:rsidR="008445D0">
              <w:rPr>
                <w:rFonts w:ascii="Calibri" w:eastAsia="Times New Roman" w:hAnsi="Calibri" w:cstheme="minorHAnsi"/>
                <w:color w:val="000000"/>
                <w:sz w:val="24"/>
                <w:szCs w:val="24"/>
                <w:lang w:eastAsia="pt-BR"/>
              </w:rPr>
              <w:t xml:space="preserve"> em a entidade que</w:t>
            </w:r>
            <w:r w:rsidR="008445D0" w:rsidRPr="00704883">
              <w:rPr>
                <w:rFonts w:ascii="Calibri" w:eastAsia="Times New Roman" w:hAnsi="Calibri" w:cstheme="minorHAnsi"/>
                <w:color w:val="000000"/>
                <w:sz w:val="24"/>
                <w:szCs w:val="24"/>
                <w:lang w:eastAsia="pt-BR"/>
              </w:rPr>
              <w:t xml:space="preserve"> receber do patrocinador a notificação sobre a decisão da retirada de patrocínio ou o patrocinador receber a notificação da entidade sobre a decisão da rescisão unilateral de convênio de adesão, relativamente a determinado plano de benefícios</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76A04082" w14:textId="375A7C99" w:rsidR="00704883" w:rsidRPr="00704883" w:rsidRDefault="008445D0" w:rsidP="00704883">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Fusão das definições de data </w:t>
            </w:r>
            <w:r w:rsidR="008A7C89">
              <w:rPr>
                <w:rFonts w:ascii="Calibri" w:eastAsia="Times New Roman" w:hAnsi="Calibri" w:cs="Calibri"/>
                <w:color w:val="000000"/>
                <w:sz w:val="24"/>
                <w:szCs w:val="24"/>
                <w:lang w:eastAsia="pt-BR"/>
              </w:rPr>
              <w:t>da notificação</w:t>
            </w:r>
            <w:r>
              <w:rPr>
                <w:rFonts w:ascii="Calibri" w:eastAsia="Times New Roman" w:hAnsi="Calibri" w:cs="Calibri"/>
                <w:color w:val="000000"/>
                <w:sz w:val="24"/>
                <w:szCs w:val="24"/>
                <w:lang w:eastAsia="pt-BR"/>
              </w:rPr>
              <w:t xml:space="preserve"> para transferência de gerenciamento, retirada de patrocínio e rescisão unilateral de convênio de adesão.</w:t>
            </w:r>
          </w:p>
        </w:tc>
      </w:tr>
      <w:tr w:rsidR="00704883" w:rsidRPr="00704883" w14:paraId="7358539D"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A07CAAC"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protocolo: aquela em que a entidade de origem protocolar o requerimento de Licenciamento de transferência de gerenciamento na Superintendência Nacional de Previdência Complementar (Previc); </w:t>
            </w:r>
          </w:p>
        </w:tc>
        <w:tc>
          <w:tcPr>
            <w:tcW w:w="1660" w:type="pct"/>
            <w:tcBorders>
              <w:top w:val="nil"/>
              <w:left w:val="nil"/>
              <w:bottom w:val="single" w:sz="4" w:space="0" w:color="auto"/>
              <w:right w:val="single" w:sz="4" w:space="0" w:color="auto"/>
            </w:tcBorders>
            <w:shd w:val="clear" w:color="auto" w:fill="auto"/>
            <w:vAlign w:val="center"/>
            <w:hideMark/>
          </w:tcPr>
          <w:p w14:paraId="17F71FFF" w14:textId="20B648B3"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XII - data de protocolo: aquela em que a entidade de origem protocolar o requerimento de </w:t>
            </w:r>
            <w:r w:rsidR="008445D0">
              <w:rPr>
                <w:rFonts w:ascii="Calibri" w:eastAsia="Times New Roman" w:hAnsi="Calibri" w:cs="Calibri"/>
                <w:color w:val="000000"/>
                <w:sz w:val="24"/>
                <w:szCs w:val="24"/>
                <w:lang w:eastAsia="pt-BR"/>
              </w:rPr>
              <w:t>l</w:t>
            </w:r>
            <w:r w:rsidRPr="00704883">
              <w:rPr>
                <w:rFonts w:ascii="Calibri" w:eastAsia="Times New Roman" w:hAnsi="Calibri" w:cs="Calibri"/>
                <w:color w:val="000000"/>
                <w:sz w:val="24"/>
                <w:szCs w:val="24"/>
                <w:lang w:eastAsia="pt-BR"/>
              </w:rPr>
              <w:t>icenciamento de transferência de gerenciamento</w:t>
            </w:r>
            <w:r w:rsidR="008445D0">
              <w:rPr>
                <w:rFonts w:ascii="Calibri" w:eastAsia="Times New Roman" w:hAnsi="Calibri" w:cs="Calibri"/>
                <w:color w:val="000000"/>
                <w:sz w:val="24"/>
                <w:szCs w:val="24"/>
                <w:lang w:eastAsia="pt-BR"/>
              </w:rPr>
              <w:t xml:space="preserve"> junto à Previc e </w:t>
            </w:r>
            <w:r w:rsidR="008445D0" w:rsidRPr="00704883">
              <w:rPr>
                <w:rFonts w:ascii="Calibri" w:eastAsia="Times New Roman" w:hAnsi="Calibri" w:cstheme="minorHAnsi"/>
                <w:color w:val="000000"/>
                <w:sz w:val="24"/>
                <w:szCs w:val="24"/>
                <w:lang w:eastAsia="pt-BR"/>
              </w:rPr>
              <w:t>aquela na qual</w:t>
            </w:r>
            <w:r w:rsidR="008445D0">
              <w:rPr>
                <w:rFonts w:ascii="Calibri" w:eastAsia="Times New Roman" w:hAnsi="Calibri" w:cstheme="minorHAnsi"/>
                <w:color w:val="000000"/>
                <w:sz w:val="24"/>
                <w:szCs w:val="24"/>
                <w:lang w:eastAsia="pt-BR"/>
              </w:rPr>
              <w:t xml:space="preserve"> a entidade</w:t>
            </w:r>
            <w:r w:rsidR="008445D0" w:rsidRPr="00704883">
              <w:rPr>
                <w:rFonts w:ascii="Calibri" w:eastAsia="Times New Roman" w:hAnsi="Calibri" w:cstheme="minorHAnsi"/>
                <w:color w:val="000000"/>
                <w:sz w:val="24"/>
                <w:szCs w:val="24"/>
                <w:lang w:eastAsia="pt-BR"/>
              </w:rPr>
              <w:t xml:space="preserve"> protocolar o requerimento de licenciamento de retirada de patrocínio ou de rescisão unilateral de convênio de adesão junto à</w:t>
            </w:r>
            <w:r w:rsidR="008445D0">
              <w:rPr>
                <w:rFonts w:ascii="Calibri" w:eastAsia="Times New Roman" w:hAnsi="Calibri" w:cstheme="minorHAnsi"/>
                <w:color w:val="000000"/>
                <w:sz w:val="24"/>
                <w:szCs w:val="24"/>
                <w:lang w:eastAsia="pt-BR"/>
              </w:rPr>
              <w:t xml:space="preserve"> </w:t>
            </w:r>
            <w:r w:rsidR="008445D0" w:rsidRPr="00704883">
              <w:rPr>
                <w:rFonts w:ascii="Calibri" w:eastAsia="Times New Roman" w:hAnsi="Calibri" w:cstheme="minorHAnsi"/>
                <w:color w:val="000000"/>
                <w:sz w:val="24"/>
                <w:szCs w:val="24"/>
                <w:lang w:eastAsia="pt-BR"/>
              </w:rPr>
              <w:t>Previc, no prazo de até duzentos e quarenta dias, contados da data da notificação</w:t>
            </w:r>
            <w:r w:rsidRPr="00704883">
              <w:rPr>
                <w:rFonts w:ascii="Calibri" w:eastAsia="Times New Roman" w:hAnsi="Calibri" w:cs="Calibri"/>
                <w:color w:val="000000"/>
                <w:sz w:val="24"/>
                <w:szCs w:val="24"/>
                <w:lang w:eastAsia="pt-BR"/>
              </w:rPr>
              <w:t xml:space="preserve"> na Previc;</w:t>
            </w:r>
          </w:p>
        </w:tc>
        <w:tc>
          <w:tcPr>
            <w:tcW w:w="1679" w:type="pct"/>
            <w:tcBorders>
              <w:top w:val="nil"/>
              <w:left w:val="nil"/>
              <w:bottom w:val="single" w:sz="4" w:space="0" w:color="auto"/>
              <w:right w:val="single" w:sz="4" w:space="0" w:color="auto"/>
            </w:tcBorders>
            <w:shd w:val="clear" w:color="auto" w:fill="auto"/>
            <w:vAlign w:val="center"/>
            <w:hideMark/>
          </w:tcPr>
          <w:p w14:paraId="7E9348AF" w14:textId="77D8DBD2" w:rsidR="00704883" w:rsidRPr="00704883" w:rsidRDefault="008445D0" w:rsidP="00704883">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Fusão das definições de data de protocolo para transferência de gerenciamento, retirada de patrocínio e rescisão unilateral de convênio de adesão. </w:t>
            </w:r>
          </w:p>
        </w:tc>
      </w:tr>
      <w:tr w:rsidR="00704883" w:rsidRPr="00704883" w14:paraId="2F533CB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8C998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data de autorização: aquela em que for publicado, no Diário Oficial da União, o ato da Previc que autorizar a transferência de gerenciamento; </w:t>
            </w:r>
          </w:p>
        </w:tc>
        <w:tc>
          <w:tcPr>
            <w:tcW w:w="1660" w:type="pct"/>
            <w:tcBorders>
              <w:top w:val="nil"/>
              <w:left w:val="nil"/>
              <w:bottom w:val="single" w:sz="4" w:space="0" w:color="auto"/>
              <w:right w:val="single" w:sz="4" w:space="0" w:color="auto"/>
            </w:tcBorders>
            <w:shd w:val="clear" w:color="auto" w:fill="auto"/>
            <w:vAlign w:val="center"/>
            <w:hideMark/>
          </w:tcPr>
          <w:p w14:paraId="12EBCF9B" w14:textId="69BDC042" w:rsidR="00704883" w:rsidRPr="00704883" w:rsidRDefault="008A7C89" w:rsidP="00704883">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Excluir</w:t>
            </w:r>
          </w:p>
        </w:tc>
        <w:tc>
          <w:tcPr>
            <w:tcW w:w="1679" w:type="pct"/>
            <w:tcBorders>
              <w:top w:val="nil"/>
              <w:left w:val="nil"/>
              <w:bottom w:val="single" w:sz="4" w:space="0" w:color="auto"/>
              <w:right w:val="single" w:sz="4" w:space="0" w:color="auto"/>
            </w:tcBorders>
            <w:shd w:val="clear" w:color="auto" w:fill="auto"/>
            <w:vAlign w:val="center"/>
            <w:hideMark/>
          </w:tcPr>
          <w:p w14:paraId="7B8819D0" w14:textId="45177182"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8A7C89">
              <w:rPr>
                <w:rFonts w:ascii="Calibri" w:eastAsia="Times New Roman" w:hAnsi="Calibri" w:cs="Calibri"/>
                <w:color w:val="000000"/>
                <w:sz w:val="24"/>
                <w:szCs w:val="24"/>
                <w:lang w:eastAsia="pt-BR"/>
              </w:rPr>
              <w:t>Conceito incluído no inciso II.</w:t>
            </w:r>
          </w:p>
        </w:tc>
      </w:tr>
      <w:tr w:rsidR="00704883" w:rsidRPr="00704883" w14:paraId="3A39ECF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74D37EF" w14:textId="77777777"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data-efetiva</w:t>
            </w:r>
            <w:proofErr w:type="gramEnd"/>
            <w:r w:rsidRPr="00704883">
              <w:rPr>
                <w:rFonts w:ascii="Calibri" w:eastAsia="Times New Roman" w:hAnsi="Calibri" w:cs="Calibri"/>
                <w:color w:val="000000"/>
                <w:sz w:val="24"/>
                <w:szCs w:val="24"/>
                <w:lang w:eastAsia="pt-BR"/>
              </w:rPr>
              <w:t xml:space="preserve">: aquela acordada formalmente entre as entidades de origem e de destino e o patrocinador para a conclusão da transferência de gerenciamento, com o cumprimento do Termo de Transferência; e </w:t>
            </w:r>
          </w:p>
        </w:tc>
        <w:tc>
          <w:tcPr>
            <w:tcW w:w="1660" w:type="pct"/>
            <w:tcBorders>
              <w:top w:val="nil"/>
              <w:left w:val="nil"/>
              <w:bottom w:val="single" w:sz="4" w:space="0" w:color="auto"/>
              <w:right w:val="single" w:sz="4" w:space="0" w:color="auto"/>
            </w:tcBorders>
            <w:shd w:val="clear" w:color="auto" w:fill="auto"/>
            <w:vAlign w:val="center"/>
            <w:hideMark/>
          </w:tcPr>
          <w:p w14:paraId="5867A48A" w14:textId="45352EE1" w:rsidR="00704883" w:rsidRPr="00704883" w:rsidRDefault="00734D5B" w:rsidP="00704883">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Excluir</w:t>
            </w:r>
          </w:p>
        </w:tc>
        <w:tc>
          <w:tcPr>
            <w:tcW w:w="1679" w:type="pct"/>
            <w:tcBorders>
              <w:top w:val="nil"/>
              <w:left w:val="nil"/>
              <w:bottom w:val="single" w:sz="4" w:space="0" w:color="auto"/>
              <w:right w:val="single" w:sz="4" w:space="0" w:color="auto"/>
            </w:tcBorders>
            <w:shd w:val="clear" w:color="auto" w:fill="auto"/>
            <w:vAlign w:val="center"/>
            <w:hideMark/>
          </w:tcPr>
          <w:p w14:paraId="1B201E5F" w14:textId="3231726A" w:rsidR="00704883" w:rsidRPr="00704883" w:rsidRDefault="00704883" w:rsidP="00704883">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C359E3">
              <w:rPr>
                <w:rFonts w:ascii="Calibri" w:eastAsia="Times New Roman" w:hAnsi="Calibri" w:cs="Calibri"/>
                <w:color w:val="000000"/>
                <w:sz w:val="24"/>
                <w:szCs w:val="24"/>
                <w:lang w:eastAsia="pt-BR"/>
              </w:rPr>
              <w:t>Conceito incluído no inciso IV.</w:t>
            </w:r>
          </w:p>
        </w:tc>
      </w:tr>
      <w:tr w:rsidR="007D78B6" w:rsidRPr="00704883" w14:paraId="323C707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tcPr>
          <w:p w14:paraId="782DA78E" w14:textId="6E16D6F3"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270ACC">
              <w:rPr>
                <w:rFonts w:ascii="Calibri" w:eastAsia="Times New Roman" w:hAnsi="Calibri" w:cs="Calibri"/>
                <w:color w:val="000000"/>
                <w:sz w:val="24"/>
                <w:szCs w:val="24"/>
                <w:lang w:eastAsia="pt-BR"/>
              </w:rPr>
              <w:t xml:space="preserve">V - </w:t>
            </w:r>
            <w:proofErr w:type="gramStart"/>
            <w:r w:rsidRPr="00270ACC">
              <w:rPr>
                <w:rFonts w:ascii="Calibri" w:eastAsia="Times New Roman" w:hAnsi="Calibri" w:cs="Calibri"/>
                <w:color w:val="000000"/>
                <w:sz w:val="24"/>
                <w:szCs w:val="24"/>
                <w:lang w:eastAsia="pt-BR"/>
              </w:rPr>
              <w:t>plano</w:t>
            </w:r>
            <w:proofErr w:type="gramEnd"/>
            <w:r w:rsidRPr="00270ACC">
              <w:rPr>
                <w:rFonts w:ascii="Calibri" w:eastAsia="Times New Roman" w:hAnsi="Calibri" w:cs="Calibri"/>
                <w:color w:val="000000"/>
                <w:sz w:val="24"/>
                <w:szCs w:val="24"/>
                <w:lang w:eastAsia="pt-BR"/>
              </w:rPr>
              <w:t xml:space="preserve"> de transferência de gerenciamento: documento pactuado entre o patrocinador e as entidades de origem e de destino, contemplando, pelo menos, a definição de cronograma, as diretrizes relacionadas à elaboração do</w:t>
            </w:r>
            <w:r>
              <w:rPr>
                <w:rFonts w:ascii="Arial" w:hAnsi="Arial" w:cs="Arial"/>
                <w:color w:val="162937"/>
                <w:sz w:val="27"/>
                <w:szCs w:val="27"/>
                <w:shd w:val="clear" w:color="auto" w:fill="FFFFFF"/>
              </w:rPr>
              <w:t xml:space="preserve"> </w:t>
            </w:r>
            <w:r w:rsidRPr="00270ACC">
              <w:rPr>
                <w:rFonts w:ascii="Calibri" w:eastAsia="Times New Roman" w:hAnsi="Calibri" w:cs="Calibri"/>
                <w:color w:val="000000"/>
                <w:sz w:val="24"/>
                <w:szCs w:val="24"/>
                <w:lang w:eastAsia="pt-BR"/>
              </w:rPr>
              <w:t xml:space="preserve">Termo de Transferência e a forma de disponibilização de </w:t>
            </w:r>
            <w:r w:rsidRPr="00270ACC">
              <w:rPr>
                <w:rFonts w:ascii="Calibri" w:eastAsia="Times New Roman" w:hAnsi="Calibri" w:cs="Calibri"/>
                <w:color w:val="000000"/>
                <w:sz w:val="24"/>
                <w:szCs w:val="24"/>
                <w:lang w:eastAsia="pt-BR"/>
              </w:rPr>
              <w:lastRenderedPageBreak/>
              <w:t>documentos e informações para viabilizar a operação.</w:t>
            </w:r>
          </w:p>
        </w:tc>
        <w:tc>
          <w:tcPr>
            <w:tcW w:w="1660" w:type="pct"/>
            <w:tcBorders>
              <w:top w:val="nil"/>
              <w:left w:val="nil"/>
              <w:bottom w:val="single" w:sz="4" w:space="0" w:color="auto"/>
              <w:right w:val="single" w:sz="4" w:space="0" w:color="auto"/>
            </w:tcBorders>
            <w:shd w:val="clear" w:color="auto" w:fill="auto"/>
            <w:vAlign w:val="center"/>
          </w:tcPr>
          <w:p w14:paraId="0A81FCFB" w14:textId="779A3FF8" w:rsidR="007D78B6" w:rsidRDefault="007D78B6" w:rsidP="007D78B6">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lastRenderedPageBreak/>
              <w:t>XIII</w:t>
            </w:r>
            <w:r w:rsidRPr="00270ACC">
              <w:rPr>
                <w:rFonts w:ascii="Calibri" w:eastAsia="Times New Roman" w:hAnsi="Calibri" w:cs="Calibri"/>
                <w:color w:val="000000"/>
                <w:sz w:val="24"/>
                <w:szCs w:val="24"/>
                <w:lang w:eastAsia="pt-BR"/>
              </w:rPr>
              <w:t xml:space="preserve"> - plano de transferência de gerenciamento: documento pactuado entre o patrocinador e as entidades de origem e de destino, contemplando, pelo menos, a definição de cronograma, as diretrizes relacionadas à elaboração do</w:t>
            </w:r>
            <w:r>
              <w:rPr>
                <w:rFonts w:ascii="Arial" w:hAnsi="Arial" w:cs="Arial"/>
                <w:color w:val="162937"/>
                <w:sz w:val="27"/>
                <w:szCs w:val="27"/>
                <w:shd w:val="clear" w:color="auto" w:fill="FFFFFF"/>
              </w:rPr>
              <w:t xml:space="preserve"> </w:t>
            </w:r>
            <w:r w:rsidRPr="00270ACC">
              <w:rPr>
                <w:rFonts w:ascii="Calibri" w:eastAsia="Times New Roman" w:hAnsi="Calibri" w:cs="Calibri"/>
                <w:color w:val="000000"/>
                <w:sz w:val="24"/>
                <w:szCs w:val="24"/>
                <w:lang w:eastAsia="pt-BR"/>
              </w:rPr>
              <w:t xml:space="preserve">Termo de Transferência e a forma de disponibilização de </w:t>
            </w:r>
            <w:r w:rsidRPr="00270ACC">
              <w:rPr>
                <w:rFonts w:ascii="Calibri" w:eastAsia="Times New Roman" w:hAnsi="Calibri" w:cs="Calibri"/>
                <w:color w:val="000000"/>
                <w:sz w:val="24"/>
                <w:szCs w:val="24"/>
                <w:lang w:eastAsia="pt-BR"/>
              </w:rPr>
              <w:lastRenderedPageBreak/>
              <w:t>documentos e informações para viabilizar a operação.</w:t>
            </w:r>
          </w:p>
        </w:tc>
        <w:tc>
          <w:tcPr>
            <w:tcW w:w="1679" w:type="pct"/>
            <w:tcBorders>
              <w:top w:val="nil"/>
              <w:left w:val="nil"/>
              <w:bottom w:val="single" w:sz="4" w:space="0" w:color="auto"/>
              <w:right w:val="single" w:sz="4" w:space="0" w:color="auto"/>
            </w:tcBorders>
            <w:shd w:val="clear" w:color="auto" w:fill="auto"/>
            <w:vAlign w:val="center"/>
          </w:tcPr>
          <w:p w14:paraId="37D2EF8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
        </w:tc>
      </w:tr>
      <w:tr w:rsidR="007D78B6" w:rsidRPr="00704883" w14:paraId="57A7138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B4594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Os requerimentos de licenciamento devem ser analisados em duas fases, excetuados os casos previstos no Capítulo V: </w:t>
            </w:r>
          </w:p>
        </w:tc>
        <w:tc>
          <w:tcPr>
            <w:tcW w:w="1660" w:type="pct"/>
            <w:tcBorders>
              <w:top w:val="nil"/>
              <w:left w:val="nil"/>
              <w:bottom w:val="single" w:sz="4" w:space="0" w:color="auto"/>
              <w:right w:val="single" w:sz="4" w:space="0" w:color="auto"/>
            </w:tcBorders>
            <w:shd w:val="clear" w:color="auto" w:fill="auto"/>
            <w:vAlign w:val="center"/>
            <w:hideMark/>
          </w:tcPr>
          <w:p w14:paraId="176D55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8873F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Mantido em sua seção original, está aqui apenas referenciar.</w:t>
            </w:r>
          </w:p>
        </w:tc>
      </w:tr>
      <w:tr w:rsidR="007D78B6" w:rsidRPr="00704883" w14:paraId="18546479"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FA518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fase</w:t>
            </w:r>
            <w:proofErr w:type="gramEnd"/>
            <w:r w:rsidRPr="00704883">
              <w:rPr>
                <w:rFonts w:ascii="Calibri" w:eastAsia="Times New Roman" w:hAnsi="Calibri" w:cs="Calibri"/>
                <w:color w:val="000000"/>
                <w:sz w:val="24"/>
                <w:szCs w:val="24"/>
                <w:lang w:eastAsia="pt-BR"/>
              </w:rPr>
              <w:t xml:space="preserve"> de instrução: período no qual deve ser avaliada a completude das informações e dos documentos necessários e o atendimento a todas as condições estabelecidas para o tipo de requerimento; e </w:t>
            </w:r>
          </w:p>
        </w:tc>
        <w:tc>
          <w:tcPr>
            <w:tcW w:w="1660" w:type="pct"/>
            <w:tcBorders>
              <w:top w:val="nil"/>
              <w:left w:val="nil"/>
              <w:bottom w:val="single" w:sz="4" w:space="0" w:color="auto"/>
              <w:right w:val="single" w:sz="4" w:space="0" w:color="auto"/>
            </w:tcBorders>
            <w:shd w:val="clear" w:color="auto" w:fill="auto"/>
            <w:vAlign w:val="center"/>
            <w:hideMark/>
          </w:tcPr>
          <w:p w14:paraId="3BA9ED5F" w14:textId="04F0A8D1"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w:t>
            </w:r>
            <w:r>
              <w:rPr>
                <w:rFonts w:ascii="Calibri" w:eastAsia="Times New Roman" w:hAnsi="Calibri" w:cs="Calibri"/>
                <w:color w:val="000000"/>
                <w:sz w:val="24"/>
                <w:szCs w:val="24"/>
                <w:lang w:eastAsia="pt-BR"/>
              </w:rPr>
              <w:t>IV</w:t>
            </w:r>
            <w:r w:rsidRPr="00704883">
              <w:rPr>
                <w:rFonts w:ascii="Calibri" w:eastAsia="Times New Roman" w:hAnsi="Calibri" w:cs="Calibri"/>
                <w:color w:val="000000"/>
                <w:sz w:val="24"/>
                <w:szCs w:val="24"/>
                <w:lang w:eastAsia="pt-BR"/>
              </w:rPr>
              <w:t xml:space="preserve"> - fase de instrução: período no qual deve ser avaliada a completude das informações e dos documentos necessários e o atendimento a todas as condições estabelecidas para o tipo de requerimento; </w:t>
            </w:r>
          </w:p>
        </w:tc>
        <w:tc>
          <w:tcPr>
            <w:tcW w:w="1679" w:type="pct"/>
            <w:tcBorders>
              <w:top w:val="nil"/>
              <w:left w:val="nil"/>
              <w:bottom w:val="single" w:sz="4" w:space="0" w:color="auto"/>
              <w:right w:val="single" w:sz="4" w:space="0" w:color="auto"/>
            </w:tcBorders>
            <w:shd w:val="clear" w:color="auto" w:fill="auto"/>
            <w:vAlign w:val="center"/>
            <w:hideMark/>
          </w:tcPr>
          <w:p w14:paraId="01042D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D18BB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9F3F2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fase</w:t>
            </w:r>
            <w:proofErr w:type="gramEnd"/>
            <w:r w:rsidRPr="00704883">
              <w:rPr>
                <w:rFonts w:ascii="Calibri" w:eastAsia="Times New Roman" w:hAnsi="Calibri" w:cs="Calibri"/>
                <w:color w:val="000000"/>
                <w:sz w:val="24"/>
                <w:szCs w:val="24"/>
                <w:lang w:eastAsia="pt-BR"/>
              </w:rPr>
              <w:t xml:space="preserve"> de decisão: período no qual deve ser emitida a manifestação final da Previc acerca do licenciamento requerido. </w:t>
            </w:r>
          </w:p>
        </w:tc>
        <w:tc>
          <w:tcPr>
            <w:tcW w:w="1660" w:type="pct"/>
            <w:tcBorders>
              <w:top w:val="nil"/>
              <w:left w:val="nil"/>
              <w:bottom w:val="single" w:sz="4" w:space="0" w:color="auto"/>
              <w:right w:val="single" w:sz="4" w:space="0" w:color="auto"/>
            </w:tcBorders>
            <w:shd w:val="clear" w:color="auto" w:fill="auto"/>
            <w:vAlign w:val="center"/>
            <w:hideMark/>
          </w:tcPr>
          <w:p w14:paraId="1046FEFF" w14:textId="1F8917D2"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 - </w:t>
            </w:r>
            <w:proofErr w:type="gramStart"/>
            <w:r w:rsidRPr="00704883">
              <w:rPr>
                <w:rFonts w:ascii="Calibri" w:eastAsia="Times New Roman" w:hAnsi="Calibri" w:cs="Calibri"/>
                <w:color w:val="000000"/>
                <w:sz w:val="24"/>
                <w:szCs w:val="24"/>
                <w:lang w:eastAsia="pt-BR"/>
              </w:rPr>
              <w:t>fase</w:t>
            </w:r>
            <w:proofErr w:type="gramEnd"/>
            <w:r w:rsidRPr="00704883">
              <w:rPr>
                <w:rFonts w:ascii="Calibri" w:eastAsia="Times New Roman" w:hAnsi="Calibri" w:cs="Calibri"/>
                <w:color w:val="000000"/>
                <w:sz w:val="24"/>
                <w:szCs w:val="24"/>
                <w:lang w:eastAsia="pt-BR"/>
              </w:rPr>
              <w:t xml:space="preserve"> de decisão: período no qual deve ser emitida a manifestação final da Previc acerca do licenciamento requerido;</w:t>
            </w:r>
          </w:p>
        </w:tc>
        <w:tc>
          <w:tcPr>
            <w:tcW w:w="1679" w:type="pct"/>
            <w:tcBorders>
              <w:top w:val="nil"/>
              <w:left w:val="nil"/>
              <w:bottom w:val="single" w:sz="4" w:space="0" w:color="auto"/>
              <w:right w:val="single" w:sz="4" w:space="0" w:color="auto"/>
            </w:tcBorders>
            <w:shd w:val="clear" w:color="auto" w:fill="auto"/>
            <w:vAlign w:val="center"/>
            <w:hideMark/>
          </w:tcPr>
          <w:p w14:paraId="0EB138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42E1160" w14:textId="77777777" w:rsidTr="00704883">
        <w:trPr>
          <w:trHeight w:val="3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4EA1065"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Resolução Previc nº 15, de 20 de setembro de 2022.</w:t>
            </w:r>
          </w:p>
        </w:tc>
        <w:tc>
          <w:tcPr>
            <w:tcW w:w="1660" w:type="pct"/>
            <w:tcBorders>
              <w:top w:val="nil"/>
              <w:left w:val="nil"/>
              <w:bottom w:val="single" w:sz="4" w:space="0" w:color="auto"/>
              <w:right w:val="single" w:sz="4" w:space="0" w:color="auto"/>
            </w:tcBorders>
            <w:shd w:val="clear" w:color="auto" w:fill="auto"/>
            <w:vAlign w:val="center"/>
            <w:hideMark/>
          </w:tcPr>
          <w:p w14:paraId="0283EA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9D67AB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FE0AE5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5D736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2º Para os fins desta Resolução, além das definições estabelecidas pela Resolução CNPC nº 53, de 10 de março de 2022, considera-se: </w:t>
            </w:r>
          </w:p>
        </w:tc>
        <w:tc>
          <w:tcPr>
            <w:tcW w:w="1660" w:type="pct"/>
            <w:tcBorders>
              <w:top w:val="nil"/>
              <w:left w:val="nil"/>
              <w:bottom w:val="single" w:sz="4" w:space="0" w:color="auto"/>
              <w:right w:val="single" w:sz="4" w:space="0" w:color="auto"/>
            </w:tcBorders>
            <w:shd w:val="clear" w:color="auto" w:fill="auto"/>
            <w:vAlign w:val="center"/>
            <w:hideMark/>
          </w:tcPr>
          <w:p w14:paraId="4A2032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03D047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30A2555F"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98CC4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2862EE5B" w14:textId="13A976F1"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theme="minorHAnsi"/>
                <w:color w:val="000000"/>
                <w:sz w:val="24"/>
                <w:szCs w:val="24"/>
                <w:lang w:eastAsia="pt-BR"/>
              </w:rPr>
              <w:t>Excluir</w:t>
            </w:r>
            <w:r w:rsidRPr="00704883">
              <w:rPr>
                <w:rFonts w:ascii="Calibri" w:eastAsia="Times New Roman" w:hAnsi="Calibri" w:cstheme="minorHAns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765EDF1D" w14:textId="1A634A08"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Pr>
                <w:rFonts w:ascii="Calibri" w:eastAsia="Times New Roman" w:hAnsi="Calibri" w:cs="Calibri"/>
                <w:color w:val="000000"/>
                <w:sz w:val="24"/>
                <w:szCs w:val="24"/>
                <w:lang w:eastAsia="pt-BR"/>
              </w:rPr>
              <w:t>Fusão com inciso XI.</w:t>
            </w:r>
          </w:p>
        </w:tc>
      </w:tr>
      <w:tr w:rsidR="007D78B6" w:rsidRPr="00704883" w14:paraId="091B5D0B"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EB1DE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 </w:t>
            </w:r>
          </w:p>
        </w:tc>
        <w:tc>
          <w:tcPr>
            <w:tcW w:w="1660" w:type="pct"/>
            <w:tcBorders>
              <w:top w:val="nil"/>
              <w:left w:val="nil"/>
              <w:bottom w:val="single" w:sz="4" w:space="0" w:color="auto"/>
              <w:right w:val="single" w:sz="4" w:space="0" w:color="auto"/>
            </w:tcBorders>
            <w:shd w:val="clear" w:color="auto" w:fill="auto"/>
            <w:vAlign w:val="center"/>
            <w:hideMark/>
          </w:tcPr>
          <w:p w14:paraId="68B0B44D" w14:textId="562CFC05"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theme="minorHAnsi"/>
                <w:color w:val="000000"/>
                <w:sz w:val="24"/>
                <w:szCs w:val="24"/>
                <w:lang w:eastAsia="pt-BR"/>
              </w:rPr>
              <w:t>Excluir</w:t>
            </w:r>
            <w:r w:rsidRPr="00704883">
              <w:rPr>
                <w:rFonts w:ascii="Calibri" w:eastAsia="Times New Roman" w:hAnsi="Calibri" w:cstheme="minorHAns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5E01E0D6" w14:textId="6A944362"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Fusão com o inciso XII.</w:t>
            </w:r>
          </w:p>
        </w:tc>
      </w:tr>
      <w:tr w:rsidR="007D78B6" w:rsidRPr="00704883" w14:paraId="488FBB0F"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9CD26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III - data de aporte: aquela na qual devem ocorrer os aportes de responsabilidade do patrocinador, previstos no termo de retirada de patrocínio ou de rescisão unilateral, no prazo de trinta dias, contados da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4E514663" w14:textId="5B8AF2D1"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X</w:t>
            </w:r>
            <w:r>
              <w:rPr>
                <w:rFonts w:ascii="Calibri" w:eastAsia="Times New Roman" w:hAnsi="Calibri" w:cstheme="minorHAnsi"/>
                <w:color w:val="000000"/>
                <w:sz w:val="24"/>
                <w:szCs w:val="24"/>
                <w:lang w:eastAsia="pt-BR"/>
              </w:rPr>
              <w:t>VI</w:t>
            </w:r>
            <w:r w:rsidRPr="00704883">
              <w:rPr>
                <w:rFonts w:ascii="Calibri" w:eastAsia="Times New Roman" w:hAnsi="Calibri" w:cstheme="minorHAnsi"/>
                <w:color w:val="000000"/>
                <w:sz w:val="24"/>
                <w:szCs w:val="24"/>
                <w:lang w:eastAsia="pt-BR"/>
              </w:rPr>
              <w:t xml:space="preserve"> - data de aporte: aquela na qual devem ocorrer os aportes de responsabilidade do patrocinador, previstos no termo de retirada de patrocínio ou de rescisão unilateral, no prazo de trinta dias, contados da data do cálculo; </w:t>
            </w:r>
            <w:r w:rsidR="00C80A1C">
              <w:rPr>
                <w:rFonts w:ascii="Calibri" w:eastAsia="Times New Roman" w:hAnsi="Calibri" w:cstheme="minorHAnsi"/>
                <w:color w:val="000000"/>
                <w:sz w:val="24"/>
                <w:szCs w:val="24"/>
                <w:lang w:eastAsia="pt-BR"/>
              </w:rPr>
              <w:t>e</w:t>
            </w:r>
          </w:p>
        </w:tc>
        <w:tc>
          <w:tcPr>
            <w:tcW w:w="1679" w:type="pct"/>
            <w:tcBorders>
              <w:top w:val="nil"/>
              <w:left w:val="nil"/>
              <w:bottom w:val="single" w:sz="4" w:space="0" w:color="auto"/>
              <w:right w:val="single" w:sz="4" w:space="0" w:color="auto"/>
            </w:tcBorders>
            <w:shd w:val="clear" w:color="auto" w:fill="auto"/>
            <w:vAlign w:val="center"/>
            <w:hideMark/>
          </w:tcPr>
          <w:p w14:paraId="1F061C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21B1D7"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0812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efetiva: aquela na qual a EFPC deve finalizar a liquidação dos compromissos previstos no termo de retirada de patrocínio ou de rescisão unilateral, no prazo máximo de duzentos e dez dias, contados da data do cálculo, observado o disposto no art. 9º; e </w:t>
            </w:r>
          </w:p>
        </w:tc>
        <w:tc>
          <w:tcPr>
            <w:tcW w:w="1660" w:type="pct"/>
            <w:tcBorders>
              <w:top w:val="nil"/>
              <w:left w:val="nil"/>
              <w:bottom w:val="single" w:sz="4" w:space="0" w:color="auto"/>
              <w:right w:val="single" w:sz="4" w:space="0" w:color="auto"/>
            </w:tcBorders>
            <w:shd w:val="clear" w:color="auto" w:fill="auto"/>
            <w:vAlign w:val="center"/>
            <w:hideMark/>
          </w:tcPr>
          <w:p w14:paraId="49CAFE31" w14:textId="0A50EF9C" w:rsidR="007D78B6" w:rsidRPr="00704883" w:rsidRDefault="007D78B6" w:rsidP="007D78B6">
            <w:pPr>
              <w:spacing w:after="0" w:line="240" w:lineRule="auto"/>
              <w:jc w:val="both"/>
              <w:rPr>
                <w:rFonts w:ascii="Calibri" w:eastAsia="Times New Roman" w:hAnsi="Calibri" w:cs="Calibri"/>
                <w:sz w:val="24"/>
                <w:szCs w:val="24"/>
                <w:lang w:eastAsia="pt-BR"/>
              </w:rPr>
            </w:pPr>
            <w:r>
              <w:rPr>
                <w:rFonts w:ascii="Calibri" w:eastAsia="Times New Roman" w:hAnsi="Calibri" w:cs="Calibri"/>
                <w:sz w:val="24"/>
                <w:szCs w:val="24"/>
                <w:lang w:eastAsia="pt-BR"/>
              </w:rPr>
              <w:t>Excluir.</w:t>
            </w:r>
          </w:p>
        </w:tc>
        <w:tc>
          <w:tcPr>
            <w:tcW w:w="1679" w:type="pct"/>
            <w:tcBorders>
              <w:top w:val="nil"/>
              <w:left w:val="nil"/>
              <w:bottom w:val="single" w:sz="4" w:space="0" w:color="auto"/>
              <w:right w:val="single" w:sz="4" w:space="0" w:color="auto"/>
            </w:tcBorders>
            <w:shd w:val="clear" w:color="auto" w:fill="auto"/>
            <w:vAlign w:val="center"/>
            <w:hideMark/>
          </w:tcPr>
          <w:p w14:paraId="0B866D74" w14:textId="7B4502F9"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Pr>
                <w:rFonts w:ascii="Calibri" w:eastAsia="Times New Roman" w:hAnsi="Calibri" w:cs="Calibri"/>
                <w:color w:val="000000"/>
                <w:sz w:val="24"/>
                <w:szCs w:val="24"/>
                <w:lang w:eastAsia="pt-BR"/>
              </w:rPr>
              <w:t>Fusão com inciso IV.</w:t>
            </w:r>
          </w:p>
        </w:tc>
      </w:tr>
      <w:tr w:rsidR="007D78B6" w:rsidRPr="00704883" w14:paraId="47D99C8F"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B04F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período</w:t>
            </w:r>
            <w:proofErr w:type="gramEnd"/>
            <w:r w:rsidRPr="00704883">
              <w:rPr>
                <w:rFonts w:ascii="Calibri" w:eastAsia="Times New Roman" w:hAnsi="Calibri" w:cstheme="minorHAnsi"/>
                <w:color w:val="000000"/>
                <w:sz w:val="24"/>
                <w:szCs w:val="24"/>
                <w:lang w:eastAsia="pt-BR"/>
              </w:rPr>
              <w:t xml:space="preserve"> de opção: prazo mínimo de trinta dias, concedido aos participantes e assistidos para o exercício das opções oferecidas em face da retirada de patrocínio ou da rescisão unilateral de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28E7163B" w14:textId="2A699C8C"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X</w:t>
            </w:r>
            <w:r>
              <w:rPr>
                <w:rFonts w:ascii="Calibri" w:eastAsia="Times New Roman" w:hAnsi="Calibri" w:cstheme="minorHAnsi"/>
                <w:color w:val="000000"/>
                <w:sz w:val="24"/>
                <w:szCs w:val="24"/>
                <w:lang w:eastAsia="pt-BR"/>
              </w:rPr>
              <w:t>V</w:t>
            </w:r>
            <w:r w:rsidRPr="00704883">
              <w:rPr>
                <w:rFonts w:ascii="Calibri" w:eastAsia="Times New Roman" w:hAnsi="Calibri" w:cstheme="minorHAnsi"/>
                <w:color w:val="000000"/>
                <w:sz w:val="24"/>
                <w:szCs w:val="24"/>
                <w:lang w:eastAsia="pt-BR"/>
              </w:rPr>
              <w:t>I</w:t>
            </w:r>
            <w:r>
              <w:rPr>
                <w:rFonts w:ascii="Calibri" w:eastAsia="Times New Roman" w:hAnsi="Calibri" w:cstheme="minorHAnsi"/>
                <w:color w:val="000000"/>
                <w:sz w:val="24"/>
                <w:szCs w:val="24"/>
                <w:lang w:eastAsia="pt-BR"/>
              </w:rPr>
              <w:t>I</w:t>
            </w:r>
            <w:r w:rsidRPr="00704883">
              <w:rPr>
                <w:rFonts w:ascii="Calibri" w:eastAsia="Times New Roman" w:hAnsi="Calibri" w:cstheme="minorHAnsi"/>
                <w:color w:val="000000"/>
                <w:sz w:val="24"/>
                <w:szCs w:val="24"/>
                <w:lang w:eastAsia="pt-BR"/>
              </w:rPr>
              <w:t xml:space="preserve"> - período de opção: prazo mínimo de trinta dias, concedido aos participantes e assistidos para o exercício das opções oferecidas em face da retirada de patrocínio ou da rescisão unilateral de convênio de adesão. </w:t>
            </w:r>
          </w:p>
        </w:tc>
        <w:tc>
          <w:tcPr>
            <w:tcW w:w="1679" w:type="pct"/>
            <w:tcBorders>
              <w:top w:val="nil"/>
              <w:left w:val="nil"/>
              <w:bottom w:val="single" w:sz="4" w:space="0" w:color="auto"/>
              <w:right w:val="single" w:sz="4" w:space="0" w:color="auto"/>
            </w:tcBorders>
            <w:shd w:val="clear" w:color="auto" w:fill="auto"/>
            <w:vAlign w:val="center"/>
            <w:hideMark/>
          </w:tcPr>
          <w:p w14:paraId="444C8D6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C17961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257E242"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9, de 30 de março de 2022</w:t>
            </w:r>
          </w:p>
        </w:tc>
        <w:tc>
          <w:tcPr>
            <w:tcW w:w="1660" w:type="pct"/>
            <w:tcBorders>
              <w:top w:val="nil"/>
              <w:left w:val="nil"/>
              <w:bottom w:val="single" w:sz="4" w:space="0" w:color="auto"/>
              <w:right w:val="single" w:sz="4" w:space="0" w:color="auto"/>
            </w:tcBorders>
            <w:shd w:val="clear" w:color="auto" w:fill="auto"/>
            <w:vAlign w:val="center"/>
            <w:hideMark/>
          </w:tcPr>
          <w:p w14:paraId="008FBC5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5384E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70FE47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E5FF0F"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60" w:type="pct"/>
            <w:tcBorders>
              <w:top w:val="nil"/>
              <w:left w:val="nil"/>
              <w:bottom w:val="nil"/>
              <w:right w:val="single" w:sz="4" w:space="0" w:color="auto"/>
            </w:tcBorders>
            <w:shd w:val="clear" w:color="auto" w:fill="auto"/>
            <w:vAlign w:val="center"/>
            <w:hideMark/>
          </w:tcPr>
          <w:p w14:paraId="2576A6B6"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II</w:t>
            </w:r>
            <w:r w:rsidRPr="00704883">
              <w:rPr>
                <w:rFonts w:ascii="Calibri" w:eastAsia="Times New Roman" w:hAnsi="Calibri" w:cs="Calibri"/>
                <w:b/>
                <w:bCs/>
                <w:color w:val="000000"/>
                <w:sz w:val="24"/>
                <w:szCs w:val="24"/>
                <w:lang w:eastAsia="pt-BR"/>
              </w:rPr>
              <w:br/>
              <w:t>Requerimentos de Licenciamento</w:t>
            </w:r>
          </w:p>
        </w:tc>
        <w:tc>
          <w:tcPr>
            <w:tcW w:w="1679" w:type="pct"/>
            <w:tcBorders>
              <w:top w:val="nil"/>
              <w:left w:val="nil"/>
              <w:bottom w:val="single" w:sz="4" w:space="0" w:color="auto"/>
              <w:right w:val="single" w:sz="4" w:space="0" w:color="auto"/>
            </w:tcBorders>
            <w:shd w:val="clear" w:color="auto" w:fill="auto"/>
            <w:vAlign w:val="center"/>
            <w:hideMark/>
          </w:tcPr>
          <w:p w14:paraId="53E659C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0815EFE"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BC7E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1º Esta Resolução dispõe sobre os prazos e os procedimentos que devem ser observados para decisão administrativa dos requerimentos de licenciamento apresentados à Superintendência Nacional de Previdência Complementar (Previc) pelas entidades fechadas de previdência complementar (EFPC). </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255382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FCF58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073CA16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25EB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São operações sujeitas ao licenciamento da Previc: </w:t>
            </w:r>
          </w:p>
        </w:tc>
        <w:tc>
          <w:tcPr>
            <w:tcW w:w="1660" w:type="pct"/>
            <w:tcBorders>
              <w:top w:val="nil"/>
              <w:left w:val="nil"/>
              <w:bottom w:val="single" w:sz="4" w:space="0" w:color="auto"/>
              <w:right w:val="single" w:sz="4" w:space="0" w:color="auto"/>
            </w:tcBorders>
            <w:shd w:val="clear" w:color="auto" w:fill="auto"/>
            <w:vAlign w:val="center"/>
            <w:hideMark/>
          </w:tcPr>
          <w:p w14:paraId="2FCD193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102.  São operações sujeitas ao licenciamento da Previc: </w:t>
            </w:r>
          </w:p>
        </w:tc>
        <w:tc>
          <w:tcPr>
            <w:tcW w:w="1679" w:type="pct"/>
            <w:tcBorders>
              <w:top w:val="nil"/>
              <w:left w:val="nil"/>
              <w:bottom w:val="single" w:sz="4" w:space="0" w:color="auto"/>
              <w:right w:val="single" w:sz="4" w:space="0" w:color="auto"/>
            </w:tcBorders>
            <w:shd w:val="clear" w:color="auto" w:fill="auto"/>
            <w:vAlign w:val="center"/>
            <w:hideMark/>
          </w:tcPr>
          <w:p w14:paraId="6A4C2BE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B67D3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C096C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constituição</w:t>
            </w:r>
            <w:proofErr w:type="gramEnd"/>
            <w:r w:rsidRPr="00704883">
              <w:rPr>
                <w:rFonts w:ascii="Calibri" w:eastAsia="Times New Roman" w:hAnsi="Calibri" w:cs="Calibri"/>
                <w:color w:val="000000"/>
                <w:sz w:val="24"/>
                <w:szCs w:val="24"/>
                <w:lang w:eastAsia="pt-BR"/>
              </w:rPr>
              <w:t xml:space="preserve"> de EFPC; </w:t>
            </w:r>
          </w:p>
        </w:tc>
        <w:tc>
          <w:tcPr>
            <w:tcW w:w="1660" w:type="pct"/>
            <w:tcBorders>
              <w:top w:val="nil"/>
              <w:left w:val="nil"/>
              <w:bottom w:val="single" w:sz="4" w:space="0" w:color="auto"/>
              <w:right w:val="single" w:sz="4" w:space="0" w:color="auto"/>
            </w:tcBorders>
            <w:shd w:val="clear" w:color="auto" w:fill="auto"/>
            <w:vAlign w:val="center"/>
            <w:hideMark/>
          </w:tcPr>
          <w:p w14:paraId="509AE4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constituição</w:t>
            </w:r>
            <w:proofErr w:type="gramEnd"/>
            <w:r w:rsidRPr="00704883">
              <w:rPr>
                <w:rFonts w:ascii="Calibri" w:eastAsia="Times New Roman" w:hAnsi="Calibri" w:cs="Calibri"/>
                <w:color w:val="000000"/>
                <w:sz w:val="24"/>
                <w:szCs w:val="24"/>
                <w:lang w:eastAsia="pt-BR"/>
              </w:rPr>
              <w:t xml:space="preserve"> de EFPC;</w:t>
            </w:r>
          </w:p>
        </w:tc>
        <w:tc>
          <w:tcPr>
            <w:tcW w:w="1679" w:type="pct"/>
            <w:tcBorders>
              <w:top w:val="nil"/>
              <w:left w:val="nil"/>
              <w:bottom w:val="single" w:sz="4" w:space="0" w:color="auto"/>
              <w:right w:val="single" w:sz="4" w:space="0" w:color="auto"/>
            </w:tcBorders>
            <w:shd w:val="clear" w:color="auto" w:fill="auto"/>
            <w:vAlign w:val="center"/>
            <w:hideMark/>
          </w:tcPr>
          <w:p w14:paraId="61399FD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5D60D0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5EF37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aplicação</w:t>
            </w:r>
            <w:proofErr w:type="gramEnd"/>
            <w:r w:rsidRPr="00704883">
              <w:rPr>
                <w:rFonts w:ascii="Calibri" w:eastAsia="Times New Roman" w:hAnsi="Calibri" w:cs="Calibri"/>
                <w:color w:val="000000"/>
                <w:sz w:val="24"/>
                <w:szCs w:val="24"/>
                <w:lang w:eastAsia="pt-BR"/>
              </w:rPr>
              <w:t xml:space="preserve"> de regulamento de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05226F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aplicação</w:t>
            </w:r>
            <w:proofErr w:type="gramEnd"/>
            <w:r w:rsidRPr="00704883">
              <w:rPr>
                <w:rFonts w:ascii="Calibri" w:eastAsia="Times New Roman" w:hAnsi="Calibri" w:cs="Calibri"/>
                <w:color w:val="000000"/>
                <w:sz w:val="24"/>
                <w:szCs w:val="24"/>
                <w:lang w:eastAsia="pt-BR"/>
              </w:rPr>
              <w:t xml:space="preserve"> de regulamento de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15151B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B3BFE8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FBED0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aprovação de convênio de adesão e suas alterações; </w:t>
            </w:r>
          </w:p>
        </w:tc>
        <w:tc>
          <w:tcPr>
            <w:tcW w:w="1660" w:type="pct"/>
            <w:tcBorders>
              <w:top w:val="nil"/>
              <w:left w:val="nil"/>
              <w:bottom w:val="single" w:sz="4" w:space="0" w:color="auto"/>
              <w:right w:val="single" w:sz="4" w:space="0" w:color="auto"/>
            </w:tcBorders>
            <w:shd w:val="clear" w:color="auto" w:fill="auto"/>
            <w:vAlign w:val="center"/>
            <w:hideMark/>
          </w:tcPr>
          <w:p w14:paraId="36614E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aprovação de convênio de adesão e suas alterações;</w:t>
            </w:r>
          </w:p>
        </w:tc>
        <w:tc>
          <w:tcPr>
            <w:tcW w:w="1679" w:type="pct"/>
            <w:tcBorders>
              <w:top w:val="nil"/>
              <w:left w:val="nil"/>
              <w:bottom w:val="single" w:sz="4" w:space="0" w:color="auto"/>
              <w:right w:val="single" w:sz="4" w:space="0" w:color="auto"/>
            </w:tcBorders>
            <w:shd w:val="clear" w:color="auto" w:fill="auto"/>
            <w:vAlign w:val="center"/>
            <w:hideMark/>
          </w:tcPr>
          <w:p w14:paraId="4E1874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A3BFC9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7A0F29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alteração</w:t>
            </w:r>
            <w:proofErr w:type="gramEnd"/>
            <w:r w:rsidRPr="00704883">
              <w:rPr>
                <w:rFonts w:ascii="Calibri" w:eastAsia="Times New Roman" w:hAnsi="Calibri" w:cs="Calibri"/>
                <w:color w:val="000000"/>
                <w:sz w:val="24"/>
                <w:szCs w:val="24"/>
                <w:lang w:eastAsia="pt-BR"/>
              </w:rPr>
              <w:t xml:space="preserve"> de estatuto; </w:t>
            </w:r>
          </w:p>
        </w:tc>
        <w:tc>
          <w:tcPr>
            <w:tcW w:w="1660" w:type="pct"/>
            <w:tcBorders>
              <w:top w:val="nil"/>
              <w:left w:val="nil"/>
              <w:bottom w:val="single" w:sz="4" w:space="0" w:color="auto"/>
              <w:right w:val="single" w:sz="4" w:space="0" w:color="auto"/>
            </w:tcBorders>
            <w:shd w:val="clear" w:color="auto" w:fill="auto"/>
            <w:vAlign w:val="center"/>
            <w:hideMark/>
          </w:tcPr>
          <w:p w14:paraId="24883B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alteração</w:t>
            </w:r>
            <w:proofErr w:type="gramEnd"/>
            <w:r w:rsidRPr="00704883">
              <w:rPr>
                <w:rFonts w:ascii="Calibri" w:eastAsia="Times New Roman" w:hAnsi="Calibri" w:cs="Calibri"/>
                <w:color w:val="000000"/>
                <w:sz w:val="24"/>
                <w:szCs w:val="24"/>
                <w:lang w:eastAsia="pt-BR"/>
              </w:rPr>
              <w:t xml:space="preserve"> de estatuto;</w:t>
            </w:r>
          </w:p>
        </w:tc>
        <w:tc>
          <w:tcPr>
            <w:tcW w:w="1679" w:type="pct"/>
            <w:tcBorders>
              <w:top w:val="nil"/>
              <w:left w:val="nil"/>
              <w:bottom w:val="single" w:sz="4" w:space="0" w:color="auto"/>
              <w:right w:val="single" w:sz="4" w:space="0" w:color="auto"/>
            </w:tcBorders>
            <w:shd w:val="clear" w:color="auto" w:fill="auto"/>
            <w:vAlign w:val="center"/>
            <w:hideMark/>
          </w:tcPr>
          <w:p w14:paraId="196E5E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822393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57096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V - </w:t>
            </w:r>
            <w:proofErr w:type="gramStart"/>
            <w:r w:rsidRPr="00704883">
              <w:rPr>
                <w:rFonts w:ascii="Calibri" w:eastAsia="Times New Roman" w:hAnsi="Calibri" w:cs="Calibri"/>
                <w:color w:val="000000"/>
                <w:sz w:val="24"/>
                <w:szCs w:val="24"/>
                <w:lang w:eastAsia="pt-BR"/>
              </w:rPr>
              <w:t>alteração</w:t>
            </w:r>
            <w:proofErr w:type="gramEnd"/>
            <w:r w:rsidRPr="00704883">
              <w:rPr>
                <w:rFonts w:ascii="Calibri" w:eastAsia="Times New Roman" w:hAnsi="Calibri" w:cs="Calibri"/>
                <w:color w:val="000000"/>
                <w:sz w:val="24"/>
                <w:szCs w:val="24"/>
                <w:lang w:eastAsia="pt-BR"/>
              </w:rPr>
              <w:t xml:space="preserve"> de regulamento de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68114D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alteração</w:t>
            </w:r>
            <w:proofErr w:type="gramEnd"/>
            <w:r w:rsidRPr="00704883">
              <w:rPr>
                <w:rFonts w:ascii="Calibri" w:eastAsia="Times New Roman" w:hAnsi="Calibri" w:cs="Calibri"/>
                <w:color w:val="000000"/>
                <w:sz w:val="24"/>
                <w:szCs w:val="24"/>
                <w:lang w:eastAsia="pt-BR"/>
              </w:rPr>
              <w:t xml:space="preserve"> de regulamento de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7AE1811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CB67B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FA593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spellStart"/>
            <w:proofErr w:type="gramStart"/>
            <w:r w:rsidRPr="00704883">
              <w:rPr>
                <w:rFonts w:ascii="Calibri" w:eastAsia="Times New Roman" w:hAnsi="Calibri" w:cs="Calibri"/>
                <w:color w:val="000000"/>
                <w:sz w:val="24"/>
                <w:szCs w:val="24"/>
                <w:lang w:eastAsia="pt-BR"/>
              </w:rPr>
              <w:t>saldamento</w:t>
            </w:r>
            <w:proofErr w:type="spellEnd"/>
            <w:proofErr w:type="gramEnd"/>
            <w:r w:rsidRPr="00704883">
              <w:rPr>
                <w:rFonts w:ascii="Calibri" w:eastAsia="Times New Roman" w:hAnsi="Calibri" w:cs="Calibri"/>
                <w:color w:val="000000"/>
                <w:sz w:val="24"/>
                <w:szCs w:val="24"/>
                <w:lang w:eastAsia="pt-BR"/>
              </w:rPr>
              <w:t xml:space="preserve"> de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063E339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spellStart"/>
            <w:proofErr w:type="gramStart"/>
            <w:r w:rsidRPr="00704883">
              <w:rPr>
                <w:rFonts w:ascii="Calibri" w:eastAsia="Times New Roman" w:hAnsi="Calibri" w:cs="Calibri"/>
                <w:color w:val="000000"/>
                <w:sz w:val="24"/>
                <w:szCs w:val="24"/>
                <w:lang w:eastAsia="pt-BR"/>
              </w:rPr>
              <w:t>saldamento</w:t>
            </w:r>
            <w:proofErr w:type="spellEnd"/>
            <w:proofErr w:type="gramEnd"/>
            <w:r w:rsidRPr="00704883">
              <w:rPr>
                <w:rFonts w:ascii="Calibri" w:eastAsia="Times New Roman" w:hAnsi="Calibri" w:cs="Calibri"/>
                <w:color w:val="000000"/>
                <w:sz w:val="24"/>
                <w:szCs w:val="24"/>
                <w:lang w:eastAsia="pt-BR"/>
              </w:rPr>
              <w:t xml:space="preserve"> de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1B4E8E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62A28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5595A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VII - transferência de gerenciamento de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535A92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 - transferência de gerenciamento de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54A34A3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3F1A85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E01F5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VIII - fusão, cisão e incorporação de planos de benefícios e de EFPC; </w:t>
            </w:r>
          </w:p>
        </w:tc>
        <w:tc>
          <w:tcPr>
            <w:tcW w:w="1660" w:type="pct"/>
            <w:tcBorders>
              <w:top w:val="nil"/>
              <w:left w:val="nil"/>
              <w:bottom w:val="single" w:sz="4" w:space="0" w:color="auto"/>
              <w:right w:val="single" w:sz="4" w:space="0" w:color="auto"/>
            </w:tcBorders>
            <w:shd w:val="clear" w:color="auto" w:fill="auto"/>
            <w:vAlign w:val="center"/>
            <w:hideMark/>
          </w:tcPr>
          <w:p w14:paraId="6C38DA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VIII - fusão, cisão e incorporação de planos de benefícios e de EFPC;</w:t>
            </w:r>
          </w:p>
        </w:tc>
        <w:tc>
          <w:tcPr>
            <w:tcW w:w="1679" w:type="pct"/>
            <w:tcBorders>
              <w:top w:val="nil"/>
              <w:left w:val="nil"/>
              <w:bottom w:val="single" w:sz="4" w:space="0" w:color="auto"/>
              <w:right w:val="single" w:sz="4" w:space="0" w:color="auto"/>
            </w:tcBorders>
            <w:shd w:val="clear" w:color="auto" w:fill="auto"/>
            <w:vAlign w:val="center"/>
            <w:hideMark/>
          </w:tcPr>
          <w:p w14:paraId="5C1530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5F4266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D3DA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IX - </w:t>
            </w:r>
            <w:proofErr w:type="gramStart"/>
            <w:r w:rsidRPr="00704883">
              <w:rPr>
                <w:rFonts w:ascii="Calibri" w:eastAsia="Times New Roman" w:hAnsi="Calibri" w:cs="Calibri"/>
                <w:color w:val="000000"/>
                <w:sz w:val="24"/>
                <w:szCs w:val="24"/>
                <w:lang w:eastAsia="pt-BR"/>
              </w:rPr>
              <w:t>migração</w:t>
            </w:r>
            <w:proofErr w:type="gramEnd"/>
            <w:r w:rsidRPr="00704883">
              <w:rPr>
                <w:rFonts w:ascii="Calibri" w:eastAsia="Times New Roman" w:hAnsi="Calibri" w:cs="Calibri"/>
                <w:color w:val="000000"/>
                <w:sz w:val="24"/>
                <w:szCs w:val="24"/>
                <w:lang w:eastAsia="pt-BR"/>
              </w:rPr>
              <w:t xml:space="preserve"> de participantes e assistidos; </w:t>
            </w:r>
          </w:p>
        </w:tc>
        <w:tc>
          <w:tcPr>
            <w:tcW w:w="1660" w:type="pct"/>
            <w:tcBorders>
              <w:top w:val="nil"/>
              <w:left w:val="nil"/>
              <w:bottom w:val="single" w:sz="4" w:space="0" w:color="auto"/>
              <w:right w:val="single" w:sz="4" w:space="0" w:color="auto"/>
            </w:tcBorders>
            <w:shd w:val="clear" w:color="auto" w:fill="auto"/>
            <w:vAlign w:val="center"/>
            <w:hideMark/>
          </w:tcPr>
          <w:p w14:paraId="526A03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IX - </w:t>
            </w:r>
            <w:proofErr w:type="gramStart"/>
            <w:r w:rsidRPr="00704883">
              <w:rPr>
                <w:rFonts w:ascii="Calibri" w:eastAsia="Times New Roman" w:hAnsi="Calibri" w:cs="Calibri"/>
                <w:color w:val="000000"/>
                <w:sz w:val="24"/>
                <w:szCs w:val="24"/>
                <w:lang w:eastAsia="pt-BR"/>
              </w:rPr>
              <w:t>migração</w:t>
            </w:r>
            <w:proofErr w:type="gramEnd"/>
            <w:r w:rsidRPr="00704883">
              <w:rPr>
                <w:rFonts w:ascii="Calibri" w:eastAsia="Times New Roman" w:hAnsi="Calibri" w:cs="Calibri"/>
                <w:color w:val="000000"/>
                <w:sz w:val="24"/>
                <w:szCs w:val="24"/>
                <w:lang w:eastAsia="pt-BR"/>
              </w:rPr>
              <w:t xml:space="preserve"> de participantes e assistidos;</w:t>
            </w:r>
          </w:p>
        </w:tc>
        <w:tc>
          <w:tcPr>
            <w:tcW w:w="1679" w:type="pct"/>
            <w:tcBorders>
              <w:top w:val="nil"/>
              <w:left w:val="nil"/>
              <w:bottom w:val="single" w:sz="4" w:space="0" w:color="auto"/>
              <w:right w:val="single" w:sz="4" w:space="0" w:color="auto"/>
            </w:tcBorders>
            <w:shd w:val="clear" w:color="auto" w:fill="auto"/>
            <w:vAlign w:val="center"/>
            <w:hideMark/>
          </w:tcPr>
          <w:p w14:paraId="481CDA6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EF4FC5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71BD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 - </w:t>
            </w:r>
            <w:proofErr w:type="gramStart"/>
            <w:r w:rsidRPr="00704883">
              <w:rPr>
                <w:rFonts w:ascii="Calibri" w:eastAsia="Times New Roman" w:hAnsi="Calibri" w:cs="Calibri"/>
                <w:color w:val="000000"/>
                <w:sz w:val="24"/>
                <w:szCs w:val="24"/>
                <w:lang w:eastAsia="pt-BR"/>
              </w:rPr>
              <w:t>operações</w:t>
            </w:r>
            <w:proofErr w:type="gramEnd"/>
            <w:r w:rsidRPr="00704883">
              <w:rPr>
                <w:rFonts w:ascii="Calibri" w:eastAsia="Times New Roman" w:hAnsi="Calibri" w:cs="Calibri"/>
                <w:color w:val="000000"/>
                <w:sz w:val="24"/>
                <w:szCs w:val="24"/>
                <w:lang w:eastAsia="pt-BR"/>
              </w:rPr>
              <w:t xml:space="preserve"> estruturais relacionadas; </w:t>
            </w:r>
          </w:p>
        </w:tc>
        <w:tc>
          <w:tcPr>
            <w:tcW w:w="1660" w:type="pct"/>
            <w:tcBorders>
              <w:top w:val="nil"/>
              <w:left w:val="nil"/>
              <w:bottom w:val="single" w:sz="4" w:space="0" w:color="auto"/>
              <w:right w:val="single" w:sz="4" w:space="0" w:color="auto"/>
            </w:tcBorders>
            <w:shd w:val="clear" w:color="auto" w:fill="auto"/>
            <w:vAlign w:val="center"/>
            <w:hideMark/>
          </w:tcPr>
          <w:p w14:paraId="7076CB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 - </w:t>
            </w:r>
            <w:proofErr w:type="gramStart"/>
            <w:r w:rsidRPr="00704883">
              <w:rPr>
                <w:rFonts w:ascii="Calibri" w:eastAsia="Times New Roman" w:hAnsi="Calibri" w:cs="Calibri"/>
                <w:color w:val="000000"/>
                <w:sz w:val="24"/>
                <w:szCs w:val="24"/>
                <w:lang w:eastAsia="pt-BR"/>
              </w:rPr>
              <w:t>operações</w:t>
            </w:r>
            <w:proofErr w:type="gramEnd"/>
            <w:r w:rsidRPr="00704883">
              <w:rPr>
                <w:rFonts w:ascii="Calibri" w:eastAsia="Times New Roman" w:hAnsi="Calibri" w:cs="Calibri"/>
                <w:color w:val="000000"/>
                <w:sz w:val="24"/>
                <w:szCs w:val="24"/>
                <w:lang w:eastAsia="pt-BR"/>
              </w:rPr>
              <w:t xml:space="preserve"> estruturais relacionadas;</w:t>
            </w:r>
          </w:p>
        </w:tc>
        <w:tc>
          <w:tcPr>
            <w:tcW w:w="1679" w:type="pct"/>
            <w:tcBorders>
              <w:top w:val="nil"/>
              <w:left w:val="nil"/>
              <w:bottom w:val="single" w:sz="4" w:space="0" w:color="auto"/>
              <w:right w:val="single" w:sz="4" w:space="0" w:color="auto"/>
            </w:tcBorders>
            <w:shd w:val="clear" w:color="auto" w:fill="auto"/>
            <w:vAlign w:val="center"/>
            <w:hideMark/>
          </w:tcPr>
          <w:p w14:paraId="187BC3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0F2130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8277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 -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632C12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 - retirada de patrocínio;</w:t>
            </w:r>
          </w:p>
        </w:tc>
        <w:tc>
          <w:tcPr>
            <w:tcW w:w="1679" w:type="pct"/>
            <w:tcBorders>
              <w:top w:val="nil"/>
              <w:left w:val="nil"/>
              <w:bottom w:val="single" w:sz="4" w:space="0" w:color="auto"/>
              <w:right w:val="single" w:sz="4" w:space="0" w:color="auto"/>
            </w:tcBorders>
            <w:shd w:val="clear" w:color="auto" w:fill="auto"/>
            <w:vAlign w:val="center"/>
            <w:hideMark/>
          </w:tcPr>
          <w:p w14:paraId="2CCD74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5117AC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D16BA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XII - rescisão unilateral de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1A1AE9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XII - rescisão unilateral de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156EC1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3C4E20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9F350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XIII - destinação de reserva especial que envolva reversão de valores; </w:t>
            </w:r>
          </w:p>
        </w:tc>
        <w:tc>
          <w:tcPr>
            <w:tcW w:w="1660" w:type="pct"/>
            <w:tcBorders>
              <w:top w:val="nil"/>
              <w:left w:val="nil"/>
              <w:bottom w:val="single" w:sz="4" w:space="0" w:color="auto"/>
              <w:right w:val="single" w:sz="4" w:space="0" w:color="auto"/>
            </w:tcBorders>
            <w:shd w:val="clear" w:color="auto" w:fill="auto"/>
            <w:vAlign w:val="center"/>
            <w:hideMark/>
          </w:tcPr>
          <w:p w14:paraId="68C20B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XIII - destinação de reserva especial que envolva reversão de valores;</w:t>
            </w:r>
          </w:p>
        </w:tc>
        <w:tc>
          <w:tcPr>
            <w:tcW w:w="1679" w:type="pct"/>
            <w:tcBorders>
              <w:top w:val="nil"/>
              <w:left w:val="nil"/>
              <w:bottom w:val="single" w:sz="4" w:space="0" w:color="auto"/>
              <w:right w:val="single" w:sz="4" w:space="0" w:color="auto"/>
            </w:tcBorders>
            <w:shd w:val="clear" w:color="auto" w:fill="auto"/>
            <w:vAlign w:val="center"/>
            <w:hideMark/>
          </w:tcPr>
          <w:p w14:paraId="7731FD0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323869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2074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XIV - encerramento de plano de benefícios e de EFPC; </w:t>
            </w:r>
          </w:p>
        </w:tc>
        <w:tc>
          <w:tcPr>
            <w:tcW w:w="1660" w:type="pct"/>
            <w:tcBorders>
              <w:top w:val="nil"/>
              <w:left w:val="nil"/>
              <w:bottom w:val="single" w:sz="4" w:space="0" w:color="auto"/>
              <w:right w:val="single" w:sz="4" w:space="0" w:color="auto"/>
            </w:tcBorders>
            <w:shd w:val="clear" w:color="auto" w:fill="auto"/>
            <w:vAlign w:val="center"/>
            <w:hideMark/>
          </w:tcPr>
          <w:p w14:paraId="4F11B99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XIV - encerramento de plano de benefícios e de EFPC;</w:t>
            </w:r>
          </w:p>
        </w:tc>
        <w:tc>
          <w:tcPr>
            <w:tcW w:w="1679" w:type="pct"/>
            <w:tcBorders>
              <w:top w:val="nil"/>
              <w:left w:val="nil"/>
              <w:bottom w:val="single" w:sz="4" w:space="0" w:color="auto"/>
              <w:right w:val="single" w:sz="4" w:space="0" w:color="auto"/>
            </w:tcBorders>
            <w:shd w:val="clear" w:color="auto" w:fill="auto"/>
            <w:vAlign w:val="center"/>
            <w:hideMark/>
          </w:tcPr>
          <w:p w14:paraId="7609DB0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37FCE9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4EEFE7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 - </w:t>
            </w:r>
            <w:proofErr w:type="gramStart"/>
            <w:r w:rsidRPr="00704883">
              <w:rPr>
                <w:rFonts w:ascii="Calibri" w:eastAsia="Times New Roman" w:hAnsi="Calibri" w:cs="Calibri"/>
                <w:color w:val="000000"/>
                <w:sz w:val="24"/>
                <w:szCs w:val="24"/>
                <w:lang w:eastAsia="pt-BR"/>
              </w:rPr>
              <w:t>certificação</w:t>
            </w:r>
            <w:proofErr w:type="gramEnd"/>
            <w:r w:rsidRPr="00704883">
              <w:rPr>
                <w:rFonts w:ascii="Calibri" w:eastAsia="Times New Roman" w:hAnsi="Calibri" w:cs="Calibri"/>
                <w:color w:val="000000"/>
                <w:sz w:val="24"/>
                <w:szCs w:val="24"/>
                <w:lang w:eastAsia="pt-BR"/>
              </w:rPr>
              <w:t xml:space="preserve"> de modelo de regulamento de plano de benefícios e de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4FA3CF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 - </w:t>
            </w:r>
            <w:proofErr w:type="gramStart"/>
            <w:r w:rsidRPr="00704883">
              <w:rPr>
                <w:rFonts w:ascii="Calibri" w:eastAsia="Times New Roman" w:hAnsi="Calibri" w:cs="Calibri"/>
                <w:color w:val="000000"/>
                <w:sz w:val="24"/>
                <w:szCs w:val="24"/>
                <w:lang w:eastAsia="pt-BR"/>
              </w:rPr>
              <w:t>certificação</w:t>
            </w:r>
            <w:proofErr w:type="gramEnd"/>
            <w:r w:rsidRPr="00704883">
              <w:rPr>
                <w:rFonts w:ascii="Calibri" w:eastAsia="Times New Roman" w:hAnsi="Calibri" w:cs="Calibri"/>
                <w:color w:val="000000"/>
                <w:sz w:val="24"/>
                <w:szCs w:val="24"/>
                <w:lang w:eastAsia="pt-BR"/>
              </w:rPr>
              <w:t xml:space="preserve"> de modelo de regulamento de plano de benefícios e de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5A56802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6A9398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25FA1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XVI - habilitação de dirigente; e </w:t>
            </w:r>
          </w:p>
        </w:tc>
        <w:tc>
          <w:tcPr>
            <w:tcW w:w="1660" w:type="pct"/>
            <w:tcBorders>
              <w:top w:val="nil"/>
              <w:left w:val="nil"/>
              <w:bottom w:val="single" w:sz="4" w:space="0" w:color="auto"/>
              <w:right w:val="single" w:sz="4" w:space="0" w:color="auto"/>
            </w:tcBorders>
            <w:shd w:val="clear" w:color="auto" w:fill="auto"/>
            <w:vAlign w:val="center"/>
            <w:hideMark/>
          </w:tcPr>
          <w:p w14:paraId="60F8C9E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XVI - habilitação de dirigente; e </w:t>
            </w:r>
          </w:p>
        </w:tc>
        <w:tc>
          <w:tcPr>
            <w:tcW w:w="1679" w:type="pct"/>
            <w:tcBorders>
              <w:top w:val="nil"/>
              <w:left w:val="nil"/>
              <w:bottom w:val="single" w:sz="4" w:space="0" w:color="auto"/>
              <w:right w:val="single" w:sz="4" w:space="0" w:color="auto"/>
            </w:tcBorders>
            <w:shd w:val="clear" w:color="auto" w:fill="auto"/>
            <w:vAlign w:val="center"/>
            <w:hideMark/>
          </w:tcPr>
          <w:p w14:paraId="43678D6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A58FD2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510F3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XVII - reconhecimento de instituição certificadora. </w:t>
            </w:r>
          </w:p>
        </w:tc>
        <w:tc>
          <w:tcPr>
            <w:tcW w:w="1660" w:type="pct"/>
            <w:tcBorders>
              <w:top w:val="nil"/>
              <w:left w:val="nil"/>
              <w:bottom w:val="single" w:sz="4" w:space="0" w:color="auto"/>
              <w:right w:val="single" w:sz="4" w:space="0" w:color="auto"/>
            </w:tcBorders>
            <w:shd w:val="clear" w:color="auto" w:fill="auto"/>
            <w:vAlign w:val="center"/>
            <w:hideMark/>
          </w:tcPr>
          <w:p w14:paraId="06534D4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XVII - reconhecimento de instituição certificadora.</w:t>
            </w:r>
          </w:p>
        </w:tc>
        <w:tc>
          <w:tcPr>
            <w:tcW w:w="1679" w:type="pct"/>
            <w:tcBorders>
              <w:top w:val="nil"/>
              <w:left w:val="nil"/>
              <w:bottom w:val="single" w:sz="4" w:space="0" w:color="auto"/>
              <w:right w:val="single" w:sz="4" w:space="0" w:color="auto"/>
            </w:tcBorders>
            <w:shd w:val="clear" w:color="auto" w:fill="auto"/>
            <w:vAlign w:val="center"/>
            <w:hideMark/>
          </w:tcPr>
          <w:p w14:paraId="44C7A6D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A7A1C8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2F449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2º Operações estruturais relacionadas são aquelas que envolvem, concomitantemente, mais de uma das referidas nos incisos I a IX do § 1º.</w:t>
            </w:r>
          </w:p>
        </w:tc>
        <w:tc>
          <w:tcPr>
            <w:tcW w:w="1660" w:type="pct"/>
            <w:tcBorders>
              <w:top w:val="nil"/>
              <w:left w:val="nil"/>
              <w:bottom w:val="single" w:sz="4" w:space="0" w:color="auto"/>
              <w:right w:val="single" w:sz="4" w:space="0" w:color="auto"/>
            </w:tcBorders>
            <w:shd w:val="clear" w:color="auto" w:fill="auto"/>
            <w:vAlign w:val="center"/>
            <w:hideMark/>
          </w:tcPr>
          <w:p w14:paraId="70AB5A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São consideradas operações estruturais relacionadas </w:t>
            </w:r>
            <w:proofErr w:type="gramStart"/>
            <w:r w:rsidRPr="00704883">
              <w:rPr>
                <w:rFonts w:ascii="Calibri" w:eastAsia="Times New Roman" w:hAnsi="Calibri" w:cs="Calibri"/>
                <w:color w:val="000000"/>
                <w:sz w:val="24"/>
                <w:szCs w:val="24"/>
                <w:lang w:eastAsia="pt-BR"/>
              </w:rPr>
              <w:t>aquelas</w:t>
            </w:r>
            <w:proofErr w:type="gramEnd"/>
            <w:r w:rsidRPr="00704883">
              <w:rPr>
                <w:rFonts w:ascii="Calibri" w:eastAsia="Times New Roman" w:hAnsi="Calibri" w:cs="Calibri"/>
                <w:color w:val="000000"/>
                <w:sz w:val="24"/>
                <w:szCs w:val="24"/>
                <w:lang w:eastAsia="pt-BR"/>
              </w:rPr>
              <w:t xml:space="preserve"> que envolvem, concomitantemente, mais de uma das operações referidas nos incisos I a IX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78BB74BB"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7FD7FD5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9A42A00"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45, de 13 de julho de 2022.</w:t>
            </w:r>
          </w:p>
        </w:tc>
        <w:tc>
          <w:tcPr>
            <w:tcW w:w="1660" w:type="pct"/>
            <w:tcBorders>
              <w:top w:val="nil"/>
              <w:left w:val="nil"/>
              <w:bottom w:val="single" w:sz="4" w:space="0" w:color="auto"/>
              <w:right w:val="single" w:sz="4" w:space="0" w:color="auto"/>
            </w:tcBorders>
            <w:shd w:val="clear" w:color="auto" w:fill="auto"/>
            <w:vAlign w:val="center"/>
            <w:hideMark/>
          </w:tcPr>
          <w:p w14:paraId="39EC112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059CB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2E2840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1DF1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3º Os requerimentos de licenciamento apresentados à Previc devem conter os documentos específicos para cada operação, previstos nos Anexos I a XXIII a 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43D23C8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103.  Os requerimentos de licenciamento apresentados à Previc devem conter os documentos específicos para cada operação, previstos nos Anexos II a XXIV.  </w:t>
            </w:r>
          </w:p>
        </w:tc>
        <w:tc>
          <w:tcPr>
            <w:tcW w:w="1679" w:type="pct"/>
            <w:tcBorders>
              <w:top w:val="nil"/>
              <w:left w:val="nil"/>
              <w:bottom w:val="single" w:sz="4" w:space="0" w:color="auto"/>
              <w:right w:val="single" w:sz="4" w:space="0" w:color="auto"/>
            </w:tcBorders>
            <w:shd w:val="clear" w:color="auto" w:fill="auto"/>
            <w:vAlign w:val="center"/>
            <w:hideMark/>
          </w:tcPr>
          <w:p w14:paraId="73691F4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Ajuste redacional.</w:t>
            </w:r>
          </w:p>
        </w:tc>
      </w:tr>
      <w:tr w:rsidR="007D78B6" w:rsidRPr="00704883" w14:paraId="0E42238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F087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 expediente explicativo deve conter descrição detalhada do requerimento, motivação da proposta e dados de contato do responsável pelo processo junto à EFPC. </w:t>
            </w:r>
          </w:p>
        </w:tc>
        <w:tc>
          <w:tcPr>
            <w:tcW w:w="1660" w:type="pct"/>
            <w:tcBorders>
              <w:top w:val="nil"/>
              <w:left w:val="nil"/>
              <w:bottom w:val="single" w:sz="4" w:space="0" w:color="auto"/>
              <w:right w:val="single" w:sz="4" w:space="0" w:color="auto"/>
            </w:tcBorders>
            <w:shd w:val="clear" w:color="auto" w:fill="auto"/>
            <w:vAlign w:val="center"/>
            <w:hideMark/>
          </w:tcPr>
          <w:p w14:paraId="348408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expediente explicativo deve conter descrição detalhada do requerimento, motivação da proposta e dados de contato do responsável pelo processo junto à EFPC.  </w:t>
            </w:r>
          </w:p>
        </w:tc>
        <w:tc>
          <w:tcPr>
            <w:tcW w:w="1679" w:type="pct"/>
            <w:tcBorders>
              <w:top w:val="nil"/>
              <w:left w:val="nil"/>
              <w:bottom w:val="single" w:sz="4" w:space="0" w:color="auto"/>
              <w:right w:val="single" w:sz="4" w:space="0" w:color="auto"/>
            </w:tcBorders>
            <w:shd w:val="clear" w:color="auto" w:fill="auto"/>
            <w:vAlign w:val="center"/>
            <w:hideMark/>
          </w:tcPr>
          <w:p w14:paraId="485209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C5457F7"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58B6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 2º O Termo de Responsabilidade, conforme modelo disponibilizado no sítio eletrônico da Previc, deve ser assinado por um dos membros da diretoria executiva com poderes de representação estabelecidos no estatuto, assegurando: </w:t>
            </w:r>
          </w:p>
        </w:tc>
        <w:tc>
          <w:tcPr>
            <w:tcW w:w="1660" w:type="pct"/>
            <w:tcBorders>
              <w:top w:val="nil"/>
              <w:left w:val="nil"/>
              <w:bottom w:val="single" w:sz="4" w:space="0" w:color="auto"/>
              <w:right w:val="single" w:sz="4" w:space="0" w:color="auto"/>
            </w:tcBorders>
            <w:shd w:val="clear" w:color="auto" w:fill="auto"/>
            <w:vAlign w:val="center"/>
            <w:hideMark/>
          </w:tcPr>
          <w:p w14:paraId="58584DC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Termo de Responsabilidade, conforme modelo disponibilizado no sítio eletrônico da Previc, deve ser assinado por um dos membros da diretoria executiva com poderes de representação estabelecidos no estatuto, assegurando: </w:t>
            </w:r>
          </w:p>
        </w:tc>
        <w:tc>
          <w:tcPr>
            <w:tcW w:w="1679" w:type="pct"/>
            <w:tcBorders>
              <w:top w:val="nil"/>
              <w:left w:val="nil"/>
              <w:bottom w:val="single" w:sz="4" w:space="0" w:color="auto"/>
              <w:right w:val="single" w:sz="4" w:space="0" w:color="auto"/>
            </w:tcBorders>
            <w:shd w:val="clear" w:color="auto" w:fill="auto"/>
            <w:vAlign w:val="center"/>
            <w:hideMark/>
          </w:tcPr>
          <w:p w14:paraId="4EAD604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B3F38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ABF91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a autenticidade de toda a documentação enviada; </w:t>
            </w:r>
          </w:p>
        </w:tc>
        <w:tc>
          <w:tcPr>
            <w:tcW w:w="1660" w:type="pct"/>
            <w:tcBorders>
              <w:top w:val="nil"/>
              <w:left w:val="nil"/>
              <w:bottom w:val="single" w:sz="4" w:space="0" w:color="auto"/>
              <w:right w:val="single" w:sz="4" w:space="0" w:color="auto"/>
            </w:tcBorders>
            <w:shd w:val="clear" w:color="auto" w:fill="auto"/>
            <w:vAlign w:val="center"/>
            <w:hideMark/>
          </w:tcPr>
          <w:p w14:paraId="223B9FD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 a autenticidade de toda a documentação enviada;</w:t>
            </w:r>
          </w:p>
        </w:tc>
        <w:tc>
          <w:tcPr>
            <w:tcW w:w="1679" w:type="pct"/>
            <w:tcBorders>
              <w:top w:val="nil"/>
              <w:left w:val="nil"/>
              <w:bottom w:val="single" w:sz="4" w:space="0" w:color="auto"/>
              <w:right w:val="single" w:sz="4" w:space="0" w:color="auto"/>
            </w:tcBorders>
            <w:shd w:val="clear" w:color="auto" w:fill="auto"/>
            <w:vAlign w:val="center"/>
            <w:hideMark/>
          </w:tcPr>
          <w:p w14:paraId="6470352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8A964E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592847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a legitimidade dos signatários dos documentos; e </w:t>
            </w:r>
          </w:p>
        </w:tc>
        <w:tc>
          <w:tcPr>
            <w:tcW w:w="1660" w:type="pct"/>
            <w:tcBorders>
              <w:top w:val="nil"/>
              <w:left w:val="nil"/>
              <w:bottom w:val="single" w:sz="4" w:space="0" w:color="auto"/>
              <w:right w:val="single" w:sz="4" w:space="0" w:color="auto"/>
            </w:tcBorders>
            <w:shd w:val="clear" w:color="auto" w:fill="auto"/>
            <w:vAlign w:val="center"/>
            <w:hideMark/>
          </w:tcPr>
          <w:p w14:paraId="10F1B8A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a legitimidade dos signatários dos documentos; e </w:t>
            </w:r>
          </w:p>
        </w:tc>
        <w:tc>
          <w:tcPr>
            <w:tcW w:w="1679" w:type="pct"/>
            <w:tcBorders>
              <w:top w:val="nil"/>
              <w:left w:val="nil"/>
              <w:bottom w:val="single" w:sz="4" w:space="0" w:color="auto"/>
              <w:right w:val="single" w:sz="4" w:space="0" w:color="auto"/>
            </w:tcBorders>
            <w:shd w:val="clear" w:color="auto" w:fill="auto"/>
            <w:vAlign w:val="center"/>
            <w:hideMark/>
          </w:tcPr>
          <w:p w14:paraId="2446BC1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7C914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5913A3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a realização de todas as obrigações legais, estatutárias e regulamentares decorrentes da operação. </w:t>
            </w:r>
          </w:p>
        </w:tc>
        <w:tc>
          <w:tcPr>
            <w:tcW w:w="1660" w:type="pct"/>
            <w:tcBorders>
              <w:top w:val="nil"/>
              <w:left w:val="nil"/>
              <w:bottom w:val="single" w:sz="4" w:space="0" w:color="auto"/>
              <w:right w:val="single" w:sz="4" w:space="0" w:color="auto"/>
            </w:tcBorders>
            <w:shd w:val="clear" w:color="auto" w:fill="auto"/>
            <w:vAlign w:val="center"/>
            <w:hideMark/>
          </w:tcPr>
          <w:p w14:paraId="4F72A4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 a realização de todas as obrigações legais, estatutárias e regulamentares decorrentes da operação.</w:t>
            </w:r>
          </w:p>
        </w:tc>
        <w:tc>
          <w:tcPr>
            <w:tcW w:w="1679" w:type="pct"/>
            <w:tcBorders>
              <w:top w:val="nil"/>
              <w:left w:val="nil"/>
              <w:bottom w:val="single" w:sz="4" w:space="0" w:color="auto"/>
              <w:right w:val="single" w:sz="4" w:space="0" w:color="auto"/>
            </w:tcBorders>
            <w:shd w:val="clear" w:color="auto" w:fill="auto"/>
            <w:vAlign w:val="center"/>
            <w:hideMark/>
          </w:tcPr>
          <w:p w14:paraId="7C1E750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78C0B6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0DDC4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3º O Termo de Responsabilidade relativo a requerimento de licenciamento de constituição de EFPC deve ser assinado pelo representante legal do patrocinador ou instituidor que apresentar o requerimento à Previc.</w:t>
            </w:r>
          </w:p>
        </w:tc>
        <w:tc>
          <w:tcPr>
            <w:tcW w:w="1660" w:type="pct"/>
            <w:tcBorders>
              <w:top w:val="nil"/>
              <w:left w:val="nil"/>
              <w:bottom w:val="single" w:sz="4" w:space="0" w:color="auto"/>
              <w:right w:val="single" w:sz="4" w:space="0" w:color="auto"/>
            </w:tcBorders>
            <w:shd w:val="clear" w:color="auto" w:fill="auto"/>
            <w:vAlign w:val="center"/>
            <w:hideMark/>
          </w:tcPr>
          <w:p w14:paraId="16BA0B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Termo de Responsabilidade relativo a requerimento de licenciamento de constituição de EFPC deve ser assinado pelo representante legal do patrocinador ou instituidor que apresentar o requerimento à Previc.</w:t>
            </w:r>
          </w:p>
        </w:tc>
        <w:tc>
          <w:tcPr>
            <w:tcW w:w="1679" w:type="pct"/>
            <w:tcBorders>
              <w:top w:val="nil"/>
              <w:left w:val="nil"/>
              <w:bottom w:val="single" w:sz="4" w:space="0" w:color="auto"/>
              <w:right w:val="single" w:sz="4" w:space="0" w:color="auto"/>
            </w:tcBorders>
            <w:shd w:val="clear" w:color="auto" w:fill="auto"/>
            <w:vAlign w:val="center"/>
            <w:hideMark/>
          </w:tcPr>
          <w:p w14:paraId="7A55C5A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28D9BE3"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9D6A2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4º O Termo de Responsabilidade disponibilizado pela Previc somente pode ser modificado nas condições definidas no próprio Termo ou em situação excepcional devidamente justificada no expediente explicativo.</w:t>
            </w:r>
          </w:p>
        </w:tc>
        <w:tc>
          <w:tcPr>
            <w:tcW w:w="1660" w:type="pct"/>
            <w:tcBorders>
              <w:top w:val="nil"/>
              <w:left w:val="nil"/>
              <w:bottom w:val="single" w:sz="4" w:space="0" w:color="auto"/>
              <w:right w:val="single" w:sz="4" w:space="0" w:color="auto"/>
            </w:tcBorders>
            <w:shd w:val="clear" w:color="auto" w:fill="auto"/>
            <w:vAlign w:val="center"/>
            <w:hideMark/>
          </w:tcPr>
          <w:p w14:paraId="4BFEDC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4</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Termo de Responsabilidade disponibilizado pela Previc somente pode ser modificado nas condições definidas no próprio Termo ou em situação excepcional devidamente justificada no expediente explicativo.</w:t>
            </w:r>
          </w:p>
        </w:tc>
        <w:tc>
          <w:tcPr>
            <w:tcW w:w="1679" w:type="pct"/>
            <w:tcBorders>
              <w:top w:val="nil"/>
              <w:left w:val="nil"/>
              <w:bottom w:val="single" w:sz="4" w:space="0" w:color="auto"/>
              <w:right w:val="single" w:sz="4" w:space="0" w:color="auto"/>
            </w:tcBorders>
            <w:shd w:val="clear" w:color="auto" w:fill="auto"/>
            <w:vAlign w:val="center"/>
            <w:hideMark/>
          </w:tcPr>
          <w:p w14:paraId="0B6FFE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AC0187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DA248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5º A EFPC deve justificar, no expediente explicativo, o envio de documentos adicionais àqueles estabelecidos para cada operação. </w:t>
            </w:r>
          </w:p>
        </w:tc>
        <w:tc>
          <w:tcPr>
            <w:tcW w:w="1660" w:type="pct"/>
            <w:tcBorders>
              <w:top w:val="nil"/>
              <w:left w:val="nil"/>
              <w:bottom w:val="single" w:sz="4" w:space="0" w:color="auto"/>
              <w:right w:val="single" w:sz="4" w:space="0" w:color="auto"/>
            </w:tcBorders>
            <w:shd w:val="clear" w:color="auto" w:fill="auto"/>
            <w:vAlign w:val="center"/>
            <w:hideMark/>
          </w:tcPr>
          <w:p w14:paraId="05D2AB6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5</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EFPC deve justificar, no expediente explicativo, o envio de documentos adicionais àqueles estabelecidos para cada operação.</w:t>
            </w:r>
          </w:p>
        </w:tc>
        <w:tc>
          <w:tcPr>
            <w:tcW w:w="1679" w:type="pct"/>
            <w:tcBorders>
              <w:top w:val="nil"/>
              <w:left w:val="nil"/>
              <w:bottom w:val="single" w:sz="4" w:space="0" w:color="auto"/>
              <w:right w:val="single" w:sz="4" w:space="0" w:color="auto"/>
            </w:tcBorders>
            <w:shd w:val="clear" w:color="auto" w:fill="auto"/>
            <w:vAlign w:val="center"/>
            <w:hideMark/>
          </w:tcPr>
          <w:p w14:paraId="7E06ED0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726B0B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7819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6º No expediente explicativo dos requerimentos sujeitos ao licenciamento automático deve constar no assunto a expressão “LICENCIAMENTO AUTOMÁTICO”, seguida da denominação do tipo de operação, em destaque. </w:t>
            </w:r>
          </w:p>
        </w:tc>
        <w:tc>
          <w:tcPr>
            <w:tcW w:w="1660" w:type="pct"/>
            <w:tcBorders>
              <w:top w:val="nil"/>
              <w:left w:val="nil"/>
              <w:bottom w:val="single" w:sz="4" w:space="0" w:color="auto"/>
              <w:right w:val="single" w:sz="4" w:space="0" w:color="auto"/>
            </w:tcBorders>
            <w:shd w:val="clear" w:color="auto" w:fill="auto"/>
            <w:vAlign w:val="center"/>
            <w:hideMark/>
          </w:tcPr>
          <w:p w14:paraId="2867BBE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6</w:t>
            </w:r>
            <w:proofErr w:type="gramStart"/>
            <w:r w:rsidRPr="00704883">
              <w:rPr>
                <w:rFonts w:ascii="Calibri" w:eastAsia="Times New Roman" w:hAnsi="Calibri" w:cs="Calibri"/>
                <w:color w:val="000000"/>
                <w:sz w:val="24"/>
                <w:szCs w:val="24"/>
                <w:lang w:eastAsia="pt-BR"/>
              </w:rPr>
              <w:t>º  No</w:t>
            </w:r>
            <w:proofErr w:type="gramEnd"/>
            <w:r w:rsidRPr="00704883">
              <w:rPr>
                <w:rFonts w:ascii="Calibri" w:eastAsia="Times New Roman" w:hAnsi="Calibri" w:cs="Calibri"/>
                <w:color w:val="000000"/>
                <w:sz w:val="24"/>
                <w:szCs w:val="24"/>
                <w:lang w:eastAsia="pt-BR"/>
              </w:rPr>
              <w:t xml:space="preserve"> expediente explicativo dos requerimentos sujeitos ao licenciamento automático deve constar no assunto a expressão “LICENCIAMENTO AUTOMÁTICO”, seguida da denominação do tipo de operação, em destaque.</w:t>
            </w:r>
          </w:p>
        </w:tc>
        <w:tc>
          <w:tcPr>
            <w:tcW w:w="1679" w:type="pct"/>
            <w:tcBorders>
              <w:top w:val="nil"/>
              <w:left w:val="nil"/>
              <w:bottom w:val="single" w:sz="4" w:space="0" w:color="auto"/>
              <w:right w:val="single" w:sz="4" w:space="0" w:color="auto"/>
            </w:tcBorders>
            <w:shd w:val="clear" w:color="auto" w:fill="auto"/>
            <w:vAlign w:val="center"/>
            <w:hideMark/>
          </w:tcPr>
          <w:p w14:paraId="2EA1903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0CE0F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56972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7º Os documentos digitalizados e juntados aos processos eletrônicos no formato </w:t>
            </w:r>
            <w:proofErr w:type="spellStart"/>
            <w:r w:rsidRPr="00704883">
              <w:rPr>
                <w:rFonts w:ascii="Calibri" w:eastAsia="Times New Roman" w:hAnsi="Calibri" w:cs="Calibri"/>
                <w:color w:val="000000"/>
                <w:sz w:val="24"/>
                <w:szCs w:val="24"/>
                <w:lang w:eastAsia="pt-BR"/>
              </w:rPr>
              <w:t>Portable</w:t>
            </w:r>
            <w:proofErr w:type="spellEnd"/>
            <w:r w:rsidRPr="00704883">
              <w:rPr>
                <w:rFonts w:ascii="Calibri" w:eastAsia="Times New Roman" w:hAnsi="Calibri" w:cs="Calibri"/>
                <w:color w:val="000000"/>
                <w:sz w:val="24"/>
                <w:szCs w:val="24"/>
                <w:lang w:eastAsia="pt-BR"/>
              </w:rPr>
              <w:t xml:space="preserve"> </w:t>
            </w:r>
            <w:proofErr w:type="spellStart"/>
            <w:r w:rsidRPr="00704883">
              <w:rPr>
                <w:rFonts w:ascii="Calibri" w:eastAsia="Times New Roman" w:hAnsi="Calibri" w:cs="Calibri"/>
                <w:color w:val="000000"/>
                <w:sz w:val="24"/>
                <w:szCs w:val="24"/>
                <w:lang w:eastAsia="pt-BR"/>
              </w:rPr>
              <w:t>Document</w:t>
            </w:r>
            <w:proofErr w:type="spellEnd"/>
            <w:r w:rsidRPr="00704883">
              <w:rPr>
                <w:rFonts w:ascii="Calibri" w:eastAsia="Times New Roman" w:hAnsi="Calibri" w:cs="Calibri"/>
                <w:color w:val="000000"/>
                <w:sz w:val="24"/>
                <w:szCs w:val="24"/>
                <w:lang w:eastAsia="pt-BR"/>
              </w:rPr>
              <w:t xml:space="preserve"> Format (PDF) devem estar com conteúdo pesquisável e em arquivos separados. </w:t>
            </w:r>
          </w:p>
        </w:tc>
        <w:tc>
          <w:tcPr>
            <w:tcW w:w="1660" w:type="pct"/>
            <w:tcBorders>
              <w:top w:val="nil"/>
              <w:left w:val="nil"/>
              <w:bottom w:val="single" w:sz="4" w:space="0" w:color="auto"/>
              <w:right w:val="single" w:sz="4" w:space="0" w:color="auto"/>
            </w:tcBorders>
            <w:shd w:val="clear" w:color="auto" w:fill="auto"/>
            <w:vAlign w:val="center"/>
            <w:hideMark/>
          </w:tcPr>
          <w:p w14:paraId="7EF092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7</w:t>
            </w:r>
            <w:proofErr w:type="gramStart"/>
            <w:r w:rsidRPr="00704883">
              <w:rPr>
                <w:rFonts w:ascii="Calibri" w:eastAsia="Times New Roman" w:hAnsi="Calibri" w:cs="Calibri"/>
                <w:color w:val="000000"/>
                <w:sz w:val="24"/>
                <w:szCs w:val="24"/>
                <w:lang w:eastAsia="pt-BR"/>
              </w:rPr>
              <w:t>º  Os</w:t>
            </w:r>
            <w:proofErr w:type="gramEnd"/>
            <w:r w:rsidRPr="00704883">
              <w:rPr>
                <w:rFonts w:ascii="Calibri" w:eastAsia="Times New Roman" w:hAnsi="Calibri" w:cs="Calibri"/>
                <w:color w:val="000000"/>
                <w:sz w:val="24"/>
                <w:szCs w:val="24"/>
                <w:lang w:eastAsia="pt-BR"/>
              </w:rPr>
              <w:t xml:space="preserve"> documentos digitalizados e juntados aos processos eletrônicos no formato </w:t>
            </w:r>
            <w:proofErr w:type="spellStart"/>
            <w:r w:rsidRPr="00704883">
              <w:rPr>
                <w:rFonts w:ascii="Calibri" w:eastAsia="Times New Roman" w:hAnsi="Calibri" w:cs="Calibri"/>
                <w:b/>
                <w:bCs/>
                <w:color w:val="000000"/>
                <w:sz w:val="24"/>
                <w:szCs w:val="24"/>
                <w:lang w:eastAsia="pt-BR"/>
              </w:rPr>
              <w:t>Portable</w:t>
            </w:r>
            <w:proofErr w:type="spellEnd"/>
            <w:r w:rsidRPr="00704883">
              <w:rPr>
                <w:rFonts w:ascii="Calibri" w:eastAsia="Times New Roman" w:hAnsi="Calibri" w:cs="Calibri"/>
                <w:b/>
                <w:bCs/>
                <w:color w:val="000000"/>
                <w:sz w:val="24"/>
                <w:szCs w:val="24"/>
                <w:lang w:eastAsia="pt-BR"/>
              </w:rPr>
              <w:t xml:space="preserve"> </w:t>
            </w:r>
            <w:proofErr w:type="spellStart"/>
            <w:r w:rsidRPr="00704883">
              <w:rPr>
                <w:rFonts w:ascii="Calibri" w:eastAsia="Times New Roman" w:hAnsi="Calibri" w:cs="Calibri"/>
                <w:b/>
                <w:bCs/>
                <w:color w:val="000000"/>
                <w:sz w:val="24"/>
                <w:szCs w:val="24"/>
                <w:lang w:eastAsia="pt-BR"/>
              </w:rPr>
              <w:t>Document</w:t>
            </w:r>
            <w:proofErr w:type="spellEnd"/>
            <w:r w:rsidRPr="00704883">
              <w:rPr>
                <w:rFonts w:ascii="Calibri" w:eastAsia="Times New Roman" w:hAnsi="Calibri" w:cs="Calibri"/>
                <w:b/>
                <w:bCs/>
                <w:color w:val="000000"/>
                <w:sz w:val="24"/>
                <w:szCs w:val="24"/>
                <w:lang w:eastAsia="pt-BR"/>
              </w:rPr>
              <w:t xml:space="preserve"> Format (PDF)</w:t>
            </w:r>
            <w:r w:rsidRPr="00704883">
              <w:rPr>
                <w:rFonts w:ascii="Calibri" w:eastAsia="Times New Roman" w:hAnsi="Calibri" w:cs="Calibri"/>
                <w:color w:val="000000"/>
                <w:sz w:val="24"/>
                <w:szCs w:val="24"/>
                <w:lang w:eastAsia="pt-BR"/>
              </w:rPr>
              <w:t xml:space="preserve"> devem estar com conteúdo pesquisável e em arquivos separados.</w:t>
            </w:r>
          </w:p>
        </w:tc>
        <w:tc>
          <w:tcPr>
            <w:tcW w:w="1679" w:type="pct"/>
            <w:tcBorders>
              <w:top w:val="nil"/>
              <w:left w:val="nil"/>
              <w:bottom w:val="single" w:sz="4" w:space="0" w:color="auto"/>
              <w:right w:val="single" w:sz="4" w:space="0" w:color="auto"/>
            </w:tcBorders>
            <w:shd w:val="clear" w:color="auto" w:fill="auto"/>
            <w:vAlign w:val="center"/>
            <w:hideMark/>
          </w:tcPr>
          <w:p w14:paraId="6E2C28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E9C562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204A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4º Os requerimentos devem ser encaminhados por meio do: </w:t>
            </w:r>
          </w:p>
        </w:tc>
        <w:tc>
          <w:tcPr>
            <w:tcW w:w="1660" w:type="pct"/>
            <w:tcBorders>
              <w:top w:val="nil"/>
              <w:left w:val="nil"/>
              <w:bottom w:val="single" w:sz="4" w:space="0" w:color="auto"/>
              <w:right w:val="single" w:sz="4" w:space="0" w:color="auto"/>
            </w:tcBorders>
            <w:shd w:val="clear" w:color="auto" w:fill="auto"/>
            <w:vAlign w:val="center"/>
            <w:hideMark/>
          </w:tcPr>
          <w:p w14:paraId="1DC80C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104.  Os requerimentos devem ser encaminhados por meio do: </w:t>
            </w:r>
          </w:p>
        </w:tc>
        <w:tc>
          <w:tcPr>
            <w:tcW w:w="1679" w:type="pct"/>
            <w:tcBorders>
              <w:top w:val="nil"/>
              <w:left w:val="nil"/>
              <w:bottom w:val="single" w:sz="4" w:space="0" w:color="auto"/>
              <w:right w:val="single" w:sz="4" w:space="0" w:color="auto"/>
            </w:tcBorders>
            <w:shd w:val="clear" w:color="auto" w:fill="auto"/>
            <w:vAlign w:val="center"/>
            <w:hideMark/>
          </w:tcPr>
          <w:p w14:paraId="1E8926A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2F534C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A27B6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Sistema de Cadastro de Entidades e Planos (CADPREVIC), no caso dos requerimentos previstos nos Anexos II a VII; e </w:t>
            </w:r>
          </w:p>
        </w:tc>
        <w:tc>
          <w:tcPr>
            <w:tcW w:w="1660" w:type="pct"/>
            <w:tcBorders>
              <w:top w:val="nil"/>
              <w:left w:val="nil"/>
              <w:bottom w:val="single" w:sz="4" w:space="0" w:color="auto"/>
              <w:right w:val="single" w:sz="4" w:space="0" w:color="auto"/>
            </w:tcBorders>
            <w:shd w:val="clear" w:color="auto" w:fill="auto"/>
            <w:vAlign w:val="center"/>
            <w:hideMark/>
          </w:tcPr>
          <w:p w14:paraId="5A63DDD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Sistema de Cadastro de Entidades e Planos (CADPREVIC), no caso dos requerimentos previstos nos Anexos III a VIII; e </w:t>
            </w:r>
          </w:p>
        </w:tc>
        <w:tc>
          <w:tcPr>
            <w:tcW w:w="1679" w:type="pct"/>
            <w:tcBorders>
              <w:top w:val="nil"/>
              <w:left w:val="nil"/>
              <w:bottom w:val="single" w:sz="4" w:space="0" w:color="auto"/>
              <w:right w:val="single" w:sz="4" w:space="0" w:color="auto"/>
            </w:tcBorders>
            <w:shd w:val="clear" w:color="auto" w:fill="auto"/>
            <w:vAlign w:val="center"/>
            <w:hideMark/>
          </w:tcPr>
          <w:p w14:paraId="4442D514"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072DE08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F6D8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Sistema Eletrônico de Informações (SEI), para os demais requerimentos. </w:t>
            </w:r>
          </w:p>
        </w:tc>
        <w:tc>
          <w:tcPr>
            <w:tcW w:w="1660" w:type="pct"/>
            <w:tcBorders>
              <w:top w:val="nil"/>
              <w:left w:val="nil"/>
              <w:bottom w:val="single" w:sz="4" w:space="0" w:color="auto"/>
              <w:right w:val="single" w:sz="4" w:space="0" w:color="auto"/>
            </w:tcBorders>
            <w:shd w:val="clear" w:color="auto" w:fill="auto"/>
            <w:vAlign w:val="center"/>
            <w:hideMark/>
          </w:tcPr>
          <w:p w14:paraId="4FE2BC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Sistema Eletrônico de Informações (SEI), para os demais requerimentos. </w:t>
            </w:r>
          </w:p>
        </w:tc>
        <w:tc>
          <w:tcPr>
            <w:tcW w:w="1679" w:type="pct"/>
            <w:tcBorders>
              <w:top w:val="nil"/>
              <w:left w:val="nil"/>
              <w:bottom w:val="single" w:sz="4" w:space="0" w:color="auto"/>
              <w:right w:val="single" w:sz="4" w:space="0" w:color="auto"/>
            </w:tcBorders>
            <w:shd w:val="clear" w:color="auto" w:fill="auto"/>
            <w:vAlign w:val="center"/>
            <w:hideMark/>
          </w:tcPr>
          <w:p w14:paraId="487337B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9EA5BC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0C05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Dos requerimentos com base em modelo certificado ou modelo padronizado</w:t>
            </w:r>
          </w:p>
        </w:tc>
        <w:tc>
          <w:tcPr>
            <w:tcW w:w="1660" w:type="pct"/>
            <w:tcBorders>
              <w:top w:val="nil"/>
              <w:left w:val="nil"/>
              <w:bottom w:val="single" w:sz="4" w:space="0" w:color="auto"/>
              <w:right w:val="single" w:sz="4" w:space="0" w:color="auto"/>
            </w:tcBorders>
            <w:shd w:val="clear" w:color="auto" w:fill="auto"/>
            <w:vAlign w:val="center"/>
            <w:hideMark/>
          </w:tcPr>
          <w:p w14:paraId="164159EB"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w:t>
            </w:r>
            <w:r w:rsidRPr="00704883">
              <w:rPr>
                <w:rFonts w:ascii="Calibri" w:eastAsia="Times New Roman" w:hAnsi="Calibri" w:cs="Calibri"/>
                <w:b/>
                <w:bCs/>
                <w:color w:val="000000"/>
                <w:sz w:val="24"/>
                <w:szCs w:val="24"/>
                <w:lang w:eastAsia="pt-BR"/>
              </w:rPr>
              <w:br/>
              <w:t>Requerimentos com base em Modelo Certificado ou Modelo Padronizado</w:t>
            </w:r>
          </w:p>
        </w:tc>
        <w:tc>
          <w:tcPr>
            <w:tcW w:w="1679" w:type="pct"/>
            <w:tcBorders>
              <w:top w:val="nil"/>
              <w:left w:val="nil"/>
              <w:bottom w:val="single" w:sz="4" w:space="0" w:color="auto"/>
              <w:right w:val="single" w:sz="4" w:space="0" w:color="auto"/>
            </w:tcBorders>
            <w:shd w:val="clear" w:color="auto" w:fill="auto"/>
            <w:vAlign w:val="center"/>
            <w:hideMark/>
          </w:tcPr>
          <w:p w14:paraId="6423511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F45491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CF061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Nos requerimentos de licenciamento que envolvam modelo certificado ou modelo padronizado, os campos referentes às cláusulas variáveis devem ser: </w:t>
            </w:r>
          </w:p>
        </w:tc>
        <w:tc>
          <w:tcPr>
            <w:tcW w:w="1660" w:type="pct"/>
            <w:tcBorders>
              <w:top w:val="nil"/>
              <w:left w:val="nil"/>
              <w:bottom w:val="single" w:sz="4" w:space="0" w:color="auto"/>
              <w:right w:val="single" w:sz="4" w:space="0" w:color="auto"/>
            </w:tcBorders>
            <w:shd w:val="clear" w:color="auto" w:fill="auto"/>
            <w:vAlign w:val="center"/>
            <w:hideMark/>
          </w:tcPr>
          <w:p w14:paraId="172A11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105.  Nos requerimentos de licenciamento que envolvam modelo certificado ou modelo padronizado, os campos referentes às cláusulas variáveis devem ser: </w:t>
            </w:r>
          </w:p>
        </w:tc>
        <w:tc>
          <w:tcPr>
            <w:tcW w:w="1679" w:type="pct"/>
            <w:tcBorders>
              <w:top w:val="nil"/>
              <w:left w:val="nil"/>
              <w:bottom w:val="single" w:sz="4" w:space="0" w:color="auto"/>
              <w:right w:val="single" w:sz="4" w:space="0" w:color="auto"/>
            </w:tcBorders>
            <w:shd w:val="clear" w:color="auto" w:fill="auto"/>
            <w:vAlign w:val="center"/>
            <w:hideMark/>
          </w:tcPr>
          <w:p w14:paraId="43ED3C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DCFEA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130B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destacados</w:t>
            </w:r>
            <w:proofErr w:type="gramEnd"/>
            <w:r w:rsidRPr="00704883">
              <w:rPr>
                <w:rFonts w:ascii="Calibri" w:eastAsia="Times New Roman" w:hAnsi="Calibri" w:cs="Calibri"/>
                <w:color w:val="000000"/>
                <w:sz w:val="24"/>
                <w:szCs w:val="24"/>
                <w:lang w:eastAsia="pt-BR"/>
              </w:rPr>
              <w:t xml:space="preserve"> entre parênteses, quando da instrução do requerimento de certificação de modelo; e </w:t>
            </w:r>
          </w:p>
        </w:tc>
        <w:tc>
          <w:tcPr>
            <w:tcW w:w="1660" w:type="pct"/>
            <w:tcBorders>
              <w:top w:val="nil"/>
              <w:left w:val="nil"/>
              <w:bottom w:val="single" w:sz="4" w:space="0" w:color="auto"/>
              <w:right w:val="single" w:sz="4" w:space="0" w:color="auto"/>
            </w:tcBorders>
            <w:shd w:val="clear" w:color="auto" w:fill="auto"/>
            <w:vAlign w:val="center"/>
            <w:hideMark/>
          </w:tcPr>
          <w:p w14:paraId="15B65E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destacados</w:t>
            </w:r>
            <w:proofErr w:type="gramEnd"/>
            <w:r w:rsidRPr="00704883">
              <w:rPr>
                <w:rFonts w:ascii="Calibri" w:eastAsia="Times New Roman" w:hAnsi="Calibri" w:cs="Calibri"/>
                <w:color w:val="000000"/>
                <w:sz w:val="24"/>
                <w:szCs w:val="24"/>
                <w:lang w:eastAsia="pt-BR"/>
              </w:rPr>
              <w:t xml:space="preserve"> entre parênteses, quando da instrução do requerimento de certificação de modelo; e </w:t>
            </w:r>
          </w:p>
        </w:tc>
        <w:tc>
          <w:tcPr>
            <w:tcW w:w="1679" w:type="pct"/>
            <w:tcBorders>
              <w:top w:val="nil"/>
              <w:left w:val="nil"/>
              <w:bottom w:val="single" w:sz="4" w:space="0" w:color="auto"/>
              <w:right w:val="single" w:sz="4" w:space="0" w:color="auto"/>
            </w:tcBorders>
            <w:shd w:val="clear" w:color="auto" w:fill="auto"/>
            <w:vAlign w:val="center"/>
            <w:hideMark/>
          </w:tcPr>
          <w:p w14:paraId="1041080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4172FD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233D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preenchidos</w:t>
            </w:r>
            <w:proofErr w:type="gramEnd"/>
            <w:r w:rsidRPr="00704883">
              <w:rPr>
                <w:rFonts w:ascii="Calibri" w:eastAsia="Times New Roman" w:hAnsi="Calibri" w:cs="Calibri"/>
                <w:color w:val="000000"/>
                <w:sz w:val="24"/>
                <w:szCs w:val="24"/>
                <w:lang w:eastAsia="pt-BR"/>
              </w:rPr>
              <w:t>, quando da instrução do requerimento de licenciamento de aplicação de regulamento de plano de benefícios ou de aprovação de convênio de adesão.</w:t>
            </w:r>
          </w:p>
        </w:tc>
        <w:tc>
          <w:tcPr>
            <w:tcW w:w="1660" w:type="pct"/>
            <w:tcBorders>
              <w:top w:val="nil"/>
              <w:left w:val="nil"/>
              <w:bottom w:val="single" w:sz="4" w:space="0" w:color="auto"/>
              <w:right w:val="single" w:sz="4" w:space="0" w:color="auto"/>
            </w:tcBorders>
            <w:shd w:val="clear" w:color="auto" w:fill="auto"/>
            <w:vAlign w:val="center"/>
            <w:hideMark/>
          </w:tcPr>
          <w:p w14:paraId="490558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preenchidos</w:t>
            </w:r>
            <w:proofErr w:type="gramEnd"/>
            <w:r w:rsidRPr="00704883">
              <w:rPr>
                <w:rFonts w:ascii="Calibri" w:eastAsia="Times New Roman" w:hAnsi="Calibri" w:cs="Calibri"/>
                <w:color w:val="000000"/>
                <w:sz w:val="24"/>
                <w:szCs w:val="24"/>
                <w:lang w:eastAsia="pt-BR"/>
              </w:rPr>
              <w:t>, quando da instrução do requerimento de licenciamento de aplicação de regulamento de plano de benefícios ou de aprovação de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6D3061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A68B29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93852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Das disposições finais </w:t>
            </w:r>
          </w:p>
        </w:tc>
        <w:tc>
          <w:tcPr>
            <w:tcW w:w="1660" w:type="pct"/>
            <w:tcBorders>
              <w:top w:val="nil"/>
              <w:left w:val="nil"/>
              <w:bottom w:val="single" w:sz="4" w:space="0" w:color="auto"/>
              <w:right w:val="single" w:sz="4" w:space="0" w:color="auto"/>
            </w:tcBorders>
            <w:shd w:val="clear" w:color="auto" w:fill="auto"/>
            <w:vAlign w:val="center"/>
            <w:hideMark/>
          </w:tcPr>
          <w:p w14:paraId="0E68039C"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75F34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171CF4AF" w14:textId="77777777" w:rsidTr="00704883">
        <w:trPr>
          <w:trHeight w:val="30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975C44"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6º O expediente explicativo de resposta às exigências formuladas pela Previc deve conter manifestação em relação a cada uma delas, informando quais foram cumpridas e quais foram objeto de ponderação fundamentada. </w:t>
            </w:r>
          </w:p>
        </w:tc>
        <w:tc>
          <w:tcPr>
            <w:tcW w:w="1660" w:type="pct"/>
            <w:tcBorders>
              <w:top w:val="nil"/>
              <w:left w:val="nil"/>
              <w:bottom w:val="single" w:sz="4" w:space="0" w:color="auto"/>
              <w:right w:val="single" w:sz="4" w:space="0" w:color="auto"/>
            </w:tcBorders>
            <w:shd w:val="clear" w:color="auto" w:fill="auto"/>
            <w:vAlign w:val="center"/>
            <w:hideMark/>
          </w:tcPr>
          <w:p w14:paraId="02BB4C4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106.  O expediente explicativo de resposta às exigências formuladas pela Previc deve conter manifestação em relação a cada uma delas, informando quais foram cumpridas e quais foram objeto de ponderação fundamentada.</w:t>
            </w:r>
          </w:p>
        </w:tc>
        <w:tc>
          <w:tcPr>
            <w:tcW w:w="1679" w:type="pct"/>
            <w:tcBorders>
              <w:top w:val="nil"/>
              <w:left w:val="nil"/>
              <w:bottom w:val="single" w:sz="4" w:space="0" w:color="auto"/>
              <w:right w:val="single" w:sz="4" w:space="0" w:color="auto"/>
            </w:tcBorders>
            <w:shd w:val="clear" w:color="auto" w:fill="auto"/>
            <w:vAlign w:val="center"/>
            <w:hideMark/>
          </w:tcPr>
          <w:p w14:paraId="666A4D1B"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57662F4"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E388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1660" w:type="pct"/>
            <w:tcBorders>
              <w:top w:val="nil"/>
              <w:left w:val="nil"/>
              <w:bottom w:val="single" w:sz="4" w:space="0" w:color="auto"/>
              <w:right w:val="single" w:sz="4" w:space="0" w:color="auto"/>
            </w:tcBorders>
            <w:shd w:val="clear" w:color="auto" w:fill="auto"/>
            <w:vAlign w:val="center"/>
            <w:hideMark/>
          </w:tcPr>
          <w:p w14:paraId="5009FF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1679" w:type="pct"/>
            <w:tcBorders>
              <w:top w:val="nil"/>
              <w:left w:val="nil"/>
              <w:bottom w:val="single" w:sz="4" w:space="0" w:color="auto"/>
              <w:right w:val="single" w:sz="4" w:space="0" w:color="auto"/>
            </w:tcBorders>
            <w:shd w:val="clear" w:color="auto" w:fill="auto"/>
            <w:vAlign w:val="center"/>
            <w:hideMark/>
          </w:tcPr>
          <w:p w14:paraId="2A965C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34122C7"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BF197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7º Os representantes da EFPC que subscreverem os documentos apresentados nos requerimentos devem estar cadastrados no Cadastro Nacional de Dirigentes (CAND) com mandato ativo. </w:t>
            </w:r>
          </w:p>
        </w:tc>
        <w:tc>
          <w:tcPr>
            <w:tcW w:w="1660" w:type="pct"/>
            <w:tcBorders>
              <w:top w:val="nil"/>
              <w:left w:val="nil"/>
              <w:bottom w:val="single" w:sz="4" w:space="0" w:color="auto"/>
              <w:right w:val="single" w:sz="4" w:space="0" w:color="auto"/>
            </w:tcBorders>
            <w:shd w:val="clear" w:color="auto" w:fill="auto"/>
            <w:vAlign w:val="center"/>
            <w:hideMark/>
          </w:tcPr>
          <w:p w14:paraId="034090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107.  Os representantes da EFPC que subscreverem os documentos apresentados nos requerimentos devem estar cadastrados no Cadastro Nacional de Dirigentes (CAND) com mandato ativo.</w:t>
            </w:r>
          </w:p>
        </w:tc>
        <w:tc>
          <w:tcPr>
            <w:tcW w:w="1679" w:type="pct"/>
            <w:tcBorders>
              <w:top w:val="nil"/>
              <w:left w:val="nil"/>
              <w:bottom w:val="single" w:sz="4" w:space="0" w:color="auto"/>
              <w:right w:val="single" w:sz="4" w:space="0" w:color="auto"/>
            </w:tcBorders>
            <w:shd w:val="clear" w:color="auto" w:fill="auto"/>
            <w:vAlign w:val="center"/>
            <w:hideMark/>
          </w:tcPr>
          <w:p w14:paraId="5EE6B1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26D137"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E01A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246314F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108.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1679" w:type="pct"/>
            <w:tcBorders>
              <w:top w:val="nil"/>
              <w:left w:val="nil"/>
              <w:bottom w:val="single" w:sz="4" w:space="0" w:color="auto"/>
              <w:right w:val="single" w:sz="4" w:space="0" w:color="auto"/>
            </w:tcBorders>
            <w:shd w:val="clear" w:color="auto" w:fill="auto"/>
            <w:vAlign w:val="center"/>
            <w:hideMark/>
          </w:tcPr>
          <w:p w14:paraId="08288F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CD3A5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34FB74"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9, de 30 de março de 2022.</w:t>
            </w:r>
          </w:p>
        </w:tc>
        <w:tc>
          <w:tcPr>
            <w:tcW w:w="1660" w:type="pct"/>
            <w:tcBorders>
              <w:top w:val="nil"/>
              <w:left w:val="nil"/>
              <w:bottom w:val="single" w:sz="4" w:space="0" w:color="auto"/>
              <w:right w:val="single" w:sz="4" w:space="0" w:color="auto"/>
            </w:tcBorders>
            <w:shd w:val="clear" w:color="auto" w:fill="auto"/>
            <w:vAlign w:val="center"/>
            <w:hideMark/>
          </w:tcPr>
          <w:p w14:paraId="569F6E20"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D50AB6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21EF13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E4493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CAPÍTULO I </w:t>
            </w:r>
          </w:p>
        </w:tc>
        <w:tc>
          <w:tcPr>
            <w:tcW w:w="1660" w:type="pct"/>
            <w:tcBorders>
              <w:top w:val="nil"/>
              <w:left w:val="nil"/>
              <w:bottom w:val="nil"/>
              <w:right w:val="single" w:sz="4" w:space="0" w:color="auto"/>
            </w:tcBorders>
            <w:shd w:val="clear" w:color="auto" w:fill="auto"/>
            <w:vAlign w:val="center"/>
            <w:hideMark/>
          </w:tcPr>
          <w:p w14:paraId="77C8F81C"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II</w:t>
            </w:r>
            <w:r w:rsidRPr="00704883">
              <w:rPr>
                <w:rFonts w:ascii="Calibri" w:eastAsia="Times New Roman" w:hAnsi="Calibri" w:cs="Calibri"/>
                <w:b/>
                <w:bCs/>
                <w:color w:val="000000"/>
                <w:sz w:val="24"/>
                <w:szCs w:val="24"/>
                <w:lang w:eastAsia="pt-BR"/>
              </w:rPr>
              <w:br/>
              <w:t>Instrução dos requerimentos de licenciamento</w:t>
            </w:r>
          </w:p>
        </w:tc>
        <w:tc>
          <w:tcPr>
            <w:tcW w:w="1679" w:type="pct"/>
            <w:tcBorders>
              <w:top w:val="nil"/>
              <w:left w:val="nil"/>
              <w:bottom w:val="single" w:sz="4" w:space="0" w:color="auto"/>
              <w:right w:val="single" w:sz="4" w:space="0" w:color="auto"/>
            </w:tcBorders>
            <w:shd w:val="clear" w:color="auto" w:fill="auto"/>
            <w:vAlign w:val="center"/>
            <w:hideMark/>
          </w:tcPr>
          <w:p w14:paraId="73E34D7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899C124"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819C7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 INSTRUÇÃO DOS REQUERIMENTOS DE LICENCIAMENTO</w:t>
            </w:r>
          </w:p>
        </w:tc>
        <w:tc>
          <w:tcPr>
            <w:tcW w:w="1660" w:type="pct"/>
            <w:tcBorders>
              <w:top w:val="nil"/>
              <w:left w:val="nil"/>
              <w:bottom w:val="single" w:sz="4" w:space="0" w:color="auto"/>
              <w:right w:val="single" w:sz="4" w:space="0" w:color="auto"/>
            </w:tcBorders>
            <w:shd w:val="clear" w:color="auto" w:fill="auto"/>
            <w:vAlign w:val="center"/>
            <w:hideMark/>
          </w:tcPr>
          <w:p w14:paraId="001467BD"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9DC6EF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EFBD70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93472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Os requerimentos de licenciamento apresentados pela EFPC de forma incompleta podem ser devolvidos sem a instauração do correspondente processo de licenciamento. </w:t>
            </w:r>
          </w:p>
        </w:tc>
        <w:tc>
          <w:tcPr>
            <w:tcW w:w="1660" w:type="pct"/>
            <w:tcBorders>
              <w:top w:val="nil"/>
              <w:left w:val="nil"/>
              <w:bottom w:val="single" w:sz="4" w:space="0" w:color="auto"/>
              <w:right w:val="single" w:sz="4" w:space="0" w:color="auto"/>
            </w:tcBorders>
            <w:shd w:val="clear" w:color="auto" w:fill="auto"/>
            <w:vAlign w:val="center"/>
            <w:hideMark/>
          </w:tcPr>
          <w:p w14:paraId="661DDB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109.  Os requerimentos de licenciamento apresentados pela EFPC de forma incompleta podem ser devolvidos sem a instauração do correspondente processo de licenciamento.</w:t>
            </w:r>
          </w:p>
        </w:tc>
        <w:tc>
          <w:tcPr>
            <w:tcW w:w="1679" w:type="pct"/>
            <w:tcBorders>
              <w:top w:val="nil"/>
              <w:left w:val="nil"/>
              <w:bottom w:val="single" w:sz="4" w:space="0" w:color="auto"/>
              <w:right w:val="single" w:sz="4" w:space="0" w:color="auto"/>
            </w:tcBorders>
            <w:shd w:val="clear" w:color="auto" w:fill="auto"/>
            <w:vAlign w:val="center"/>
            <w:hideMark/>
          </w:tcPr>
          <w:p w14:paraId="2288A3A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D7AF4EB" w14:textId="77777777" w:rsidTr="00704883">
        <w:trPr>
          <w:trHeight w:val="220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E74DD5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3º Na instrução dos requerimentos de licenciamento, a EFPC deve primar pela economicidade processual, observando os documentos e as informações necessárias à verificação do atendimento às condições estabelecidas e evitando a sua duplicidade.</w:t>
            </w:r>
          </w:p>
        </w:tc>
        <w:tc>
          <w:tcPr>
            <w:tcW w:w="1660" w:type="pct"/>
            <w:tcBorders>
              <w:top w:val="nil"/>
              <w:left w:val="nil"/>
              <w:bottom w:val="single" w:sz="4" w:space="0" w:color="auto"/>
              <w:right w:val="single" w:sz="4" w:space="0" w:color="auto"/>
            </w:tcBorders>
            <w:shd w:val="clear" w:color="auto" w:fill="auto"/>
            <w:vAlign w:val="center"/>
            <w:hideMark/>
          </w:tcPr>
          <w:p w14:paraId="745C3C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110.  Na instrução dos requerimentos de licenciamento, a EFPC deve primar pela economicidade processual, observando os documentos e as informações necessárias à verificação do atendimento às condições estabelecidas e evitando a sua duplicidade.</w:t>
            </w:r>
          </w:p>
        </w:tc>
        <w:tc>
          <w:tcPr>
            <w:tcW w:w="1679" w:type="pct"/>
            <w:tcBorders>
              <w:top w:val="nil"/>
              <w:left w:val="nil"/>
              <w:bottom w:val="single" w:sz="4" w:space="0" w:color="auto"/>
              <w:right w:val="single" w:sz="4" w:space="0" w:color="auto"/>
            </w:tcBorders>
            <w:shd w:val="clear" w:color="auto" w:fill="auto"/>
            <w:vAlign w:val="center"/>
            <w:hideMark/>
          </w:tcPr>
          <w:p w14:paraId="118EC7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2EDCF7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112955D"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II</w:t>
            </w:r>
          </w:p>
        </w:tc>
        <w:tc>
          <w:tcPr>
            <w:tcW w:w="1660" w:type="pct"/>
            <w:tcBorders>
              <w:top w:val="nil"/>
              <w:left w:val="nil"/>
              <w:bottom w:val="nil"/>
              <w:right w:val="single" w:sz="4" w:space="0" w:color="auto"/>
            </w:tcBorders>
            <w:shd w:val="clear" w:color="auto" w:fill="auto"/>
            <w:vAlign w:val="center"/>
            <w:hideMark/>
          </w:tcPr>
          <w:p w14:paraId="20F90141"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BB1E6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A5EA084" w14:textId="77777777" w:rsidTr="00704883">
        <w:trPr>
          <w:trHeight w:val="84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3D6DF6"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DA ANÁLISE DOS REQUERIMENTOS DE LICENCIAMENTO</w:t>
            </w:r>
          </w:p>
        </w:tc>
        <w:tc>
          <w:tcPr>
            <w:tcW w:w="1660" w:type="pct"/>
            <w:tcBorders>
              <w:top w:val="nil"/>
              <w:left w:val="nil"/>
              <w:bottom w:val="single" w:sz="4" w:space="0" w:color="auto"/>
              <w:right w:val="single" w:sz="4" w:space="0" w:color="auto"/>
            </w:tcBorders>
            <w:shd w:val="clear" w:color="auto" w:fill="auto"/>
            <w:vAlign w:val="center"/>
            <w:hideMark/>
          </w:tcPr>
          <w:p w14:paraId="27B04CC3"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17D98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046652" w14:textId="77777777" w:rsidTr="00704883">
        <w:trPr>
          <w:trHeight w:val="73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B40CB4F"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SEÇÃO I</w:t>
            </w:r>
          </w:p>
        </w:tc>
        <w:tc>
          <w:tcPr>
            <w:tcW w:w="1660" w:type="pct"/>
            <w:tcBorders>
              <w:top w:val="nil"/>
              <w:left w:val="nil"/>
              <w:bottom w:val="nil"/>
              <w:right w:val="single" w:sz="4" w:space="0" w:color="auto"/>
            </w:tcBorders>
            <w:shd w:val="clear" w:color="auto" w:fill="auto"/>
            <w:vAlign w:val="center"/>
            <w:hideMark/>
          </w:tcPr>
          <w:p w14:paraId="5FC469FE"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III</w:t>
            </w:r>
            <w:r w:rsidRPr="00704883">
              <w:rPr>
                <w:rFonts w:ascii="Calibri" w:eastAsia="Times New Roman" w:hAnsi="Calibri" w:cs="Calibri"/>
                <w:b/>
                <w:bCs/>
                <w:color w:val="000000"/>
                <w:sz w:val="24"/>
                <w:szCs w:val="24"/>
                <w:lang w:eastAsia="pt-BR"/>
              </w:rPr>
              <w:br/>
              <w:t>Fases de análise dos requerimentos de licenciamento</w:t>
            </w:r>
          </w:p>
        </w:tc>
        <w:tc>
          <w:tcPr>
            <w:tcW w:w="1679" w:type="pct"/>
            <w:tcBorders>
              <w:top w:val="nil"/>
              <w:left w:val="nil"/>
              <w:bottom w:val="single" w:sz="4" w:space="0" w:color="auto"/>
              <w:right w:val="single" w:sz="4" w:space="0" w:color="auto"/>
            </w:tcBorders>
            <w:shd w:val="clear" w:color="auto" w:fill="auto"/>
            <w:vAlign w:val="center"/>
            <w:hideMark/>
          </w:tcPr>
          <w:p w14:paraId="0D231C61"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7754814A" w14:textId="77777777" w:rsidTr="00704883">
        <w:trPr>
          <w:trHeight w:val="108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D60A4B"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Das Fases da Análise</w:t>
            </w:r>
          </w:p>
        </w:tc>
        <w:tc>
          <w:tcPr>
            <w:tcW w:w="1660" w:type="pct"/>
            <w:tcBorders>
              <w:top w:val="nil"/>
              <w:left w:val="nil"/>
              <w:bottom w:val="single" w:sz="4" w:space="0" w:color="auto"/>
              <w:right w:val="single" w:sz="4" w:space="0" w:color="auto"/>
            </w:tcBorders>
            <w:shd w:val="clear" w:color="auto" w:fill="auto"/>
            <w:vAlign w:val="center"/>
            <w:hideMark/>
          </w:tcPr>
          <w:p w14:paraId="1455A30F"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45D38B0"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01BD01A4"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F0ED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Os requerimentos de licenciamento devem ser analisados em duas fases, excetuados os casos previstos no Capítulo V: </w:t>
            </w:r>
          </w:p>
        </w:tc>
        <w:tc>
          <w:tcPr>
            <w:tcW w:w="1660" w:type="pct"/>
            <w:tcBorders>
              <w:top w:val="nil"/>
              <w:left w:val="nil"/>
              <w:bottom w:val="single" w:sz="4" w:space="0" w:color="auto"/>
              <w:right w:val="single" w:sz="4" w:space="0" w:color="auto"/>
            </w:tcBorders>
            <w:shd w:val="clear" w:color="auto" w:fill="auto"/>
            <w:vAlign w:val="center"/>
            <w:hideMark/>
          </w:tcPr>
          <w:p w14:paraId="58D0ED5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111.  Os requerimentos de licenciamento devem ser analisados em duas fases, excetuados os casos previst</w:t>
            </w:r>
            <w:r w:rsidRPr="00704883">
              <w:rPr>
                <w:rFonts w:ascii="Calibri" w:eastAsia="Times New Roman" w:hAnsi="Calibri" w:cs="Calibri"/>
                <w:sz w:val="24"/>
                <w:szCs w:val="24"/>
                <w:lang w:eastAsia="pt-BR"/>
              </w:rPr>
              <w:t xml:space="preserve">os na Subseção VIII </w:t>
            </w:r>
            <w:r w:rsidRPr="00704883">
              <w:rPr>
                <w:rFonts w:ascii="Calibri" w:eastAsia="Times New Roman" w:hAnsi="Calibri" w:cs="Calibri"/>
                <w:color w:val="000000"/>
                <w:sz w:val="24"/>
                <w:szCs w:val="24"/>
                <w:lang w:eastAsia="pt-BR"/>
              </w:rPr>
              <w:t>desta Seção.</w:t>
            </w:r>
          </w:p>
        </w:tc>
        <w:tc>
          <w:tcPr>
            <w:tcW w:w="1679" w:type="pct"/>
            <w:tcBorders>
              <w:top w:val="nil"/>
              <w:left w:val="nil"/>
              <w:bottom w:val="single" w:sz="4" w:space="0" w:color="auto"/>
              <w:right w:val="single" w:sz="4" w:space="0" w:color="auto"/>
            </w:tcBorders>
            <w:shd w:val="clear" w:color="auto" w:fill="auto"/>
            <w:vAlign w:val="center"/>
            <w:hideMark/>
          </w:tcPr>
          <w:p w14:paraId="622D5FB1"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6E961A9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F499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fase</w:t>
            </w:r>
            <w:proofErr w:type="gramEnd"/>
            <w:r w:rsidRPr="00704883">
              <w:rPr>
                <w:rFonts w:ascii="Calibri" w:eastAsia="Times New Roman" w:hAnsi="Calibri" w:cs="Calibri"/>
                <w:color w:val="000000"/>
                <w:sz w:val="24"/>
                <w:szCs w:val="24"/>
                <w:lang w:eastAsia="pt-BR"/>
              </w:rPr>
              <w:t xml:space="preserve"> de instrução: período no qual deve ser avaliada a completude das informações e dos documentos necessários e o atendimento a todas as condições estabelecidas para o tipo de requerimento; e </w:t>
            </w:r>
          </w:p>
        </w:tc>
        <w:tc>
          <w:tcPr>
            <w:tcW w:w="1660" w:type="pct"/>
            <w:tcBorders>
              <w:top w:val="nil"/>
              <w:left w:val="nil"/>
              <w:bottom w:val="single" w:sz="4" w:space="0" w:color="auto"/>
              <w:right w:val="single" w:sz="4" w:space="0" w:color="auto"/>
            </w:tcBorders>
            <w:shd w:val="clear" w:color="auto" w:fill="auto"/>
            <w:vAlign w:val="center"/>
            <w:hideMark/>
          </w:tcPr>
          <w:p w14:paraId="24A2D1A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55164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4753920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8608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fase</w:t>
            </w:r>
            <w:proofErr w:type="gramEnd"/>
            <w:r w:rsidRPr="00704883">
              <w:rPr>
                <w:rFonts w:ascii="Calibri" w:eastAsia="Times New Roman" w:hAnsi="Calibri" w:cs="Calibri"/>
                <w:color w:val="000000"/>
                <w:sz w:val="24"/>
                <w:szCs w:val="24"/>
                <w:lang w:eastAsia="pt-BR"/>
              </w:rPr>
              <w:t xml:space="preserve"> de decisão: período no qual deve ser emitida a manifestação final da Previc acerca do licenciamento requerido. </w:t>
            </w:r>
          </w:p>
        </w:tc>
        <w:tc>
          <w:tcPr>
            <w:tcW w:w="1660" w:type="pct"/>
            <w:tcBorders>
              <w:top w:val="nil"/>
              <w:left w:val="nil"/>
              <w:bottom w:val="single" w:sz="4" w:space="0" w:color="auto"/>
              <w:right w:val="single" w:sz="4" w:space="0" w:color="auto"/>
            </w:tcBorders>
            <w:shd w:val="clear" w:color="auto" w:fill="auto"/>
            <w:vAlign w:val="center"/>
            <w:hideMark/>
          </w:tcPr>
          <w:p w14:paraId="240823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7551D5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62BAE8D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C17222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análise dos requerimentos de licenciamento deve observar os prazos estabelecidos em Anexo. </w:t>
            </w:r>
          </w:p>
        </w:tc>
        <w:tc>
          <w:tcPr>
            <w:tcW w:w="1660" w:type="pct"/>
            <w:tcBorders>
              <w:top w:val="nil"/>
              <w:left w:val="nil"/>
              <w:bottom w:val="single" w:sz="4" w:space="0" w:color="auto"/>
              <w:right w:val="single" w:sz="4" w:space="0" w:color="auto"/>
            </w:tcBorders>
            <w:shd w:val="clear" w:color="auto" w:fill="auto"/>
            <w:vAlign w:val="center"/>
            <w:hideMark/>
          </w:tcPr>
          <w:p w14:paraId="4E8681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análise dos requerimentos de licenciamento deve observar os prazos estabelecidos em Anexo disponível em sítio eletrônico.</w:t>
            </w:r>
          </w:p>
        </w:tc>
        <w:tc>
          <w:tcPr>
            <w:tcW w:w="1679" w:type="pct"/>
            <w:tcBorders>
              <w:top w:val="nil"/>
              <w:left w:val="nil"/>
              <w:bottom w:val="single" w:sz="4" w:space="0" w:color="auto"/>
              <w:right w:val="single" w:sz="4" w:space="0" w:color="auto"/>
            </w:tcBorders>
            <w:shd w:val="clear" w:color="auto" w:fill="auto"/>
            <w:vAlign w:val="center"/>
            <w:hideMark/>
          </w:tcPr>
          <w:p w14:paraId="1922AF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Inclusão de especificação.</w:t>
            </w:r>
          </w:p>
        </w:tc>
      </w:tr>
      <w:tr w:rsidR="007D78B6" w:rsidRPr="00704883" w14:paraId="3D35099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84AF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2º Os prazos da fase de decisão devem ser contados a partir da data da conclusão da fase de instrução.</w:t>
            </w:r>
          </w:p>
        </w:tc>
        <w:tc>
          <w:tcPr>
            <w:tcW w:w="1660" w:type="pct"/>
            <w:tcBorders>
              <w:top w:val="nil"/>
              <w:left w:val="nil"/>
              <w:bottom w:val="single" w:sz="4" w:space="0" w:color="auto"/>
              <w:right w:val="single" w:sz="4" w:space="0" w:color="auto"/>
            </w:tcBorders>
            <w:shd w:val="clear" w:color="auto" w:fill="auto"/>
            <w:vAlign w:val="center"/>
            <w:hideMark/>
          </w:tcPr>
          <w:p w14:paraId="784C5D1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Os</w:t>
            </w:r>
            <w:proofErr w:type="gramEnd"/>
            <w:r w:rsidRPr="00704883">
              <w:rPr>
                <w:rFonts w:ascii="Calibri" w:eastAsia="Times New Roman" w:hAnsi="Calibri" w:cs="Calibri"/>
                <w:color w:val="000000"/>
                <w:sz w:val="24"/>
                <w:szCs w:val="24"/>
                <w:lang w:eastAsia="pt-BR"/>
              </w:rPr>
              <w:t xml:space="preserve"> prazos da fase de decisão devem ser contados a partir da data da conclusão da fase de instrução.</w:t>
            </w:r>
          </w:p>
        </w:tc>
        <w:tc>
          <w:tcPr>
            <w:tcW w:w="1679" w:type="pct"/>
            <w:tcBorders>
              <w:top w:val="nil"/>
              <w:left w:val="nil"/>
              <w:bottom w:val="single" w:sz="4" w:space="0" w:color="auto"/>
              <w:right w:val="single" w:sz="4" w:space="0" w:color="auto"/>
            </w:tcBorders>
            <w:shd w:val="clear" w:color="auto" w:fill="auto"/>
            <w:vAlign w:val="center"/>
            <w:hideMark/>
          </w:tcPr>
          <w:p w14:paraId="249D2F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331EB2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6BE8F06"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SUBSEÇÃO I</w:t>
            </w:r>
          </w:p>
        </w:tc>
        <w:tc>
          <w:tcPr>
            <w:tcW w:w="1660" w:type="pct"/>
            <w:tcBorders>
              <w:top w:val="nil"/>
              <w:left w:val="nil"/>
              <w:bottom w:val="single" w:sz="4" w:space="0" w:color="auto"/>
              <w:right w:val="single" w:sz="4" w:space="0" w:color="auto"/>
            </w:tcBorders>
            <w:shd w:val="clear" w:color="auto" w:fill="auto"/>
            <w:vAlign w:val="center"/>
            <w:hideMark/>
          </w:tcPr>
          <w:p w14:paraId="47819B7E"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IV</w:t>
            </w:r>
            <w:r w:rsidRPr="00704883">
              <w:rPr>
                <w:rFonts w:ascii="Calibri" w:eastAsia="Times New Roman" w:hAnsi="Calibri" w:cs="Calibri"/>
                <w:b/>
                <w:bCs/>
                <w:color w:val="000000"/>
                <w:sz w:val="24"/>
                <w:szCs w:val="24"/>
                <w:lang w:eastAsia="pt-BR"/>
              </w:rPr>
              <w:br/>
              <w:t>Fase de instrução</w:t>
            </w:r>
          </w:p>
        </w:tc>
        <w:tc>
          <w:tcPr>
            <w:tcW w:w="1679" w:type="pct"/>
            <w:tcBorders>
              <w:top w:val="nil"/>
              <w:left w:val="nil"/>
              <w:bottom w:val="single" w:sz="4" w:space="0" w:color="auto"/>
              <w:right w:val="single" w:sz="4" w:space="0" w:color="auto"/>
            </w:tcBorders>
            <w:shd w:val="clear" w:color="auto" w:fill="auto"/>
            <w:vAlign w:val="center"/>
            <w:hideMark/>
          </w:tcPr>
          <w:p w14:paraId="5237011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F16E33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164307"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 Fase de Instrução</w:t>
            </w:r>
          </w:p>
        </w:tc>
        <w:tc>
          <w:tcPr>
            <w:tcW w:w="1660" w:type="pct"/>
            <w:tcBorders>
              <w:top w:val="nil"/>
              <w:left w:val="nil"/>
              <w:bottom w:val="single" w:sz="4" w:space="0" w:color="auto"/>
              <w:right w:val="single" w:sz="4" w:space="0" w:color="auto"/>
            </w:tcBorders>
            <w:shd w:val="clear" w:color="auto" w:fill="auto"/>
            <w:vAlign w:val="center"/>
            <w:hideMark/>
          </w:tcPr>
          <w:p w14:paraId="6A164EEA"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4DE4C0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A125AE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C184E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5º A Previc pode, na fase de instrução do requerimento de licenciamento, estabelecer exigências ou apresentar orientações em decorrência da avaliação das informações, dos documentos e das condições estabelecidas para o tipo de requerimento. </w:t>
            </w:r>
          </w:p>
        </w:tc>
        <w:tc>
          <w:tcPr>
            <w:tcW w:w="1660" w:type="pct"/>
            <w:tcBorders>
              <w:top w:val="nil"/>
              <w:left w:val="nil"/>
              <w:bottom w:val="single" w:sz="4" w:space="0" w:color="auto"/>
              <w:right w:val="single" w:sz="4" w:space="0" w:color="auto"/>
            </w:tcBorders>
            <w:shd w:val="clear" w:color="auto" w:fill="auto"/>
            <w:vAlign w:val="center"/>
            <w:hideMark/>
          </w:tcPr>
          <w:p w14:paraId="4B7695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112.  A Previc pode, na fase de instrução do requerimento de licenciamento, estabelecer exigências ou apresentar orientações em decorrência da avaliação das informações, dos documentos e das condições estabelecidas para o tipo de requerimento.</w:t>
            </w:r>
          </w:p>
        </w:tc>
        <w:tc>
          <w:tcPr>
            <w:tcW w:w="1679" w:type="pct"/>
            <w:tcBorders>
              <w:top w:val="nil"/>
              <w:left w:val="nil"/>
              <w:bottom w:val="single" w:sz="4" w:space="0" w:color="auto"/>
              <w:right w:val="single" w:sz="4" w:space="0" w:color="auto"/>
            </w:tcBorders>
            <w:shd w:val="clear" w:color="auto" w:fill="auto"/>
            <w:vAlign w:val="center"/>
            <w:hideMark/>
          </w:tcPr>
          <w:p w14:paraId="1F6252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D020C3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362F9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EFPC deve cumprir as exigências ou atender as orientações formuladas no prazo de: </w:t>
            </w:r>
          </w:p>
        </w:tc>
        <w:tc>
          <w:tcPr>
            <w:tcW w:w="1660" w:type="pct"/>
            <w:tcBorders>
              <w:top w:val="nil"/>
              <w:left w:val="nil"/>
              <w:bottom w:val="single" w:sz="4" w:space="0" w:color="auto"/>
              <w:right w:val="single" w:sz="4" w:space="0" w:color="auto"/>
            </w:tcBorders>
            <w:shd w:val="clear" w:color="auto" w:fill="auto"/>
            <w:vAlign w:val="center"/>
            <w:hideMark/>
          </w:tcPr>
          <w:p w14:paraId="32CCFF1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EFPC deve cumprir as exigências ou atender as orientações formuladas no prazo de: </w:t>
            </w:r>
          </w:p>
        </w:tc>
        <w:tc>
          <w:tcPr>
            <w:tcW w:w="1679" w:type="pct"/>
            <w:tcBorders>
              <w:top w:val="nil"/>
              <w:left w:val="nil"/>
              <w:bottom w:val="single" w:sz="4" w:space="0" w:color="auto"/>
              <w:right w:val="single" w:sz="4" w:space="0" w:color="auto"/>
            </w:tcBorders>
            <w:shd w:val="clear" w:color="auto" w:fill="auto"/>
            <w:vAlign w:val="center"/>
            <w:hideMark/>
          </w:tcPr>
          <w:p w14:paraId="7D61D3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EA3C8B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9B13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dez dias</w:t>
            </w:r>
            <w:proofErr w:type="gramEnd"/>
            <w:r w:rsidRPr="00704883">
              <w:rPr>
                <w:rFonts w:ascii="Calibri" w:eastAsia="Times New Roman" w:hAnsi="Calibri" w:cs="Calibri"/>
                <w:color w:val="000000"/>
                <w:sz w:val="24"/>
                <w:szCs w:val="24"/>
                <w:lang w:eastAsia="pt-BR"/>
              </w:rPr>
              <w:t xml:space="preserve"> úteis, nos requerimentos protocolados na forma do inciso 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do art. 20; </w:t>
            </w:r>
          </w:p>
        </w:tc>
        <w:tc>
          <w:tcPr>
            <w:tcW w:w="1660" w:type="pct"/>
            <w:tcBorders>
              <w:top w:val="nil"/>
              <w:left w:val="nil"/>
              <w:bottom w:val="single" w:sz="4" w:space="0" w:color="auto"/>
              <w:right w:val="single" w:sz="4" w:space="0" w:color="auto"/>
            </w:tcBorders>
            <w:shd w:val="clear" w:color="auto" w:fill="auto"/>
            <w:vAlign w:val="center"/>
            <w:hideMark/>
          </w:tcPr>
          <w:p w14:paraId="5235380D"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xml:space="preserve">I - </w:t>
            </w:r>
            <w:proofErr w:type="gramStart"/>
            <w:r w:rsidRPr="00704883">
              <w:rPr>
                <w:rFonts w:ascii="Calibri" w:eastAsia="Times New Roman" w:hAnsi="Calibri" w:cs="Calibri"/>
                <w:sz w:val="24"/>
                <w:szCs w:val="24"/>
                <w:lang w:eastAsia="pt-BR"/>
              </w:rPr>
              <w:t>dez dias</w:t>
            </w:r>
            <w:proofErr w:type="gramEnd"/>
            <w:r w:rsidRPr="00704883">
              <w:rPr>
                <w:rFonts w:ascii="Calibri" w:eastAsia="Times New Roman" w:hAnsi="Calibri" w:cs="Calibri"/>
                <w:sz w:val="24"/>
                <w:szCs w:val="24"/>
                <w:lang w:eastAsia="pt-BR"/>
              </w:rPr>
              <w:t xml:space="preserve"> úteis, nos requerimentos protocolados na forma do inciso II do </w:t>
            </w:r>
            <w:r w:rsidRPr="002C4C27">
              <w:rPr>
                <w:rFonts w:ascii="Calibri" w:eastAsia="Times New Roman" w:hAnsi="Calibri" w:cs="Calibri"/>
                <w:b/>
                <w:bCs/>
                <w:sz w:val="24"/>
                <w:szCs w:val="24"/>
                <w:lang w:eastAsia="pt-BR"/>
              </w:rPr>
              <w:t>caput</w:t>
            </w:r>
            <w:r w:rsidRPr="00704883">
              <w:rPr>
                <w:rFonts w:ascii="Calibri" w:eastAsia="Times New Roman" w:hAnsi="Calibri" w:cs="Calibri"/>
                <w:sz w:val="24"/>
                <w:szCs w:val="24"/>
                <w:lang w:eastAsia="pt-BR"/>
              </w:rPr>
              <w:t xml:space="preserve"> do art. 122;</w:t>
            </w:r>
          </w:p>
        </w:tc>
        <w:tc>
          <w:tcPr>
            <w:tcW w:w="1679" w:type="pct"/>
            <w:tcBorders>
              <w:top w:val="nil"/>
              <w:left w:val="nil"/>
              <w:bottom w:val="single" w:sz="4" w:space="0" w:color="auto"/>
              <w:right w:val="single" w:sz="4" w:space="0" w:color="auto"/>
            </w:tcBorders>
            <w:shd w:val="clear" w:color="auto" w:fill="auto"/>
            <w:vAlign w:val="center"/>
            <w:hideMark/>
          </w:tcPr>
          <w:p w14:paraId="5EB41C05"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0151C2F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C586A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trinta dias</w:t>
            </w:r>
            <w:proofErr w:type="gramEnd"/>
            <w:r w:rsidRPr="00704883">
              <w:rPr>
                <w:rFonts w:ascii="Calibri" w:eastAsia="Times New Roman" w:hAnsi="Calibri" w:cs="Calibri"/>
                <w:color w:val="000000"/>
                <w:sz w:val="24"/>
                <w:szCs w:val="24"/>
                <w:lang w:eastAsia="pt-BR"/>
              </w:rPr>
              <w:t xml:space="preserve"> úteis, nos requerimentos de habilitação de dirigentes; ou </w:t>
            </w:r>
          </w:p>
        </w:tc>
        <w:tc>
          <w:tcPr>
            <w:tcW w:w="1660" w:type="pct"/>
            <w:tcBorders>
              <w:top w:val="nil"/>
              <w:left w:val="nil"/>
              <w:bottom w:val="single" w:sz="4" w:space="0" w:color="auto"/>
              <w:right w:val="single" w:sz="4" w:space="0" w:color="auto"/>
            </w:tcBorders>
            <w:shd w:val="clear" w:color="auto" w:fill="auto"/>
            <w:vAlign w:val="center"/>
            <w:hideMark/>
          </w:tcPr>
          <w:p w14:paraId="56F6BB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trinta dias</w:t>
            </w:r>
            <w:proofErr w:type="gramEnd"/>
            <w:r w:rsidRPr="00704883">
              <w:rPr>
                <w:rFonts w:ascii="Calibri" w:eastAsia="Times New Roman" w:hAnsi="Calibri" w:cs="Calibri"/>
                <w:color w:val="000000"/>
                <w:sz w:val="24"/>
                <w:szCs w:val="24"/>
                <w:lang w:eastAsia="pt-BR"/>
              </w:rPr>
              <w:t xml:space="preserve"> úteis, nos requerimentos de habilitação de dirigentes; ou </w:t>
            </w:r>
          </w:p>
        </w:tc>
        <w:tc>
          <w:tcPr>
            <w:tcW w:w="1679" w:type="pct"/>
            <w:tcBorders>
              <w:top w:val="nil"/>
              <w:left w:val="nil"/>
              <w:bottom w:val="single" w:sz="4" w:space="0" w:color="auto"/>
              <w:right w:val="single" w:sz="4" w:space="0" w:color="auto"/>
            </w:tcBorders>
            <w:shd w:val="clear" w:color="auto" w:fill="auto"/>
            <w:vAlign w:val="center"/>
            <w:hideMark/>
          </w:tcPr>
          <w:p w14:paraId="527C303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D06D0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B208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sessenta dias úteis, para os demais requerimentos previstos no § 1º do art. 1º. </w:t>
            </w:r>
          </w:p>
        </w:tc>
        <w:tc>
          <w:tcPr>
            <w:tcW w:w="1660" w:type="pct"/>
            <w:tcBorders>
              <w:top w:val="nil"/>
              <w:left w:val="nil"/>
              <w:bottom w:val="single" w:sz="4" w:space="0" w:color="auto"/>
              <w:right w:val="single" w:sz="4" w:space="0" w:color="auto"/>
            </w:tcBorders>
            <w:shd w:val="clear" w:color="auto" w:fill="auto"/>
            <w:vAlign w:val="center"/>
            <w:hideMark/>
          </w:tcPr>
          <w:p w14:paraId="21049BFD"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xml:space="preserve">III - sessenta dias úteis, para os demais requerimentos previstos no art. 102.  </w:t>
            </w:r>
          </w:p>
        </w:tc>
        <w:tc>
          <w:tcPr>
            <w:tcW w:w="1679" w:type="pct"/>
            <w:tcBorders>
              <w:top w:val="nil"/>
              <w:left w:val="nil"/>
              <w:bottom w:val="single" w:sz="4" w:space="0" w:color="auto"/>
              <w:right w:val="single" w:sz="4" w:space="0" w:color="auto"/>
            </w:tcBorders>
            <w:shd w:val="clear" w:color="auto" w:fill="auto"/>
            <w:vAlign w:val="center"/>
            <w:hideMark/>
          </w:tcPr>
          <w:p w14:paraId="48E0F980"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4F613D49"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BF2A0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Considera-se notificada a EFPC, a respeito das exigências ou orientações relativas aos requerimentos de licenciamento instruídos, na data do envio de mensagem para o endereço eletrônico cadastrado no sistema informatizado da Previc. </w:t>
            </w:r>
          </w:p>
        </w:tc>
        <w:tc>
          <w:tcPr>
            <w:tcW w:w="1660" w:type="pct"/>
            <w:tcBorders>
              <w:top w:val="nil"/>
              <w:left w:val="nil"/>
              <w:bottom w:val="single" w:sz="4" w:space="0" w:color="auto"/>
              <w:right w:val="single" w:sz="4" w:space="0" w:color="auto"/>
            </w:tcBorders>
            <w:shd w:val="clear" w:color="auto" w:fill="auto"/>
            <w:vAlign w:val="center"/>
            <w:hideMark/>
          </w:tcPr>
          <w:p w14:paraId="3603050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Considera</w:t>
            </w:r>
            <w:proofErr w:type="gramEnd"/>
            <w:r w:rsidRPr="00704883">
              <w:rPr>
                <w:rFonts w:ascii="Calibri" w:eastAsia="Times New Roman" w:hAnsi="Calibri" w:cs="Calibri"/>
                <w:color w:val="000000"/>
                <w:sz w:val="24"/>
                <w:szCs w:val="24"/>
                <w:lang w:eastAsia="pt-BR"/>
              </w:rPr>
              <w:t xml:space="preserve">-se notificada a EFPC, a respeito das exigências ou orientações relativas aos requerimentos de licenciamento instruídos, na data do envio de mensagem para o endereço eletrônico cadastrado no sistema informatizado da Previc.  </w:t>
            </w:r>
          </w:p>
        </w:tc>
        <w:tc>
          <w:tcPr>
            <w:tcW w:w="1679" w:type="pct"/>
            <w:tcBorders>
              <w:top w:val="nil"/>
              <w:left w:val="nil"/>
              <w:bottom w:val="single" w:sz="4" w:space="0" w:color="auto"/>
              <w:right w:val="single" w:sz="4" w:space="0" w:color="auto"/>
            </w:tcBorders>
            <w:shd w:val="clear" w:color="auto" w:fill="auto"/>
            <w:vAlign w:val="center"/>
            <w:hideMark/>
          </w:tcPr>
          <w:p w14:paraId="2CE45A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10E503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078E8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O prazo para cumprimento das exigências ou de atendimento das orientações: </w:t>
            </w:r>
          </w:p>
        </w:tc>
        <w:tc>
          <w:tcPr>
            <w:tcW w:w="1660" w:type="pct"/>
            <w:tcBorders>
              <w:top w:val="nil"/>
              <w:left w:val="nil"/>
              <w:bottom w:val="single" w:sz="4" w:space="0" w:color="auto"/>
              <w:right w:val="single" w:sz="4" w:space="0" w:color="auto"/>
            </w:tcBorders>
            <w:shd w:val="clear" w:color="auto" w:fill="auto"/>
            <w:vAlign w:val="center"/>
            <w:hideMark/>
          </w:tcPr>
          <w:p w14:paraId="198D54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prazo para cumprimento das exigências ou de atendimento das orientações: </w:t>
            </w:r>
          </w:p>
        </w:tc>
        <w:tc>
          <w:tcPr>
            <w:tcW w:w="1679" w:type="pct"/>
            <w:tcBorders>
              <w:top w:val="nil"/>
              <w:left w:val="nil"/>
              <w:bottom w:val="single" w:sz="4" w:space="0" w:color="auto"/>
              <w:right w:val="single" w:sz="4" w:space="0" w:color="auto"/>
            </w:tcBorders>
            <w:shd w:val="clear" w:color="auto" w:fill="auto"/>
            <w:vAlign w:val="center"/>
            <w:hideMark/>
          </w:tcPr>
          <w:p w14:paraId="5DDF0D4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72A3C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D2810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deve</w:t>
            </w:r>
            <w:proofErr w:type="gramEnd"/>
            <w:r w:rsidRPr="00704883">
              <w:rPr>
                <w:rFonts w:ascii="Calibri" w:eastAsia="Times New Roman" w:hAnsi="Calibri" w:cs="Calibri"/>
                <w:color w:val="000000"/>
                <w:sz w:val="24"/>
                <w:szCs w:val="24"/>
                <w:lang w:eastAsia="pt-BR"/>
              </w:rPr>
              <w:t xml:space="preserve"> ser contado a partir da data referida no § 2º; e </w:t>
            </w:r>
          </w:p>
        </w:tc>
        <w:tc>
          <w:tcPr>
            <w:tcW w:w="1660" w:type="pct"/>
            <w:tcBorders>
              <w:top w:val="nil"/>
              <w:left w:val="nil"/>
              <w:bottom w:val="single" w:sz="4" w:space="0" w:color="auto"/>
              <w:right w:val="single" w:sz="4" w:space="0" w:color="auto"/>
            </w:tcBorders>
            <w:shd w:val="clear" w:color="auto" w:fill="auto"/>
            <w:vAlign w:val="center"/>
            <w:hideMark/>
          </w:tcPr>
          <w:p w14:paraId="750E7D2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deve</w:t>
            </w:r>
            <w:proofErr w:type="gramEnd"/>
            <w:r w:rsidRPr="00704883">
              <w:rPr>
                <w:rFonts w:ascii="Calibri" w:eastAsia="Times New Roman" w:hAnsi="Calibri" w:cs="Calibri"/>
                <w:color w:val="000000"/>
                <w:sz w:val="24"/>
                <w:szCs w:val="24"/>
                <w:lang w:eastAsia="pt-BR"/>
              </w:rPr>
              <w:t xml:space="preserve"> ser contado a partir da data referida no § 2º; e </w:t>
            </w:r>
          </w:p>
        </w:tc>
        <w:tc>
          <w:tcPr>
            <w:tcW w:w="1679" w:type="pct"/>
            <w:tcBorders>
              <w:top w:val="nil"/>
              <w:left w:val="nil"/>
              <w:bottom w:val="single" w:sz="4" w:space="0" w:color="auto"/>
              <w:right w:val="single" w:sz="4" w:space="0" w:color="auto"/>
            </w:tcBorders>
            <w:shd w:val="clear" w:color="auto" w:fill="auto"/>
            <w:vAlign w:val="center"/>
            <w:hideMark/>
          </w:tcPr>
          <w:p w14:paraId="47E536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BBDB4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C026B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pode</w:t>
            </w:r>
            <w:proofErr w:type="gramEnd"/>
            <w:r w:rsidRPr="00704883">
              <w:rPr>
                <w:rFonts w:ascii="Calibri" w:eastAsia="Times New Roman" w:hAnsi="Calibri" w:cs="Calibri"/>
                <w:color w:val="000000"/>
                <w:sz w:val="24"/>
                <w:szCs w:val="24"/>
                <w:lang w:eastAsia="pt-BR"/>
              </w:rPr>
              <w:t xml:space="preserve"> ser prorrogado uma única vez, por igual período, mediante comunicação à Previc, até o dia do seu vencimento.</w:t>
            </w:r>
          </w:p>
        </w:tc>
        <w:tc>
          <w:tcPr>
            <w:tcW w:w="1660" w:type="pct"/>
            <w:tcBorders>
              <w:top w:val="nil"/>
              <w:left w:val="nil"/>
              <w:bottom w:val="single" w:sz="4" w:space="0" w:color="auto"/>
              <w:right w:val="single" w:sz="4" w:space="0" w:color="auto"/>
            </w:tcBorders>
            <w:shd w:val="clear" w:color="auto" w:fill="auto"/>
            <w:vAlign w:val="center"/>
            <w:hideMark/>
          </w:tcPr>
          <w:p w14:paraId="73D4964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pode</w:t>
            </w:r>
            <w:proofErr w:type="gramEnd"/>
            <w:r w:rsidRPr="00704883">
              <w:rPr>
                <w:rFonts w:ascii="Calibri" w:eastAsia="Times New Roman" w:hAnsi="Calibri" w:cs="Calibri"/>
                <w:color w:val="000000"/>
                <w:sz w:val="24"/>
                <w:szCs w:val="24"/>
                <w:lang w:eastAsia="pt-BR"/>
              </w:rPr>
              <w:t xml:space="preserve"> ser prorrogado uma única vez, por igual período, mediante comunicação à Previc, até o dia do seu vencimento.</w:t>
            </w:r>
          </w:p>
        </w:tc>
        <w:tc>
          <w:tcPr>
            <w:tcW w:w="1679" w:type="pct"/>
            <w:tcBorders>
              <w:top w:val="nil"/>
              <w:left w:val="nil"/>
              <w:bottom w:val="single" w:sz="4" w:space="0" w:color="auto"/>
              <w:right w:val="single" w:sz="4" w:space="0" w:color="auto"/>
            </w:tcBorders>
            <w:shd w:val="clear" w:color="auto" w:fill="auto"/>
            <w:vAlign w:val="center"/>
            <w:hideMark/>
          </w:tcPr>
          <w:p w14:paraId="3D96BC2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A552C8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3D85A2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4º As prorrogações subsequentes à referida no inciso II do § 3º dependem de prévia e expressa anuência da Previc. </w:t>
            </w:r>
          </w:p>
        </w:tc>
        <w:tc>
          <w:tcPr>
            <w:tcW w:w="1660" w:type="pct"/>
            <w:tcBorders>
              <w:top w:val="nil"/>
              <w:left w:val="nil"/>
              <w:bottom w:val="single" w:sz="4" w:space="0" w:color="auto"/>
              <w:right w:val="single" w:sz="4" w:space="0" w:color="auto"/>
            </w:tcBorders>
            <w:shd w:val="clear" w:color="auto" w:fill="auto"/>
            <w:vAlign w:val="center"/>
            <w:hideMark/>
          </w:tcPr>
          <w:p w14:paraId="4E088E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4</w:t>
            </w:r>
            <w:proofErr w:type="gramStart"/>
            <w:r w:rsidRPr="00704883">
              <w:rPr>
                <w:rFonts w:ascii="Calibri" w:eastAsia="Times New Roman" w:hAnsi="Calibri" w:cs="Calibri"/>
                <w:color w:val="000000"/>
                <w:sz w:val="24"/>
                <w:szCs w:val="24"/>
                <w:lang w:eastAsia="pt-BR"/>
              </w:rPr>
              <w:t>º  As</w:t>
            </w:r>
            <w:proofErr w:type="gramEnd"/>
            <w:r w:rsidRPr="00704883">
              <w:rPr>
                <w:rFonts w:ascii="Calibri" w:eastAsia="Times New Roman" w:hAnsi="Calibri" w:cs="Calibri"/>
                <w:color w:val="000000"/>
                <w:sz w:val="24"/>
                <w:szCs w:val="24"/>
                <w:lang w:eastAsia="pt-BR"/>
              </w:rPr>
              <w:t xml:space="preserve"> prorrogações subsequentes à referida no inciso II do § 3º  dependem de prévia e expressa anuência da Previc.  </w:t>
            </w:r>
          </w:p>
        </w:tc>
        <w:tc>
          <w:tcPr>
            <w:tcW w:w="1679" w:type="pct"/>
            <w:tcBorders>
              <w:top w:val="nil"/>
              <w:left w:val="nil"/>
              <w:bottom w:val="single" w:sz="4" w:space="0" w:color="auto"/>
              <w:right w:val="single" w:sz="4" w:space="0" w:color="auto"/>
            </w:tcBorders>
            <w:shd w:val="clear" w:color="auto" w:fill="auto"/>
            <w:vAlign w:val="center"/>
            <w:hideMark/>
          </w:tcPr>
          <w:p w14:paraId="39562EF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A5B56C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98F1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5º O requerimento de licenciamento pode ser arquivado, mediante comunicação formal à EFPC, </w:t>
            </w:r>
            <w:r w:rsidRPr="00704883">
              <w:rPr>
                <w:rFonts w:ascii="Calibri" w:eastAsia="Times New Roman" w:hAnsi="Calibri" w:cs="Calibri"/>
                <w:color w:val="000000"/>
                <w:sz w:val="24"/>
                <w:szCs w:val="24"/>
                <w:lang w:eastAsia="pt-BR"/>
              </w:rPr>
              <w:lastRenderedPageBreak/>
              <w:t xml:space="preserve">caso as exigências não sejam cumpridas no prazo estabelecido. </w:t>
            </w:r>
          </w:p>
        </w:tc>
        <w:tc>
          <w:tcPr>
            <w:tcW w:w="1660" w:type="pct"/>
            <w:tcBorders>
              <w:top w:val="nil"/>
              <w:left w:val="nil"/>
              <w:bottom w:val="single" w:sz="4" w:space="0" w:color="auto"/>
              <w:right w:val="single" w:sz="4" w:space="0" w:color="auto"/>
            </w:tcBorders>
            <w:shd w:val="clear" w:color="auto" w:fill="auto"/>
            <w:vAlign w:val="center"/>
            <w:hideMark/>
          </w:tcPr>
          <w:p w14:paraId="367F6F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5</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requerimento de licenciamento pode ser arquivado, mediante comunicação formal à EFPC, </w:t>
            </w:r>
            <w:r w:rsidRPr="00704883">
              <w:rPr>
                <w:rFonts w:ascii="Calibri" w:eastAsia="Times New Roman" w:hAnsi="Calibri" w:cs="Calibri"/>
                <w:color w:val="000000"/>
                <w:sz w:val="24"/>
                <w:szCs w:val="24"/>
                <w:lang w:eastAsia="pt-BR"/>
              </w:rPr>
              <w:lastRenderedPageBreak/>
              <w:t>caso as exigências não sejam cumpridas no prazo estabelecido.</w:t>
            </w:r>
          </w:p>
        </w:tc>
        <w:tc>
          <w:tcPr>
            <w:tcW w:w="1679" w:type="pct"/>
            <w:tcBorders>
              <w:top w:val="nil"/>
              <w:left w:val="nil"/>
              <w:bottom w:val="single" w:sz="4" w:space="0" w:color="auto"/>
              <w:right w:val="single" w:sz="4" w:space="0" w:color="auto"/>
            </w:tcBorders>
            <w:shd w:val="clear" w:color="auto" w:fill="auto"/>
            <w:vAlign w:val="center"/>
            <w:hideMark/>
          </w:tcPr>
          <w:p w14:paraId="51DF9B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7D78B6" w:rsidRPr="00704883" w14:paraId="42F1626D" w14:textId="77777777" w:rsidTr="00704883">
        <w:trPr>
          <w:trHeight w:val="57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D1C0AF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6º O documento de resposta às exigências ou orientações deve mencionar o número de protocolo do requerimento de licenciamento. </w:t>
            </w:r>
          </w:p>
        </w:tc>
        <w:tc>
          <w:tcPr>
            <w:tcW w:w="1660" w:type="pct"/>
            <w:tcBorders>
              <w:top w:val="nil"/>
              <w:left w:val="nil"/>
              <w:bottom w:val="single" w:sz="4" w:space="0" w:color="auto"/>
              <w:right w:val="single" w:sz="4" w:space="0" w:color="auto"/>
            </w:tcBorders>
            <w:shd w:val="clear" w:color="auto" w:fill="auto"/>
            <w:vAlign w:val="center"/>
            <w:hideMark/>
          </w:tcPr>
          <w:p w14:paraId="67DEAD2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6</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documento de resposta às exigências ou orientações deve mencionar o número de protocolo do requerimento de licenciamento.</w:t>
            </w:r>
          </w:p>
        </w:tc>
        <w:tc>
          <w:tcPr>
            <w:tcW w:w="1679" w:type="pct"/>
            <w:tcBorders>
              <w:top w:val="nil"/>
              <w:left w:val="nil"/>
              <w:bottom w:val="single" w:sz="4" w:space="0" w:color="auto"/>
              <w:right w:val="single" w:sz="4" w:space="0" w:color="auto"/>
            </w:tcBorders>
            <w:shd w:val="clear" w:color="auto" w:fill="auto"/>
            <w:vAlign w:val="center"/>
            <w:hideMark/>
          </w:tcPr>
          <w:p w14:paraId="64A5AD2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0364B3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59C9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6º A Previc pode, na fase de instrução: </w:t>
            </w:r>
          </w:p>
        </w:tc>
        <w:tc>
          <w:tcPr>
            <w:tcW w:w="1660" w:type="pct"/>
            <w:tcBorders>
              <w:top w:val="nil"/>
              <w:left w:val="nil"/>
              <w:bottom w:val="single" w:sz="4" w:space="0" w:color="auto"/>
              <w:right w:val="single" w:sz="4" w:space="0" w:color="auto"/>
            </w:tcBorders>
            <w:shd w:val="clear" w:color="auto" w:fill="auto"/>
            <w:vAlign w:val="center"/>
            <w:hideMark/>
          </w:tcPr>
          <w:p w14:paraId="2C975F1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113.  A Previc pode, na fase de instrução: </w:t>
            </w:r>
          </w:p>
        </w:tc>
        <w:tc>
          <w:tcPr>
            <w:tcW w:w="1679" w:type="pct"/>
            <w:tcBorders>
              <w:top w:val="nil"/>
              <w:left w:val="nil"/>
              <w:bottom w:val="single" w:sz="4" w:space="0" w:color="auto"/>
              <w:right w:val="single" w:sz="4" w:space="0" w:color="auto"/>
            </w:tcBorders>
            <w:shd w:val="clear" w:color="auto" w:fill="auto"/>
            <w:vAlign w:val="center"/>
            <w:hideMark/>
          </w:tcPr>
          <w:p w14:paraId="4628399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969D7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EF81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determinar</w:t>
            </w:r>
            <w:proofErr w:type="gramEnd"/>
            <w:r w:rsidRPr="00704883">
              <w:rPr>
                <w:rFonts w:ascii="Calibri" w:eastAsia="Times New Roman" w:hAnsi="Calibri" w:cs="Calibri"/>
                <w:color w:val="000000"/>
                <w:sz w:val="24"/>
                <w:szCs w:val="24"/>
                <w:lang w:eastAsia="pt-BR"/>
              </w:rPr>
              <w:t xml:space="preserve"> o envio de outros documentos e informações que julgar necessários para a instrução de processos de licenciamento; e </w:t>
            </w:r>
          </w:p>
        </w:tc>
        <w:tc>
          <w:tcPr>
            <w:tcW w:w="1660" w:type="pct"/>
            <w:tcBorders>
              <w:top w:val="nil"/>
              <w:left w:val="nil"/>
              <w:bottom w:val="single" w:sz="4" w:space="0" w:color="auto"/>
              <w:right w:val="single" w:sz="4" w:space="0" w:color="auto"/>
            </w:tcBorders>
            <w:shd w:val="clear" w:color="auto" w:fill="auto"/>
            <w:vAlign w:val="center"/>
            <w:hideMark/>
          </w:tcPr>
          <w:p w14:paraId="385637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determinar</w:t>
            </w:r>
            <w:proofErr w:type="gramEnd"/>
            <w:r w:rsidRPr="00704883">
              <w:rPr>
                <w:rFonts w:ascii="Calibri" w:eastAsia="Times New Roman" w:hAnsi="Calibri" w:cs="Calibri"/>
                <w:color w:val="000000"/>
                <w:sz w:val="24"/>
                <w:szCs w:val="24"/>
                <w:lang w:eastAsia="pt-BR"/>
              </w:rPr>
              <w:t xml:space="preserve"> o envio de outros documentos e informações que julgar necessários para a instrução de processos de licenciamento; e</w:t>
            </w:r>
          </w:p>
        </w:tc>
        <w:tc>
          <w:tcPr>
            <w:tcW w:w="1679" w:type="pct"/>
            <w:tcBorders>
              <w:top w:val="nil"/>
              <w:left w:val="nil"/>
              <w:bottom w:val="single" w:sz="4" w:space="0" w:color="auto"/>
              <w:right w:val="single" w:sz="4" w:space="0" w:color="auto"/>
            </w:tcBorders>
            <w:shd w:val="clear" w:color="auto" w:fill="auto"/>
            <w:vAlign w:val="center"/>
            <w:hideMark/>
          </w:tcPr>
          <w:p w14:paraId="5E9C34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86C632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222BF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dispensar</w:t>
            </w:r>
            <w:proofErr w:type="gramEnd"/>
            <w:r w:rsidRPr="00704883">
              <w:rPr>
                <w:rFonts w:ascii="Calibri" w:eastAsia="Times New Roman" w:hAnsi="Calibri" w:cs="Calibri"/>
                <w:color w:val="000000"/>
                <w:sz w:val="24"/>
                <w:szCs w:val="24"/>
                <w:lang w:eastAsia="pt-BR"/>
              </w:rPr>
              <w:t xml:space="preserve"> o envio de documento de conhecimento público ou de informação presente em outros processos de licenciamento.</w:t>
            </w:r>
          </w:p>
        </w:tc>
        <w:tc>
          <w:tcPr>
            <w:tcW w:w="1660" w:type="pct"/>
            <w:tcBorders>
              <w:top w:val="nil"/>
              <w:left w:val="nil"/>
              <w:bottom w:val="single" w:sz="4" w:space="0" w:color="auto"/>
              <w:right w:val="single" w:sz="4" w:space="0" w:color="auto"/>
            </w:tcBorders>
            <w:shd w:val="clear" w:color="auto" w:fill="auto"/>
            <w:vAlign w:val="center"/>
            <w:hideMark/>
          </w:tcPr>
          <w:p w14:paraId="5A17C9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dispensar</w:t>
            </w:r>
            <w:proofErr w:type="gramEnd"/>
            <w:r w:rsidRPr="00704883">
              <w:rPr>
                <w:rFonts w:ascii="Calibri" w:eastAsia="Times New Roman" w:hAnsi="Calibri" w:cs="Calibri"/>
                <w:color w:val="000000"/>
                <w:sz w:val="24"/>
                <w:szCs w:val="24"/>
                <w:lang w:eastAsia="pt-BR"/>
              </w:rPr>
              <w:t xml:space="preserve"> o envio de documento de conhecimento público ou de informação presente em outros processos de licenciamento.</w:t>
            </w:r>
          </w:p>
        </w:tc>
        <w:tc>
          <w:tcPr>
            <w:tcW w:w="1679" w:type="pct"/>
            <w:tcBorders>
              <w:top w:val="nil"/>
              <w:left w:val="nil"/>
              <w:bottom w:val="single" w:sz="4" w:space="0" w:color="auto"/>
              <w:right w:val="single" w:sz="4" w:space="0" w:color="auto"/>
            </w:tcBorders>
            <w:shd w:val="clear" w:color="auto" w:fill="auto"/>
            <w:vAlign w:val="center"/>
            <w:hideMark/>
          </w:tcPr>
          <w:p w14:paraId="5D92EB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A80960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2571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SUBSEÇÃO II </w:t>
            </w:r>
          </w:p>
        </w:tc>
        <w:tc>
          <w:tcPr>
            <w:tcW w:w="1660" w:type="pct"/>
            <w:tcBorders>
              <w:top w:val="nil"/>
              <w:left w:val="nil"/>
              <w:bottom w:val="single" w:sz="4" w:space="0" w:color="auto"/>
              <w:right w:val="single" w:sz="4" w:space="0" w:color="auto"/>
            </w:tcBorders>
            <w:shd w:val="clear" w:color="auto" w:fill="auto"/>
            <w:vAlign w:val="center"/>
            <w:hideMark/>
          </w:tcPr>
          <w:p w14:paraId="346F6A19" w14:textId="28A08BAA"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V</w:t>
            </w:r>
            <w:r w:rsidRPr="00704883">
              <w:rPr>
                <w:rFonts w:ascii="Calibri" w:eastAsia="Times New Roman" w:hAnsi="Calibri" w:cs="Calibri"/>
                <w:b/>
                <w:bCs/>
                <w:color w:val="000000"/>
                <w:sz w:val="24"/>
                <w:szCs w:val="24"/>
                <w:lang w:eastAsia="pt-BR"/>
              </w:rPr>
              <w:br/>
              <w:t>Interrupção, suspensão e prorrogação dos prazos na fase de instrução</w:t>
            </w:r>
          </w:p>
        </w:tc>
        <w:tc>
          <w:tcPr>
            <w:tcW w:w="1679" w:type="pct"/>
            <w:tcBorders>
              <w:top w:val="nil"/>
              <w:left w:val="nil"/>
              <w:bottom w:val="single" w:sz="4" w:space="0" w:color="auto"/>
              <w:right w:val="single" w:sz="4" w:space="0" w:color="auto"/>
            </w:tcBorders>
            <w:shd w:val="clear" w:color="auto" w:fill="auto"/>
            <w:vAlign w:val="center"/>
            <w:hideMark/>
          </w:tcPr>
          <w:p w14:paraId="31462184"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1297315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0852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 interrupção, da suspensão e da prorrogação dos prazos na fase de instrução</w:t>
            </w:r>
          </w:p>
        </w:tc>
        <w:tc>
          <w:tcPr>
            <w:tcW w:w="1660" w:type="pct"/>
            <w:tcBorders>
              <w:top w:val="nil"/>
              <w:left w:val="nil"/>
              <w:bottom w:val="single" w:sz="4" w:space="0" w:color="auto"/>
              <w:right w:val="single" w:sz="4" w:space="0" w:color="auto"/>
            </w:tcBorders>
            <w:shd w:val="clear" w:color="auto" w:fill="auto"/>
            <w:vAlign w:val="center"/>
            <w:hideMark/>
          </w:tcPr>
          <w:p w14:paraId="7453B40D"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A2F45D7"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1CA8BB1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4C56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7º O prazo para a conclusão da análise de requerimento de licenciamento, na fase de instrução, pode ser interrompido quando da apresentação de exigência ou de orientação ou quando apurada a ocorrência de: </w:t>
            </w:r>
          </w:p>
        </w:tc>
        <w:tc>
          <w:tcPr>
            <w:tcW w:w="1660" w:type="pct"/>
            <w:tcBorders>
              <w:top w:val="nil"/>
              <w:left w:val="nil"/>
              <w:bottom w:val="single" w:sz="4" w:space="0" w:color="auto"/>
              <w:right w:val="single" w:sz="4" w:space="0" w:color="auto"/>
            </w:tcBorders>
            <w:shd w:val="clear" w:color="auto" w:fill="auto"/>
            <w:vAlign w:val="center"/>
            <w:hideMark/>
          </w:tcPr>
          <w:p w14:paraId="04A911E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114.  </w:t>
            </w:r>
            <w:bookmarkStart w:id="3" w:name="_Hlk133418040"/>
            <w:r w:rsidRPr="00704883">
              <w:rPr>
                <w:rFonts w:ascii="Calibri" w:eastAsia="Times New Roman" w:hAnsi="Calibri" w:cs="Calibri"/>
                <w:color w:val="000000"/>
                <w:sz w:val="24"/>
                <w:szCs w:val="24"/>
                <w:lang w:eastAsia="pt-BR"/>
              </w:rPr>
              <w:t>O prazo para a conclusão da análise de requerimento de licenciamento, na fase de instrução, pode ser interrompido quando da apresentação de exigência ou de orientação ou quando apurada a ocorrência de:</w:t>
            </w:r>
            <w:bookmarkEnd w:id="3"/>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652021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E6247C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1F351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fato</w:t>
            </w:r>
            <w:proofErr w:type="gramEnd"/>
            <w:r w:rsidRPr="00704883">
              <w:rPr>
                <w:rFonts w:ascii="Calibri" w:eastAsia="Times New Roman" w:hAnsi="Calibri" w:cs="Calibri"/>
                <w:color w:val="000000"/>
                <w:sz w:val="24"/>
                <w:szCs w:val="24"/>
                <w:lang w:eastAsia="pt-BR"/>
              </w:rPr>
              <w:t xml:space="preserve"> novo, em resposta à exigência ou orientação encaminhada pela EFPC; </w:t>
            </w:r>
          </w:p>
        </w:tc>
        <w:tc>
          <w:tcPr>
            <w:tcW w:w="1660" w:type="pct"/>
            <w:tcBorders>
              <w:top w:val="nil"/>
              <w:left w:val="nil"/>
              <w:bottom w:val="single" w:sz="4" w:space="0" w:color="auto"/>
              <w:right w:val="single" w:sz="4" w:space="0" w:color="auto"/>
            </w:tcBorders>
            <w:shd w:val="clear" w:color="auto" w:fill="auto"/>
            <w:vAlign w:val="center"/>
            <w:hideMark/>
          </w:tcPr>
          <w:p w14:paraId="18442F8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bookmarkStart w:id="4" w:name="_Hlk133418055"/>
            <w:proofErr w:type="gramStart"/>
            <w:r w:rsidRPr="00704883">
              <w:rPr>
                <w:rFonts w:ascii="Calibri" w:eastAsia="Times New Roman" w:hAnsi="Calibri" w:cs="Calibri"/>
                <w:color w:val="000000"/>
                <w:sz w:val="24"/>
                <w:szCs w:val="24"/>
                <w:lang w:eastAsia="pt-BR"/>
              </w:rPr>
              <w:t>fato</w:t>
            </w:r>
            <w:proofErr w:type="gramEnd"/>
            <w:r w:rsidRPr="00704883">
              <w:rPr>
                <w:rFonts w:ascii="Calibri" w:eastAsia="Times New Roman" w:hAnsi="Calibri" w:cs="Calibri"/>
                <w:color w:val="000000"/>
                <w:sz w:val="24"/>
                <w:szCs w:val="24"/>
                <w:lang w:eastAsia="pt-BR"/>
              </w:rPr>
              <w:t xml:space="preserve"> novo, em resposta à exigência ou orientação encaminhada pela EFPC</w:t>
            </w:r>
            <w:bookmarkEnd w:id="4"/>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0AE06A7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4E810E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69701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caso</w:t>
            </w:r>
            <w:proofErr w:type="gramEnd"/>
            <w:r w:rsidRPr="00704883">
              <w:rPr>
                <w:rFonts w:ascii="Calibri" w:eastAsia="Times New Roman" w:hAnsi="Calibri" w:cs="Calibri"/>
                <w:color w:val="000000"/>
                <w:sz w:val="24"/>
                <w:szCs w:val="24"/>
                <w:lang w:eastAsia="pt-BR"/>
              </w:rPr>
              <w:t xml:space="preserve"> fortuito ou de força maior; ou</w:t>
            </w:r>
          </w:p>
        </w:tc>
        <w:tc>
          <w:tcPr>
            <w:tcW w:w="1660" w:type="pct"/>
            <w:tcBorders>
              <w:top w:val="nil"/>
              <w:left w:val="nil"/>
              <w:bottom w:val="single" w:sz="4" w:space="0" w:color="auto"/>
              <w:right w:val="single" w:sz="4" w:space="0" w:color="auto"/>
            </w:tcBorders>
            <w:shd w:val="clear" w:color="auto" w:fill="auto"/>
            <w:vAlign w:val="center"/>
            <w:hideMark/>
          </w:tcPr>
          <w:p w14:paraId="16FF17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bookmarkStart w:id="5" w:name="_Hlk133418067"/>
            <w:proofErr w:type="gramStart"/>
            <w:r w:rsidRPr="00704883">
              <w:rPr>
                <w:rFonts w:ascii="Calibri" w:eastAsia="Times New Roman" w:hAnsi="Calibri" w:cs="Calibri"/>
                <w:color w:val="000000"/>
                <w:sz w:val="24"/>
                <w:szCs w:val="24"/>
                <w:lang w:eastAsia="pt-BR"/>
              </w:rPr>
              <w:t>caso</w:t>
            </w:r>
            <w:proofErr w:type="gramEnd"/>
            <w:r w:rsidRPr="00704883">
              <w:rPr>
                <w:rFonts w:ascii="Calibri" w:eastAsia="Times New Roman" w:hAnsi="Calibri" w:cs="Calibri"/>
                <w:color w:val="000000"/>
                <w:sz w:val="24"/>
                <w:szCs w:val="24"/>
                <w:lang w:eastAsia="pt-BR"/>
              </w:rPr>
              <w:t xml:space="preserve"> fortuito ou de força maior</w:t>
            </w:r>
            <w:bookmarkEnd w:id="5"/>
            <w:r w:rsidRPr="00704883">
              <w:rPr>
                <w:rFonts w:ascii="Calibri" w:eastAsia="Times New Roman" w:hAnsi="Calibri" w:cs="Calibri"/>
                <w:color w:val="000000"/>
                <w:sz w:val="24"/>
                <w:szCs w:val="24"/>
                <w:lang w:eastAsia="pt-BR"/>
              </w:rPr>
              <w:t>; ou</w:t>
            </w:r>
          </w:p>
        </w:tc>
        <w:tc>
          <w:tcPr>
            <w:tcW w:w="1679" w:type="pct"/>
            <w:tcBorders>
              <w:top w:val="nil"/>
              <w:left w:val="nil"/>
              <w:bottom w:val="single" w:sz="4" w:space="0" w:color="auto"/>
              <w:right w:val="single" w:sz="4" w:space="0" w:color="auto"/>
            </w:tcBorders>
            <w:shd w:val="clear" w:color="auto" w:fill="auto"/>
            <w:vAlign w:val="center"/>
            <w:hideMark/>
          </w:tcPr>
          <w:p w14:paraId="532CB3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46BBD7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DE408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solicitação da EFPC, devidamente fundamentada. </w:t>
            </w:r>
          </w:p>
        </w:tc>
        <w:tc>
          <w:tcPr>
            <w:tcW w:w="1660" w:type="pct"/>
            <w:tcBorders>
              <w:top w:val="nil"/>
              <w:left w:val="nil"/>
              <w:bottom w:val="single" w:sz="4" w:space="0" w:color="auto"/>
              <w:right w:val="single" w:sz="4" w:space="0" w:color="auto"/>
            </w:tcBorders>
            <w:shd w:val="clear" w:color="auto" w:fill="auto"/>
            <w:vAlign w:val="center"/>
            <w:hideMark/>
          </w:tcPr>
          <w:p w14:paraId="3A5E01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w:t>
            </w:r>
            <w:bookmarkStart w:id="6" w:name="_Hlk133418080"/>
            <w:r w:rsidRPr="00704883">
              <w:rPr>
                <w:rFonts w:ascii="Calibri" w:eastAsia="Times New Roman" w:hAnsi="Calibri" w:cs="Calibri"/>
                <w:color w:val="000000"/>
                <w:sz w:val="24"/>
                <w:szCs w:val="24"/>
                <w:lang w:eastAsia="pt-BR"/>
              </w:rPr>
              <w:t>solicitação da EFPC, devidamente fundamentada</w:t>
            </w:r>
            <w:bookmarkEnd w:id="6"/>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437A43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F9E270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5053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A suspensão da análise de requerimento de licenciamento pela Previc, na fase de instrução, pode ocorrer quando: </w:t>
            </w:r>
          </w:p>
        </w:tc>
        <w:tc>
          <w:tcPr>
            <w:tcW w:w="1660" w:type="pct"/>
            <w:tcBorders>
              <w:top w:val="nil"/>
              <w:left w:val="nil"/>
              <w:bottom w:val="single" w:sz="4" w:space="0" w:color="auto"/>
              <w:right w:val="single" w:sz="4" w:space="0" w:color="auto"/>
            </w:tcBorders>
            <w:shd w:val="clear" w:color="auto" w:fill="auto"/>
            <w:vAlign w:val="center"/>
            <w:hideMark/>
          </w:tcPr>
          <w:p w14:paraId="489A64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115.  </w:t>
            </w:r>
            <w:bookmarkStart w:id="7" w:name="_Hlk133418102"/>
            <w:r w:rsidRPr="00704883">
              <w:rPr>
                <w:rFonts w:ascii="Calibri" w:eastAsia="Times New Roman" w:hAnsi="Calibri" w:cs="Calibri"/>
                <w:color w:val="000000"/>
                <w:sz w:val="24"/>
                <w:szCs w:val="24"/>
                <w:lang w:eastAsia="pt-BR"/>
              </w:rPr>
              <w:t>A suspensão da análise de requerimento de licenciamento pela Previc, na fase de instrução, pode ocorrer quando</w:t>
            </w:r>
            <w:bookmarkEnd w:id="7"/>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6608ED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888F36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4CDD0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verificadas</w:t>
            </w:r>
            <w:proofErr w:type="gramEnd"/>
            <w:r w:rsidRPr="00704883">
              <w:rPr>
                <w:rFonts w:ascii="Calibri" w:eastAsia="Times New Roman" w:hAnsi="Calibri" w:cs="Calibri"/>
                <w:color w:val="000000"/>
                <w:sz w:val="24"/>
                <w:szCs w:val="24"/>
                <w:lang w:eastAsia="pt-BR"/>
              </w:rPr>
              <w:t xml:space="preserve"> circunstâncias que impeçam a continuação da análise do processo; </w:t>
            </w:r>
          </w:p>
        </w:tc>
        <w:tc>
          <w:tcPr>
            <w:tcW w:w="1660" w:type="pct"/>
            <w:tcBorders>
              <w:top w:val="nil"/>
              <w:left w:val="nil"/>
              <w:bottom w:val="single" w:sz="4" w:space="0" w:color="auto"/>
              <w:right w:val="single" w:sz="4" w:space="0" w:color="auto"/>
            </w:tcBorders>
            <w:shd w:val="clear" w:color="auto" w:fill="auto"/>
            <w:vAlign w:val="center"/>
            <w:hideMark/>
          </w:tcPr>
          <w:p w14:paraId="2CC88E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bookmarkStart w:id="8" w:name="_Hlk133418121"/>
            <w:proofErr w:type="gramStart"/>
            <w:r w:rsidRPr="00704883">
              <w:rPr>
                <w:rFonts w:ascii="Calibri" w:eastAsia="Times New Roman" w:hAnsi="Calibri" w:cs="Calibri"/>
                <w:color w:val="000000"/>
                <w:sz w:val="24"/>
                <w:szCs w:val="24"/>
                <w:lang w:eastAsia="pt-BR"/>
              </w:rPr>
              <w:t>verificadas</w:t>
            </w:r>
            <w:proofErr w:type="gramEnd"/>
            <w:r w:rsidRPr="00704883">
              <w:rPr>
                <w:rFonts w:ascii="Calibri" w:eastAsia="Times New Roman" w:hAnsi="Calibri" w:cs="Calibri"/>
                <w:color w:val="000000"/>
                <w:sz w:val="24"/>
                <w:szCs w:val="24"/>
                <w:lang w:eastAsia="pt-BR"/>
              </w:rPr>
              <w:t xml:space="preserve"> circunstâncias que impeçam a continuação da análise do processo</w:t>
            </w:r>
            <w:bookmarkEnd w:id="8"/>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251CAF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573D08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8EE44B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 - </w:t>
            </w:r>
            <w:proofErr w:type="gramStart"/>
            <w:r w:rsidRPr="00704883">
              <w:rPr>
                <w:rFonts w:ascii="Calibri" w:eastAsia="Times New Roman" w:hAnsi="Calibri" w:cs="Calibri"/>
                <w:color w:val="000000"/>
                <w:sz w:val="24"/>
                <w:szCs w:val="24"/>
                <w:lang w:eastAsia="pt-BR"/>
              </w:rPr>
              <w:t>apurada</w:t>
            </w:r>
            <w:proofErr w:type="gramEnd"/>
            <w:r w:rsidRPr="00704883">
              <w:rPr>
                <w:rFonts w:ascii="Calibri" w:eastAsia="Times New Roman" w:hAnsi="Calibri" w:cs="Calibri"/>
                <w:color w:val="000000"/>
                <w:sz w:val="24"/>
                <w:szCs w:val="24"/>
                <w:lang w:eastAsia="pt-BR"/>
              </w:rPr>
              <w:t xml:space="preserve"> a necessidade de consulta a outra área da Previc; ou </w:t>
            </w:r>
          </w:p>
        </w:tc>
        <w:tc>
          <w:tcPr>
            <w:tcW w:w="1660" w:type="pct"/>
            <w:tcBorders>
              <w:top w:val="nil"/>
              <w:left w:val="nil"/>
              <w:bottom w:val="single" w:sz="4" w:space="0" w:color="auto"/>
              <w:right w:val="single" w:sz="4" w:space="0" w:color="auto"/>
            </w:tcBorders>
            <w:shd w:val="clear" w:color="auto" w:fill="auto"/>
            <w:vAlign w:val="center"/>
            <w:hideMark/>
          </w:tcPr>
          <w:p w14:paraId="07CF88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w:t>
            </w:r>
            <w:bookmarkStart w:id="9" w:name="_Hlk133418138"/>
            <w:r w:rsidRPr="00704883">
              <w:rPr>
                <w:rFonts w:ascii="Calibri" w:eastAsia="Times New Roman" w:hAnsi="Calibri" w:cs="Calibri"/>
                <w:color w:val="000000"/>
                <w:sz w:val="24"/>
                <w:szCs w:val="24"/>
                <w:lang w:eastAsia="pt-BR"/>
              </w:rPr>
              <w:t xml:space="preserve">- </w:t>
            </w:r>
            <w:proofErr w:type="gramStart"/>
            <w:r w:rsidRPr="00704883">
              <w:rPr>
                <w:rFonts w:ascii="Calibri" w:eastAsia="Times New Roman" w:hAnsi="Calibri" w:cs="Calibri"/>
                <w:color w:val="000000"/>
                <w:sz w:val="24"/>
                <w:szCs w:val="24"/>
                <w:lang w:eastAsia="pt-BR"/>
              </w:rPr>
              <w:t>apurada</w:t>
            </w:r>
            <w:proofErr w:type="gramEnd"/>
            <w:r w:rsidRPr="00704883">
              <w:rPr>
                <w:rFonts w:ascii="Calibri" w:eastAsia="Times New Roman" w:hAnsi="Calibri" w:cs="Calibri"/>
                <w:color w:val="000000"/>
                <w:sz w:val="24"/>
                <w:szCs w:val="24"/>
                <w:lang w:eastAsia="pt-BR"/>
              </w:rPr>
              <w:t xml:space="preserve"> a necessidade de consulta a outra área da Previc</w:t>
            </w:r>
            <w:bookmarkEnd w:id="9"/>
            <w:r w:rsidRPr="00704883">
              <w:rPr>
                <w:rFonts w:ascii="Calibri" w:eastAsia="Times New Roman" w:hAnsi="Calibri" w:cs="Calibri"/>
                <w:color w:val="000000"/>
                <w:sz w:val="24"/>
                <w:szCs w:val="24"/>
                <w:lang w:eastAsia="pt-BR"/>
              </w:rPr>
              <w:t xml:space="preserve">; ou </w:t>
            </w:r>
          </w:p>
        </w:tc>
        <w:tc>
          <w:tcPr>
            <w:tcW w:w="1679" w:type="pct"/>
            <w:tcBorders>
              <w:top w:val="nil"/>
              <w:left w:val="nil"/>
              <w:bottom w:val="single" w:sz="4" w:space="0" w:color="auto"/>
              <w:right w:val="single" w:sz="4" w:space="0" w:color="auto"/>
            </w:tcBorders>
            <w:shd w:val="clear" w:color="auto" w:fill="auto"/>
            <w:vAlign w:val="center"/>
            <w:hideMark/>
          </w:tcPr>
          <w:p w14:paraId="3FA198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4D7E5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129EA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por solicitação da Diretoria de Fiscalização e Monitoramento. </w:t>
            </w:r>
          </w:p>
        </w:tc>
        <w:tc>
          <w:tcPr>
            <w:tcW w:w="1660" w:type="pct"/>
            <w:tcBorders>
              <w:top w:val="nil"/>
              <w:left w:val="nil"/>
              <w:bottom w:val="single" w:sz="4" w:space="0" w:color="auto"/>
              <w:right w:val="single" w:sz="4" w:space="0" w:color="auto"/>
            </w:tcBorders>
            <w:shd w:val="clear" w:color="auto" w:fill="auto"/>
            <w:vAlign w:val="center"/>
            <w:hideMark/>
          </w:tcPr>
          <w:p w14:paraId="605C88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w:t>
            </w:r>
            <w:bookmarkStart w:id="10" w:name="_Hlk133418159"/>
            <w:r w:rsidRPr="00704883">
              <w:rPr>
                <w:rFonts w:ascii="Calibri" w:eastAsia="Times New Roman" w:hAnsi="Calibri" w:cs="Calibri"/>
                <w:color w:val="000000"/>
                <w:sz w:val="24"/>
                <w:szCs w:val="24"/>
                <w:lang w:eastAsia="pt-BR"/>
              </w:rPr>
              <w:t>por solicitação da Diretoria de Fiscalização e Monitoramento</w:t>
            </w:r>
            <w:bookmarkEnd w:id="10"/>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58EA22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71E4315"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F459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9º O prazo para a conclusão da análise de requerimento de licenciamento, na fase de instrução, pode ser prorrogado automaticamente uma única vez, por igual período, mediante prévia comunicação à EFPC. </w:t>
            </w:r>
          </w:p>
        </w:tc>
        <w:tc>
          <w:tcPr>
            <w:tcW w:w="1660" w:type="pct"/>
            <w:tcBorders>
              <w:top w:val="nil"/>
              <w:left w:val="nil"/>
              <w:bottom w:val="single" w:sz="4" w:space="0" w:color="auto"/>
              <w:right w:val="single" w:sz="4" w:space="0" w:color="auto"/>
            </w:tcBorders>
            <w:shd w:val="clear" w:color="auto" w:fill="auto"/>
            <w:vAlign w:val="center"/>
            <w:hideMark/>
          </w:tcPr>
          <w:p w14:paraId="6522D5B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116.  </w:t>
            </w:r>
            <w:bookmarkStart w:id="11" w:name="_Hlk133418171"/>
            <w:r w:rsidRPr="00704883">
              <w:rPr>
                <w:rFonts w:ascii="Calibri" w:eastAsia="Times New Roman" w:hAnsi="Calibri" w:cs="Calibri"/>
                <w:color w:val="000000"/>
                <w:sz w:val="24"/>
                <w:szCs w:val="24"/>
                <w:lang w:eastAsia="pt-BR"/>
              </w:rPr>
              <w:t>O prazo para a conclusão da análise de requerimento de licenciamento, na fase de instrução, pode ser prorrogado automaticamente uma única vez, por igual período, mediante prévia comunicação à EFPC</w:t>
            </w:r>
            <w:bookmarkEnd w:id="11"/>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046CA5B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C258B9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F0062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As prorrogações subsequentes à referida no caput dependem de prévia e expressa anuência do Diretor de Licenciamento.</w:t>
            </w:r>
          </w:p>
        </w:tc>
        <w:tc>
          <w:tcPr>
            <w:tcW w:w="1660" w:type="pct"/>
            <w:tcBorders>
              <w:top w:val="nil"/>
              <w:left w:val="nil"/>
              <w:bottom w:val="single" w:sz="4" w:space="0" w:color="auto"/>
              <w:right w:val="single" w:sz="4" w:space="0" w:color="auto"/>
            </w:tcBorders>
            <w:shd w:val="clear" w:color="auto" w:fill="auto"/>
            <w:vAlign w:val="center"/>
            <w:hideMark/>
          </w:tcPr>
          <w:p w14:paraId="0CC277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bookmarkStart w:id="12" w:name="_Hlk133418193"/>
            <w:r w:rsidRPr="00704883">
              <w:rPr>
                <w:rFonts w:ascii="Calibri" w:eastAsia="Times New Roman" w:hAnsi="Calibri" w:cs="Calibri"/>
                <w:color w:val="000000"/>
                <w:sz w:val="24"/>
                <w:szCs w:val="24"/>
                <w:lang w:eastAsia="pt-BR"/>
              </w:rPr>
              <w:t xml:space="preserve">Parágrafo único.  As prorrogações subsequentes à referida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dependem de prévia e expressa anuência do Diretor de Licenciamento.</w:t>
            </w:r>
            <w:bookmarkEnd w:id="12"/>
          </w:p>
        </w:tc>
        <w:tc>
          <w:tcPr>
            <w:tcW w:w="1679" w:type="pct"/>
            <w:tcBorders>
              <w:top w:val="nil"/>
              <w:left w:val="nil"/>
              <w:bottom w:val="single" w:sz="4" w:space="0" w:color="auto"/>
              <w:right w:val="single" w:sz="4" w:space="0" w:color="auto"/>
            </w:tcBorders>
            <w:shd w:val="clear" w:color="auto" w:fill="auto"/>
            <w:vAlign w:val="center"/>
            <w:hideMark/>
          </w:tcPr>
          <w:p w14:paraId="1B5F900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133AD4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686C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SUBSEÇÃO III </w:t>
            </w:r>
          </w:p>
        </w:tc>
        <w:tc>
          <w:tcPr>
            <w:tcW w:w="1660" w:type="pct"/>
            <w:tcBorders>
              <w:top w:val="nil"/>
              <w:left w:val="nil"/>
              <w:bottom w:val="single" w:sz="4" w:space="0" w:color="auto"/>
              <w:right w:val="single" w:sz="4" w:space="0" w:color="auto"/>
            </w:tcBorders>
            <w:shd w:val="clear" w:color="auto" w:fill="auto"/>
            <w:vAlign w:val="center"/>
            <w:hideMark/>
          </w:tcPr>
          <w:p w14:paraId="4C0CE781"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VI</w:t>
            </w:r>
            <w:r w:rsidRPr="00704883">
              <w:rPr>
                <w:rFonts w:ascii="Calibri" w:eastAsia="Times New Roman" w:hAnsi="Calibri" w:cs="Calibri"/>
                <w:b/>
                <w:bCs/>
                <w:color w:val="000000"/>
                <w:sz w:val="24"/>
                <w:szCs w:val="24"/>
                <w:lang w:eastAsia="pt-BR"/>
              </w:rPr>
              <w:br/>
              <w:t>Fase de decisão</w:t>
            </w:r>
          </w:p>
        </w:tc>
        <w:tc>
          <w:tcPr>
            <w:tcW w:w="1679" w:type="pct"/>
            <w:tcBorders>
              <w:top w:val="nil"/>
              <w:left w:val="nil"/>
              <w:bottom w:val="single" w:sz="4" w:space="0" w:color="auto"/>
              <w:right w:val="single" w:sz="4" w:space="0" w:color="auto"/>
            </w:tcBorders>
            <w:shd w:val="clear" w:color="auto" w:fill="auto"/>
            <w:vAlign w:val="center"/>
            <w:hideMark/>
          </w:tcPr>
          <w:p w14:paraId="261A1210"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1FF483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68A6E5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 Fase de Decisão</w:t>
            </w:r>
          </w:p>
        </w:tc>
        <w:tc>
          <w:tcPr>
            <w:tcW w:w="1660" w:type="pct"/>
            <w:tcBorders>
              <w:top w:val="nil"/>
              <w:left w:val="nil"/>
              <w:bottom w:val="single" w:sz="4" w:space="0" w:color="auto"/>
              <w:right w:val="single" w:sz="4" w:space="0" w:color="auto"/>
            </w:tcBorders>
            <w:shd w:val="clear" w:color="auto" w:fill="auto"/>
            <w:vAlign w:val="center"/>
            <w:hideMark/>
          </w:tcPr>
          <w:p w14:paraId="47B8676F"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864E704"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4484912"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9813B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10. A Previc deve informar o início da fase de decisão quando concluída a apresentação dos documentos e informações necessários e atendidas as condições estabelecidas para o tipo de requerimento de licenciamento.</w:t>
            </w:r>
          </w:p>
        </w:tc>
        <w:tc>
          <w:tcPr>
            <w:tcW w:w="1660" w:type="pct"/>
            <w:tcBorders>
              <w:top w:val="nil"/>
              <w:left w:val="nil"/>
              <w:bottom w:val="single" w:sz="4" w:space="0" w:color="auto"/>
              <w:right w:val="single" w:sz="4" w:space="0" w:color="auto"/>
            </w:tcBorders>
            <w:shd w:val="clear" w:color="auto" w:fill="auto"/>
            <w:vAlign w:val="center"/>
            <w:hideMark/>
          </w:tcPr>
          <w:p w14:paraId="4DC3EF0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117.  </w:t>
            </w:r>
            <w:bookmarkStart w:id="13" w:name="_Hlk133418219"/>
            <w:r w:rsidRPr="00704883">
              <w:rPr>
                <w:rFonts w:ascii="Calibri" w:eastAsia="Times New Roman" w:hAnsi="Calibri" w:cs="Calibri"/>
                <w:color w:val="000000"/>
                <w:sz w:val="24"/>
                <w:szCs w:val="24"/>
                <w:lang w:eastAsia="pt-BR"/>
              </w:rPr>
              <w:t>A Previc deve informar o início da fase de decisão quando concluída a apresentação dos documentos e informações necessários e atendidas as condições estabelecidas para o tipo de requerimento de licenciamento</w:t>
            </w:r>
            <w:bookmarkEnd w:id="13"/>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70B53F3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F80F51F"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4283B0B"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III</w:t>
            </w:r>
          </w:p>
        </w:tc>
        <w:tc>
          <w:tcPr>
            <w:tcW w:w="1660" w:type="pct"/>
            <w:tcBorders>
              <w:top w:val="nil"/>
              <w:left w:val="nil"/>
              <w:bottom w:val="single" w:sz="4" w:space="0" w:color="auto"/>
              <w:right w:val="single" w:sz="4" w:space="0" w:color="auto"/>
            </w:tcBorders>
            <w:shd w:val="clear" w:color="auto" w:fill="auto"/>
            <w:vAlign w:val="center"/>
            <w:hideMark/>
          </w:tcPr>
          <w:p w14:paraId="666DC014"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B6EAA1E"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1936DAC4"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489742"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DAS OBRIGAÇÕES E DIREITOS DA ENTIDADE</w:t>
            </w:r>
          </w:p>
        </w:tc>
        <w:tc>
          <w:tcPr>
            <w:tcW w:w="1660" w:type="pct"/>
            <w:tcBorders>
              <w:top w:val="nil"/>
              <w:left w:val="nil"/>
              <w:bottom w:val="single" w:sz="4" w:space="0" w:color="auto"/>
              <w:right w:val="single" w:sz="4" w:space="0" w:color="auto"/>
            </w:tcBorders>
            <w:shd w:val="clear" w:color="auto" w:fill="auto"/>
            <w:vAlign w:val="center"/>
            <w:hideMark/>
          </w:tcPr>
          <w:p w14:paraId="28DF6F28"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EB8238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5566EC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734E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 Nos requerimentos de licenciamento que envolverem alteração de estatuto ou alteração de regulamento de plano de benefícios, a EFPC deve: </w:t>
            </w:r>
          </w:p>
        </w:tc>
        <w:tc>
          <w:tcPr>
            <w:tcW w:w="1660" w:type="pct"/>
            <w:tcBorders>
              <w:top w:val="nil"/>
              <w:left w:val="nil"/>
              <w:bottom w:val="single" w:sz="4" w:space="0" w:color="auto"/>
              <w:right w:val="single" w:sz="4" w:space="0" w:color="auto"/>
            </w:tcBorders>
            <w:shd w:val="clear" w:color="auto" w:fill="auto"/>
            <w:vAlign w:val="center"/>
            <w:hideMark/>
          </w:tcPr>
          <w:p w14:paraId="2AA8672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98A9A8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5DFA0C2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E4A44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comunicar</w:t>
            </w:r>
            <w:proofErr w:type="gramEnd"/>
            <w:r w:rsidRPr="00704883">
              <w:rPr>
                <w:rFonts w:ascii="Calibri" w:eastAsia="Times New Roman" w:hAnsi="Calibri" w:cs="Calibri"/>
                <w:color w:val="000000"/>
                <w:sz w:val="24"/>
                <w:szCs w:val="24"/>
                <w:lang w:eastAsia="pt-BR"/>
              </w:rPr>
              <w:t xml:space="preserve"> a síntese das alterações aos participantes e assistidos pelos meios de comunicação usualmente utilizados, com antecedência mínima de trinta dias de sua remessa à Previc; </w:t>
            </w:r>
          </w:p>
        </w:tc>
        <w:tc>
          <w:tcPr>
            <w:tcW w:w="1660" w:type="pct"/>
            <w:tcBorders>
              <w:top w:val="nil"/>
              <w:left w:val="nil"/>
              <w:bottom w:val="single" w:sz="4" w:space="0" w:color="auto"/>
              <w:right w:val="single" w:sz="4" w:space="0" w:color="auto"/>
            </w:tcBorders>
            <w:shd w:val="clear" w:color="auto" w:fill="auto"/>
            <w:vAlign w:val="center"/>
            <w:hideMark/>
          </w:tcPr>
          <w:p w14:paraId="518020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B62F2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39808EF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CB0C0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 - </w:t>
            </w:r>
            <w:proofErr w:type="gramStart"/>
            <w:r w:rsidRPr="00704883">
              <w:rPr>
                <w:rFonts w:ascii="Calibri" w:eastAsia="Times New Roman" w:hAnsi="Calibri" w:cs="Calibri"/>
                <w:color w:val="000000"/>
                <w:sz w:val="24"/>
                <w:szCs w:val="24"/>
                <w:lang w:eastAsia="pt-BR"/>
              </w:rPr>
              <w:t>solicitar</w:t>
            </w:r>
            <w:proofErr w:type="gramEnd"/>
            <w:r w:rsidRPr="00704883">
              <w:rPr>
                <w:rFonts w:ascii="Calibri" w:eastAsia="Times New Roman" w:hAnsi="Calibri" w:cs="Calibri"/>
                <w:color w:val="000000"/>
                <w:sz w:val="24"/>
                <w:szCs w:val="24"/>
                <w:lang w:eastAsia="pt-BR"/>
              </w:rPr>
              <w:t xml:space="preserve"> a expressa anuência dos patrocinadores ou instituidores, definindo prazo para manifestação, que não pode ser inferior a trinta dias, contados da remessa da respectiva notificação. </w:t>
            </w:r>
          </w:p>
        </w:tc>
        <w:tc>
          <w:tcPr>
            <w:tcW w:w="1660" w:type="pct"/>
            <w:tcBorders>
              <w:top w:val="nil"/>
              <w:left w:val="nil"/>
              <w:bottom w:val="single" w:sz="4" w:space="0" w:color="auto"/>
              <w:right w:val="single" w:sz="4" w:space="0" w:color="auto"/>
            </w:tcBorders>
            <w:shd w:val="clear" w:color="auto" w:fill="auto"/>
            <w:vAlign w:val="center"/>
            <w:hideMark/>
          </w:tcPr>
          <w:p w14:paraId="03C89A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1E642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462A1E7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F973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EFPC pode considerar como anuência tácita dos patrocinadores ou instituidores a ausência de resposta à solicitação referida no inciso II, após transcorrido o prazo estabelecido. </w:t>
            </w:r>
          </w:p>
        </w:tc>
        <w:tc>
          <w:tcPr>
            <w:tcW w:w="1660" w:type="pct"/>
            <w:tcBorders>
              <w:top w:val="nil"/>
              <w:left w:val="nil"/>
              <w:bottom w:val="single" w:sz="4" w:space="0" w:color="auto"/>
              <w:right w:val="single" w:sz="4" w:space="0" w:color="auto"/>
            </w:tcBorders>
            <w:shd w:val="clear" w:color="auto" w:fill="auto"/>
            <w:vAlign w:val="center"/>
            <w:hideMark/>
          </w:tcPr>
          <w:p w14:paraId="63E1D91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A5125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1A5F170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DF9BB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disposto no § 1º não se aplica aos patrocinadores regidos pela Lei Complementar nº 108, de 29 de maio de 2001. </w:t>
            </w:r>
          </w:p>
        </w:tc>
        <w:tc>
          <w:tcPr>
            <w:tcW w:w="1660" w:type="pct"/>
            <w:tcBorders>
              <w:top w:val="nil"/>
              <w:left w:val="nil"/>
              <w:bottom w:val="single" w:sz="4" w:space="0" w:color="auto"/>
              <w:right w:val="single" w:sz="4" w:space="0" w:color="auto"/>
            </w:tcBorders>
            <w:shd w:val="clear" w:color="auto" w:fill="auto"/>
            <w:vAlign w:val="center"/>
            <w:hideMark/>
          </w:tcPr>
          <w:p w14:paraId="156679B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757B2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26BB140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0220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 A EFPC deve comunicar o início do seu funcionamento ou do plano de benefícios administrado, sob pena de cancelamento do licenciamento, em até cento e oitenta dias, contados da data da </w:t>
            </w:r>
            <w:proofErr w:type="gramStart"/>
            <w:r w:rsidRPr="00704883">
              <w:rPr>
                <w:rFonts w:ascii="Calibri" w:eastAsia="Times New Roman" w:hAnsi="Calibri" w:cs="Calibri"/>
                <w:color w:val="000000"/>
                <w:sz w:val="24"/>
                <w:szCs w:val="24"/>
                <w:lang w:eastAsia="pt-BR"/>
              </w:rPr>
              <w:t>autorização..</w:t>
            </w:r>
            <w:proofErr w:type="gramEnd"/>
            <w:r w:rsidRPr="00704883">
              <w:rPr>
                <w:rFonts w:ascii="Calibri" w:eastAsia="Times New Roman" w:hAnsi="Calibri" w:cs="Calibri"/>
                <w:color w:val="000000"/>
                <w:sz w:val="24"/>
                <w:szCs w:val="24"/>
                <w:lang w:eastAsia="pt-BR"/>
              </w:rPr>
              <w:t xml:space="preserve"> </w:t>
            </w:r>
          </w:p>
        </w:tc>
        <w:tc>
          <w:tcPr>
            <w:tcW w:w="1660" w:type="pct"/>
            <w:tcBorders>
              <w:top w:val="nil"/>
              <w:left w:val="nil"/>
              <w:bottom w:val="single" w:sz="4" w:space="0" w:color="auto"/>
              <w:right w:val="single" w:sz="4" w:space="0" w:color="auto"/>
            </w:tcBorders>
            <w:shd w:val="clear" w:color="auto" w:fill="auto"/>
            <w:vAlign w:val="center"/>
            <w:hideMark/>
          </w:tcPr>
          <w:p w14:paraId="659B715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75804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1218FA1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FC98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prazo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 ser prorrogado, por igual período, mediante anuência da Previc</w:t>
            </w:r>
          </w:p>
        </w:tc>
        <w:tc>
          <w:tcPr>
            <w:tcW w:w="1660" w:type="pct"/>
            <w:tcBorders>
              <w:top w:val="nil"/>
              <w:left w:val="nil"/>
              <w:bottom w:val="single" w:sz="4" w:space="0" w:color="auto"/>
              <w:right w:val="single" w:sz="4" w:space="0" w:color="auto"/>
            </w:tcBorders>
            <w:shd w:val="clear" w:color="auto" w:fill="auto"/>
            <w:vAlign w:val="center"/>
            <w:hideMark/>
          </w:tcPr>
          <w:p w14:paraId="027CE4C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C6176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472E259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33E0E1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 A EFPC pode, durante a fase de instrução, solicitar o cancelamento do requerimento de licenciamento, desde que autorizada pelo órgão estatutário competente. </w:t>
            </w:r>
          </w:p>
        </w:tc>
        <w:tc>
          <w:tcPr>
            <w:tcW w:w="1660" w:type="pct"/>
            <w:tcBorders>
              <w:top w:val="nil"/>
              <w:left w:val="nil"/>
              <w:bottom w:val="single" w:sz="4" w:space="0" w:color="auto"/>
              <w:right w:val="single" w:sz="4" w:space="0" w:color="auto"/>
            </w:tcBorders>
            <w:shd w:val="clear" w:color="auto" w:fill="auto"/>
            <w:vAlign w:val="center"/>
            <w:hideMark/>
          </w:tcPr>
          <w:p w14:paraId="5EB08F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67BD1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21E6EAA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6598D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 A EFPC deve encaminhar a documentação comprobatória da finalização das operações previstas nos incisos VII a XII do art. 1º em até noventa dias após a data de conclusão da operação.</w:t>
            </w:r>
          </w:p>
        </w:tc>
        <w:tc>
          <w:tcPr>
            <w:tcW w:w="1660" w:type="pct"/>
            <w:tcBorders>
              <w:top w:val="nil"/>
              <w:left w:val="nil"/>
              <w:bottom w:val="single" w:sz="4" w:space="0" w:color="auto"/>
              <w:right w:val="single" w:sz="4" w:space="0" w:color="auto"/>
            </w:tcBorders>
            <w:shd w:val="clear" w:color="auto" w:fill="auto"/>
            <w:vAlign w:val="center"/>
            <w:hideMark/>
          </w:tcPr>
          <w:p w14:paraId="64A5D2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887EE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0C757A4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2C58EC5"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IV</w:t>
            </w:r>
          </w:p>
        </w:tc>
        <w:tc>
          <w:tcPr>
            <w:tcW w:w="1660" w:type="pct"/>
            <w:tcBorders>
              <w:top w:val="nil"/>
              <w:left w:val="nil"/>
              <w:bottom w:val="single" w:sz="4" w:space="0" w:color="auto"/>
              <w:right w:val="single" w:sz="4" w:space="0" w:color="auto"/>
            </w:tcBorders>
            <w:shd w:val="clear" w:color="auto" w:fill="auto"/>
            <w:vAlign w:val="center"/>
            <w:hideMark/>
          </w:tcPr>
          <w:p w14:paraId="6002DD94"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VII</w:t>
            </w:r>
            <w:r w:rsidRPr="00704883">
              <w:rPr>
                <w:rFonts w:ascii="Calibri" w:eastAsia="Times New Roman" w:hAnsi="Calibri" w:cs="Calibri"/>
                <w:b/>
                <w:bCs/>
                <w:color w:val="000000"/>
                <w:sz w:val="24"/>
                <w:szCs w:val="24"/>
                <w:lang w:eastAsia="pt-BR"/>
              </w:rPr>
              <w:br/>
              <w:t>Modelos certificados</w:t>
            </w:r>
          </w:p>
        </w:tc>
        <w:tc>
          <w:tcPr>
            <w:tcW w:w="1679" w:type="pct"/>
            <w:tcBorders>
              <w:top w:val="nil"/>
              <w:left w:val="nil"/>
              <w:bottom w:val="single" w:sz="4" w:space="0" w:color="auto"/>
              <w:right w:val="single" w:sz="4" w:space="0" w:color="auto"/>
            </w:tcBorders>
            <w:shd w:val="clear" w:color="auto" w:fill="auto"/>
            <w:vAlign w:val="center"/>
            <w:hideMark/>
          </w:tcPr>
          <w:p w14:paraId="68FB5194"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6EC2CE4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E1A628"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DOS MODELOS CERTIFICADOS</w:t>
            </w:r>
          </w:p>
        </w:tc>
        <w:tc>
          <w:tcPr>
            <w:tcW w:w="1660" w:type="pct"/>
            <w:tcBorders>
              <w:top w:val="nil"/>
              <w:left w:val="nil"/>
              <w:bottom w:val="single" w:sz="4" w:space="0" w:color="auto"/>
              <w:right w:val="single" w:sz="4" w:space="0" w:color="auto"/>
            </w:tcBorders>
            <w:shd w:val="clear" w:color="auto" w:fill="auto"/>
            <w:vAlign w:val="center"/>
            <w:hideMark/>
          </w:tcPr>
          <w:p w14:paraId="18AFF944"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1FA6A0A"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454FEE7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7099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15. A EFPC pode solicitar certificação de modelos de regulamentos de planos de benefícios e de convênios de adesão. </w:t>
            </w:r>
          </w:p>
        </w:tc>
        <w:tc>
          <w:tcPr>
            <w:tcW w:w="1660" w:type="pct"/>
            <w:tcBorders>
              <w:top w:val="nil"/>
              <w:left w:val="nil"/>
              <w:bottom w:val="single" w:sz="4" w:space="0" w:color="auto"/>
              <w:right w:val="single" w:sz="4" w:space="0" w:color="auto"/>
            </w:tcBorders>
            <w:shd w:val="clear" w:color="auto" w:fill="auto"/>
            <w:vAlign w:val="center"/>
            <w:hideMark/>
          </w:tcPr>
          <w:p w14:paraId="74B967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118.  </w:t>
            </w:r>
            <w:bookmarkStart w:id="14" w:name="_Hlk133418238"/>
            <w:r w:rsidRPr="00704883">
              <w:rPr>
                <w:rFonts w:ascii="Calibri" w:eastAsia="Times New Roman" w:hAnsi="Calibri" w:cs="Calibri"/>
                <w:color w:val="000000"/>
                <w:sz w:val="24"/>
                <w:szCs w:val="24"/>
                <w:lang w:eastAsia="pt-BR"/>
              </w:rPr>
              <w:t>A EFPC pode solicitar certificação de modelos de regulamentos de planos de benefícios e de convênios de adesão</w:t>
            </w:r>
            <w:bookmarkEnd w:id="14"/>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07BBA9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63162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7C60A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EFPC deve manter os modelos certificados atualizados, considerando a legislação aplicável, sob pena de tornar a certificação sem efeito. </w:t>
            </w:r>
          </w:p>
        </w:tc>
        <w:tc>
          <w:tcPr>
            <w:tcW w:w="1660" w:type="pct"/>
            <w:tcBorders>
              <w:top w:val="nil"/>
              <w:left w:val="nil"/>
              <w:bottom w:val="single" w:sz="4" w:space="0" w:color="auto"/>
              <w:right w:val="single" w:sz="4" w:space="0" w:color="auto"/>
            </w:tcBorders>
            <w:shd w:val="clear" w:color="auto" w:fill="auto"/>
            <w:vAlign w:val="center"/>
            <w:hideMark/>
          </w:tcPr>
          <w:p w14:paraId="0C942E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 xml:space="preserve">º  </w:t>
            </w:r>
            <w:bookmarkStart w:id="15" w:name="_Hlk133418248"/>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EFPC deve manter os modelos certificados atualizados, considerando a legislação aplicável, sob pena de tornar a certificação sem efeito</w:t>
            </w:r>
            <w:bookmarkEnd w:id="15"/>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2BC4C9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640A79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55A2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A atualização de modelo certificado resulta na revogação expressa da versão anterior. </w:t>
            </w:r>
          </w:p>
        </w:tc>
        <w:tc>
          <w:tcPr>
            <w:tcW w:w="1660" w:type="pct"/>
            <w:tcBorders>
              <w:top w:val="nil"/>
              <w:left w:val="nil"/>
              <w:bottom w:val="single" w:sz="4" w:space="0" w:color="auto"/>
              <w:right w:val="single" w:sz="4" w:space="0" w:color="auto"/>
            </w:tcBorders>
            <w:shd w:val="clear" w:color="auto" w:fill="auto"/>
            <w:vAlign w:val="center"/>
            <w:hideMark/>
          </w:tcPr>
          <w:p w14:paraId="435145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 xml:space="preserve">º  </w:t>
            </w:r>
            <w:bookmarkStart w:id="16" w:name="_Hlk133418257"/>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atualização de modelo certificado resulta na revogação expressa da versão anterior</w:t>
            </w:r>
            <w:bookmarkEnd w:id="16"/>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1FDC01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2D7EF2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6B4F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Os modelos certificados devem ser identificados por numeração específica, com controle de versão. </w:t>
            </w:r>
          </w:p>
        </w:tc>
        <w:tc>
          <w:tcPr>
            <w:tcW w:w="1660" w:type="pct"/>
            <w:tcBorders>
              <w:top w:val="nil"/>
              <w:left w:val="nil"/>
              <w:bottom w:val="single" w:sz="4" w:space="0" w:color="auto"/>
              <w:right w:val="single" w:sz="4" w:space="0" w:color="auto"/>
            </w:tcBorders>
            <w:shd w:val="clear" w:color="auto" w:fill="auto"/>
            <w:vAlign w:val="center"/>
            <w:hideMark/>
          </w:tcPr>
          <w:p w14:paraId="74E56C9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 xml:space="preserve">º  </w:t>
            </w:r>
            <w:bookmarkStart w:id="17" w:name="_Hlk133418267"/>
            <w:r w:rsidRPr="00704883">
              <w:rPr>
                <w:rFonts w:ascii="Calibri" w:eastAsia="Times New Roman" w:hAnsi="Calibri" w:cs="Calibri"/>
                <w:color w:val="000000"/>
                <w:sz w:val="24"/>
                <w:szCs w:val="24"/>
                <w:lang w:eastAsia="pt-BR"/>
              </w:rPr>
              <w:t>Os</w:t>
            </w:r>
            <w:proofErr w:type="gramEnd"/>
            <w:r w:rsidRPr="00704883">
              <w:rPr>
                <w:rFonts w:ascii="Calibri" w:eastAsia="Times New Roman" w:hAnsi="Calibri" w:cs="Calibri"/>
                <w:color w:val="000000"/>
                <w:sz w:val="24"/>
                <w:szCs w:val="24"/>
                <w:lang w:eastAsia="pt-BR"/>
              </w:rPr>
              <w:t xml:space="preserve"> modelos certificados devem ser identificados por numeração específica, com controle de versão</w:t>
            </w:r>
            <w:bookmarkEnd w:id="17"/>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2084D4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A9C745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FEE3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16. Os modelos certificados contêm cláusulas fixas e cláusulas variáveis. </w:t>
            </w:r>
          </w:p>
        </w:tc>
        <w:tc>
          <w:tcPr>
            <w:tcW w:w="1660" w:type="pct"/>
            <w:tcBorders>
              <w:top w:val="nil"/>
              <w:left w:val="nil"/>
              <w:bottom w:val="single" w:sz="4" w:space="0" w:color="auto"/>
              <w:right w:val="single" w:sz="4" w:space="0" w:color="auto"/>
            </w:tcBorders>
            <w:shd w:val="clear" w:color="auto" w:fill="auto"/>
            <w:vAlign w:val="center"/>
            <w:hideMark/>
          </w:tcPr>
          <w:p w14:paraId="5D6A2C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119.  Os modelos certificados contêm:</w:t>
            </w:r>
          </w:p>
        </w:tc>
        <w:tc>
          <w:tcPr>
            <w:tcW w:w="1679" w:type="pct"/>
            <w:tcBorders>
              <w:top w:val="nil"/>
              <w:left w:val="nil"/>
              <w:bottom w:val="single" w:sz="4" w:space="0" w:color="auto"/>
              <w:right w:val="single" w:sz="4" w:space="0" w:color="auto"/>
            </w:tcBorders>
            <w:shd w:val="clear" w:color="auto" w:fill="auto"/>
            <w:vAlign w:val="center"/>
            <w:hideMark/>
          </w:tcPr>
          <w:p w14:paraId="4D330D9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9137C9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F278FA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As cláusulas fixas correspondem às disposições comuns a todos os regulamentos de plano de benefícios ou de convênios de adesão, implantados com base nos modelos certificados. </w:t>
            </w:r>
          </w:p>
        </w:tc>
        <w:tc>
          <w:tcPr>
            <w:tcW w:w="1660" w:type="pct"/>
            <w:tcBorders>
              <w:top w:val="nil"/>
              <w:left w:val="nil"/>
              <w:bottom w:val="single" w:sz="4" w:space="0" w:color="auto"/>
              <w:right w:val="single" w:sz="4" w:space="0" w:color="auto"/>
            </w:tcBorders>
            <w:shd w:val="clear" w:color="auto" w:fill="auto"/>
            <w:vAlign w:val="center"/>
            <w:hideMark/>
          </w:tcPr>
          <w:p w14:paraId="4BBE20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cláusulas</w:t>
            </w:r>
            <w:proofErr w:type="gramEnd"/>
            <w:r w:rsidRPr="00704883">
              <w:rPr>
                <w:rFonts w:ascii="Calibri" w:eastAsia="Times New Roman" w:hAnsi="Calibri" w:cs="Calibri"/>
                <w:color w:val="000000"/>
                <w:sz w:val="24"/>
                <w:szCs w:val="24"/>
                <w:lang w:eastAsia="pt-BR"/>
              </w:rPr>
              <w:t xml:space="preserve"> fixas que correspondem às disposições comuns a todos os regulamentos de plano de benefícios ou de convênios de adesão, implantados com base nos modelos certificados.</w:t>
            </w:r>
          </w:p>
        </w:tc>
        <w:tc>
          <w:tcPr>
            <w:tcW w:w="1679" w:type="pct"/>
            <w:tcBorders>
              <w:top w:val="nil"/>
              <w:left w:val="nil"/>
              <w:bottom w:val="single" w:sz="4" w:space="0" w:color="auto"/>
              <w:right w:val="single" w:sz="4" w:space="0" w:color="auto"/>
            </w:tcBorders>
            <w:shd w:val="clear" w:color="auto" w:fill="auto"/>
            <w:vAlign w:val="center"/>
            <w:hideMark/>
          </w:tcPr>
          <w:p w14:paraId="580028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Transformação </w:t>
            </w:r>
            <w:proofErr w:type="gramStart"/>
            <w:r w:rsidRPr="00704883">
              <w:rPr>
                <w:rFonts w:ascii="Calibri" w:eastAsia="Times New Roman" w:hAnsi="Calibri" w:cs="Calibri"/>
                <w:color w:val="000000"/>
                <w:sz w:val="24"/>
                <w:szCs w:val="24"/>
                <w:lang w:eastAsia="pt-BR"/>
              </w:rPr>
              <w:t>dos  1</w:t>
            </w:r>
            <w:proofErr w:type="gramEnd"/>
            <w:r w:rsidRPr="00704883">
              <w:rPr>
                <w:rFonts w:ascii="Calibri" w:eastAsia="Times New Roman" w:hAnsi="Calibri" w:cs="Calibri"/>
                <w:color w:val="000000"/>
                <w:sz w:val="24"/>
                <w:szCs w:val="24"/>
                <w:lang w:eastAsia="pt-BR"/>
              </w:rPr>
              <w:t>º e 3º em incisos, haja vista que são complementos do caput.</w:t>
            </w:r>
          </w:p>
        </w:tc>
      </w:tr>
      <w:tr w:rsidR="007D78B6" w:rsidRPr="00704883" w14:paraId="669BDFB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BA009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2º As cláusulas fixas definidas nos modelos certificados não podem ser alteradas.</w:t>
            </w:r>
          </w:p>
        </w:tc>
        <w:tc>
          <w:tcPr>
            <w:tcW w:w="1660" w:type="pct"/>
            <w:tcBorders>
              <w:top w:val="nil"/>
              <w:left w:val="nil"/>
              <w:bottom w:val="single" w:sz="4" w:space="0" w:color="auto"/>
              <w:right w:val="single" w:sz="4" w:space="0" w:color="auto"/>
            </w:tcBorders>
            <w:shd w:val="clear" w:color="auto" w:fill="auto"/>
            <w:vAlign w:val="center"/>
            <w:hideMark/>
          </w:tcPr>
          <w:p w14:paraId="65A2AA2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C662B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 1º do artigo.</w:t>
            </w:r>
          </w:p>
        </w:tc>
      </w:tr>
      <w:tr w:rsidR="007D78B6" w:rsidRPr="00704883" w14:paraId="05AF92A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E24C6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As cláusulas variáveis correspondem às disposições diferentes entre os regulamentos de planos de benefícios e </w:t>
            </w:r>
            <w:proofErr w:type="gramStart"/>
            <w:r w:rsidRPr="00704883">
              <w:rPr>
                <w:rFonts w:ascii="Calibri" w:eastAsia="Times New Roman" w:hAnsi="Calibri" w:cs="Calibri"/>
                <w:color w:val="000000"/>
                <w:sz w:val="24"/>
                <w:szCs w:val="24"/>
                <w:lang w:eastAsia="pt-BR"/>
              </w:rPr>
              <w:t>os convênio</w:t>
            </w:r>
            <w:proofErr w:type="gramEnd"/>
            <w:r w:rsidRPr="00704883">
              <w:rPr>
                <w:rFonts w:ascii="Calibri" w:eastAsia="Times New Roman" w:hAnsi="Calibri" w:cs="Calibri"/>
                <w:color w:val="000000"/>
                <w:sz w:val="24"/>
                <w:szCs w:val="24"/>
                <w:lang w:eastAsia="pt-BR"/>
              </w:rPr>
              <w:t xml:space="preserve"> de adesão, implantados com base no modelo certificado. </w:t>
            </w:r>
          </w:p>
        </w:tc>
        <w:tc>
          <w:tcPr>
            <w:tcW w:w="1660" w:type="pct"/>
            <w:tcBorders>
              <w:top w:val="nil"/>
              <w:left w:val="nil"/>
              <w:bottom w:val="single" w:sz="4" w:space="0" w:color="auto"/>
              <w:right w:val="single" w:sz="4" w:space="0" w:color="auto"/>
            </w:tcBorders>
            <w:shd w:val="clear" w:color="auto" w:fill="auto"/>
            <w:vAlign w:val="center"/>
            <w:hideMark/>
          </w:tcPr>
          <w:p w14:paraId="78997B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cláusulas</w:t>
            </w:r>
            <w:proofErr w:type="gramEnd"/>
            <w:r w:rsidRPr="00704883">
              <w:rPr>
                <w:rFonts w:ascii="Calibri" w:eastAsia="Times New Roman" w:hAnsi="Calibri" w:cs="Calibri"/>
                <w:color w:val="000000"/>
                <w:sz w:val="24"/>
                <w:szCs w:val="24"/>
                <w:lang w:eastAsia="pt-BR"/>
              </w:rPr>
              <w:t xml:space="preserve"> variáveis que correspondem às disposições diferentes entre os regulamentos de planos de benefícios e os convênios de adesão, implantados com base no modelo certificado.</w:t>
            </w:r>
          </w:p>
        </w:tc>
        <w:tc>
          <w:tcPr>
            <w:tcW w:w="1679" w:type="pct"/>
            <w:tcBorders>
              <w:top w:val="nil"/>
              <w:left w:val="nil"/>
              <w:bottom w:val="single" w:sz="4" w:space="0" w:color="auto"/>
              <w:right w:val="single" w:sz="4" w:space="0" w:color="auto"/>
            </w:tcBorders>
            <w:shd w:val="clear" w:color="auto" w:fill="auto"/>
            <w:vAlign w:val="center"/>
            <w:hideMark/>
          </w:tcPr>
          <w:p w14:paraId="33169D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Transformação </w:t>
            </w:r>
            <w:proofErr w:type="gramStart"/>
            <w:r w:rsidRPr="00704883">
              <w:rPr>
                <w:rFonts w:ascii="Calibri" w:eastAsia="Times New Roman" w:hAnsi="Calibri" w:cs="Calibri"/>
                <w:color w:val="000000"/>
                <w:sz w:val="24"/>
                <w:szCs w:val="24"/>
                <w:lang w:eastAsia="pt-BR"/>
              </w:rPr>
              <w:t>dos  1</w:t>
            </w:r>
            <w:proofErr w:type="gramEnd"/>
            <w:r w:rsidRPr="00704883">
              <w:rPr>
                <w:rFonts w:ascii="Calibri" w:eastAsia="Times New Roman" w:hAnsi="Calibri" w:cs="Calibri"/>
                <w:color w:val="000000"/>
                <w:sz w:val="24"/>
                <w:szCs w:val="24"/>
                <w:lang w:eastAsia="pt-BR"/>
              </w:rPr>
              <w:t>º e 3º em incisos, haja vista que são complementos do caput.</w:t>
            </w:r>
          </w:p>
        </w:tc>
      </w:tr>
      <w:tr w:rsidR="007D78B6" w:rsidRPr="00704883" w14:paraId="72E4DFB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B9A668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2D5B98D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As</w:t>
            </w:r>
            <w:proofErr w:type="gramEnd"/>
            <w:r w:rsidRPr="00704883">
              <w:rPr>
                <w:rFonts w:ascii="Calibri" w:eastAsia="Times New Roman" w:hAnsi="Calibri" w:cs="Calibri"/>
                <w:color w:val="000000"/>
                <w:sz w:val="24"/>
                <w:szCs w:val="24"/>
                <w:lang w:eastAsia="pt-BR"/>
              </w:rPr>
              <w:t xml:space="preserve"> cláusulas fixas definidas nos modelos certificados não podem ser alteradas.</w:t>
            </w:r>
          </w:p>
        </w:tc>
        <w:tc>
          <w:tcPr>
            <w:tcW w:w="1679" w:type="pct"/>
            <w:tcBorders>
              <w:top w:val="nil"/>
              <w:left w:val="nil"/>
              <w:bottom w:val="single" w:sz="4" w:space="0" w:color="auto"/>
              <w:right w:val="single" w:sz="4" w:space="0" w:color="auto"/>
            </w:tcBorders>
            <w:shd w:val="clear" w:color="auto" w:fill="auto"/>
            <w:vAlign w:val="center"/>
            <w:hideMark/>
          </w:tcPr>
          <w:p w14:paraId="2E0437F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ED2479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16764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4º As cláusulas variáveis de modelos certificados de regulamento de plano de benefícios podem ser diferentes de um plano para outro, em razão de: </w:t>
            </w:r>
          </w:p>
        </w:tc>
        <w:tc>
          <w:tcPr>
            <w:tcW w:w="1660" w:type="pct"/>
            <w:tcBorders>
              <w:top w:val="nil"/>
              <w:left w:val="nil"/>
              <w:bottom w:val="single" w:sz="4" w:space="0" w:color="auto"/>
              <w:right w:val="single" w:sz="4" w:space="0" w:color="auto"/>
            </w:tcBorders>
            <w:shd w:val="clear" w:color="auto" w:fill="auto"/>
            <w:vAlign w:val="center"/>
            <w:hideMark/>
          </w:tcPr>
          <w:p w14:paraId="068811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As</w:t>
            </w:r>
            <w:proofErr w:type="gramEnd"/>
            <w:r w:rsidRPr="00704883">
              <w:rPr>
                <w:rFonts w:ascii="Calibri" w:eastAsia="Times New Roman" w:hAnsi="Calibri" w:cs="Calibri"/>
                <w:color w:val="000000"/>
                <w:sz w:val="24"/>
                <w:szCs w:val="24"/>
                <w:lang w:eastAsia="pt-BR"/>
              </w:rPr>
              <w:t xml:space="preserve"> cláusulas variáveis de modelos certificados de regulamento de plano de benefícios podem ser diferentes de um plano para outro, em razão de: </w:t>
            </w:r>
          </w:p>
        </w:tc>
        <w:tc>
          <w:tcPr>
            <w:tcW w:w="1679" w:type="pct"/>
            <w:tcBorders>
              <w:top w:val="nil"/>
              <w:left w:val="nil"/>
              <w:bottom w:val="single" w:sz="4" w:space="0" w:color="auto"/>
              <w:right w:val="single" w:sz="4" w:space="0" w:color="auto"/>
            </w:tcBorders>
            <w:shd w:val="clear" w:color="auto" w:fill="auto"/>
            <w:vAlign w:val="center"/>
            <w:hideMark/>
          </w:tcPr>
          <w:p w14:paraId="2D1A8E4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6D32A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4112B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particularidades</w:t>
            </w:r>
            <w:proofErr w:type="gramEnd"/>
            <w:r w:rsidRPr="00704883">
              <w:rPr>
                <w:rFonts w:ascii="Calibri" w:eastAsia="Times New Roman" w:hAnsi="Calibri" w:cs="Calibri"/>
                <w:color w:val="000000"/>
                <w:sz w:val="24"/>
                <w:szCs w:val="24"/>
                <w:lang w:eastAsia="pt-BR"/>
              </w:rPr>
              <w:t xml:space="preserve"> do patrocinador ou instituidor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71D19B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particularidades</w:t>
            </w:r>
            <w:proofErr w:type="gramEnd"/>
            <w:r w:rsidRPr="00704883">
              <w:rPr>
                <w:rFonts w:ascii="Calibri" w:eastAsia="Times New Roman" w:hAnsi="Calibri" w:cs="Calibri"/>
                <w:color w:val="000000"/>
                <w:sz w:val="24"/>
                <w:szCs w:val="24"/>
                <w:lang w:eastAsia="pt-BR"/>
              </w:rPr>
              <w:t xml:space="preserve"> do patrocinador ou instituidor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114ECF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A1DD11F"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33E033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características</w:t>
            </w:r>
            <w:proofErr w:type="gramEnd"/>
            <w:r w:rsidRPr="00704883">
              <w:rPr>
                <w:rFonts w:ascii="Calibri" w:eastAsia="Times New Roman" w:hAnsi="Calibri" w:cs="Calibri"/>
                <w:color w:val="000000"/>
                <w:sz w:val="24"/>
                <w:szCs w:val="24"/>
                <w:lang w:eastAsia="pt-BR"/>
              </w:rPr>
              <w:t xml:space="preserve"> do grupo de participantes; </w:t>
            </w:r>
          </w:p>
        </w:tc>
        <w:tc>
          <w:tcPr>
            <w:tcW w:w="1660" w:type="pct"/>
            <w:tcBorders>
              <w:top w:val="nil"/>
              <w:left w:val="nil"/>
              <w:bottom w:val="single" w:sz="4" w:space="0" w:color="auto"/>
              <w:right w:val="single" w:sz="4" w:space="0" w:color="auto"/>
            </w:tcBorders>
            <w:shd w:val="clear" w:color="auto" w:fill="auto"/>
            <w:vAlign w:val="center"/>
            <w:hideMark/>
          </w:tcPr>
          <w:p w14:paraId="0D0D61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características</w:t>
            </w:r>
            <w:proofErr w:type="gramEnd"/>
            <w:r w:rsidRPr="00704883">
              <w:rPr>
                <w:rFonts w:ascii="Calibri" w:eastAsia="Times New Roman" w:hAnsi="Calibri" w:cs="Calibri"/>
                <w:color w:val="000000"/>
                <w:sz w:val="24"/>
                <w:szCs w:val="24"/>
                <w:lang w:eastAsia="pt-BR"/>
              </w:rPr>
              <w:t xml:space="preserve"> do grupo de participantes;</w:t>
            </w:r>
          </w:p>
        </w:tc>
        <w:tc>
          <w:tcPr>
            <w:tcW w:w="1679" w:type="pct"/>
            <w:tcBorders>
              <w:top w:val="nil"/>
              <w:left w:val="nil"/>
              <w:bottom w:val="single" w:sz="4" w:space="0" w:color="auto"/>
              <w:right w:val="single" w:sz="4" w:space="0" w:color="auto"/>
            </w:tcBorders>
            <w:shd w:val="clear" w:color="auto" w:fill="auto"/>
            <w:vAlign w:val="center"/>
            <w:hideMark/>
          </w:tcPr>
          <w:p w14:paraId="5568A2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6B13D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EC6A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percentuais e prazos de recolhimento de contribuições; </w:t>
            </w:r>
          </w:p>
        </w:tc>
        <w:tc>
          <w:tcPr>
            <w:tcW w:w="1660" w:type="pct"/>
            <w:tcBorders>
              <w:top w:val="nil"/>
              <w:left w:val="nil"/>
              <w:bottom w:val="single" w:sz="4" w:space="0" w:color="auto"/>
              <w:right w:val="single" w:sz="4" w:space="0" w:color="auto"/>
            </w:tcBorders>
            <w:shd w:val="clear" w:color="auto" w:fill="auto"/>
            <w:vAlign w:val="center"/>
            <w:hideMark/>
          </w:tcPr>
          <w:p w14:paraId="0CBF95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percentuais e prazos de recolhimento de contribuições;</w:t>
            </w:r>
          </w:p>
        </w:tc>
        <w:tc>
          <w:tcPr>
            <w:tcW w:w="1679" w:type="pct"/>
            <w:tcBorders>
              <w:top w:val="nil"/>
              <w:left w:val="nil"/>
              <w:bottom w:val="single" w:sz="4" w:space="0" w:color="auto"/>
              <w:right w:val="single" w:sz="4" w:space="0" w:color="auto"/>
            </w:tcBorders>
            <w:shd w:val="clear" w:color="auto" w:fill="auto"/>
            <w:vAlign w:val="center"/>
            <w:hideMark/>
          </w:tcPr>
          <w:p w14:paraId="2CE3EF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567E22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E55B2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IV - </w:t>
            </w:r>
            <w:proofErr w:type="gramStart"/>
            <w:r w:rsidRPr="00704883">
              <w:rPr>
                <w:rFonts w:ascii="Calibri" w:eastAsia="Times New Roman" w:hAnsi="Calibri" w:cs="Calibri"/>
                <w:color w:val="000000"/>
                <w:sz w:val="24"/>
                <w:szCs w:val="24"/>
                <w:lang w:eastAsia="pt-BR"/>
              </w:rPr>
              <w:t>critérios</w:t>
            </w:r>
            <w:proofErr w:type="gramEnd"/>
            <w:r w:rsidRPr="00704883">
              <w:rPr>
                <w:rFonts w:ascii="Calibri" w:eastAsia="Times New Roman" w:hAnsi="Calibri" w:cs="Calibri"/>
                <w:color w:val="000000"/>
                <w:sz w:val="24"/>
                <w:szCs w:val="24"/>
                <w:lang w:eastAsia="pt-BR"/>
              </w:rPr>
              <w:t xml:space="preserve"> de reajuste de contribuições e de benefícios; </w:t>
            </w:r>
          </w:p>
        </w:tc>
        <w:tc>
          <w:tcPr>
            <w:tcW w:w="1660" w:type="pct"/>
            <w:tcBorders>
              <w:top w:val="nil"/>
              <w:left w:val="nil"/>
              <w:bottom w:val="single" w:sz="4" w:space="0" w:color="auto"/>
              <w:right w:val="single" w:sz="4" w:space="0" w:color="auto"/>
            </w:tcBorders>
            <w:shd w:val="clear" w:color="auto" w:fill="auto"/>
            <w:vAlign w:val="center"/>
            <w:hideMark/>
          </w:tcPr>
          <w:p w14:paraId="3EE7A40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critérios</w:t>
            </w:r>
            <w:proofErr w:type="gramEnd"/>
            <w:r w:rsidRPr="00704883">
              <w:rPr>
                <w:rFonts w:ascii="Calibri" w:eastAsia="Times New Roman" w:hAnsi="Calibri" w:cs="Calibri"/>
                <w:color w:val="000000"/>
                <w:sz w:val="24"/>
                <w:szCs w:val="24"/>
                <w:lang w:eastAsia="pt-BR"/>
              </w:rPr>
              <w:t xml:space="preserve"> de reajuste de contribuições e de benefícios;</w:t>
            </w:r>
          </w:p>
        </w:tc>
        <w:tc>
          <w:tcPr>
            <w:tcW w:w="1679" w:type="pct"/>
            <w:tcBorders>
              <w:top w:val="nil"/>
              <w:left w:val="nil"/>
              <w:bottom w:val="single" w:sz="4" w:space="0" w:color="auto"/>
              <w:right w:val="single" w:sz="4" w:space="0" w:color="auto"/>
            </w:tcBorders>
            <w:shd w:val="clear" w:color="auto" w:fill="auto"/>
            <w:vAlign w:val="center"/>
            <w:hideMark/>
          </w:tcPr>
          <w:p w14:paraId="578CF38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2D1D57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5BD7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percentuais ou prazos</w:t>
            </w:r>
            <w:proofErr w:type="gramEnd"/>
            <w:r w:rsidRPr="00704883">
              <w:rPr>
                <w:rFonts w:ascii="Calibri" w:eastAsia="Times New Roman" w:hAnsi="Calibri" w:cs="Calibri"/>
                <w:color w:val="000000"/>
                <w:sz w:val="24"/>
                <w:szCs w:val="24"/>
                <w:lang w:eastAsia="pt-BR"/>
              </w:rPr>
              <w:t xml:space="preserve"> para pagamento dos benefícios; ou </w:t>
            </w:r>
          </w:p>
        </w:tc>
        <w:tc>
          <w:tcPr>
            <w:tcW w:w="1660" w:type="pct"/>
            <w:tcBorders>
              <w:top w:val="nil"/>
              <w:left w:val="nil"/>
              <w:bottom w:val="single" w:sz="4" w:space="0" w:color="auto"/>
              <w:right w:val="single" w:sz="4" w:space="0" w:color="auto"/>
            </w:tcBorders>
            <w:shd w:val="clear" w:color="auto" w:fill="auto"/>
            <w:vAlign w:val="center"/>
            <w:hideMark/>
          </w:tcPr>
          <w:p w14:paraId="1754C7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percentuais ou prazos</w:t>
            </w:r>
            <w:proofErr w:type="gramEnd"/>
            <w:r w:rsidRPr="00704883">
              <w:rPr>
                <w:rFonts w:ascii="Calibri" w:eastAsia="Times New Roman" w:hAnsi="Calibri" w:cs="Calibri"/>
                <w:color w:val="000000"/>
                <w:sz w:val="24"/>
                <w:szCs w:val="24"/>
                <w:lang w:eastAsia="pt-BR"/>
              </w:rPr>
              <w:t xml:space="preserve"> para pagamento dos benefícios; ou </w:t>
            </w:r>
          </w:p>
        </w:tc>
        <w:tc>
          <w:tcPr>
            <w:tcW w:w="1679" w:type="pct"/>
            <w:tcBorders>
              <w:top w:val="nil"/>
              <w:left w:val="nil"/>
              <w:bottom w:val="single" w:sz="4" w:space="0" w:color="auto"/>
              <w:right w:val="single" w:sz="4" w:space="0" w:color="auto"/>
            </w:tcBorders>
            <w:shd w:val="clear" w:color="auto" w:fill="auto"/>
            <w:vAlign w:val="center"/>
            <w:hideMark/>
          </w:tcPr>
          <w:p w14:paraId="2A72026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FFC86E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6F6559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critérios</w:t>
            </w:r>
            <w:proofErr w:type="gramEnd"/>
            <w:r w:rsidRPr="00704883">
              <w:rPr>
                <w:rFonts w:ascii="Calibri" w:eastAsia="Times New Roman" w:hAnsi="Calibri" w:cs="Calibri"/>
                <w:color w:val="000000"/>
                <w:sz w:val="24"/>
                <w:szCs w:val="24"/>
                <w:lang w:eastAsia="pt-BR"/>
              </w:rPr>
              <w:t xml:space="preserve"> de elegibilidade aos benefícios. </w:t>
            </w:r>
          </w:p>
        </w:tc>
        <w:tc>
          <w:tcPr>
            <w:tcW w:w="1660" w:type="pct"/>
            <w:tcBorders>
              <w:top w:val="nil"/>
              <w:left w:val="nil"/>
              <w:bottom w:val="single" w:sz="4" w:space="0" w:color="auto"/>
              <w:right w:val="single" w:sz="4" w:space="0" w:color="auto"/>
            </w:tcBorders>
            <w:shd w:val="clear" w:color="auto" w:fill="auto"/>
            <w:vAlign w:val="center"/>
            <w:hideMark/>
          </w:tcPr>
          <w:p w14:paraId="633DB64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critérios</w:t>
            </w:r>
            <w:proofErr w:type="gramEnd"/>
            <w:r w:rsidRPr="00704883">
              <w:rPr>
                <w:rFonts w:ascii="Calibri" w:eastAsia="Times New Roman" w:hAnsi="Calibri" w:cs="Calibri"/>
                <w:color w:val="000000"/>
                <w:sz w:val="24"/>
                <w:szCs w:val="24"/>
                <w:lang w:eastAsia="pt-BR"/>
              </w:rPr>
              <w:t xml:space="preserve"> de elegibilidade aos benefícios.</w:t>
            </w:r>
          </w:p>
        </w:tc>
        <w:tc>
          <w:tcPr>
            <w:tcW w:w="1679" w:type="pct"/>
            <w:tcBorders>
              <w:top w:val="nil"/>
              <w:left w:val="nil"/>
              <w:bottom w:val="single" w:sz="4" w:space="0" w:color="auto"/>
              <w:right w:val="single" w:sz="4" w:space="0" w:color="auto"/>
            </w:tcBorders>
            <w:shd w:val="clear" w:color="auto" w:fill="auto"/>
            <w:vAlign w:val="center"/>
            <w:hideMark/>
          </w:tcPr>
          <w:p w14:paraId="5185AA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8518A7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D0C0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5º As cláusulas variáveis de modelos certificados de convênio de adesão podem ser diferentes de um convênio para outro, em razão de: </w:t>
            </w:r>
          </w:p>
        </w:tc>
        <w:tc>
          <w:tcPr>
            <w:tcW w:w="1660" w:type="pct"/>
            <w:tcBorders>
              <w:top w:val="nil"/>
              <w:left w:val="nil"/>
              <w:bottom w:val="single" w:sz="4" w:space="0" w:color="auto"/>
              <w:right w:val="single" w:sz="4" w:space="0" w:color="auto"/>
            </w:tcBorders>
            <w:shd w:val="clear" w:color="auto" w:fill="auto"/>
            <w:vAlign w:val="center"/>
            <w:hideMark/>
          </w:tcPr>
          <w:p w14:paraId="146C8A7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As</w:t>
            </w:r>
            <w:proofErr w:type="gramEnd"/>
            <w:r w:rsidRPr="00704883">
              <w:rPr>
                <w:rFonts w:ascii="Calibri" w:eastAsia="Times New Roman" w:hAnsi="Calibri" w:cs="Calibri"/>
                <w:color w:val="000000"/>
                <w:sz w:val="24"/>
                <w:szCs w:val="24"/>
                <w:lang w:eastAsia="pt-BR"/>
              </w:rPr>
              <w:t xml:space="preserve"> cláusulas variáveis de modelos certificados de convênio de adesão podem ser diferentes de um convênio para outro, em razão de: </w:t>
            </w:r>
          </w:p>
        </w:tc>
        <w:tc>
          <w:tcPr>
            <w:tcW w:w="1679" w:type="pct"/>
            <w:tcBorders>
              <w:top w:val="nil"/>
              <w:left w:val="nil"/>
              <w:bottom w:val="single" w:sz="4" w:space="0" w:color="auto"/>
              <w:right w:val="single" w:sz="4" w:space="0" w:color="auto"/>
            </w:tcBorders>
            <w:shd w:val="clear" w:color="auto" w:fill="auto"/>
            <w:vAlign w:val="center"/>
            <w:hideMark/>
          </w:tcPr>
          <w:p w14:paraId="230956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ECFBC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3AEA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particularidades</w:t>
            </w:r>
            <w:proofErr w:type="gramEnd"/>
            <w:r w:rsidRPr="00704883">
              <w:rPr>
                <w:rFonts w:ascii="Calibri" w:eastAsia="Times New Roman" w:hAnsi="Calibri" w:cs="Calibri"/>
                <w:color w:val="000000"/>
                <w:sz w:val="24"/>
                <w:szCs w:val="24"/>
                <w:lang w:eastAsia="pt-BR"/>
              </w:rPr>
              <w:t xml:space="preserve"> do patrocinador ou instituidor do plano de benefícios; ou </w:t>
            </w:r>
          </w:p>
        </w:tc>
        <w:tc>
          <w:tcPr>
            <w:tcW w:w="1660" w:type="pct"/>
            <w:tcBorders>
              <w:top w:val="nil"/>
              <w:left w:val="nil"/>
              <w:bottom w:val="single" w:sz="4" w:space="0" w:color="auto"/>
              <w:right w:val="single" w:sz="4" w:space="0" w:color="auto"/>
            </w:tcBorders>
            <w:shd w:val="clear" w:color="auto" w:fill="auto"/>
            <w:vAlign w:val="center"/>
            <w:hideMark/>
          </w:tcPr>
          <w:p w14:paraId="0E544A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particularidades</w:t>
            </w:r>
            <w:proofErr w:type="gramEnd"/>
            <w:r w:rsidRPr="00704883">
              <w:rPr>
                <w:rFonts w:ascii="Calibri" w:eastAsia="Times New Roman" w:hAnsi="Calibri" w:cs="Calibri"/>
                <w:color w:val="000000"/>
                <w:sz w:val="24"/>
                <w:szCs w:val="24"/>
                <w:lang w:eastAsia="pt-BR"/>
              </w:rPr>
              <w:t xml:space="preserve"> do patrocinador ou instituidor do plano de benefícios; ou </w:t>
            </w:r>
          </w:p>
        </w:tc>
        <w:tc>
          <w:tcPr>
            <w:tcW w:w="1679" w:type="pct"/>
            <w:tcBorders>
              <w:top w:val="nil"/>
              <w:left w:val="nil"/>
              <w:bottom w:val="single" w:sz="4" w:space="0" w:color="auto"/>
              <w:right w:val="single" w:sz="4" w:space="0" w:color="auto"/>
            </w:tcBorders>
            <w:shd w:val="clear" w:color="auto" w:fill="auto"/>
            <w:vAlign w:val="center"/>
            <w:hideMark/>
          </w:tcPr>
          <w:p w14:paraId="52C216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2D7546F"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8326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existência</w:t>
            </w:r>
            <w:proofErr w:type="gramEnd"/>
            <w:r w:rsidRPr="00704883">
              <w:rPr>
                <w:rFonts w:ascii="Calibri" w:eastAsia="Times New Roman" w:hAnsi="Calibri" w:cs="Calibri"/>
                <w:color w:val="000000"/>
                <w:sz w:val="24"/>
                <w:szCs w:val="24"/>
                <w:lang w:eastAsia="pt-BR"/>
              </w:rPr>
              <w:t xml:space="preserve"> ou não de solidariedade entre patrocinadores.</w:t>
            </w:r>
          </w:p>
        </w:tc>
        <w:tc>
          <w:tcPr>
            <w:tcW w:w="1660" w:type="pct"/>
            <w:tcBorders>
              <w:top w:val="nil"/>
              <w:left w:val="nil"/>
              <w:bottom w:val="single" w:sz="4" w:space="0" w:color="auto"/>
              <w:right w:val="single" w:sz="4" w:space="0" w:color="auto"/>
            </w:tcBorders>
            <w:shd w:val="clear" w:color="auto" w:fill="auto"/>
            <w:vAlign w:val="center"/>
            <w:hideMark/>
          </w:tcPr>
          <w:p w14:paraId="726AF0C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existência</w:t>
            </w:r>
            <w:proofErr w:type="gramEnd"/>
            <w:r w:rsidRPr="00704883">
              <w:rPr>
                <w:rFonts w:ascii="Calibri" w:eastAsia="Times New Roman" w:hAnsi="Calibri" w:cs="Calibri"/>
                <w:color w:val="000000"/>
                <w:sz w:val="24"/>
                <w:szCs w:val="24"/>
                <w:lang w:eastAsia="pt-BR"/>
              </w:rPr>
              <w:t xml:space="preserve"> ou não de solidariedade entre patrocinadores.</w:t>
            </w:r>
          </w:p>
        </w:tc>
        <w:tc>
          <w:tcPr>
            <w:tcW w:w="1679" w:type="pct"/>
            <w:tcBorders>
              <w:top w:val="nil"/>
              <w:left w:val="nil"/>
              <w:bottom w:val="single" w:sz="4" w:space="0" w:color="auto"/>
              <w:right w:val="single" w:sz="4" w:space="0" w:color="auto"/>
            </w:tcBorders>
            <w:shd w:val="clear" w:color="auto" w:fill="auto"/>
            <w:vAlign w:val="center"/>
            <w:hideMark/>
          </w:tcPr>
          <w:p w14:paraId="0BA3B80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0EA96F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9CEFE24"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V</w:t>
            </w:r>
          </w:p>
        </w:tc>
        <w:tc>
          <w:tcPr>
            <w:tcW w:w="1660" w:type="pct"/>
            <w:tcBorders>
              <w:top w:val="nil"/>
              <w:left w:val="nil"/>
              <w:bottom w:val="single" w:sz="4" w:space="0" w:color="auto"/>
              <w:right w:val="single" w:sz="4" w:space="0" w:color="auto"/>
            </w:tcBorders>
            <w:shd w:val="clear" w:color="auto" w:fill="auto"/>
            <w:vAlign w:val="center"/>
            <w:hideMark/>
          </w:tcPr>
          <w:p w14:paraId="54F8806C"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VIII</w:t>
            </w:r>
            <w:r w:rsidRPr="00704883">
              <w:rPr>
                <w:rFonts w:ascii="Calibri" w:eastAsia="Times New Roman" w:hAnsi="Calibri" w:cs="Calibri"/>
                <w:b/>
                <w:bCs/>
                <w:color w:val="000000"/>
                <w:sz w:val="24"/>
                <w:szCs w:val="24"/>
                <w:lang w:eastAsia="pt-BR"/>
              </w:rPr>
              <w:br/>
              <w:t>Modelos padronizados</w:t>
            </w:r>
          </w:p>
        </w:tc>
        <w:tc>
          <w:tcPr>
            <w:tcW w:w="1679" w:type="pct"/>
            <w:tcBorders>
              <w:top w:val="nil"/>
              <w:left w:val="nil"/>
              <w:bottom w:val="single" w:sz="4" w:space="0" w:color="auto"/>
              <w:right w:val="single" w:sz="4" w:space="0" w:color="auto"/>
            </w:tcBorders>
            <w:shd w:val="clear" w:color="auto" w:fill="auto"/>
            <w:vAlign w:val="center"/>
            <w:hideMark/>
          </w:tcPr>
          <w:p w14:paraId="5C6384C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D53C9C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ADA005"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DOS MODELOS PADRONIZADOS</w:t>
            </w:r>
          </w:p>
        </w:tc>
        <w:tc>
          <w:tcPr>
            <w:tcW w:w="1660" w:type="pct"/>
            <w:tcBorders>
              <w:top w:val="nil"/>
              <w:left w:val="nil"/>
              <w:bottom w:val="single" w:sz="4" w:space="0" w:color="auto"/>
              <w:right w:val="single" w:sz="4" w:space="0" w:color="auto"/>
            </w:tcBorders>
            <w:shd w:val="clear" w:color="auto" w:fill="auto"/>
            <w:vAlign w:val="center"/>
            <w:hideMark/>
          </w:tcPr>
          <w:p w14:paraId="09E0E56B"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3CDE84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DA246C3"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717C2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1660" w:type="pct"/>
            <w:tcBorders>
              <w:top w:val="nil"/>
              <w:left w:val="nil"/>
              <w:bottom w:val="single" w:sz="4" w:space="0" w:color="auto"/>
              <w:right w:val="single" w:sz="4" w:space="0" w:color="auto"/>
            </w:tcBorders>
            <w:shd w:val="clear" w:color="auto" w:fill="auto"/>
            <w:vAlign w:val="center"/>
            <w:hideMark/>
          </w:tcPr>
          <w:p w14:paraId="06B618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120.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1679" w:type="pct"/>
            <w:tcBorders>
              <w:top w:val="nil"/>
              <w:left w:val="nil"/>
              <w:bottom w:val="single" w:sz="4" w:space="0" w:color="auto"/>
              <w:right w:val="single" w:sz="4" w:space="0" w:color="auto"/>
            </w:tcBorders>
            <w:shd w:val="clear" w:color="auto" w:fill="auto"/>
            <w:vAlign w:val="center"/>
            <w:hideMark/>
          </w:tcPr>
          <w:p w14:paraId="12D8AE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EC8C0C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5817B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CAPÍTULO VI </w:t>
            </w:r>
          </w:p>
        </w:tc>
        <w:tc>
          <w:tcPr>
            <w:tcW w:w="1660" w:type="pct"/>
            <w:tcBorders>
              <w:top w:val="nil"/>
              <w:left w:val="nil"/>
              <w:bottom w:val="single" w:sz="4" w:space="0" w:color="auto"/>
              <w:right w:val="single" w:sz="4" w:space="0" w:color="auto"/>
            </w:tcBorders>
            <w:shd w:val="clear" w:color="auto" w:fill="auto"/>
            <w:vAlign w:val="center"/>
            <w:hideMark/>
          </w:tcPr>
          <w:p w14:paraId="03692DF1"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IX</w:t>
            </w:r>
            <w:r w:rsidRPr="00704883">
              <w:rPr>
                <w:rFonts w:ascii="Calibri" w:eastAsia="Times New Roman" w:hAnsi="Calibri" w:cs="Calibri"/>
                <w:b/>
                <w:bCs/>
                <w:color w:val="000000"/>
                <w:sz w:val="24"/>
                <w:szCs w:val="24"/>
                <w:lang w:eastAsia="pt-BR"/>
              </w:rPr>
              <w:br/>
              <w:t>Licenciamento automático</w:t>
            </w:r>
          </w:p>
        </w:tc>
        <w:tc>
          <w:tcPr>
            <w:tcW w:w="1679" w:type="pct"/>
            <w:tcBorders>
              <w:top w:val="nil"/>
              <w:left w:val="nil"/>
              <w:bottom w:val="single" w:sz="4" w:space="0" w:color="auto"/>
              <w:right w:val="single" w:sz="4" w:space="0" w:color="auto"/>
            </w:tcBorders>
            <w:shd w:val="clear" w:color="auto" w:fill="auto"/>
            <w:vAlign w:val="center"/>
            <w:hideMark/>
          </w:tcPr>
          <w:p w14:paraId="75141724"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94C57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6997B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 LICENCIAMENTO AUTOMÁTICO</w:t>
            </w:r>
          </w:p>
        </w:tc>
        <w:tc>
          <w:tcPr>
            <w:tcW w:w="1660" w:type="pct"/>
            <w:tcBorders>
              <w:top w:val="nil"/>
              <w:left w:val="nil"/>
              <w:bottom w:val="single" w:sz="4" w:space="0" w:color="auto"/>
              <w:right w:val="single" w:sz="4" w:space="0" w:color="auto"/>
            </w:tcBorders>
            <w:shd w:val="clear" w:color="auto" w:fill="auto"/>
            <w:vAlign w:val="center"/>
            <w:hideMark/>
          </w:tcPr>
          <w:p w14:paraId="19135262"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54C4236"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E3A143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B685A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18. O licenciamento automático é o processo pelo qual a autorização ocorre na data de emissão do protocolo de instrução de requerimento de licenciamento pelo sistema informatizado da Previc. </w:t>
            </w:r>
          </w:p>
        </w:tc>
        <w:tc>
          <w:tcPr>
            <w:tcW w:w="1660" w:type="pct"/>
            <w:tcBorders>
              <w:top w:val="nil"/>
              <w:left w:val="nil"/>
              <w:bottom w:val="single" w:sz="4" w:space="0" w:color="auto"/>
              <w:right w:val="single" w:sz="4" w:space="0" w:color="auto"/>
            </w:tcBorders>
            <w:shd w:val="clear" w:color="auto" w:fill="auto"/>
            <w:vAlign w:val="center"/>
            <w:hideMark/>
          </w:tcPr>
          <w:p w14:paraId="7D6E162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35566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3567B35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5263AA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19. Podem ser objeto de licenciamento automático os requerimentos de: </w:t>
            </w:r>
          </w:p>
        </w:tc>
        <w:tc>
          <w:tcPr>
            <w:tcW w:w="1660" w:type="pct"/>
            <w:tcBorders>
              <w:top w:val="nil"/>
              <w:left w:val="nil"/>
              <w:bottom w:val="single" w:sz="4" w:space="0" w:color="auto"/>
              <w:right w:val="single" w:sz="4" w:space="0" w:color="auto"/>
            </w:tcBorders>
            <w:shd w:val="clear" w:color="auto" w:fill="auto"/>
            <w:vAlign w:val="center"/>
            <w:hideMark/>
          </w:tcPr>
          <w:p w14:paraId="76A409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121.  Podem ser objeto de licenciamento automático os requerimentos de: </w:t>
            </w:r>
          </w:p>
        </w:tc>
        <w:tc>
          <w:tcPr>
            <w:tcW w:w="1679" w:type="pct"/>
            <w:tcBorders>
              <w:top w:val="nil"/>
              <w:left w:val="nil"/>
              <w:bottom w:val="single" w:sz="4" w:space="0" w:color="auto"/>
              <w:right w:val="single" w:sz="4" w:space="0" w:color="auto"/>
            </w:tcBorders>
            <w:shd w:val="clear" w:color="auto" w:fill="auto"/>
            <w:vAlign w:val="center"/>
            <w:hideMark/>
          </w:tcPr>
          <w:p w14:paraId="0E06C9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584250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5850D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 - </w:t>
            </w:r>
            <w:proofErr w:type="gramStart"/>
            <w:r w:rsidRPr="00704883">
              <w:rPr>
                <w:rFonts w:ascii="Calibri" w:eastAsia="Times New Roman" w:hAnsi="Calibri" w:cs="Calibri"/>
                <w:color w:val="000000"/>
                <w:sz w:val="24"/>
                <w:szCs w:val="24"/>
                <w:lang w:eastAsia="pt-BR"/>
              </w:rPr>
              <w:t>aplicação</w:t>
            </w:r>
            <w:proofErr w:type="gramEnd"/>
            <w:r w:rsidRPr="00704883">
              <w:rPr>
                <w:rFonts w:ascii="Calibri" w:eastAsia="Times New Roman" w:hAnsi="Calibri" w:cs="Calibri"/>
                <w:color w:val="000000"/>
                <w:sz w:val="24"/>
                <w:szCs w:val="24"/>
                <w:lang w:eastAsia="pt-BR"/>
              </w:rPr>
              <w:t xml:space="preserve"> de regulamento de plano de benefícios, mediante utilização de modelo certificado ou de modelo padronizado; </w:t>
            </w:r>
          </w:p>
        </w:tc>
        <w:tc>
          <w:tcPr>
            <w:tcW w:w="1660" w:type="pct"/>
            <w:tcBorders>
              <w:top w:val="nil"/>
              <w:left w:val="nil"/>
              <w:bottom w:val="single" w:sz="4" w:space="0" w:color="auto"/>
              <w:right w:val="single" w:sz="4" w:space="0" w:color="auto"/>
            </w:tcBorders>
            <w:shd w:val="clear" w:color="auto" w:fill="auto"/>
            <w:vAlign w:val="center"/>
            <w:hideMark/>
          </w:tcPr>
          <w:p w14:paraId="652358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aplicação</w:t>
            </w:r>
            <w:proofErr w:type="gramEnd"/>
            <w:r w:rsidRPr="00704883">
              <w:rPr>
                <w:rFonts w:ascii="Calibri" w:eastAsia="Times New Roman" w:hAnsi="Calibri" w:cs="Calibri"/>
                <w:color w:val="000000"/>
                <w:sz w:val="24"/>
                <w:szCs w:val="24"/>
                <w:lang w:eastAsia="pt-BR"/>
              </w:rPr>
              <w:t xml:space="preserve"> de regulamento de plano de benefícios, mediante utilização de modelo certificado ou de modelo padronizado;</w:t>
            </w:r>
          </w:p>
        </w:tc>
        <w:tc>
          <w:tcPr>
            <w:tcW w:w="1679" w:type="pct"/>
            <w:tcBorders>
              <w:top w:val="nil"/>
              <w:left w:val="nil"/>
              <w:bottom w:val="single" w:sz="4" w:space="0" w:color="auto"/>
              <w:right w:val="single" w:sz="4" w:space="0" w:color="auto"/>
            </w:tcBorders>
            <w:shd w:val="clear" w:color="auto" w:fill="auto"/>
            <w:vAlign w:val="center"/>
            <w:hideMark/>
          </w:tcPr>
          <w:p w14:paraId="17FF3A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C33F8A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8C9D3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alterações</w:t>
            </w:r>
            <w:proofErr w:type="gramEnd"/>
            <w:r w:rsidRPr="00704883">
              <w:rPr>
                <w:rFonts w:ascii="Calibri" w:eastAsia="Times New Roman" w:hAnsi="Calibri" w:cs="Calibri"/>
                <w:color w:val="000000"/>
                <w:sz w:val="24"/>
                <w:szCs w:val="24"/>
                <w:lang w:eastAsia="pt-BR"/>
              </w:rPr>
              <w:t xml:space="preserve"> de regulamento de plano de benefícios, que tratem exclusivamente de: </w:t>
            </w:r>
          </w:p>
        </w:tc>
        <w:tc>
          <w:tcPr>
            <w:tcW w:w="1660" w:type="pct"/>
            <w:tcBorders>
              <w:top w:val="nil"/>
              <w:left w:val="nil"/>
              <w:bottom w:val="single" w:sz="4" w:space="0" w:color="auto"/>
              <w:right w:val="single" w:sz="4" w:space="0" w:color="auto"/>
            </w:tcBorders>
            <w:shd w:val="clear" w:color="auto" w:fill="auto"/>
            <w:vAlign w:val="center"/>
            <w:hideMark/>
          </w:tcPr>
          <w:p w14:paraId="1276FDA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alterações</w:t>
            </w:r>
            <w:proofErr w:type="gramEnd"/>
            <w:r w:rsidRPr="00704883">
              <w:rPr>
                <w:rFonts w:ascii="Calibri" w:eastAsia="Times New Roman" w:hAnsi="Calibri" w:cs="Calibri"/>
                <w:color w:val="000000"/>
                <w:sz w:val="24"/>
                <w:szCs w:val="24"/>
                <w:lang w:eastAsia="pt-BR"/>
              </w:rPr>
              <w:t xml:space="preserve"> de regulamento de plano de benefícios, que tratem exclusivamente de: </w:t>
            </w:r>
          </w:p>
        </w:tc>
        <w:tc>
          <w:tcPr>
            <w:tcW w:w="1679" w:type="pct"/>
            <w:tcBorders>
              <w:top w:val="nil"/>
              <w:left w:val="nil"/>
              <w:bottom w:val="single" w:sz="4" w:space="0" w:color="auto"/>
              <w:right w:val="single" w:sz="4" w:space="0" w:color="auto"/>
            </w:tcBorders>
            <w:shd w:val="clear" w:color="auto" w:fill="auto"/>
            <w:vAlign w:val="center"/>
            <w:hideMark/>
          </w:tcPr>
          <w:p w14:paraId="79EDA0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7A254B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0D67B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nome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1F593C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 nome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3D635A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F5EAE0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9998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razão social ou do endereço da EFPC, de patrocinador ou de instituidor, condicionado ao protocolo da respectiva alteração do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3488990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b) razão social ou do endereço da EFPC, de patrocinador ou de instituidor, condicionado ao protocolo da respectiva alteração do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7763EB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AF73F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470E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correções de remissões ou ajustes ortográficos; </w:t>
            </w:r>
          </w:p>
        </w:tc>
        <w:tc>
          <w:tcPr>
            <w:tcW w:w="1660" w:type="pct"/>
            <w:tcBorders>
              <w:top w:val="nil"/>
              <w:left w:val="nil"/>
              <w:bottom w:val="single" w:sz="4" w:space="0" w:color="auto"/>
              <w:right w:val="single" w:sz="4" w:space="0" w:color="auto"/>
            </w:tcBorders>
            <w:shd w:val="clear" w:color="auto" w:fill="auto"/>
            <w:vAlign w:val="center"/>
            <w:hideMark/>
          </w:tcPr>
          <w:p w14:paraId="0707C5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 correções de remissões ou ajustes ortográficos;</w:t>
            </w:r>
          </w:p>
        </w:tc>
        <w:tc>
          <w:tcPr>
            <w:tcW w:w="1679" w:type="pct"/>
            <w:tcBorders>
              <w:top w:val="nil"/>
              <w:left w:val="nil"/>
              <w:bottom w:val="single" w:sz="4" w:space="0" w:color="auto"/>
              <w:right w:val="single" w:sz="4" w:space="0" w:color="auto"/>
            </w:tcBorders>
            <w:shd w:val="clear" w:color="auto" w:fill="auto"/>
            <w:vAlign w:val="center"/>
            <w:hideMark/>
          </w:tcPr>
          <w:p w14:paraId="502014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656654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FFF0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 datas ou prazos referentes a procedimentos operacionais da EFPC, tais como: repasse de abono anual, pagamento de benefícios, repasse de contribuições e mudança de perfil de investimentos; </w:t>
            </w:r>
          </w:p>
        </w:tc>
        <w:tc>
          <w:tcPr>
            <w:tcW w:w="1660" w:type="pct"/>
            <w:tcBorders>
              <w:top w:val="nil"/>
              <w:left w:val="nil"/>
              <w:bottom w:val="single" w:sz="4" w:space="0" w:color="auto"/>
              <w:right w:val="single" w:sz="4" w:space="0" w:color="auto"/>
            </w:tcBorders>
            <w:shd w:val="clear" w:color="auto" w:fill="auto"/>
            <w:vAlign w:val="center"/>
            <w:hideMark/>
          </w:tcPr>
          <w:p w14:paraId="27BDBD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 datas ou prazos referentes a procedimentos operacionais da EFPC, tais como: repasse de abono anual, pagamento de benefícios, repasse de contribuições e mudança de perfil de investimentos;</w:t>
            </w:r>
          </w:p>
        </w:tc>
        <w:tc>
          <w:tcPr>
            <w:tcW w:w="1679" w:type="pct"/>
            <w:tcBorders>
              <w:top w:val="nil"/>
              <w:left w:val="nil"/>
              <w:bottom w:val="single" w:sz="4" w:space="0" w:color="auto"/>
              <w:right w:val="single" w:sz="4" w:space="0" w:color="auto"/>
            </w:tcBorders>
            <w:shd w:val="clear" w:color="auto" w:fill="auto"/>
            <w:vAlign w:val="center"/>
            <w:hideMark/>
          </w:tcPr>
          <w:p w14:paraId="3518E0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0C6FA3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B78F3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e) redução dos prazos de carência; </w:t>
            </w:r>
          </w:p>
        </w:tc>
        <w:tc>
          <w:tcPr>
            <w:tcW w:w="1660" w:type="pct"/>
            <w:tcBorders>
              <w:top w:val="nil"/>
              <w:left w:val="nil"/>
              <w:bottom w:val="single" w:sz="4" w:space="0" w:color="auto"/>
              <w:right w:val="single" w:sz="4" w:space="0" w:color="auto"/>
            </w:tcBorders>
            <w:shd w:val="clear" w:color="auto" w:fill="auto"/>
            <w:vAlign w:val="center"/>
            <w:hideMark/>
          </w:tcPr>
          <w:p w14:paraId="3A2C9A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 redução dos prazos de carência;</w:t>
            </w:r>
          </w:p>
        </w:tc>
        <w:tc>
          <w:tcPr>
            <w:tcW w:w="1679" w:type="pct"/>
            <w:tcBorders>
              <w:top w:val="nil"/>
              <w:left w:val="nil"/>
              <w:bottom w:val="single" w:sz="4" w:space="0" w:color="auto"/>
              <w:right w:val="single" w:sz="4" w:space="0" w:color="auto"/>
            </w:tcBorders>
            <w:shd w:val="clear" w:color="auto" w:fill="auto"/>
            <w:vAlign w:val="center"/>
            <w:hideMark/>
          </w:tcPr>
          <w:p w14:paraId="5C270A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24A2F6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7AFAC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f) aumento da parcela patronal na composição do valor do resgate; </w:t>
            </w:r>
          </w:p>
        </w:tc>
        <w:tc>
          <w:tcPr>
            <w:tcW w:w="1660" w:type="pct"/>
            <w:tcBorders>
              <w:top w:val="nil"/>
              <w:left w:val="nil"/>
              <w:bottom w:val="single" w:sz="4" w:space="0" w:color="auto"/>
              <w:right w:val="single" w:sz="4" w:space="0" w:color="auto"/>
            </w:tcBorders>
            <w:shd w:val="clear" w:color="auto" w:fill="auto"/>
            <w:vAlign w:val="center"/>
            <w:hideMark/>
          </w:tcPr>
          <w:p w14:paraId="24F3B7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f) aumento da parcela patronal na composição do valor do resgate; e</w:t>
            </w:r>
          </w:p>
        </w:tc>
        <w:tc>
          <w:tcPr>
            <w:tcW w:w="1679" w:type="pct"/>
            <w:tcBorders>
              <w:top w:val="nil"/>
              <w:left w:val="nil"/>
              <w:bottom w:val="single" w:sz="4" w:space="0" w:color="auto"/>
              <w:right w:val="single" w:sz="4" w:space="0" w:color="auto"/>
            </w:tcBorders>
            <w:shd w:val="clear" w:color="auto" w:fill="auto"/>
            <w:vAlign w:val="center"/>
            <w:hideMark/>
          </w:tcPr>
          <w:p w14:paraId="34E00C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229F07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087E6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g) atualização do valor da Unidade de Referência, quando definida no regulamento; e </w:t>
            </w:r>
          </w:p>
        </w:tc>
        <w:tc>
          <w:tcPr>
            <w:tcW w:w="1660" w:type="pct"/>
            <w:tcBorders>
              <w:top w:val="nil"/>
              <w:left w:val="nil"/>
              <w:bottom w:val="single" w:sz="4" w:space="0" w:color="auto"/>
              <w:right w:val="single" w:sz="4" w:space="0" w:color="auto"/>
            </w:tcBorders>
            <w:shd w:val="clear" w:color="auto" w:fill="auto"/>
            <w:vAlign w:val="center"/>
            <w:hideMark/>
          </w:tcPr>
          <w:p w14:paraId="37E5C0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g) atualização do valor da Unidade de Referência, quando definida no regulamento;</w:t>
            </w:r>
          </w:p>
        </w:tc>
        <w:tc>
          <w:tcPr>
            <w:tcW w:w="1679" w:type="pct"/>
            <w:tcBorders>
              <w:top w:val="nil"/>
              <w:left w:val="nil"/>
              <w:bottom w:val="single" w:sz="4" w:space="0" w:color="auto"/>
              <w:right w:val="single" w:sz="4" w:space="0" w:color="auto"/>
            </w:tcBorders>
            <w:shd w:val="clear" w:color="auto" w:fill="auto"/>
            <w:vAlign w:val="center"/>
            <w:hideMark/>
          </w:tcPr>
          <w:p w14:paraId="0419F0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C6AD74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FC22F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h) alteração do índice de reajuste dos benefícios do plano; </w:t>
            </w:r>
          </w:p>
        </w:tc>
        <w:tc>
          <w:tcPr>
            <w:tcW w:w="1660" w:type="pct"/>
            <w:tcBorders>
              <w:top w:val="nil"/>
              <w:left w:val="nil"/>
              <w:bottom w:val="single" w:sz="4" w:space="0" w:color="auto"/>
              <w:right w:val="single" w:sz="4" w:space="0" w:color="auto"/>
            </w:tcBorders>
            <w:shd w:val="clear" w:color="auto" w:fill="auto"/>
            <w:vAlign w:val="center"/>
            <w:hideMark/>
          </w:tcPr>
          <w:p w14:paraId="5CD6F8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DFFE1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do licenciamento automático para requerimentos que envolvam alteração do índice de reajuste dos benefícios do plano, transferência de gerenciamento e retirada de patrocínio vazia.</w:t>
            </w:r>
          </w:p>
        </w:tc>
      </w:tr>
      <w:tr w:rsidR="007D78B6" w:rsidRPr="00704883" w14:paraId="1539A2C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9D22A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aprovação de convênio de adesão, mediante utilização de modelo certificado ou de modelo padronizado; </w:t>
            </w:r>
          </w:p>
        </w:tc>
        <w:tc>
          <w:tcPr>
            <w:tcW w:w="1660" w:type="pct"/>
            <w:tcBorders>
              <w:top w:val="nil"/>
              <w:left w:val="nil"/>
              <w:bottom w:val="single" w:sz="4" w:space="0" w:color="auto"/>
              <w:right w:val="single" w:sz="4" w:space="0" w:color="auto"/>
            </w:tcBorders>
            <w:shd w:val="clear" w:color="auto" w:fill="auto"/>
            <w:vAlign w:val="center"/>
            <w:hideMark/>
          </w:tcPr>
          <w:p w14:paraId="1EC733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aprovação de convênio de adesão, mediante utilização de modelo certificado ou de modelo padronizado; e</w:t>
            </w:r>
          </w:p>
        </w:tc>
        <w:tc>
          <w:tcPr>
            <w:tcW w:w="1679" w:type="pct"/>
            <w:tcBorders>
              <w:top w:val="nil"/>
              <w:left w:val="nil"/>
              <w:bottom w:val="single" w:sz="4" w:space="0" w:color="auto"/>
              <w:right w:val="single" w:sz="4" w:space="0" w:color="auto"/>
            </w:tcBorders>
            <w:shd w:val="clear" w:color="auto" w:fill="auto"/>
            <w:vAlign w:val="center"/>
            <w:hideMark/>
          </w:tcPr>
          <w:p w14:paraId="5B20D28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BD1E78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F26209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alterações</w:t>
            </w:r>
            <w:proofErr w:type="gramEnd"/>
            <w:r w:rsidRPr="00704883">
              <w:rPr>
                <w:rFonts w:ascii="Calibri" w:eastAsia="Times New Roman" w:hAnsi="Calibri" w:cs="Calibri"/>
                <w:color w:val="000000"/>
                <w:sz w:val="24"/>
                <w:szCs w:val="24"/>
                <w:lang w:eastAsia="pt-BR"/>
              </w:rPr>
              <w:t xml:space="preserve"> de convênio de adesão, que tratem exclusivamente de: </w:t>
            </w:r>
          </w:p>
        </w:tc>
        <w:tc>
          <w:tcPr>
            <w:tcW w:w="1660" w:type="pct"/>
            <w:tcBorders>
              <w:top w:val="nil"/>
              <w:left w:val="nil"/>
              <w:bottom w:val="single" w:sz="4" w:space="0" w:color="auto"/>
              <w:right w:val="single" w:sz="4" w:space="0" w:color="auto"/>
            </w:tcBorders>
            <w:shd w:val="clear" w:color="auto" w:fill="auto"/>
            <w:vAlign w:val="center"/>
            <w:hideMark/>
          </w:tcPr>
          <w:p w14:paraId="54BDA7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alterações</w:t>
            </w:r>
            <w:proofErr w:type="gramEnd"/>
            <w:r w:rsidRPr="00704883">
              <w:rPr>
                <w:rFonts w:ascii="Calibri" w:eastAsia="Times New Roman" w:hAnsi="Calibri" w:cs="Calibri"/>
                <w:color w:val="000000"/>
                <w:sz w:val="24"/>
                <w:szCs w:val="24"/>
                <w:lang w:eastAsia="pt-BR"/>
              </w:rPr>
              <w:t xml:space="preserve"> de convênio de adesão, que tratem exclusivamente de: </w:t>
            </w:r>
          </w:p>
        </w:tc>
        <w:tc>
          <w:tcPr>
            <w:tcW w:w="1679" w:type="pct"/>
            <w:tcBorders>
              <w:top w:val="nil"/>
              <w:left w:val="nil"/>
              <w:bottom w:val="single" w:sz="4" w:space="0" w:color="auto"/>
              <w:right w:val="single" w:sz="4" w:space="0" w:color="auto"/>
            </w:tcBorders>
            <w:shd w:val="clear" w:color="auto" w:fill="auto"/>
            <w:vAlign w:val="center"/>
            <w:hideMark/>
          </w:tcPr>
          <w:p w14:paraId="0AC67D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285656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EAB8D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razão social ou do endereço da EFPC, de patrocinador, de instituidor ou de anuente; </w:t>
            </w:r>
          </w:p>
        </w:tc>
        <w:tc>
          <w:tcPr>
            <w:tcW w:w="1660" w:type="pct"/>
            <w:tcBorders>
              <w:top w:val="nil"/>
              <w:left w:val="nil"/>
              <w:bottom w:val="single" w:sz="4" w:space="0" w:color="auto"/>
              <w:right w:val="single" w:sz="4" w:space="0" w:color="auto"/>
            </w:tcBorders>
            <w:shd w:val="clear" w:color="auto" w:fill="auto"/>
            <w:vAlign w:val="center"/>
            <w:hideMark/>
          </w:tcPr>
          <w:p w14:paraId="565EF84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 razão social ou do endereço da EFPC, de patrocinador, de instituidor ou de anuente;</w:t>
            </w:r>
          </w:p>
        </w:tc>
        <w:tc>
          <w:tcPr>
            <w:tcW w:w="1679" w:type="pct"/>
            <w:tcBorders>
              <w:top w:val="nil"/>
              <w:left w:val="nil"/>
              <w:bottom w:val="single" w:sz="4" w:space="0" w:color="auto"/>
              <w:right w:val="single" w:sz="4" w:space="0" w:color="auto"/>
            </w:tcBorders>
            <w:shd w:val="clear" w:color="auto" w:fill="auto"/>
            <w:vAlign w:val="center"/>
            <w:hideMark/>
          </w:tcPr>
          <w:p w14:paraId="1466B04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82735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28F7F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nome do plano de benefícios; e </w:t>
            </w:r>
          </w:p>
        </w:tc>
        <w:tc>
          <w:tcPr>
            <w:tcW w:w="1660" w:type="pct"/>
            <w:tcBorders>
              <w:top w:val="nil"/>
              <w:left w:val="nil"/>
              <w:bottom w:val="single" w:sz="4" w:space="0" w:color="auto"/>
              <w:right w:val="single" w:sz="4" w:space="0" w:color="auto"/>
            </w:tcBorders>
            <w:shd w:val="clear" w:color="auto" w:fill="auto"/>
            <w:vAlign w:val="center"/>
            <w:hideMark/>
          </w:tcPr>
          <w:p w14:paraId="2624BB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nome do plano de benefícios; e </w:t>
            </w:r>
          </w:p>
        </w:tc>
        <w:tc>
          <w:tcPr>
            <w:tcW w:w="1679" w:type="pct"/>
            <w:tcBorders>
              <w:top w:val="nil"/>
              <w:left w:val="nil"/>
              <w:bottom w:val="single" w:sz="4" w:space="0" w:color="auto"/>
              <w:right w:val="single" w:sz="4" w:space="0" w:color="auto"/>
            </w:tcBorders>
            <w:shd w:val="clear" w:color="auto" w:fill="auto"/>
            <w:vAlign w:val="center"/>
            <w:hideMark/>
          </w:tcPr>
          <w:p w14:paraId="6A2A797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BDF896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990AC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c) correções de remissões ou ajustes ortográficos; </w:t>
            </w:r>
          </w:p>
        </w:tc>
        <w:tc>
          <w:tcPr>
            <w:tcW w:w="1660" w:type="pct"/>
            <w:tcBorders>
              <w:top w:val="nil"/>
              <w:left w:val="nil"/>
              <w:bottom w:val="single" w:sz="4" w:space="0" w:color="auto"/>
              <w:right w:val="single" w:sz="4" w:space="0" w:color="auto"/>
            </w:tcBorders>
            <w:shd w:val="clear" w:color="auto" w:fill="auto"/>
            <w:vAlign w:val="center"/>
            <w:hideMark/>
          </w:tcPr>
          <w:p w14:paraId="3E2DCC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 correções de remissões ou ajustes ortográficos.</w:t>
            </w:r>
          </w:p>
        </w:tc>
        <w:tc>
          <w:tcPr>
            <w:tcW w:w="1679" w:type="pct"/>
            <w:tcBorders>
              <w:top w:val="nil"/>
              <w:left w:val="nil"/>
              <w:bottom w:val="single" w:sz="4" w:space="0" w:color="auto"/>
              <w:right w:val="single" w:sz="4" w:space="0" w:color="auto"/>
            </w:tcBorders>
            <w:shd w:val="clear" w:color="auto" w:fill="auto"/>
            <w:vAlign w:val="center"/>
            <w:hideMark/>
          </w:tcPr>
          <w:p w14:paraId="7DFADC3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0048E7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9A79A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transferência</w:t>
            </w:r>
            <w:proofErr w:type="gramEnd"/>
            <w:r w:rsidRPr="00704883">
              <w:rPr>
                <w:rFonts w:ascii="Calibri" w:eastAsia="Times New Roman" w:hAnsi="Calibri" w:cs="Calibri"/>
                <w:color w:val="000000"/>
                <w:sz w:val="24"/>
                <w:szCs w:val="24"/>
                <w:lang w:eastAsia="pt-BR"/>
              </w:rPr>
              <w:t xml:space="preserve"> de gerenciamento, quando o respectivo Termo de Transferência de Gerenciamento for elaborado mediante a utilização de modelo padronizado; e </w:t>
            </w:r>
          </w:p>
        </w:tc>
        <w:tc>
          <w:tcPr>
            <w:tcW w:w="1660" w:type="pct"/>
            <w:tcBorders>
              <w:top w:val="nil"/>
              <w:left w:val="nil"/>
              <w:bottom w:val="single" w:sz="4" w:space="0" w:color="auto"/>
              <w:right w:val="single" w:sz="4" w:space="0" w:color="auto"/>
            </w:tcBorders>
            <w:shd w:val="clear" w:color="auto" w:fill="auto"/>
            <w:vAlign w:val="center"/>
            <w:hideMark/>
          </w:tcPr>
          <w:p w14:paraId="5DDFD9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FA9CC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do licenciamento automático para requerimentos que envolvam alteração do índice de reajuste dos benefícios do plano, transferência de gerenciamento e retirada de patrocínio vazia.</w:t>
            </w:r>
          </w:p>
        </w:tc>
      </w:tr>
      <w:tr w:rsidR="007D78B6" w:rsidRPr="00704883" w14:paraId="27AB36D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DA63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retirada</w:t>
            </w:r>
            <w:proofErr w:type="gramEnd"/>
            <w:r w:rsidRPr="00704883">
              <w:rPr>
                <w:rFonts w:ascii="Calibri" w:eastAsia="Times New Roman" w:hAnsi="Calibri" w:cs="Calibri"/>
                <w:color w:val="000000"/>
                <w:sz w:val="24"/>
                <w:szCs w:val="24"/>
                <w:lang w:eastAsia="pt-BR"/>
              </w:rPr>
              <w:t xml:space="preserve"> vazia de patrocinador ou de instituidor, quando o respectivo Termo de Retirada for elaborado mediante a utilização de modelo padronizado. </w:t>
            </w:r>
          </w:p>
        </w:tc>
        <w:tc>
          <w:tcPr>
            <w:tcW w:w="1660" w:type="pct"/>
            <w:tcBorders>
              <w:top w:val="nil"/>
              <w:left w:val="nil"/>
              <w:bottom w:val="single" w:sz="4" w:space="0" w:color="auto"/>
              <w:right w:val="single" w:sz="4" w:space="0" w:color="auto"/>
            </w:tcBorders>
            <w:shd w:val="clear" w:color="auto" w:fill="auto"/>
            <w:vAlign w:val="center"/>
            <w:hideMark/>
          </w:tcPr>
          <w:p w14:paraId="3A21E0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0C02D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do licenciamento automático para requerimentos que envolvam alteração do índice de reajuste dos benefícios do plano, transferência de gerenciamento e retirada de patrocínio vazia.</w:t>
            </w:r>
          </w:p>
        </w:tc>
      </w:tr>
      <w:tr w:rsidR="007D78B6" w:rsidRPr="00704883" w14:paraId="03EB0A9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64D17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Os tipos de requerimentos referidos nos incisos I, III, V e VI devem mencionar o número de identificação do modelo certificado ou do modelo padronizado utilizado.</w:t>
            </w:r>
          </w:p>
        </w:tc>
        <w:tc>
          <w:tcPr>
            <w:tcW w:w="1660" w:type="pct"/>
            <w:tcBorders>
              <w:top w:val="nil"/>
              <w:left w:val="nil"/>
              <w:bottom w:val="single" w:sz="4" w:space="0" w:color="auto"/>
              <w:right w:val="single" w:sz="4" w:space="0" w:color="auto"/>
            </w:tcBorders>
            <w:shd w:val="clear" w:color="auto" w:fill="auto"/>
            <w:vAlign w:val="center"/>
            <w:hideMark/>
          </w:tcPr>
          <w:p w14:paraId="2CC4B4DF" w14:textId="47517FBF"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Os tipos de requerimentos referidos nos incisos I e </w:t>
            </w:r>
            <w:r>
              <w:rPr>
                <w:rFonts w:ascii="Calibri" w:eastAsia="Times New Roman" w:hAnsi="Calibri" w:cs="Calibri"/>
                <w:color w:val="000000"/>
                <w:sz w:val="24"/>
                <w:szCs w:val="24"/>
                <w:lang w:eastAsia="pt-BR"/>
              </w:rPr>
              <w:t>II</w:t>
            </w:r>
            <w:r w:rsidRPr="00704883">
              <w:rPr>
                <w:rFonts w:ascii="Calibri" w:eastAsia="Times New Roman" w:hAnsi="Calibri" w:cs="Calibri"/>
                <w:color w:val="000000"/>
                <w:sz w:val="24"/>
                <w:szCs w:val="24"/>
                <w:lang w:eastAsia="pt-BR"/>
              </w:rPr>
              <w:t>I devem mencionar o número de identificação do modelo certificado ou do modelo padronizado utilizado.</w:t>
            </w:r>
          </w:p>
        </w:tc>
        <w:tc>
          <w:tcPr>
            <w:tcW w:w="1679" w:type="pct"/>
            <w:tcBorders>
              <w:top w:val="nil"/>
              <w:left w:val="nil"/>
              <w:bottom w:val="single" w:sz="4" w:space="0" w:color="auto"/>
              <w:right w:val="single" w:sz="4" w:space="0" w:color="auto"/>
            </w:tcBorders>
            <w:shd w:val="clear" w:color="auto" w:fill="auto"/>
            <w:vAlign w:val="center"/>
            <w:hideMark/>
          </w:tcPr>
          <w:p w14:paraId="115BA58F" w14:textId="1DF35952"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da referência o licenciamento automático para requerimentos que envolvam transferência de gerenciamento e retirada de patrocínio vazia.</w:t>
            </w:r>
          </w:p>
        </w:tc>
      </w:tr>
      <w:tr w:rsidR="007D78B6" w:rsidRPr="00704883" w14:paraId="6BCFDEF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00DED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20. O requerimento de licenciamento instruído por meio de licenciamento automático não afasta a prerrogativa de a Previc: </w:t>
            </w:r>
          </w:p>
        </w:tc>
        <w:tc>
          <w:tcPr>
            <w:tcW w:w="1660" w:type="pct"/>
            <w:tcBorders>
              <w:top w:val="nil"/>
              <w:left w:val="nil"/>
              <w:bottom w:val="single" w:sz="4" w:space="0" w:color="auto"/>
              <w:right w:val="single" w:sz="4" w:space="0" w:color="auto"/>
            </w:tcBorders>
            <w:shd w:val="clear" w:color="auto" w:fill="auto"/>
            <w:vAlign w:val="center"/>
            <w:hideMark/>
          </w:tcPr>
          <w:p w14:paraId="1B720EF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122.  O requerimento de licenciamento instruído por meio de licenciamento automático não afasta a prerrogativa de a Previc: </w:t>
            </w:r>
          </w:p>
        </w:tc>
        <w:tc>
          <w:tcPr>
            <w:tcW w:w="1679" w:type="pct"/>
            <w:tcBorders>
              <w:top w:val="nil"/>
              <w:left w:val="nil"/>
              <w:bottom w:val="single" w:sz="4" w:space="0" w:color="auto"/>
              <w:right w:val="single" w:sz="4" w:space="0" w:color="auto"/>
            </w:tcBorders>
            <w:shd w:val="clear" w:color="auto" w:fill="auto"/>
            <w:vAlign w:val="center"/>
            <w:hideMark/>
          </w:tcPr>
          <w:p w14:paraId="01B3DA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A90EC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A89E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realizar</w:t>
            </w:r>
            <w:proofErr w:type="gramEnd"/>
            <w:r w:rsidRPr="00704883">
              <w:rPr>
                <w:rFonts w:ascii="Calibri" w:eastAsia="Times New Roman" w:hAnsi="Calibri" w:cs="Calibri"/>
                <w:color w:val="000000"/>
                <w:sz w:val="24"/>
                <w:szCs w:val="24"/>
                <w:lang w:eastAsia="pt-BR"/>
              </w:rPr>
              <w:t xml:space="preserve">, a qualquer tempo, a análise dos requerimentos quanto à fundamentação, aos riscos e à adequação legal, de acordo com as normas vigentes; e </w:t>
            </w:r>
          </w:p>
        </w:tc>
        <w:tc>
          <w:tcPr>
            <w:tcW w:w="1660" w:type="pct"/>
            <w:tcBorders>
              <w:top w:val="nil"/>
              <w:left w:val="nil"/>
              <w:bottom w:val="single" w:sz="4" w:space="0" w:color="auto"/>
              <w:right w:val="single" w:sz="4" w:space="0" w:color="auto"/>
            </w:tcBorders>
            <w:shd w:val="clear" w:color="auto" w:fill="auto"/>
            <w:vAlign w:val="center"/>
            <w:hideMark/>
          </w:tcPr>
          <w:p w14:paraId="7FDEAB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realizar</w:t>
            </w:r>
            <w:proofErr w:type="gramEnd"/>
            <w:r w:rsidRPr="00704883">
              <w:rPr>
                <w:rFonts w:ascii="Calibri" w:eastAsia="Times New Roman" w:hAnsi="Calibri" w:cs="Calibri"/>
                <w:color w:val="000000"/>
                <w:sz w:val="24"/>
                <w:szCs w:val="24"/>
                <w:lang w:eastAsia="pt-BR"/>
              </w:rPr>
              <w:t xml:space="preserve">, a qualquer tempo, a análise dos requerimentos quanto à fundamentação, aos riscos e à adequação legal, de acordo com as normas vigentes; e </w:t>
            </w:r>
          </w:p>
        </w:tc>
        <w:tc>
          <w:tcPr>
            <w:tcW w:w="1679" w:type="pct"/>
            <w:tcBorders>
              <w:top w:val="nil"/>
              <w:left w:val="nil"/>
              <w:bottom w:val="single" w:sz="4" w:space="0" w:color="auto"/>
              <w:right w:val="single" w:sz="4" w:space="0" w:color="auto"/>
            </w:tcBorders>
            <w:shd w:val="clear" w:color="auto" w:fill="auto"/>
            <w:vAlign w:val="center"/>
            <w:hideMark/>
          </w:tcPr>
          <w:p w14:paraId="1C6CDE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495396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BA91B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apresentar</w:t>
            </w:r>
            <w:proofErr w:type="gramEnd"/>
            <w:r w:rsidRPr="00704883">
              <w:rPr>
                <w:rFonts w:ascii="Calibri" w:eastAsia="Times New Roman" w:hAnsi="Calibri" w:cs="Calibri"/>
                <w:color w:val="000000"/>
                <w:sz w:val="24"/>
                <w:szCs w:val="24"/>
                <w:lang w:eastAsia="pt-BR"/>
              </w:rPr>
              <w:t xml:space="preserve"> as exigências e as orientações que julgar necessárias para a correção das inconsistências identificadas. </w:t>
            </w:r>
          </w:p>
        </w:tc>
        <w:tc>
          <w:tcPr>
            <w:tcW w:w="1660" w:type="pct"/>
            <w:tcBorders>
              <w:top w:val="nil"/>
              <w:left w:val="nil"/>
              <w:bottom w:val="single" w:sz="4" w:space="0" w:color="auto"/>
              <w:right w:val="single" w:sz="4" w:space="0" w:color="auto"/>
            </w:tcBorders>
            <w:shd w:val="clear" w:color="auto" w:fill="auto"/>
            <w:vAlign w:val="center"/>
            <w:hideMark/>
          </w:tcPr>
          <w:p w14:paraId="31A2E8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apresentar</w:t>
            </w:r>
            <w:proofErr w:type="gramEnd"/>
            <w:r w:rsidRPr="00704883">
              <w:rPr>
                <w:rFonts w:ascii="Calibri" w:eastAsia="Times New Roman" w:hAnsi="Calibri" w:cs="Calibri"/>
                <w:color w:val="000000"/>
                <w:sz w:val="24"/>
                <w:szCs w:val="24"/>
                <w:lang w:eastAsia="pt-BR"/>
              </w:rPr>
              <w:t xml:space="preserve"> as exigências e as orientações que julgar necessárias para a correção das inconsistências identificadas.</w:t>
            </w:r>
          </w:p>
        </w:tc>
        <w:tc>
          <w:tcPr>
            <w:tcW w:w="1679" w:type="pct"/>
            <w:tcBorders>
              <w:top w:val="nil"/>
              <w:left w:val="nil"/>
              <w:bottom w:val="single" w:sz="4" w:space="0" w:color="auto"/>
              <w:right w:val="single" w:sz="4" w:space="0" w:color="auto"/>
            </w:tcBorders>
            <w:shd w:val="clear" w:color="auto" w:fill="auto"/>
            <w:vAlign w:val="center"/>
            <w:hideMark/>
          </w:tcPr>
          <w:p w14:paraId="51D00679"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341B7F0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BC72D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Aplica-se o disposto no art. 5º às exigências e às orientações referidas no inciso II.</w:t>
            </w:r>
          </w:p>
        </w:tc>
        <w:tc>
          <w:tcPr>
            <w:tcW w:w="1660" w:type="pct"/>
            <w:tcBorders>
              <w:top w:val="nil"/>
              <w:left w:val="nil"/>
              <w:bottom w:val="single" w:sz="4" w:space="0" w:color="auto"/>
              <w:right w:val="single" w:sz="4" w:space="0" w:color="auto"/>
            </w:tcBorders>
            <w:shd w:val="clear" w:color="auto" w:fill="auto"/>
            <w:vAlign w:val="center"/>
            <w:hideMark/>
          </w:tcPr>
          <w:p w14:paraId="0338034F"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Parágrafo único.  Aplica-se o disposto no art. 112 às exigências e às orientações referidas no inciso II.</w:t>
            </w:r>
          </w:p>
        </w:tc>
        <w:tc>
          <w:tcPr>
            <w:tcW w:w="1679" w:type="pct"/>
            <w:tcBorders>
              <w:top w:val="nil"/>
              <w:left w:val="nil"/>
              <w:bottom w:val="single" w:sz="4" w:space="0" w:color="auto"/>
              <w:right w:val="single" w:sz="4" w:space="0" w:color="auto"/>
            </w:tcBorders>
            <w:shd w:val="clear" w:color="auto" w:fill="auto"/>
            <w:vAlign w:val="center"/>
            <w:hideMark/>
          </w:tcPr>
          <w:p w14:paraId="16E396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70911E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DE3EA6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21. A autorização por licenciamento automático será considerada nula para todos os fins, quando o respectivo requerimento de licenciamento: </w:t>
            </w:r>
          </w:p>
        </w:tc>
        <w:tc>
          <w:tcPr>
            <w:tcW w:w="1660" w:type="pct"/>
            <w:tcBorders>
              <w:top w:val="nil"/>
              <w:left w:val="nil"/>
              <w:bottom w:val="single" w:sz="4" w:space="0" w:color="auto"/>
              <w:right w:val="single" w:sz="4" w:space="0" w:color="auto"/>
            </w:tcBorders>
            <w:shd w:val="clear" w:color="auto" w:fill="auto"/>
            <w:vAlign w:val="center"/>
            <w:hideMark/>
          </w:tcPr>
          <w:p w14:paraId="4BA475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123.  A autorização por licenciamento automático será considerada nula para todos os fins, quando o respectivo requerimento de licenciamento: </w:t>
            </w:r>
          </w:p>
        </w:tc>
        <w:tc>
          <w:tcPr>
            <w:tcW w:w="1679" w:type="pct"/>
            <w:tcBorders>
              <w:top w:val="nil"/>
              <w:left w:val="nil"/>
              <w:bottom w:val="single" w:sz="4" w:space="0" w:color="auto"/>
              <w:right w:val="single" w:sz="4" w:space="0" w:color="auto"/>
            </w:tcBorders>
            <w:shd w:val="clear" w:color="auto" w:fill="auto"/>
            <w:vAlign w:val="center"/>
            <w:hideMark/>
          </w:tcPr>
          <w:p w14:paraId="7F400B9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8B2B95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201469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não</w:t>
            </w:r>
            <w:proofErr w:type="gramEnd"/>
            <w:r w:rsidRPr="00704883">
              <w:rPr>
                <w:rFonts w:ascii="Calibri" w:eastAsia="Times New Roman" w:hAnsi="Calibri" w:cs="Calibri"/>
                <w:color w:val="000000"/>
                <w:sz w:val="24"/>
                <w:szCs w:val="24"/>
                <w:lang w:eastAsia="pt-BR"/>
              </w:rPr>
              <w:t xml:space="preserve"> observar a legislação aplicável; ou </w:t>
            </w:r>
          </w:p>
        </w:tc>
        <w:tc>
          <w:tcPr>
            <w:tcW w:w="1660" w:type="pct"/>
            <w:tcBorders>
              <w:top w:val="nil"/>
              <w:left w:val="nil"/>
              <w:bottom w:val="single" w:sz="4" w:space="0" w:color="auto"/>
              <w:right w:val="single" w:sz="4" w:space="0" w:color="auto"/>
            </w:tcBorders>
            <w:shd w:val="clear" w:color="auto" w:fill="auto"/>
            <w:vAlign w:val="center"/>
            <w:hideMark/>
          </w:tcPr>
          <w:p w14:paraId="55FE60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não</w:t>
            </w:r>
            <w:proofErr w:type="gramEnd"/>
            <w:r w:rsidRPr="00704883">
              <w:rPr>
                <w:rFonts w:ascii="Calibri" w:eastAsia="Times New Roman" w:hAnsi="Calibri" w:cs="Calibri"/>
                <w:color w:val="000000"/>
                <w:sz w:val="24"/>
                <w:szCs w:val="24"/>
                <w:lang w:eastAsia="pt-BR"/>
              </w:rPr>
              <w:t xml:space="preserve"> observar a legislação aplicável; ou </w:t>
            </w:r>
          </w:p>
        </w:tc>
        <w:tc>
          <w:tcPr>
            <w:tcW w:w="1679" w:type="pct"/>
            <w:tcBorders>
              <w:top w:val="nil"/>
              <w:left w:val="nil"/>
              <w:bottom w:val="single" w:sz="4" w:space="0" w:color="auto"/>
              <w:right w:val="single" w:sz="4" w:space="0" w:color="auto"/>
            </w:tcBorders>
            <w:shd w:val="clear" w:color="auto" w:fill="auto"/>
            <w:vAlign w:val="center"/>
            <w:hideMark/>
          </w:tcPr>
          <w:p w14:paraId="1AD4970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E18993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7E0C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não</w:t>
            </w:r>
            <w:proofErr w:type="gramEnd"/>
            <w:r w:rsidRPr="00704883">
              <w:rPr>
                <w:rFonts w:ascii="Calibri" w:eastAsia="Times New Roman" w:hAnsi="Calibri" w:cs="Calibri"/>
                <w:color w:val="000000"/>
                <w:sz w:val="24"/>
                <w:szCs w:val="24"/>
                <w:lang w:eastAsia="pt-BR"/>
              </w:rPr>
              <w:t xml:space="preserve"> se enquadrar nas condições estabelecidas para esse tipo de autorização. </w:t>
            </w:r>
          </w:p>
        </w:tc>
        <w:tc>
          <w:tcPr>
            <w:tcW w:w="1660" w:type="pct"/>
            <w:tcBorders>
              <w:top w:val="nil"/>
              <w:left w:val="nil"/>
              <w:bottom w:val="single" w:sz="4" w:space="0" w:color="auto"/>
              <w:right w:val="single" w:sz="4" w:space="0" w:color="auto"/>
            </w:tcBorders>
            <w:shd w:val="clear" w:color="auto" w:fill="auto"/>
            <w:vAlign w:val="center"/>
            <w:hideMark/>
          </w:tcPr>
          <w:p w14:paraId="1DA37A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não</w:t>
            </w:r>
            <w:proofErr w:type="gramEnd"/>
            <w:r w:rsidRPr="00704883">
              <w:rPr>
                <w:rFonts w:ascii="Calibri" w:eastAsia="Times New Roman" w:hAnsi="Calibri" w:cs="Calibri"/>
                <w:color w:val="000000"/>
                <w:sz w:val="24"/>
                <w:szCs w:val="24"/>
                <w:lang w:eastAsia="pt-BR"/>
              </w:rPr>
              <w:t xml:space="preserve"> se enquadrar nas condições estabelecidas para esse tipo de autorização.</w:t>
            </w:r>
          </w:p>
        </w:tc>
        <w:tc>
          <w:tcPr>
            <w:tcW w:w="1679" w:type="pct"/>
            <w:tcBorders>
              <w:top w:val="nil"/>
              <w:left w:val="nil"/>
              <w:bottom w:val="single" w:sz="4" w:space="0" w:color="auto"/>
              <w:right w:val="single" w:sz="4" w:space="0" w:color="auto"/>
            </w:tcBorders>
            <w:shd w:val="clear" w:color="auto" w:fill="auto"/>
            <w:vAlign w:val="center"/>
            <w:hideMark/>
          </w:tcPr>
          <w:p w14:paraId="23A00CD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3DF06B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BAFD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Parágrafo único. A nulidade da autorização deve ser objeto de notificação formal à EFPC.</w:t>
            </w:r>
          </w:p>
        </w:tc>
        <w:tc>
          <w:tcPr>
            <w:tcW w:w="1660" w:type="pct"/>
            <w:tcBorders>
              <w:top w:val="nil"/>
              <w:left w:val="nil"/>
              <w:bottom w:val="single" w:sz="4" w:space="0" w:color="auto"/>
              <w:right w:val="single" w:sz="4" w:space="0" w:color="auto"/>
            </w:tcBorders>
            <w:shd w:val="clear" w:color="auto" w:fill="auto"/>
            <w:vAlign w:val="center"/>
            <w:hideMark/>
          </w:tcPr>
          <w:p w14:paraId="40A53A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 nulidade da autorização deve ser objeto de notificação formal à EFPC.</w:t>
            </w:r>
          </w:p>
        </w:tc>
        <w:tc>
          <w:tcPr>
            <w:tcW w:w="1679" w:type="pct"/>
            <w:tcBorders>
              <w:top w:val="nil"/>
              <w:left w:val="nil"/>
              <w:bottom w:val="single" w:sz="4" w:space="0" w:color="auto"/>
              <w:right w:val="single" w:sz="4" w:space="0" w:color="auto"/>
            </w:tcBorders>
            <w:shd w:val="clear" w:color="auto" w:fill="auto"/>
            <w:vAlign w:val="center"/>
            <w:hideMark/>
          </w:tcPr>
          <w:p w14:paraId="1DBA01A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9B6ADA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107AA9"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CAPÍTULO VII</w:t>
            </w:r>
          </w:p>
        </w:tc>
        <w:tc>
          <w:tcPr>
            <w:tcW w:w="1660" w:type="pct"/>
            <w:tcBorders>
              <w:top w:val="nil"/>
              <w:left w:val="nil"/>
              <w:bottom w:val="single" w:sz="4" w:space="0" w:color="auto"/>
              <w:right w:val="single" w:sz="4" w:space="0" w:color="auto"/>
            </w:tcBorders>
            <w:shd w:val="clear" w:color="auto" w:fill="auto"/>
            <w:vAlign w:val="center"/>
            <w:hideMark/>
          </w:tcPr>
          <w:p w14:paraId="793E6E5F"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B1D2F9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112A79E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30FA18"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DAS DISPOSIÇÕES FINAIS E TRANSITÓRIAS</w:t>
            </w:r>
          </w:p>
        </w:tc>
        <w:tc>
          <w:tcPr>
            <w:tcW w:w="1660" w:type="pct"/>
            <w:tcBorders>
              <w:top w:val="nil"/>
              <w:left w:val="nil"/>
              <w:bottom w:val="single" w:sz="4" w:space="0" w:color="auto"/>
              <w:right w:val="single" w:sz="4" w:space="0" w:color="auto"/>
            </w:tcBorders>
            <w:shd w:val="clear" w:color="auto" w:fill="auto"/>
            <w:vAlign w:val="center"/>
            <w:hideMark/>
          </w:tcPr>
          <w:p w14:paraId="01F7526C"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821BBB3"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DA384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59456E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22. A EFPC deve manter atualizadas as informações cadastrais relacionadas à instrução de processos de licenciamento no sistema informatizado da Previc. </w:t>
            </w:r>
          </w:p>
        </w:tc>
        <w:tc>
          <w:tcPr>
            <w:tcW w:w="1660" w:type="pct"/>
            <w:tcBorders>
              <w:top w:val="nil"/>
              <w:left w:val="nil"/>
              <w:bottom w:val="single" w:sz="4" w:space="0" w:color="auto"/>
              <w:right w:val="single" w:sz="4" w:space="0" w:color="auto"/>
            </w:tcBorders>
            <w:shd w:val="clear" w:color="auto" w:fill="auto"/>
            <w:vAlign w:val="center"/>
            <w:hideMark/>
          </w:tcPr>
          <w:p w14:paraId="46D690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0605644"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6E894FF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AE0A3C"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EFPC deve manter endereço de e-mail institucional destinado à comunicação com a Previc, permanentemente atualizado no sistema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4FCB5E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801222F" w14:textId="77777777" w:rsidR="007D78B6" w:rsidRPr="00704883" w:rsidRDefault="007D78B6" w:rsidP="007D78B6">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1CBD75A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CECB3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e-mail institucional referido no § 1º deve ser acessível às áreas da EFPC responsáveis pelo relacionamento com a Previc, sem vinculação a qualquer pessoa física específica. </w:t>
            </w:r>
          </w:p>
        </w:tc>
        <w:tc>
          <w:tcPr>
            <w:tcW w:w="1660" w:type="pct"/>
            <w:tcBorders>
              <w:top w:val="nil"/>
              <w:left w:val="nil"/>
              <w:bottom w:val="single" w:sz="4" w:space="0" w:color="auto"/>
              <w:right w:val="single" w:sz="4" w:space="0" w:color="auto"/>
            </w:tcBorders>
            <w:shd w:val="clear" w:color="auto" w:fill="auto"/>
            <w:vAlign w:val="center"/>
            <w:hideMark/>
          </w:tcPr>
          <w:p w14:paraId="2C5603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ADD74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20FD400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5742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Sem prejuízo da utilização de outros meios, as comunicações enviadas pela Previc ao e-mail institucional referido no § 1º devem ser consideradas oficiais. </w:t>
            </w:r>
          </w:p>
        </w:tc>
        <w:tc>
          <w:tcPr>
            <w:tcW w:w="1660" w:type="pct"/>
            <w:tcBorders>
              <w:top w:val="nil"/>
              <w:left w:val="nil"/>
              <w:bottom w:val="single" w:sz="4" w:space="0" w:color="auto"/>
              <w:right w:val="single" w:sz="4" w:space="0" w:color="auto"/>
            </w:tcBorders>
            <w:shd w:val="clear" w:color="auto" w:fill="auto"/>
            <w:vAlign w:val="center"/>
            <w:hideMark/>
          </w:tcPr>
          <w:p w14:paraId="4DA9FE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DA57E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3B1758A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8D4A8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4º A Previc deve realizar a atualização cadastral decorrente do deferimento de requerimentos de licenciamento e da finalização das operações, no caso de as informações pertinentes não poderem ser enviadas por meio do sistema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7D718AB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7E36E9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2D6A8C6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B19D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23. A EFPC deve comunicar a existência de qualquer situação ou litígio que possa representar risco à conclusão do requerimento de licenciamento. </w:t>
            </w:r>
          </w:p>
        </w:tc>
        <w:tc>
          <w:tcPr>
            <w:tcW w:w="1660" w:type="pct"/>
            <w:tcBorders>
              <w:top w:val="nil"/>
              <w:left w:val="nil"/>
              <w:bottom w:val="single" w:sz="4" w:space="0" w:color="auto"/>
              <w:right w:val="single" w:sz="4" w:space="0" w:color="auto"/>
            </w:tcBorders>
            <w:shd w:val="clear" w:color="auto" w:fill="auto"/>
            <w:vAlign w:val="center"/>
            <w:hideMark/>
          </w:tcPr>
          <w:p w14:paraId="7E0510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34872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659DD25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9A28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24. As alterações em regulamento de plano de benefícios, apresentadas nos requerimentos de licenciamento referidos nos incisos VII a X e XIII do art. 1º, somente podem tratar de matérias inerentes ao correspondente requerimento. </w:t>
            </w:r>
          </w:p>
        </w:tc>
        <w:tc>
          <w:tcPr>
            <w:tcW w:w="1660" w:type="pct"/>
            <w:tcBorders>
              <w:top w:val="nil"/>
              <w:left w:val="nil"/>
              <w:bottom w:val="single" w:sz="4" w:space="0" w:color="auto"/>
              <w:right w:val="single" w:sz="4" w:space="0" w:color="auto"/>
            </w:tcBorders>
            <w:shd w:val="clear" w:color="auto" w:fill="auto"/>
            <w:vAlign w:val="center"/>
            <w:hideMark/>
          </w:tcPr>
          <w:p w14:paraId="140287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021A4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73FA65C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9A55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25. Os licenciamentos deferidos pela Previc devem ser publicados: </w:t>
            </w:r>
          </w:p>
        </w:tc>
        <w:tc>
          <w:tcPr>
            <w:tcW w:w="1660" w:type="pct"/>
            <w:tcBorders>
              <w:top w:val="nil"/>
              <w:left w:val="nil"/>
              <w:bottom w:val="single" w:sz="4" w:space="0" w:color="auto"/>
              <w:right w:val="single" w:sz="4" w:space="0" w:color="auto"/>
            </w:tcBorders>
            <w:shd w:val="clear" w:color="auto" w:fill="auto"/>
            <w:vAlign w:val="center"/>
            <w:hideMark/>
          </w:tcPr>
          <w:p w14:paraId="25C9351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30578D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012BEF3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1FD6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em</w:t>
            </w:r>
            <w:proofErr w:type="gramEnd"/>
            <w:r w:rsidRPr="00704883">
              <w:rPr>
                <w:rFonts w:ascii="Calibri" w:eastAsia="Times New Roman" w:hAnsi="Calibri" w:cs="Calibri"/>
                <w:color w:val="000000"/>
                <w:sz w:val="24"/>
                <w:szCs w:val="24"/>
                <w:lang w:eastAsia="pt-BR"/>
              </w:rPr>
              <w:t xml:space="preserve"> seu sítio eletrônico, nos casos de habilitação de dirigentes e de requerimentos sujeitos ao licenciamento automático; </w:t>
            </w:r>
          </w:p>
        </w:tc>
        <w:tc>
          <w:tcPr>
            <w:tcW w:w="1660" w:type="pct"/>
            <w:tcBorders>
              <w:top w:val="nil"/>
              <w:left w:val="nil"/>
              <w:bottom w:val="single" w:sz="4" w:space="0" w:color="auto"/>
              <w:right w:val="single" w:sz="4" w:space="0" w:color="auto"/>
            </w:tcBorders>
            <w:shd w:val="clear" w:color="auto" w:fill="auto"/>
            <w:vAlign w:val="center"/>
            <w:hideMark/>
          </w:tcPr>
          <w:p w14:paraId="286FA1D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DA0E98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7B21390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8588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e II - no Diário Oficial da União, nos demais casos. </w:t>
            </w:r>
          </w:p>
        </w:tc>
        <w:tc>
          <w:tcPr>
            <w:tcW w:w="1660" w:type="pct"/>
            <w:tcBorders>
              <w:top w:val="nil"/>
              <w:left w:val="nil"/>
              <w:bottom w:val="single" w:sz="4" w:space="0" w:color="auto"/>
              <w:right w:val="single" w:sz="4" w:space="0" w:color="auto"/>
            </w:tcBorders>
            <w:shd w:val="clear" w:color="auto" w:fill="auto"/>
            <w:vAlign w:val="center"/>
            <w:hideMark/>
          </w:tcPr>
          <w:p w14:paraId="56D9DB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EC588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2A32385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9627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26 A forma e a documentação para instrução dos requerimentos de licenciamento devem observar o disposto em normativo publicado pela Diretoria de Licenciamento.</w:t>
            </w:r>
          </w:p>
        </w:tc>
        <w:tc>
          <w:tcPr>
            <w:tcW w:w="1660" w:type="pct"/>
            <w:tcBorders>
              <w:top w:val="nil"/>
              <w:left w:val="nil"/>
              <w:bottom w:val="single" w:sz="4" w:space="0" w:color="auto"/>
              <w:right w:val="single" w:sz="4" w:space="0" w:color="auto"/>
            </w:tcBorders>
            <w:shd w:val="clear" w:color="auto" w:fill="auto"/>
            <w:vAlign w:val="center"/>
            <w:hideMark/>
          </w:tcPr>
          <w:p w14:paraId="4F64DF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BD6CA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final do capítulo, na Seção V – Obrigação e Direitos da Entidade.</w:t>
            </w:r>
          </w:p>
        </w:tc>
      </w:tr>
      <w:tr w:rsidR="007D78B6" w:rsidRPr="00704883" w14:paraId="10AD537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3A90FCA"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45, de 13 de julho de 2022</w:t>
            </w:r>
          </w:p>
        </w:tc>
        <w:tc>
          <w:tcPr>
            <w:tcW w:w="1660" w:type="pct"/>
            <w:tcBorders>
              <w:top w:val="nil"/>
              <w:left w:val="nil"/>
              <w:bottom w:val="single" w:sz="4" w:space="0" w:color="auto"/>
              <w:right w:val="single" w:sz="4" w:space="0" w:color="auto"/>
            </w:tcBorders>
            <w:shd w:val="clear" w:color="auto" w:fill="auto"/>
            <w:vAlign w:val="center"/>
            <w:hideMark/>
          </w:tcPr>
          <w:p w14:paraId="67CFA79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bookmarkStart w:id="18" w:name="RANGE!B205"/>
            <w:r w:rsidRPr="00704883">
              <w:rPr>
                <w:rFonts w:ascii="Calibri" w:eastAsia="Times New Roman" w:hAnsi="Calibri" w:cs="Calibri"/>
                <w:color w:val="000000"/>
                <w:sz w:val="24"/>
                <w:szCs w:val="24"/>
                <w:lang w:eastAsia="pt-BR"/>
              </w:rPr>
              <w:t> </w:t>
            </w:r>
            <w:bookmarkEnd w:id="18"/>
          </w:p>
        </w:tc>
        <w:tc>
          <w:tcPr>
            <w:tcW w:w="1679" w:type="pct"/>
            <w:tcBorders>
              <w:top w:val="nil"/>
              <w:left w:val="nil"/>
              <w:bottom w:val="single" w:sz="4" w:space="0" w:color="auto"/>
              <w:right w:val="single" w:sz="4" w:space="0" w:color="auto"/>
            </w:tcBorders>
            <w:shd w:val="clear" w:color="auto" w:fill="auto"/>
            <w:vAlign w:val="center"/>
            <w:hideMark/>
          </w:tcPr>
          <w:p w14:paraId="245CA18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bookmarkStart w:id="19" w:name="_Hlk132905166"/>
            <w:r w:rsidRPr="00704883">
              <w:rPr>
                <w:rFonts w:ascii="Calibri" w:eastAsia="Times New Roman" w:hAnsi="Calibri" w:cs="Calibri"/>
                <w:color w:val="000000"/>
                <w:sz w:val="24"/>
                <w:szCs w:val="24"/>
                <w:lang w:eastAsia="pt-BR"/>
              </w:rPr>
              <w:t> </w:t>
            </w:r>
            <w:bookmarkEnd w:id="19"/>
          </w:p>
        </w:tc>
      </w:tr>
      <w:tr w:rsidR="007D78B6" w:rsidRPr="00704883" w14:paraId="5F9D8BD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467E88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1º Esta Instrução Normativa dispõe sobre os procedimentos, os documentos e as informações necessárias para instruir os requerimentos de: </w:t>
            </w:r>
          </w:p>
        </w:tc>
        <w:tc>
          <w:tcPr>
            <w:tcW w:w="1660" w:type="pct"/>
            <w:tcBorders>
              <w:top w:val="nil"/>
              <w:left w:val="nil"/>
              <w:bottom w:val="single" w:sz="4" w:space="0" w:color="auto"/>
              <w:right w:val="single" w:sz="4" w:space="0" w:color="auto"/>
            </w:tcBorders>
            <w:shd w:val="clear" w:color="auto" w:fill="auto"/>
            <w:vAlign w:val="center"/>
            <w:hideMark/>
          </w:tcPr>
          <w:p w14:paraId="014F62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D7EAC1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263064F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A0A51A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licenciamento</w:t>
            </w:r>
            <w:proofErr w:type="gramEnd"/>
            <w:r w:rsidRPr="00704883">
              <w:rPr>
                <w:rFonts w:ascii="Calibri" w:eastAsia="Times New Roman" w:hAnsi="Calibri" w:cs="Calibri"/>
                <w:color w:val="000000"/>
                <w:sz w:val="24"/>
                <w:szCs w:val="24"/>
                <w:lang w:eastAsia="pt-BR"/>
              </w:rPr>
              <w:t xml:space="preserve"> apresentados à Superintendência Nacional de Previdência Complementar (Previc) pelas entidades fechadas de previdência complementar (EFPC); </w:t>
            </w:r>
          </w:p>
        </w:tc>
        <w:tc>
          <w:tcPr>
            <w:tcW w:w="1660" w:type="pct"/>
            <w:tcBorders>
              <w:top w:val="nil"/>
              <w:left w:val="nil"/>
              <w:bottom w:val="single" w:sz="4" w:space="0" w:color="auto"/>
              <w:right w:val="single" w:sz="4" w:space="0" w:color="auto"/>
            </w:tcBorders>
            <w:shd w:val="clear" w:color="auto" w:fill="auto"/>
            <w:vAlign w:val="center"/>
            <w:hideMark/>
          </w:tcPr>
          <w:p w14:paraId="38EA72D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5457F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57CAF73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9F1F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habilitação</w:t>
            </w:r>
            <w:proofErr w:type="gramEnd"/>
            <w:r w:rsidRPr="00704883">
              <w:rPr>
                <w:rFonts w:ascii="Calibri" w:eastAsia="Times New Roman" w:hAnsi="Calibri" w:cs="Calibri"/>
                <w:color w:val="000000"/>
                <w:sz w:val="24"/>
                <w:szCs w:val="24"/>
                <w:lang w:eastAsia="pt-BR"/>
              </w:rPr>
              <w:t xml:space="preserve"> de dirigentes de EFPC; e </w:t>
            </w:r>
          </w:p>
        </w:tc>
        <w:tc>
          <w:tcPr>
            <w:tcW w:w="1660" w:type="pct"/>
            <w:tcBorders>
              <w:top w:val="nil"/>
              <w:left w:val="nil"/>
              <w:bottom w:val="single" w:sz="4" w:space="0" w:color="auto"/>
              <w:right w:val="single" w:sz="4" w:space="0" w:color="auto"/>
            </w:tcBorders>
            <w:shd w:val="clear" w:color="auto" w:fill="auto"/>
            <w:vAlign w:val="center"/>
            <w:hideMark/>
          </w:tcPr>
          <w:p w14:paraId="5887051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EDB8D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2F9FF33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7B997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reconhecimento de instituição autônoma certificadora e respectivos certificados. </w:t>
            </w:r>
          </w:p>
        </w:tc>
        <w:tc>
          <w:tcPr>
            <w:tcW w:w="1660" w:type="pct"/>
            <w:tcBorders>
              <w:top w:val="nil"/>
              <w:left w:val="nil"/>
              <w:bottom w:val="single" w:sz="4" w:space="0" w:color="auto"/>
              <w:right w:val="single" w:sz="4" w:space="0" w:color="auto"/>
            </w:tcBorders>
            <w:shd w:val="clear" w:color="auto" w:fill="auto"/>
            <w:vAlign w:val="center"/>
            <w:hideMark/>
          </w:tcPr>
          <w:p w14:paraId="40BADD1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BC1A9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4165F9C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4329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Das Definições</w:t>
            </w:r>
          </w:p>
        </w:tc>
        <w:tc>
          <w:tcPr>
            <w:tcW w:w="1660" w:type="pct"/>
            <w:tcBorders>
              <w:top w:val="nil"/>
              <w:left w:val="nil"/>
              <w:bottom w:val="single" w:sz="4" w:space="0" w:color="auto"/>
              <w:right w:val="single" w:sz="4" w:space="0" w:color="auto"/>
            </w:tcBorders>
            <w:shd w:val="clear" w:color="auto" w:fill="auto"/>
            <w:vAlign w:val="center"/>
            <w:hideMark/>
          </w:tcPr>
          <w:p w14:paraId="799632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218183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0E27A42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02C348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Para os fins desta Instrução Normativa, além das definições estabelecidas pela legislação aplicável, considera-se: </w:t>
            </w:r>
          </w:p>
        </w:tc>
        <w:tc>
          <w:tcPr>
            <w:tcW w:w="1660" w:type="pct"/>
            <w:tcBorders>
              <w:top w:val="nil"/>
              <w:left w:val="nil"/>
              <w:bottom w:val="single" w:sz="4" w:space="0" w:color="auto"/>
              <w:right w:val="single" w:sz="4" w:space="0" w:color="auto"/>
            </w:tcBorders>
            <w:shd w:val="clear" w:color="auto" w:fill="auto"/>
            <w:vAlign w:val="center"/>
            <w:hideMark/>
          </w:tcPr>
          <w:p w14:paraId="3AE865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08BCC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077E5B59"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D1D53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 - </w:t>
            </w:r>
            <w:proofErr w:type="gramStart"/>
            <w:r w:rsidRPr="00704883">
              <w:rPr>
                <w:rFonts w:ascii="Calibri" w:eastAsia="Times New Roman" w:hAnsi="Calibri" w:cs="Calibri"/>
                <w:color w:val="000000"/>
                <w:sz w:val="24"/>
                <w:szCs w:val="24"/>
                <w:lang w:eastAsia="pt-BR"/>
              </w:rPr>
              <w:t>data-base</w:t>
            </w:r>
            <w:proofErr w:type="gramEnd"/>
            <w:r w:rsidRPr="00704883">
              <w:rPr>
                <w:rFonts w:ascii="Calibri" w:eastAsia="Times New Roman" w:hAnsi="Calibri" w:cs="Calibri"/>
                <w:color w:val="000000"/>
                <w:sz w:val="24"/>
                <w:szCs w:val="24"/>
                <w:lang w:eastAsia="pt-BR"/>
              </w:rPr>
              <w:t xml:space="preserv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tc>
        <w:tc>
          <w:tcPr>
            <w:tcW w:w="1660" w:type="pct"/>
            <w:tcBorders>
              <w:top w:val="nil"/>
              <w:left w:val="nil"/>
              <w:bottom w:val="single" w:sz="4" w:space="0" w:color="auto"/>
              <w:right w:val="single" w:sz="4" w:space="0" w:color="auto"/>
            </w:tcBorders>
            <w:shd w:val="clear" w:color="auto" w:fill="auto"/>
            <w:vAlign w:val="center"/>
            <w:hideMark/>
          </w:tcPr>
          <w:p w14:paraId="09ECC0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AABAF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6850C16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5830DA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autorização: aquela em que for publicado, no Diário Oficial da União (DOU), o ato de aprovação da Previc, referente à operação pretendida ou a data da emissão de protocolo pelo sistema informatizado, no caso de licenciamento automático; </w:t>
            </w:r>
          </w:p>
        </w:tc>
        <w:tc>
          <w:tcPr>
            <w:tcW w:w="1660" w:type="pct"/>
            <w:tcBorders>
              <w:top w:val="nil"/>
              <w:left w:val="nil"/>
              <w:bottom w:val="single" w:sz="4" w:space="0" w:color="auto"/>
              <w:right w:val="single" w:sz="4" w:space="0" w:color="auto"/>
            </w:tcBorders>
            <w:shd w:val="clear" w:color="auto" w:fill="auto"/>
            <w:vAlign w:val="center"/>
            <w:hideMark/>
          </w:tcPr>
          <w:p w14:paraId="5FAF42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18938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70BC51B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D197EB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data do cálculo: aquela correspondente ao último dia do mês em que ocorrer a data de autorização, momento em que os cálculos devem ser posicionados para a finalização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561EFF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E3FCD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085CEEF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397B0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data-efetiva</w:t>
            </w:r>
            <w:proofErr w:type="gramEnd"/>
            <w:r w:rsidRPr="00704883">
              <w:rPr>
                <w:rFonts w:ascii="Calibri" w:eastAsia="Times New Roman" w:hAnsi="Calibri" w:cs="Calibri"/>
                <w:color w:val="000000"/>
                <w:sz w:val="24"/>
                <w:szCs w:val="24"/>
                <w:lang w:eastAsia="pt-BR"/>
              </w:rPr>
              <w:t xml:space="preserve">: aquela, posterior à data de autorização, acordada formalmente entre as partes, até a qual deve ocorrer a finalização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6D5FA73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99DDE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3ADD2EA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47794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termo</w:t>
            </w:r>
            <w:proofErr w:type="gramEnd"/>
            <w:r w:rsidRPr="00704883">
              <w:rPr>
                <w:rFonts w:ascii="Calibri" w:eastAsia="Times New Roman" w:hAnsi="Calibri" w:cs="Calibri"/>
                <w:color w:val="000000"/>
                <w:sz w:val="24"/>
                <w:szCs w:val="24"/>
                <w:lang w:eastAsia="pt-BR"/>
              </w:rPr>
              <w:t xml:space="preserve"> da operação: instrumento contratual firmado entre as partes envolvidas na operação pretendida, no qual são pactuadas as condições, os critérios e as metodologias aplicáveis ao requerimento; e </w:t>
            </w:r>
          </w:p>
        </w:tc>
        <w:tc>
          <w:tcPr>
            <w:tcW w:w="1660" w:type="pct"/>
            <w:tcBorders>
              <w:top w:val="nil"/>
              <w:left w:val="nil"/>
              <w:bottom w:val="single" w:sz="4" w:space="0" w:color="auto"/>
              <w:right w:val="single" w:sz="4" w:space="0" w:color="auto"/>
            </w:tcBorders>
            <w:shd w:val="clear" w:color="auto" w:fill="auto"/>
            <w:vAlign w:val="center"/>
            <w:hideMark/>
          </w:tcPr>
          <w:p w14:paraId="010572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904091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304C9B77"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5412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relatório</w:t>
            </w:r>
            <w:proofErr w:type="gramEnd"/>
            <w:r w:rsidRPr="00704883">
              <w:rPr>
                <w:rFonts w:ascii="Calibri" w:eastAsia="Times New Roman" w:hAnsi="Calibri" w:cs="Calibri"/>
                <w:color w:val="000000"/>
                <w:sz w:val="24"/>
                <w:szCs w:val="24"/>
                <w:lang w:eastAsia="pt-BR"/>
              </w:rPr>
              <w:t xml:space="preserve"> da operação: documento, posicionado na data-base, que apresenta as informações e os valores relacionados com a operação pretendida, resultantes da aplicação das condições, dos critérios e das metodologias definidas no termo da operação.</w:t>
            </w:r>
          </w:p>
        </w:tc>
        <w:tc>
          <w:tcPr>
            <w:tcW w:w="1660" w:type="pct"/>
            <w:tcBorders>
              <w:top w:val="nil"/>
              <w:left w:val="nil"/>
              <w:bottom w:val="single" w:sz="4" w:space="0" w:color="auto"/>
              <w:right w:val="single" w:sz="4" w:space="0" w:color="auto"/>
            </w:tcBorders>
            <w:shd w:val="clear" w:color="auto" w:fill="auto"/>
            <w:vAlign w:val="center"/>
            <w:hideMark/>
          </w:tcPr>
          <w:p w14:paraId="7E5155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13B703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32B6E4B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F4E1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3º Os requerimentos de licenciamento apresentados à Previc devem conter os documentos específicos para cada operação, previstos nos Anexos I a XXIII a 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1E7C9B7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D65BA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261C372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D7071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1º O expediente explicativo deve conter descrição detalhada do requerimento, motivação da proposta e dados de contato do responsável pelo processo junto à EFPC.</w:t>
            </w:r>
          </w:p>
        </w:tc>
        <w:tc>
          <w:tcPr>
            <w:tcW w:w="1660" w:type="pct"/>
            <w:tcBorders>
              <w:top w:val="nil"/>
              <w:left w:val="nil"/>
              <w:bottom w:val="single" w:sz="4" w:space="0" w:color="auto"/>
              <w:right w:val="single" w:sz="4" w:space="0" w:color="auto"/>
            </w:tcBorders>
            <w:shd w:val="clear" w:color="auto" w:fill="auto"/>
            <w:vAlign w:val="center"/>
            <w:hideMark/>
          </w:tcPr>
          <w:p w14:paraId="4DCAD0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8A67D2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5CECCC4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7DBCD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2º O Termo de Responsabilidade, conforme modelo disponibilizado no sítio eletrônico da Previc, deve ser assinado por um dos membros da diretoria executiva com poderes de representação estabelecidos no estatuto, assegurando:</w:t>
            </w:r>
          </w:p>
        </w:tc>
        <w:tc>
          <w:tcPr>
            <w:tcW w:w="1660" w:type="pct"/>
            <w:tcBorders>
              <w:top w:val="nil"/>
              <w:left w:val="nil"/>
              <w:bottom w:val="single" w:sz="4" w:space="0" w:color="auto"/>
              <w:right w:val="single" w:sz="4" w:space="0" w:color="auto"/>
            </w:tcBorders>
            <w:shd w:val="clear" w:color="auto" w:fill="auto"/>
            <w:vAlign w:val="center"/>
            <w:hideMark/>
          </w:tcPr>
          <w:p w14:paraId="29C2A2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AD588C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51B4A19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3658A0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a autenticidade de toda a documentação enviada; </w:t>
            </w:r>
          </w:p>
        </w:tc>
        <w:tc>
          <w:tcPr>
            <w:tcW w:w="1660" w:type="pct"/>
            <w:tcBorders>
              <w:top w:val="nil"/>
              <w:left w:val="nil"/>
              <w:bottom w:val="single" w:sz="4" w:space="0" w:color="auto"/>
              <w:right w:val="single" w:sz="4" w:space="0" w:color="auto"/>
            </w:tcBorders>
            <w:shd w:val="clear" w:color="auto" w:fill="auto"/>
            <w:vAlign w:val="center"/>
            <w:hideMark/>
          </w:tcPr>
          <w:p w14:paraId="696DC86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3AEBD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41F245B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A7ED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a legitimidade dos signatários dos documentos; e </w:t>
            </w:r>
          </w:p>
        </w:tc>
        <w:tc>
          <w:tcPr>
            <w:tcW w:w="1660" w:type="pct"/>
            <w:tcBorders>
              <w:top w:val="nil"/>
              <w:left w:val="nil"/>
              <w:bottom w:val="single" w:sz="4" w:space="0" w:color="auto"/>
              <w:right w:val="single" w:sz="4" w:space="0" w:color="auto"/>
            </w:tcBorders>
            <w:shd w:val="clear" w:color="auto" w:fill="auto"/>
            <w:vAlign w:val="center"/>
            <w:hideMark/>
          </w:tcPr>
          <w:p w14:paraId="5A43CB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5E088F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894DBD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685D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a realização de todas as obrigações legais, estatutárias e regulamentares decorrentes da operação. </w:t>
            </w:r>
          </w:p>
        </w:tc>
        <w:tc>
          <w:tcPr>
            <w:tcW w:w="1660" w:type="pct"/>
            <w:tcBorders>
              <w:top w:val="nil"/>
              <w:left w:val="nil"/>
              <w:bottom w:val="single" w:sz="4" w:space="0" w:color="auto"/>
              <w:right w:val="single" w:sz="4" w:space="0" w:color="auto"/>
            </w:tcBorders>
            <w:shd w:val="clear" w:color="auto" w:fill="auto"/>
            <w:vAlign w:val="center"/>
            <w:hideMark/>
          </w:tcPr>
          <w:p w14:paraId="6CD265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E9BC3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0FE2150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C2EF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3º O Termo de Responsabilidade relativo a requerimento de licenciamento de constituição de EFPC deve ser assinado pelo representante legal do patrocinador ou instituidor que apresentar o requerimento à Previc.</w:t>
            </w:r>
          </w:p>
        </w:tc>
        <w:tc>
          <w:tcPr>
            <w:tcW w:w="1660" w:type="pct"/>
            <w:tcBorders>
              <w:top w:val="nil"/>
              <w:left w:val="nil"/>
              <w:bottom w:val="single" w:sz="4" w:space="0" w:color="auto"/>
              <w:right w:val="single" w:sz="4" w:space="0" w:color="auto"/>
            </w:tcBorders>
            <w:shd w:val="clear" w:color="auto" w:fill="auto"/>
            <w:vAlign w:val="center"/>
            <w:hideMark/>
          </w:tcPr>
          <w:p w14:paraId="4E6C8D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58D7C3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7CD0837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4D94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4º O Termo de Responsabilidade disponibilizado pela Previc somente pode ser modificado nas condições definidas no próprio Termo ou em situação excepcional devidamente justificada no expediente explicativo.</w:t>
            </w:r>
          </w:p>
        </w:tc>
        <w:tc>
          <w:tcPr>
            <w:tcW w:w="1660" w:type="pct"/>
            <w:tcBorders>
              <w:top w:val="nil"/>
              <w:left w:val="nil"/>
              <w:bottom w:val="single" w:sz="4" w:space="0" w:color="auto"/>
              <w:right w:val="single" w:sz="4" w:space="0" w:color="auto"/>
            </w:tcBorders>
            <w:shd w:val="clear" w:color="auto" w:fill="auto"/>
            <w:vAlign w:val="center"/>
            <w:hideMark/>
          </w:tcPr>
          <w:p w14:paraId="0E40D5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85AC1F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3B580EF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5038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5º A EFPC deve justificar, no expediente explicativo, o envio de documentos adicionais àqueles estabelecidos para cada operação. </w:t>
            </w:r>
          </w:p>
        </w:tc>
        <w:tc>
          <w:tcPr>
            <w:tcW w:w="1660" w:type="pct"/>
            <w:tcBorders>
              <w:top w:val="nil"/>
              <w:left w:val="nil"/>
              <w:bottom w:val="single" w:sz="4" w:space="0" w:color="auto"/>
              <w:right w:val="single" w:sz="4" w:space="0" w:color="auto"/>
            </w:tcBorders>
            <w:shd w:val="clear" w:color="auto" w:fill="auto"/>
            <w:vAlign w:val="center"/>
            <w:hideMark/>
          </w:tcPr>
          <w:p w14:paraId="2E91C9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9F872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0D154B09"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C41F47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 6º No expediente explicativo dos requerimentos sujeitos ao licenciamento automático deve constar no assunto a expressão “LICENCIAMENTO AUTOMÁTICO”, seguida da denominação do tipo de operação, em destaque. </w:t>
            </w:r>
          </w:p>
        </w:tc>
        <w:tc>
          <w:tcPr>
            <w:tcW w:w="1660" w:type="pct"/>
            <w:tcBorders>
              <w:top w:val="nil"/>
              <w:left w:val="nil"/>
              <w:bottom w:val="single" w:sz="4" w:space="0" w:color="auto"/>
              <w:right w:val="single" w:sz="4" w:space="0" w:color="auto"/>
            </w:tcBorders>
            <w:shd w:val="clear" w:color="auto" w:fill="auto"/>
            <w:vAlign w:val="center"/>
            <w:hideMark/>
          </w:tcPr>
          <w:p w14:paraId="494B52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99826C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4019333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EC53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7º Os documentos digitalizados e juntados aos processos eletrônicos no formato </w:t>
            </w:r>
            <w:proofErr w:type="spellStart"/>
            <w:r w:rsidRPr="00704883">
              <w:rPr>
                <w:rFonts w:ascii="Calibri" w:eastAsia="Times New Roman" w:hAnsi="Calibri" w:cs="Calibri"/>
                <w:color w:val="000000"/>
                <w:sz w:val="24"/>
                <w:szCs w:val="24"/>
                <w:lang w:eastAsia="pt-BR"/>
              </w:rPr>
              <w:t>Portable</w:t>
            </w:r>
            <w:proofErr w:type="spellEnd"/>
            <w:r w:rsidRPr="00704883">
              <w:rPr>
                <w:rFonts w:ascii="Calibri" w:eastAsia="Times New Roman" w:hAnsi="Calibri" w:cs="Calibri"/>
                <w:color w:val="000000"/>
                <w:sz w:val="24"/>
                <w:szCs w:val="24"/>
                <w:lang w:eastAsia="pt-BR"/>
              </w:rPr>
              <w:t xml:space="preserve"> </w:t>
            </w:r>
            <w:proofErr w:type="spellStart"/>
            <w:r w:rsidRPr="00704883">
              <w:rPr>
                <w:rFonts w:ascii="Calibri" w:eastAsia="Times New Roman" w:hAnsi="Calibri" w:cs="Calibri"/>
                <w:color w:val="000000"/>
                <w:sz w:val="24"/>
                <w:szCs w:val="24"/>
                <w:lang w:eastAsia="pt-BR"/>
              </w:rPr>
              <w:t>Document</w:t>
            </w:r>
            <w:proofErr w:type="spellEnd"/>
            <w:r w:rsidRPr="00704883">
              <w:rPr>
                <w:rFonts w:ascii="Calibri" w:eastAsia="Times New Roman" w:hAnsi="Calibri" w:cs="Calibri"/>
                <w:color w:val="000000"/>
                <w:sz w:val="24"/>
                <w:szCs w:val="24"/>
                <w:lang w:eastAsia="pt-BR"/>
              </w:rPr>
              <w:t xml:space="preserve"> Format (PDF) devem estar com conteúdo pesquisável e em arquivos separados. </w:t>
            </w:r>
          </w:p>
        </w:tc>
        <w:tc>
          <w:tcPr>
            <w:tcW w:w="1660" w:type="pct"/>
            <w:tcBorders>
              <w:top w:val="nil"/>
              <w:left w:val="nil"/>
              <w:bottom w:val="single" w:sz="4" w:space="0" w:color="auto"/>
              <w:right w:val="single" w:sz="4" w:space="0" w:color="auto"/>
            </w:tcBorders>
            <w:shd w:val="clear" w:color="auto" w:fill="auto"/>
            <w:vAlign w:val="center"/>
            <w:hideMark/>
          </w:tcPr>
          <w:p w14:paraId="794AC2B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41DA39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5680E82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CEA5A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Os requerimentos devem ser encaminhados por meio do: </w:t>
            </w:r>
          </w:p>
        </w:tc>
        <w:tc>
          <w:tcPr>
            <w:tcW w:w="1660" w:type="pct"/>
            <w:tcBorders>
              <w:top w:val="nil"/>
              <w:left w:val="nil"/>
              <w:bottom w:val="single" w:sz="4" w:space="0" w:color="auto"/>
              <w:right w:val="single" w:sz="4" w:space="0" w:color="auto"/>
            </w:tcBorders>
            <w:shd w:val="clear" w:color="auto" w:fill="auto"/>
            <w:vAlign w:val="center"/>
            <w:hideMark/>
          </w:tcPr>
          <w:p w14:paraId="0FB5443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805ED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C787AA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5704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Sistema de Cadastro de Entidades e Planos (CADPREVIC), no caso dos requerimentos previstos nos Anexos II a VII; e </w:t>
            </w:r>
          </w:p>
        </w:tc>
        <w:tc>
          <w:tcPr>
            <w:tcW w:w="1660" w:type="pct"/>
            <w:tcBorders>
              <w:top w:val="nil"/>
              <w:left w:val="nil"/>
              <w:bottom w:val="single" w:sz="4" w:space="0" w:color="auto"/>
              <w:right w:val="single" w:sz="4" w:space="0" w:color="auto"/>
            </w:tcBorders>
            <w:shd w:val="clear" w:color="auto" w:fill="auto"/>
            <w:vAlign w:val="center"/>
            <w:hideMark/>
          </w:tcPr>
          <w:p w14:paraId="675CFD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58578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6E4735C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505862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Sistema Eletrônico de Informações (SEI), para os demais requerimentos. </w:t>
            </w:r>
          </w:p>
        </w:tc>
        <w:tc>
          <w:tcPr>
            <w:tcW w:w="1660" w:type="pct"/>
            <w:tcBorders>
              <w:top w:val="nil"/>
              <w:left w:val="nil"/>
              <w:bottom w:val="single" w:sz="4" w:space="0" w:color="auto"/>
              <w:right w:val="single" w:sz="4" w:space="0" w:color="auto"/>
            </w:tcBorders>
            <w:shd w:val="clear" w:color="auto" w:fill="auto"/>
            <w:vAlign w:val="center"/>
            <w:hideMark/>
          </w:tcPr>
          <w:p w14:paraId="4FF920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35AD26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5D793ED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CE6E4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Dos requerimentos com base em modelo certificado ou modelo padronizado</w:t>
            </w:r>
          </w:p>
        </w:tc>
        <w:tc>
          <w:tcPr>
            <w:tcW w:w="1660" w:type="pct"/>
            <w:tcBorders>
              <w:top w:val="nil"/>
              <w:left w:val="nil"/>
              <w:bottom w:val="single" w:sz="4" w:space="0" w:color="auto"/>
              <w:right w:val="single" w:sz="4" w:space="0" w:color="auto"/>
            </w:tcBorders>
            <w:shd w:val="clear" w:color="auto" w:fill="auto"/>
            <w:vAlign w:val="center"/>
            <w:hideMark/>
          </w:tcPr>
          <w:p w14:paraId="00CB129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996139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6DE9B2C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6BFC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Nos requerimentos de licenciamento que envolvam modelo certificado ou modelo padronizado, os campos referentes às cláusulas variáveis devem ser: </w:t>
            </w:r>
          </w:p>
        </w:tc>
        <w:tc>
          <w:tcPr>
            <w:tcW w:w="1660" w:type="pct"/>
            <w:tcBorders>
              <w:top w:val="nil"/>
              <w:left w:val="nil"/>
              <w:bottom w:val="single" w:sz="4" w:space="0" w:color="auto"/>
              <w:right w:val="single" w:sz="4" w:space="0" w:color="auto"/>
            </w:tcBorders>
            <w:shd w:val="clear" w:color="auto" w:fill="auto"/>
            <w:vAlign w:val="center"/>
            <w:hideMark/>
          </w:tcPr>
          <w:p w14:paraId="3CD12C3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F990F3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013FF3B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97B87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destacados</w:t>
            </w:r>
            <w:proofErr w:type="gramEnd"/>
            <w:r w:rsidRPr="00704883">
              <w:rPr>
                <w:rFonts w:ascii="Calibri" w:eastAsia="Times New Roman" w:hAnsi="Calibri" w:cs="Calibri"/>
                <w:color w:val="000000"/>
                <w:sz w:val="24"/>
                <w:szCs w:val="24"/>
                <w:lang w:eastAsia="pt-BR"/>
              </w:rPr>
              <w:t xml:space="preserve"> entre parênteses, quando da instrução do requerimento de certificação de modelo; e </w:t>
            </w:r>
          </w:p>
        </w:tc>
        <w:tc>
          <w:tcPr>
            <w:tcW w:w="1660" w:type="pct"/>
            <w:tcBorders>
              <w:top w:val="nil"/>
              <w:left w:val="nil"/>
              <w:bottom w:val="single" w:sz="4" w:space="0" w:color="auto"/>
              <w:right w:val="single" w:sz="4" w:space="0" w:color="auto"/>
            </w:tcBorders>
            <w:shd w:val="clear" w:color="auto" w:fill="auto"/>
            <w:vAlign w:val="center"/>
            <w:hideMark/>
          </w:tcPr>
          <w:p w14:paraId="52F80D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12CDD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0246B10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754EC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preenchidos</w:t>
            </w:r>
            <w:proofErr w:type="gramEnd"/>
            <w:r w:rsidRPr="00704883">
              <w:rPr>
                <w:rFonts w:ascii="Calibri" w:eastAsia="Times New Roman" w:hAnsi="Calibri" w:cs="Calibri"/>
                <w:color w:val="000000"/>
                <w:sz w:val="24"/>
                <w:szCs w:val="24"/>
                <w:lang w:eastAsia="pt-BR"/>
              </w:rPr>
              <w:t>, quando da instrução do requerimento de licenciamento de aplicação de regulamento de plano de benefícios ou de aprovação de convênio de adesão.</w:t>
            </w:r>
          </w:p>
        </w:tc>
        <w:tc>
          <w:tcPr>
            <w:tcW w:w="1660" w:type="pct"/>
            <w:tcBorders>
              <w:top w:val="nil"/>
              <w:left w:val="nil"/>
              <w:bottom w:val="single" w:sz="4" w:space="0" w:color="auto"/>
              <w:right w:val="single" w:sz="4" w:space="0" w:color="auto"/>
            </w:tcBorders>
            <w:shd w:val="clear" w:color="auto" w:fill="auto"/>
            <w:vAlign w:val="center"/>
            <w:hideMark/>
          </w:tcPr>
          <w:p w14:paraId="685B20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AF8B50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B8616F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D0141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Das disposições finais </w:t>
            </w:r>
          </w:p>
        </w:tc>
        <w:tc>
          <w:tcPr>
            <w:tcW w:w="1660" w:type="pct"/>
            <w:tcBorders>
              <w:top w:val="nil"/>
              <w:left w:val="nil"/>
              <w:bottom w:val="single" w:sz="4" w:space="0" w:color="auto"/>
              <w:right w:val="single" w:sz="4" w:space="0" w:color="auto"/>
            </w:tcBorders>
            <w:shd w:val="clear" w:color="auto" w:fill="auto"/>
            <w:vAlign w:val="center"/>
            <w:hideMark/>
          </w:tcPr>
          <w:p w14:paraId="6446A93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5D6C6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2998788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22BC8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6º O expediente explicativo de resposta às exigências formuladas pela Previc deve conter manifestação em relação a cada uma delas, informando quais foram cumpridas e quais foram objeto de ponderação fundamentada. </w:t>
            </w:r>
          </w:p>
        </w:tc>
        <w:tc>
          <w:tcPr>
            <w:tcW w:w="1660" w:type="pct"/>
            <w:tcBorders>
              <w:top w:val="nil"/>
              <w:left w:val="nil"/>
              <w:bottom w:val="single" w:sz="4" w:space="0" w:color="auto"/>
              <w:right w:val="single" w:sz="4" w:space="0" w:color="auto"/>
            </w:tcBorders>
            <w:shd w:val="clear" w:color="auto" w:fill="auto"/>
            <w:vAlign w:val="center"/>
            <w:hideMark/>
          </w:tcPr>
          <w:p w14:paraId="64B362D1"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0E2D88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E80985A"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95568B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1660" w:type="pct"/>
            <w:tcBorders>
              <w:top w:val="nil"/>
              <w:left w:val="nil"/>
              <w:bottom w:val="single" w:sz="4" w:space="0" w:color="auto"/>
              <w:right w:val="single" w:sz="4" w:space="0" w:color="auto"/>
            </w:tcBorders>
            <w:shd w:val="clear" w:color="auto" w:fill="auto"/>
            <w:vAlign w:val="center"/>
            <w:hideMark/>
          </w:tcPr>
          <w:p w14:paraId="3C9F87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F2020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04BE882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6617B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7º Os representantes da EFPC que subscreverem os documentos apresentados nos requerimentos devem estar cadastrados no Cadastro Nacional de Dirigentes (CAND) com mandato ativo. </w:t>
            </w:r>
          </w:p>
        </w:tc>
        <w:tc>
          <w:tcPr>
            <w:tcW w:w="1660" w:type="pct"/>
            <w:tcBorders>
              <w:top w:val="nil"/>
              <w:left w:val="nil"/>
              <w:bottom w:val="single" w:sz="4" w:space="0" w:color="auto"/>
              <w:right w:val="single" w:sz="4" w:space="0" w:color="auto"/>
            </w:tcBorders>
            <w:shd w:val="clear" w:color="auto" w:fill="auto"/>
            <w:vAlign w:val="center"/>
            <w:hideMark/>
          </w:tcPr>
          <w:p w14:paraId="24C330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F2F4D8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8FCDC9D"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7A95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25D13A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6C7C5D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Deslocado para a Seção II </w:t>
            </w:r>
            <w:proofErr w:type="gramStart"/>
            <w:r w:rsidRPr="00704883">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lang w:eastAsia="pt-BR"/>
              </w:rPr>
              <w:t xml:space="preserve"> </w:t>
            </w:r>
            <w:r w:rsidRPr="00704883">
              <w:rPr>
                <w:rFonts w:ascii="Calibri" w:eastAsia="Times New Roman" w:hAnsi="Calibri" w:cs="Calibri"/>
                <w:color w:val="000000"/>
                <w:sz w:val="24"/>
                <w:szCs w:val="24"/>
                <w:lang w:eastAsia="pt-BR"/>
              </w:rPr>
              <w:t>Requerimentos</w:t>
            </w:r>
            <w:proofErr w:type="gramEnd"/>
            <w:r w:rsidRPr="00704883">
              <w:rPr>
                <w:rFonts w:ascii="Calibri" w:eastAsia="Times New Roman" w:hAnsi="Calibri" w:cs="Calibri"/>
                <w:color w:val="000000"/>
                <w:sz w:val="24"/>
                <w:szCs w:val="24"/>
                <w:lang w:eastAsia="pt-BR"/>
              </w:rPr>
              <w:t xml:space="preserve"> de Licenciamento.</w:t>
            </w:r>
          </w:p>
        </w:tc>
      </w:tr>
      <w:tr w:rsidR="007D78B6" w:rsidRPr="00704883" w14:paraId="1222D28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A825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9º Os anexos referidos nesta Instrução estão disponíveis no sítio eletrônico da Previc. </w:t>
            </w:r>
          </w:p>
        </w:tc>
        <w:tc>
          <w:tcPr>
            <w:tcW w:w="1660" w:type="pct"/>
            <w:tcBorders>
              <w:top w:val="nil"/>
              <w:left w:val="nil"/>
              <w:bottom w:val="single" w:sz="4" w:space="0" w:color="auto"/>
              <w:right w:val="single" w:sz="4" w:space="0" w:color="auto"/>
            </w:tcBorders>
            <w:shd w:val="clear" w:color="auto" w:fill="auto"/>
            <w:vAlign w:val="center"/>
            <w:hideMark/>
          </w:tcPr>
          <w:p w14:paraId="48C342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5D3319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Excluir porque haverá apenas um artigo ao final da Resolução dispondo sobre os anexos. </w:t>
            </w:r>
          </w:p>
        </w:tc>
      </w:tr>
      <w:tr w:rsidR="007D78B6" w:rsidRPr="00704883" w14:paraId="32A05BC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CF3B9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 Fica revogada a Portaria DILIC nº 324, de 27 de abril de 2020. </w:t>
            </w:r>
          </w:p>
        </w:tc>
        <w:tc>
          <w:tcPr>
            <w:tcW w:w="1660" w:type="pct"/>
            <w:tcBorders>
              <w:top w:val="nil"/>
              <w:left w:val="nil"/>
              <w:bottom w:val="single" w:sz="4" w:space="0" w:color="auto"/>
              <w:right w:val="single" w:sz="4" w:space="0" w:color="auto"/>
            </w:tcBorders>
            <w:shd w:val="clear" w:color="auto" w:fill="auto"/>
            <w:vAlign w:val="center"/>
            <w:hideMark/>
          </w:tcPr>
          <w:p w14:paraId="0D27B90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7F239C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156562C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ED56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 Esta Instrução Normativa entra em vigor no dia 1º de agosto de 2022.</w:t>
            </w:r>
          </w:p>
        </w:tc>
        <w:tc>
          <w:tcPr>
            <w:tcW w:w="1660" w:type="pct"/>
            <w:tcBorders>
              <w:top w:val="nil"/>
              <w:left w:val="nil"/>
              <w:bottom w:val="single" w:sz="4" w:space="0" w:color="auto"/>
              <w:right w:val="single" w:sz="4" w:space="0" w:color="auto"/>
            </w:tcBorders>
            <w:shd w:val="clear" w:color="auto" w:fill="auto"/>
            <w:vAlign w:val="center"/>
            <w:hideMark/>
          </w:tcPr>
          <w:p w14:paraId="481986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656A7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76E9EC4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D8A1386"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c>
          <w:tcPr>
            <w:tcW w:w="1660" w:type="pct"/>
            <w:tcBorders>
              <w:top w:val="nil"/>
              <w:left w:val="nil"/>
              <w:bottom w:val="nil"/>
              <w:right w:val="single" w:sz="4" w:space="0" w:color="auto"/>
            </w:tcBorders>
            <w:shd w:val="clear" w:color="auto" w:fill="auto"/>
            <w:vAlign w:val="center"/>
            <w:hideMark/>
          </w:tcPr>
          <w:p w14:paraId="651BE939"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III</w:t>
            </w:r>
            <w:r w:rsidRPr="00704883">
              <w:rPr>
                <w:rFonts w:ascii="Calibri" w:eastAsia="Times New Roman" w:hAnsi="Calibri" w:cs="Calibri"/>
                <w:b/>
                <w:bCs/>
                <w:color w:val="000000"/>
                <w:sz w:val="24"/>
                <w:szCs w:val="24"/>
                <w:lang w:eastAsia="pt-BR"/>
              </w:rPr>
              <w:br/>
              <w:t>Licenciamento e funcionamento de planos instituídos</w:t>
            </w:r>
          </w:p>
        </w:tc>
        <w:tc>
          <w:tcPr>
            <w:tcW w:w="1679" w:type="pct"/>
            <w:tcBorders>
              <w:top w:val="nil"/>
              <w:left w:val="nil"/>
              <w:bottom w:val="single" w:sz="4" w:space="0" w:color="auto"/>
              <w:right w:val="single" w:sz="4" w:space="0" w:color="auto"/>
            </w:tcBorders>
            <w:shd w:val="clear" w:color="auto" w:fill="auto"/>
            <w:vAlign w:val="center"/>
            <w:hideMark/>
          </w:tcPr>
          <w:p w14:paraId="7ACF1F1F"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Inclusão de seção.</w:t>
            </w:r>
          </w:p>
        </w:tc>
      </w:tr>
      <w:tr w:rsidR="007D78B6" w:rsidRPr="00704883" w14:paraId="0B1CEAF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1A8876"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13, de 16 de agosto de 2022</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1FF1C5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9346B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epígrafe.</w:t>
            </w:r>
          </w:p>
        </w:tc>
      </w:tr>
      <w:tr w:rsidR="007D78B6" w:rsidRPr="00704883" w14:paraId="396220D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6EE25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nil"/>
              <w:right w:val="single" w:sz="4" w:space="0" w:color="auto"/>
            </w:tcBorders>
            <w:shd w:val="clear" w:color="auto" w:fill="auto"/>
            <w:vAlign w:val="center"/>
            <w:hideMark/>
          </w:tcPr>
          <w:p w14:paraId="0BEE10EE"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w:t>
            </w:r>
            <w:r w:rsidRPr="00704883">
              <w:rPr>
                <w:rFonts w:ascii="Calibri" w:eastAsia="Times New Roman" w:hAnsi="Calibri" w:cs="Calibri"/>
                <w:b/>
                <w:bCs/>
                <w:color w:val="000000"/>
                <w:sz w:val="24"/>
                <w:szCs w:val="24"/>
                <w:lang w:eastAsia="pt-BR"/>
              </w:rPr>
              <w:br/>
              <w:t>Funcionamento dos Planos Instituídos</w:t>
            </w:r>
          </w:p>
        </w:tc>
        <w:tc>
          <w:tcPr>
            <w:tcW w:w="1679" w:type="pct"/>
            <w:tcBorders>
              <w:top w:val="nil"/>
              <w:left w:val="nil"/>
              <w:bottom w:val="single" w:sz="4" w:space="0" w:color="auto"/>
              <w:right w:val="single" w:sz="4" w:space="0" w:color="auto"/>
            </w:tcBorders>
            <w:shd w:val="clear" w:color="auto" w:fill="auto"/>
            <w:vAlign w:val="center"/>
            <w:hideMark/>
          </w:tcPr>
          <w:p w14:paraId="470C2E8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Inclusão de subseção.</w:t>
            </w:r>
          </w:p>
        </w:tc>
      </w:tr>
      <w:tr w:rsidR="007D78B6" w:rsidRPr="00704883" w14:paraId="01B0D38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921D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1º As entidades fechadas de previdência complementar (EFPC) devem observar o disposto nesta Resolução em relação aos procedimentos para o licenciamento e o funcionamento de planos de benefícios instituídos.</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748022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2C81A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23E8266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AF65D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O plano de benefícios instituído pode ser oferecido às seguintes pessoas físicas, em relação ao instituidor: </w:t>
            </w:r>
          </w:p>
        </w:tc>
        <w:tc>
          <w:tcPr>
            <w:tcW w:w="1660" w:type="pct"/>
            <w:tcBorders>
              <w:top w:val="nil"/>
              <w:left w:val="nil"/>
              <w:bottom w:val="single" w:sz="4" w:space="0" w:color="auto"/>
              <w:right w:val="single" w:sz="4" w:space="0" w:color="auto"/>
            </w:tcBorders>
            <w:shd w:val="clear" w:color="auto" w:fill="auto"/>
            <w:vAlign w:val="center"/>
            <w:hideMark/>
          </w:tcPr>
          <w:p w14:paraId="1EE3B33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124.  O plano de benefícios instituído pode ser oferecido às seguintes pessoas físicas, em relação ao instituidor: </w:t>
            </w:r>
          </w:p>
        </w:tc>
        <w:tc>
          <w:tcPr>
            <w:tcW w:w="1679" w:type="pct"/>
            <w:tcBorders>
              <w:top w:val="nil"/>
              <w:left w:val="nil"/>
              <w:bottom w:val="single" w:sz="4" w:space="0" w:color="auto"/>
              <w:right w:val="single" w:sz="4" w:space="0" w:color="auto"/>
            </w:tcBorders>
            <w:shd w:val="clear" w:color="auto" w:fill="auto"/>
            <w:vAlign w:val="center"/>
            <w:hideMark/>
          </w:tcPr>
          <w:p w14:paraId="206027E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A126069"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163A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associados</w:t>
            </w:r>
            <w:proofErr w:type="gramEnd"/>
            <w:r w:rsidRPr="00704883">
              <w:rPr>
                <w:rFonts w:ascii="Calibri" w:eastAsia="Times New Roman" w:hAnsi="Calibri" w:cs="Calibri"/>
                <w:color w:val="000000"/>
                <w:sz w:val="24"/>
                <w:szCs w:val="24"/>
                <w:lang w:eastAsia="pt-BR"/>
              </w:rPr>
              <w:t xml:space="preserve">; </w:t>
            </w:r>
          </w:p>
        </w:tc>
        <w:tc>
          <w:tcPr>
            <w:tcW w:w="1660" w:type="pct"/>
            <w:tcBorders>
              <w:top w:val="nil"/>
              <w:left w:val="nil"/>
              <w:bottom w:val="single" w:sz="4" w:space="0" w:color="auto"/>
              <w:right w:val="single" w:sz="4" w:space="0" w:color="auto"/>
            </w:tcBorders>
            <w:shd w:val="clear" w:color="auto" w:fill="auto"/>
            <w:vAlign w:val="center"/>
            <w:hideMark/>
          </w:tcPr>
          <w:p w14:paraId="1BDF53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associados</w:t>
            </w:r>
            <w:proofErr w:type="gramEnd"/>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61836D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D18BAF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094D3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membros</w:t>
            </w:r>
            <w:proofErr w:type="gramEnd"/>
            <w:r w:rsidRPr="00704883">
              <w:rPr>
                <w:rFonts w:ascii="Calibri" w:eastAsia="Times New Roman" w:hAnsi="Calibri" w:cs="Calibri"/>
                <w:color w:val="000000"/>
                <w:sz w:val="24"/>
                <w:szCs w:val="24"/>
                <w:lang w:eastAsia="pt-BR"/>
              </w:rPr>
              <w:t xml:space="preserve"> com vínculo direto; </w:t>
            </w:r>
          </w:p>
        </w:tc>
        <w:tc>
          <w:tcPr>
            <w:tcW w:w="1660" w:type="pct"/>
            <w:tcBorders>
              <w:top w:val="nil"/>
              <w:left w:val="nil"/>
              <w:bottom w:val="single" w:sz="4" w:space="0" w:color="auto"/>
              <w:right w:val="single" w:sz="4" w:space="0" w:color="auto"/>
            </w:tcBorders>
            <w:shd w:val="clear" w:color="auto" w:fill="auto"/>
            <w:vAlign w:val="center"/>
            <w:hideMark/>
          </w:tcPr>
          <w:p w14:paraId="45E45C9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membros</w:t>
            </w:r>
            <w:proofErr w:type="gramEnd"/>
            <w:r w:rsidRPr="00704883">
              <w:rPr>
                <w:rFonts w:ascii="Calibri" w:eastAsia="Times New Roman" w:hAnsi="Calibri" w:cs="Calibri"/>
                <w:color w:val="000000"/>
                <w:sz w:val="24"/>
                <w:szCs w:val="24"/>
                <w:lang w:eastAsia="pt-BR"/>
              </w:rPr>
              <w:t xml:space="preserve"> com vínculo direto;</w:t>
            </w:r>
          </w:p>
        </w:tc>
        <w:tc>
          <w:tcPr>
            <w:tcW w:w="1679" w:type="pct"/>
            <w:tcBorders>
              <w:top w:val="nil"/>
              <w:left w:val="nil"/>
              <w:bottom w:val="single" w:sz="4" w:space="0" w:color="auto"/>
              <w:right w:val="single" w:sz="4" w:space="0" w:color="auto"/>
            </w:tcBorders>
            <w:shd w:val="clear" w:color="auto" w:fill="auto"/>
            <w:vAlign w:val="center"/>
            <w:hideMark/>
          </w:tcPr>
          <w:p w14:paraId="64C037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59CAEB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C930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membros com vínculo indireto; e </w:t>
            </w:r>
          </w:p>
        </w:tc>
        <w:tc>
          <w:tcPr>
            <w:tcW w:w="1660" w:type="pct"/>
            <w:tcBorders>
              <w:top w:val="nil"/>
              <w:left w:val="nil"/>
              <w:bottom w:val="single" w:sz="4" w:space="0" w:color="auto"/>
              <w:right w:val="single" w:sz="4" w:space="0" w:color="auto"/>
            </w:tcBorders>
            <w:shd w:val="clear" w:color="auto" w:fill="auto"/>
            <w:vAlign w:val="center"/>
            <w:hideMark/>
          </w:tcPr>
          <w:p w14:paraId="5955B29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membros com vínculo indireto; e </w:t>
            </w:r>
          </w:p>
        </w:tc>
        <w:tc>
          <w:tcPr>
            <w:tcW w:w="1679" w:type="pct"/>
            <w:tcBorders>
              <w:top w:val="nil"/>
              <w:left w:val="nil"/>
              <w:bottom w:val="single" w:sz="4" w:space="0" w:color="auto"/>
              <w:right w:val="single" w:sz="4" w:space="0" w:color="auto"/>
            </w:tcBorders>
            <w:shd w:val="clear" w:color="auto" w:fill="auto"/>
            <w:vAlign w:val="center"/>
            <w:hideMark/>
          </w:tcPr>
          <w:p w14:paraId="47B1A89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555A12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E7C63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cônjuges</w:t>
            </w:r>
            <w:proofErr w:type="gramEnd"/>
            <w:r w:rsidRPr="00704883">
              <w:rPr>
                <w:rFonts w:ascii="Calibri" w:eastAsia="Times New Roman" w:hAnsi="Calibri" w:cs="Calibri"/>
                <w:color w:val="000000"/>
                <w:sz w:val="24"/>
                <w:szCs w:val="24"/>
                <w:lang w:eastAsia="pt-BR"/>
              </w:rPr>
              <w:t xml:space="preserve"> e parentes consanguíneos ou afins, até o terceiro grau ou por adoção, das pessoas físicas referidas nos incisos I a III.</w:t>
            </w:r>
          </w:p>
        </w:tc>
        <w:tc>
          <w:tcPr>
            <w:tcW w:w="1660" w:type="pct"/>
            <w:tcBorders>
              <w:top w:val="nil"/>
              <w:left w:val="nil"/>
              <w:bottom w:val="single" w:sz="4" w:space="0" w:color="auto"/>
              <w:right w:val="single" w:sz="4" w:space="0" w:color="auto"/>
            </w:tcBorders>
            <w:shd w:val="clear" w:color="auto" w:fill="auto"/>
            <w:vAlign w:val="center"/>
            <w:hideMark/>
          </w:tcPr>
          <w:p w14:paraId="64AB67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cônjuges</w:t>
            </w:r>
            <w:proofErr w:type="gramEnd"/>
            <w:r w:rsidRPr="00704883">
              <w:rPr>
                <w:rFonts w:ascii="Calibri" w:eastAsia="Times New Roman" w:hAnsi="Calibri" w:cs="Calibri"/>
                <w:color w:val="000000"/>
                <w:sz w:val="24"/>
                <w:szCs w:val="24"/>
                <w:lang w:eastAsia="pt-BR"/>
              </w:rPr>
              <w:t xml:space="preserve"> e parentes consanguíneos ou afins, até o terceiro grau ou por adoção, das pessoas físicas referidas nos incisos I a III.</w:t>
            </w:r>
          </w:p>
        </w:tc>
        <w:tc>
          <w:tcPr>
            <w:tcW w:w="1679" w:type="pct"/>
            <w:tcBorders>
              <w:top w:val="nil"/>
              <w:left w:val="nil"/>
              <w:bottom w:val="single" w:sz="4" w:space="0" w:color="auto"/>
              <w:right w:val="single" w:sz="4" w:space="0" w:color="auto"/>
            </w:tcBorders>
            <w:shd w:val="clear" w:color="auto" w:fill="auto"/>
            <w:vAlign w:val="center"/>
            <w:hideMark/>
          </w:tcPr>
          <w:p w14:paraId="1EBF8B7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FAAB45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134D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3º A EFPC, quando autorizada pela Superintendência Nacional de Previdência Complementar (Previc), pode assumir a qualidade de instituidor em planos de benefícios instituídos, em relação: </w:t>
            </w:r>
          </w:p>
        </w:tc>
        <w:tc>
          <w:tcPr>
            <w:tcW w:w="1660" w:type="pct"/>
            <w:tcBorders>
              <w:top w:val="nil"/>
              <w:left w:val="nil"/>
              <w:bottom w:val="single" w:sz="4" w:space="0" w:color="auto"/>
              <w:right w:val="single" w:sz="4" w:space="0" w:color="auto"/>
            </w:tcBorders>
            <w:shd w:val="clear" w:color="auto" w:fill="auto"/>
            <w:vAlign w:val="center"/>
            <w:hideMark/>
          </w:tcPr>
          <w:p w14:paraId="4C8FF6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125.  A EFPC, quando autorizada pela Previc, pode assumir a qualidade de instituidor em planos de benefícios instituídos, em relação: </w:t>
            </w:r>
          </w:p>
        </w:tc>
        <w:tc>
          <w:tcPr>
            <w:tcW w:w="1679" w:type="pct"/>
            <w:tcBorders>
              <w:top w:val="nil"/>
              <w:left w:val="nil"/>
              <w:bottom w:val="single" w:sz="4" w:space="0" w:color="auto"/>
              <w:right w:val="single" w:sz="4" w:space="0" w:color="auto"/>
            </w:tcBorders>
            <w:shd w:val="clear" w:color="auto" w:fill="auto"/>
            <w:vAlign w:val="center"/>
            <w:hideMark/>
          </w:tcPr>
          <w:p w14:paraId="49F6E4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FCA740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D438A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aos</w:t>
            </w:r>
            <w:proofErr w:type="gramEnd"/>
            <w:r w:rsidRPr="00704883">
              <w:rPr>
                <w:rFonts w:ascii="Calibri" w:eastAsia="Times New Roman" w:hAnsi="Calibri" w:cs="Calibri"/>
                <w:color w:val="000000"/>
                <w:sz w:val="24"/>
                <w:szCs w:val="24"/>
                <w:lang w:eastAsia="pt-BR"/>
              </w:rPr>
              <w:t xml:space="preserve"> participantes e assistidos dos planos de benefícios por ela administrados; </w:t>
            </w:r>
          </w:p>
        </w:tc>
        <w:tc>
          <w:tcPr>
            <w:tcW w:w="1660" w:type="pct"/>
            <w:tcBorders>
              <w:top w:val="nil"/>
              <w:left w:val="nil"/>
              <w:bottom w:val="single" w:sz="4" w:space="0" w:color="auto"/>
              <w:right w:val="single" w:sz="4" w:space="0" w:color="auto"/>
            </w:tcBorders>
            <w:shd w:val="clear" w:color="auto" w:fill="auto"/>
            <w:vAlign w:val="center"/>
            <w:hideMark/>
          </w:tcPr>
          <w:p w14:paraId="528E45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aos</w:t>
            </w:r>
            <w:proofErr w:type="gramEnd"/>
            <w:r w:rsidRPr="00704883">
              <w:rPr>
                <w:rFonts w:ascii="Calibri" w:eastAsia="Times New Roman" w:hAnsi="Calibri" w:cs="Calibri"/>
                <w:color w:val="000000"/>
                <w:sz w:val="24"/>
                <w:szCs w:val="24"/>
                <w:lang w:eastAsia="pt-BR"/>
              </w:rPr>
              <w:t xml:space="preserve"> participantes e assistidos dos planos de benefícios por ela administrados;</w:t>
            </w:r>
          </w:p>
        </w:tc>
        <w:tc>
          <w:tcPr>
            <w:tcW w:w="1679" w:type="pct"/>
            <w:tcBorders>
              <w:top w:val="nil"/>
              <w:left w:val="nil"/>
              <w:bottom w:val="single" w:sz="4" w:space="0" w:color="auto"/>
              <w:right w:val="single" w:sz="4" w:space="0" w:color="auto"/>
            </w:tcBorders>
            <w:shd w:val="clear" w:color="auto" w:fill="auto"/>
            <w:vAlign w:val="center"/>
            <w:hideMark/>
          </w:tcPr>
          <w:p w14:paraId="370BEE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A3007A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D2193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às</w:t>
            </w:r>
            <w:proofErr w:type="gramEnd"/>
            <w:r w:rsidRPr="00704883">
              <w:rPr>
                <w:rFonts w:ascii="Calibri" w:eastAsia="Times New Roman" w:hAnsi="Calibri" w:cs="Calibri"/>
                <w:color w:val="000000"/>
                <w:sz w:val="24"/>
                <w:szCs w:val="24"/>
                <w:lang w:eastAsia="pt-BR"/>
              </w:rPr>
              <w:t xml:space="preserve"> pessoas físicas vinculadas às pessoas jurídicas integrantes de grupo econômico que tenham relação de controle, de coligação ou de interligação com patrocinador dos planos de que trata o inciso I; </w:t>
            </w:r>
          </w:p>
        </w:tc>
        <w:tc>
          <w:tcPr>
            <w:tcW w:w="1660" w:type="pct"/>
            <w:tcBorders>
              <w:top w:val="nil"/>
              <w:left w:val="nil"/>
              <w:bottom w:val="single" w:sz="4" w:space="0" w:color="auto"/>
              <w:right w:val="single" w:sz="4" w:space="0" w:color="auto"/>
            </w:tcBorders>
            <w:shd w:val="clear" w:color="auto" w:fill="auto"/>
            <w:vAlign w:val="center"/>
            <w:hideMark/>
          </w:tcPr>
          <w:p w14:paraId="3B1E49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às</w:t>
            </w:r>
            <w:proofErr w:type="gramEnd"/>
            <w:r w:rsidRPr="00704883">
              <w:rPr>
                <w:rFonts w:ascii="Calibri" w:eastAsia="Times New Roman" w:hAnsi="Calibri" w:cs="Calibri"/>
                <w:color w:val="000000"/>
                <w:sz w:val="24"/>
                <w:szCs w:val="24"/>
                <w:lang w:eastAsia="pt-BR"/>
              </w:rPr>
              <w:t xml:space="preserve"> pessoas físicas vinculadas às pessoas jurídicas integrantes de grupo econômico que tenham relação de controle, de coligação ou de interligação com patrocinador dos planos de que trata o inciso I;</w:t>
            </w:r>
          </w:p>
        </w:tc>
        <w:tc>
          <w:tcPr>
            <w:tcW w:w="1679" w:type="pct"/>
            <w:tcBorders>
              <w:top w:val="nil"/>
              <w:left w:val="nil"/>
              <w:bottom w:val="single" w:sz="4" w:space="0" w:color="auto"/>
              <w:right w:val="single" w:sz="4" w:space="0" w:color="auto"/>
            </w:tcBorders>
            <w:shd w:val="clear" w:color="auto" w:fill="auto"/>
            <w:vAlign w:val="center"/>
            <w:hideMark/>
          </w:tcPr>
          <w:p w14:paraId="13FCF42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17F043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FA2C9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III - às pessoas físicas vinculadas às pessoas jurídicas mantidas ou instituídas por patrocinador dos planos de que trata o inciso I; e </w:t>
            </w:r>
          </w:p>
        </w:tc>
        <w:tc>
          <w:tcPr>
            <w:tcW w:w="1660" w:type="pct"/>
            <w:tcBorders>
              <w:top w:val="nil"/>
              <w:left w:val="nil"/>
              <w:bottom w:val="single" w:sz="4" w:space="0" w:color="auto"/>
              <w:right w:val="single" w:sz="4" w:space="0" w:color="auto"/>
            </w:tcBorders>
            <w:shd w:val="clear" w:color="auto" w:fill="auto"/>
            <w:vAlign w:val="center"/>
            <w:hideMark/>
          </w:tcPr>
          <w:p w14:paraId="332349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às pessoas físicas vinculadas às pessoas jurídicas mantidas ou instituídas por patrocinador dos planos de que trata o inciso I; e </w:t>
            </w:r>
          </w:p>
        </w:tc>
        <w:tc>
          <w:tcPr>
            <w:tcW w:w="1679" w:type="pct"/>
            <w:tcBorders>
              <w:top w:val="nil"/>
              <w:left w:val="nil"/>
              <w:bottom w:val="single" w:sz="4" w:space="0" w:color="auto"/>
              <w:right w:val="single" w:sz="4" w:space="0" w:color="auto"/>
            </w:tcBorders>
            <w:shd w:val="clear" w:color="auto" w:fill="auto"/>
            <w:vAlign w:val="center"/>
            <w:hideMark/>
          </w:tcPr>
          <w:p w14:paraId="6BBC4A6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6163E7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D1B82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aos</w:t>
            </w:r>
            <w:proofErr w:type="gramEnd"/>
            <w:r w:rsidRPr="00704883">
              <w:rPr>
                <w:rFonts w:ascii="Calibri" w:eastAsia="Times New Roman" w:hAnsi="Calibri" w:cs="Calibri"/>
                <w:color w:val="000000"/>
                <w:sz w:val="24"/>
                <w:szCs w:val="24"/>
                <w:lang w:eastAsia="pt-BR"/>
              </w:rPr>
              <w:t xml:space="preserve"> cônjuges e aos parentes consanguíneos ou afins, até o terceiro grau ou por adoção, das pessoas físicas referidas nos incisos I a III. </w:t>
            </w:r>
          </w:p>
        </w:tc>
        <w:tc>
          <w:tcPr>
            <w:tcW w:w="1660" w:type="pct"/>
            <w:tcBorders>
              <w:top w:val="nil"/>
              <w:left w:val="nil"/>
              <w:bottom w:val="single" w:sz="4" w:space="0" w:color="auto"/>
              <w:right w:val="single" w:sz="4" w:space="0" w:color="auto"/>
            </w:tcBorders>
            <w:shd w:val="clear" w:color="auto" w:fill="auto"/>
            <w:vAlign w:val="center"/>
            <w:hideMark/>
          </w:tcPr>
          <w:p w14:paraId="38937C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aos</w:t>
            </w:r>
            <w:proofErr w:type="gramEnd"/>
            <w:r w:rsidRPr="00704883">
              <w:rPr>
                <w:rFonts w:ascii="Calibri" w:eastAsia="Times New Roman" w:hAnsi="Calibri" w:cs="Calibri"/>
                <w:color w:val="000000"/>
                <w:sz w:val="24"/>
                <w:szCs w:val="24"/>
                <w:lang w:eastAsia="pt-BR"/>
              </w:rPr>
              <w:t xml:space="preserve"> cônjuges e aos parentes consanguíneos ou afins, até o terceiro grau ou por adoção, das pessoas físicas referidas nos incisos I a III.</w:t>
            </w:r>
          </w:p>
        </w:tc>
        <w:tc>
          <w:tcPr>
            <w:tcW w:w="1679" w:type="pct"/>
            <w:tcBorders>
              <w:top w:val="nil"/>
              <w:left w:val="nil"/>
              <w:bottom w:val="single" w:sz="4" w:space="0" w:color="auto"/>
              <w:right w:val="single" w:sz="4" w:space="0" w:color="auto"/>
            </w:tcBorders>
            <w:shd w:val="clear" w:color="auto" w:fill="auto"/>
            <w:vAlign w:val="center"/>
            <w:hideMark/>
          </w:tcPr>
          <w:p w14:paraId="0D183E2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39945D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E67D1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 EFPC, na condição de instituidora, não pode efetuar contribuições para o plano de benefícios.</w:t>
            </w:r>
          </w:p>
        </w:tc>
        <w:tc>
          <w:tcPr>
            <w:tcW w:w="1660" w:type="pct"/>
            <w:tcBorders>
              <w:top w:val="nil"/>
              <w:left w:val="nil"/>
              <w:bottom w:val="single" w:sz="4" w:space="0" w:color="auto"/>
              <w:right w:val="single" w:sz="4" w:space="0" w:color="auto"/>
            </w:tcBorders>
            <w:shd w:val="clear" w:color="auto" w:fill="auto"/>
            <w:vAlign w:val="center"/>
            <w:hideMark/>
          </w:tcPr>
          <w:p w14:paraId="7FD7F7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 EFPC, na condição de instituidora, não pode efetuar contribuições para 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1B3F39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97E3A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181C53"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Dos Planos Setoriais</w:t>
            </w:r>
          </w:p>
        </w:tc>
        <w:tc>
          <w:tcPr>
            <w:tcW w:w="1660" w:type="pct"/>
            <w:tcBorders>
              <w:top w:val="nil"/>
              <w:left w:val="nil"/>
              <w:bottom w:val="single" w:sz="4" w:space="0" w:color="auto"/>
              <w:right w:val="single" w:sz="4" w:space="0" w:color="auto"/>
            </w:tcBorders>
            <w:shd w:val="clear" w:color="auto" w:fill="auto"/>
            <w:vAlign w:val="center"/>
            <w:hideMark/>
          </w:tcPr>
          <w:p w14:paraId="5A0354DF"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II</w:t>
            </w:r>
            <w:r w:rsidRPr="00704883">
              <w:rPr>
                <w:rFonts w:ascii="Calibri" w:eastAsia="Times New Roman" w:hAnsi="Calibri" w:cs="Calibri"/>
                <w:b/>
                <w:bCs/>
                <w:color w:val="000000"/>
                <w:sz w:val="24"/>
                <w:szCs w:val="24"/>
                <w:lang w:eastAsia="pt-BR"/>
              </w:rPr>
              <w:br/>
              <w:t>Planos setoriais</w:t>
            </w:r>
          </w:p>
        </w:tc>
        <w:tc>
          <w:tcPr>
            <w:tcW w:w="1679" w:type="pct"/>
            <w:tcBorders>
              <w:top w:val="nil"/>
              <w:left w:val="nil"/>
              <w:bottom w:val="single" w:sz="4" w:space="0" w:color="auto"/>
              <w:right w:val="single" w:sz="4" w:space="0" w:color="auto"/>
            </w:tcBorders>
            <w:shd w:val="clear" w:color="auto" w:fill="auto"/>
            <w:vAlign w:val="center"/>
            <w:hideMark/>
          </w:tcPr>
          <w:p w14:paraId="4CDBDC1B"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2A29C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047FF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Para fins de licenciamento e funcionamento de planos de benefícios setoriais, entende-se por: setorial; </w:t>
            </w:r>
          </w:p>
        </w:tc>
        <w:tc>
          <w:tcPr>
            <w:tcW w:w="1660" w:type="pct"/>
            <w:tcBorders>
              <w:top w:val="nil"/>
              <w:left w:val="nil"/>
              <w:bottom w:val="single" w:sz="4" w:space="0" w:color="auto"/>
              <w:right w:val="single" w:sz="4" w:space="0" w:color="auto"/>
            </w:tcBorders>
            <w:shd w:val="clear" w:color="auto" w:fill="auto"/>
            <w:vAlign w:val="center"/>
            <w:hideMark/>
          </w:tcPr>
          <w:p w14:paraId="1EACFBF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D4B34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74C9D76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191AD4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instituidor</w:t>
            </w:r>
            <w:proofErr w:type="gramEnd"/>
            <w:r w:rsidRPr="00704883">
              <w:rPr>
                <w:rFonts w:ascii="Calibri" w:eastAsia="Times New Roman" w:hAnsi="Calibri" w:cs="Calibri"/>
                <w:color w:val="000000"/>
                <w:sz w:val="24"/>
                <w:szCs w:val="24"/>
                <w:lang w:eastAsia="pt-BR"/>
              </w:rPr>
              <w:t xml:space="preserve"> setorial - pessoa jurídica que represente segmento econômico ou social de caráter </w:t>
            </w:r>
          </w:p>
        </w:tc>
        <w:tc>
          <w:tcPr>
            <w:tcW w:w="1660" w:type="pct"/>
            <w:tcBorders>
              <w:top w:val="nil"/>
              <w:left w:val="nil"/>
              <w:bottom w:val="single" w:sz="4" w:space="0" w:color="auto"/>
              <w:right w:val="single" w:sz="4" w:space="0" w:color="auto"/>
            </w:tcBorders>
            <w:shd w:val="clear" w:color="auto" w:fill="auto"/>
            <w:vAlign w:val="center"/>
            <w:hideMark/>
          </w:tcPr>
          <w:p w14:paraId="2CB266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31201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Deslocado para o início do Capítulo – Seção I – Conceitos e Definições.</w:t>
            </w:r>
          </w:p>
        </w:tc>
      </w:tr>
      <w:tr w:rsidR="007D78B6" w:rsidRPr="00704883" w14:paraId="03C82E5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591C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plano</w:t>
            </w:r>
            <w:proofErr w:type="gramEnd"/>
            <w:r w:rsidRPr="00704883">
              <w:rPr>
                <w:rFonts w:ascii="Calibri" w:eastAsia="Times New Roman" w:hAnsi="Calibri" w:cs="Calibri"/>
                <w:color w:val="000000"/>
                <w:sz w:val="24"/>
                <w:szCs w:val="24"/>
                <w:lang w:eastAsia="pt-BR"/>
              </w:rPr>
              <w:t xml:space="preserve"> setorial - plano de benefícios instituído por instituidor setorial; e </w:t>
            </w:r>
          </w:p>
        </w:tc>
        <w:tc>
          <w:tcPr>
            <w:tcW w:w="1660" w:type="pct"/>
            <w:tcBorders>
              <w:top w:val="nil"/>
              <w:left w:val="nil"/>
              <w:bottom w:val="single" w:sz="4" w:space="0" w:color="auto"/>
              <w:right w:val="single" w:sz="4" w:space="0" w:color="auto"/>
            </w:tcBorders>
            <w:shd w:val="clear" w:color="auto" w:fill="auto"/>
            <w:vAlign w:val="center"/>
            <w:hideMark/>
          </w:tcPr>
          <w:p w14:paraId="3BA365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68051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E33E7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A5559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afiliado setorial - pessoa jurídica que mantenha vínculo de natureza econômica ou social com instituidor setorial. </w:t>
            </w:r>
          </w:p>
        </w:tc>
        <w:tc>
          <w:tcPr>
            <w:tcW w:w="1660" w:type="pct"/>
            <w:tcBorders>
              <w:top w:val="nil"/>
              <w:left w:val="nil"/>
              <w:bottom w:val="single" w:sz="4" w:space="0" w:color="auto"/>
              <w:right w:val="single" w:sz="4" w:space="0" w:color="auto"/>
            </w:tcBorders>
            <w:shd w:val="clear" w:color="auto" w:fill="auto"/>
            <w:vAlign w:val="center"/>
            <w:hideMark/>
          </w:tcPr>
          <w:p w14:paraId="2ED1EB0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63275E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Deslocado para o início do Capítulo – Seção I – Conceitos e Definições.</w:t>
            </w:r>
          </w:p>
        </w:tc>
      </w:tr>
      <w:tr w:rsidR="007D78B6" w:rsidRPr="00704883" w14:paraId="124F841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0E069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A condição de instituidor setorial deve ser formalizada mediante a celebração de convênio de adesão a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1C4E29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126.  A condição de instituidor setorial deve ser formalizada mediante a celebração de convênio de adesão a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7DAA88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F889A0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8BD30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 instituidor setorial pode ter afiliados setoriais. </w:t>
            </w:r>
          </w:p>
        </w:tc>
        <w:tc>
          <w:tcPr>
            <w:tcW w:w="1660" w:type="pct"/>
            <w:tcBorders>
              <w:top w:val="nil"/>
              <w:left w:val="nil"/>
              <w:bottom w:val="single" w:sz="4" w:space="0" w:color="auto"/>
              <w:right w:val="single" w:sz="4" w:space="0" w:color="auto"/>
            </w:tcBorders>
            <w:shd w:val="clear" w:color="auto" w:fill="auto"/>
            <w:vAlign w:val="center"/>
            <w:hideMark/>
          </w:tcPr>
          <w:p w14:paraId="022C92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instituidor setorial pode ter afiliados setoriais.</w:t>
            </w:r>
          </w:p>
        </w:tc>
        <w:tc>
          <w:tcPr>
            <w:tcW w:w="1679" w:type="pct"/>
            <w:tcBorders>
              <w:top w:val="nil"/>
              <w:left w:val="nil"/>
              <w:bottom w:val="single" w:sz="4" w:space="0" w:color="auto"/>
              <w:right w:val="single" w:sz="4" w:space="0" w:color="auto"/>
            </w:tcBorders>
            <w:shd w:val="clear" w:color="auto" w:fill="auto"/>
            <w:vAlign w:val="center"/>
            <w:hideMark/>
          </w:tcPr>
          <w:p w14:paraId="02F797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85ED9F4"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88D7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No caso de adesão de instituidor setorial, os associados do afiliado setorial devem ser considerados para fins de comprovação do número mínimo de associados de que trata 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2AC9A6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No</w:t>
            </w:r>
            <w:proofErr w:type="gramEnd"/>
            <w:r w:rsidRPr="00704883">
              <w:rPr>
                <w:rFonts w:ascii="Calibri" w:eastAsia="Times New Roman" w:hAnsi="Calibri" w:cs="Calibri"/>
                <w:color w:val="000000"/>
                <w:sz w:val="24"/>
                <w:szCs w:val="24"/>
                <w:lang w:eastAsia="pt-BR"/>
              </w:rPr>
              <w:t xml:space="preserve"> caso de adesão de instituidor setorial, os associados do afiliado setorial devem ser considerados para fins de comprovação do número mínimo de associados de que trata 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14FFE77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5B1474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DC41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6º A condição de afiliado setorial deve ser formalizada por meio de documento contratual específico com o instituidor setorial. </w:t>
            </w:r>
          </w:p>
        </w:tc>
        <w:tc>
          <w:tcPr>
            <w:tcW w:w="1660" w:type="pct"/>
            <w:tcBorders>
              <w:top w:val="nil"/>
              <w:left w:val="nil"/>
              <w:bottom w:val="single" w:sz="4" w:space="0" w:color="auto"/>
              <w:right w:val="single" w:sz="4" w:space="0" w:color="auto"/>
            </w:tcBorders>
            <w:shd w:val="clear" w:color="auto" w:fill="auto"/>
            <w:vAlign w:val="center"/>
            <w:hideMark/>
          </w:tcPr>
          <w:p w14:paraId="01D53F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127.  A condição de afiliado setorial deve ser formalizada por meio de documento contratual específico com o instituidor setorial.</w:t>
            </w:r>
          </w:p>
        </w:tc>
        <w:tc>
          <w:tcPr>
            <w:tcW w:w="1679" w:type="pct"/>
            <w:tcBorders>
              <w:top w:val="nil"/>
              <w:left w:val="nil"/>
              <w:bottom w:val="single" w:sz="4" w:space="0" w:color="auto"/>
              <w:right w:val="single" w:sz="4" w:space="0" w:color="auto"/>
            </w:tcBorders>
            <w:shd w:val="clear" w:color="auto" w:fill="auto"/>
            <w:vAlign w:val="center"/>
            <w:hideMark/>
          </w:tcPr>
          <w:p w14:paraId="6CEC06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C82765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D08CA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O documento contratual a que se refere o caput deve ficar disponível na EFPC.</w:t>
            </w:r>
          </w:p>
        </w:tc>
        <w:tc>
          <w:tcPr>
            <w:tcW w:w="1660" w:type="pct"/>
            <w:tcBorders>
              <w:top w:val="nil"/>
              <w:left w:val="nil"/>
              <w:bottom w:val="single" w:sz="4" w:space="0" w:color="auto"/>
              <w:right w:val="single" w:sz="4" w:space="0" w:color="auto"/>
            </w:tcBorders>
            <w:shd w:val="clear" w:color="auto" w:fill="auto"/>
            <w:vAlign w:val="center"/>
            <w:hideMark/>
          </w:tcPr>
          <w:p w14:paraId="054FA0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documento contratual a que se refere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 ficar disponível na EFPC.</w:t>
            </w:r>
          </w:p>
        </w:tc>
        <w:tc>
          <w:tcPr>
            <w:tcW w:w="1679" w:type="pct"/>
            <w:tcBorders>
              <w:top w:val="nil"/>
              <w:left w:val="nil"/>
              <w:bottom w:val="single" w:sz="4" w:space="0" w:color="auto"/>
              <w:right w:val="single" w:sz="4" w:space="0" w:color="auto"/>
            </w:tcBorders>
            <w:shd w:val="clear" w:color="auto" w:fill="auto"/>
            <w:vAlign w:val="center"/>
            <w:hideMark/>
          </w:tcPr>
          <w:p w14:paraId="5AC46C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935695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0392C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7º A troca de vínculo de participantes entre afiliados setoriais associados a um mesmo instituidor setorial ou entre instituidores setoriais vinculados a um mesmo plano setorial não caracteriza desligamento do plano de benefícios.</w:t>
            </w:r>
          </w:p>
        </w:tc>
        <w:tc>
          <w:tcPr>
            <w:tcW w:w="1660" w:type="pct"/>
            <w:tcBorders>
              <w:top w:val="nil"/>
              <w:left w:val="nil"/>
              <w:bottom w:val="single" w:sz="4" w:space="0" w:color="auto"/>
              <w:right w:val="single" w:sz="4" w:space="0" w:color="auto"/>
            </w:tcBorders>
            <w:shd w:val="clear" w:color="auto" w:fill="auto"/>
            <w:vAlign w:val="center"/>
            <w:hideMark/>
          </w:tcPr>
          <w:p w14:paraId="48235A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128.  A troca de vínculo de participantes entre afiliados setoriais associados a um mesmo instituidor setorial ou entre instituidores setoriais vinculados a um mesmo plano setorial não caracteriza desligamento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0F5D4BE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BF184E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117A7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 EFPC deve manter o histórico de vínculos dos participantes entre afiliados setoriais. </w:t>
            </w:r>
          </w:p>
        </w:tc>
        <w:tc>
          <w:tcPr>
            <w:tcW w:w="1660" w:type="pct"/>
            <w:tcBorders>
              <w:top w:val="nil"/>
              <w:left w:val="nil"/>
              <w:bottom w:val="single" w:sz="4" w:space="0" w:color="auto"/>
              <w:right w:val="single" w:sz="4" w:space="0" w:color="auto"/>
            </w:tcBorders>
            <w:shd w:val="clear" w:color="auto" w:fill="auto"/>
            <w:vAlign w:val="center"/>
            <w:hideMark/>
          </w:tcPr>
          <w:p w14:paraId="638AFC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A EFPC deve manter o histórico de vínculos dos participantes entre afiliados setoriais.</w:t>
            </w:r>
          </w:p>
        </w:tc>
        <w:tc>
          <w:tcPr>
            <w:tcW w:w="1679" w:type="pct"/>
            <w:tcBorders>
              <w:top w:val="nil"/>
              <w:left w:val="nil"/>
              <w:bottom w:val="single" w:sz="4" w:space="0" w:color="auto"/>
              <w:right w:val="single" w:sz="4" w:space="0" w:color="auto"/>
            </w:tcBorders>
            <w:shd w:val="clear" w:color="auto" w:fill="auto"/>
            <w:vAlign w:val="center"/>
            <w:hideMark/>
          </w:tcPr>
          <w:p w14:paraId="65F7BBE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1E3892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84A44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Os instituidores setoriais e os afiliados setoriais podem efetuar contribuições para seus associados ou empregados, desde que previstos em instrumento contratual específico. </w:t>
            </w:r>
          </w:p>
        </w:tc>
        <w:tc>
          <w:tcPr>
            <w:tcW w:w="1660" w:type="pct"/>
            <w:tcBorders>
              <w:top w:val="nil"/>
              <w:left w:val="nil"/>
              <w:bottom w:val="single" w:sz="4" w:space="0" w:color="auto"/>
              <w:right w:val="single" w:sz="4" w:space="0" w:color="auto"/>
            </w:tcBorders>
            <w:shd w:val="clear" w:color="auto" w:fill="auto"/>
            <w:vAlign w:val="center"/>
            <w:hideMark/>
          </w:tcPr>
          <w:p w14:paraId="1A9E21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129.  Os instituidores setoriais e os afiliados setoriais podem efetuar contribuições para seus associados ou empregados, desde que previstos em instrumento contratual específico.</w:t>
            </w:r>
          </w:p>
        </w:tc>
        <w:tc>
          <w:tcPr>
            <w:tcW w:w="1679" w:type="pct"/>
            <w:tcBorders>
              <w:top w:val="nil"/>
              <w:left w:val="nil"/>
              <w:bottom w:val="single" w:sz="4" w:space="0" w:color="auto"/>
              <w:right w:val="single" w:sz="4" w:space="0" w:color="auto"/>
            </w:tcBorders>
            <w:shd w:val="clear" w:color="auto" w:fill="auto"/>
            <w:vAlign w:val="center"/>
            <w:hideMark/>
          </w:tcPr>
          <w:p w14:paraId="3F8023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B4DFDFF" w14:textId="77777777" w:rsidTr="00704883">
        <w:trPr>
          <w:trHeight w:val="106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11FA83"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29C4166F"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IV</w:t>
            </w:r>
            <w:r w:rsidRPr="00704883">
              <w:rPr>
                <w:rFonts w:ascii="Calibri" w:eastAsia="Times New Roman" w:hAnsi="Calibri" w:cs="Calibri"/>
                <w:b/>
                <w:bCs/>
                <w:color w:val="000000"/>
                <w:sz w:val="24"/>
                <w:szCs w:val="24"/>
                <w:lang w:eastAsia="pt-BR"/>
              </w:rPr>
              <w:br/>
              <w:t xml:space="preserve">Disponibilização dos institutos do benefício proporcional diferido, da portabilidade, do resgate e do </w:t>
            </w:r>
            <w:proofErr w:type="spellStart"/>
            <w:r w:rsidRPr="00704883">
              <w:rPr>
                <w:rFonts w:ascii="Calibri" w:eastAsia="Times New Roman" w:hAnsi="Calibri" w:cs="Calibri"/>
                <w:b/>
                <w:bCs/>
                <w:color w:val="000000"/>
                <w:sz w:val="24"/>
                <w:szCs w:val="24"/>
                <w:lang w:eastAsia="pt-BR"/>
              </w:rPr>
              <w:t>autopatrocínio</w:t>
            </w:r>
            <w:proofErr w:type="spellEnd"/>
          </w:p>
        </w:tc>
        <w:tc>
          <w:tcPr>
            <w:tcW w:w="1679" w:type="pct"/>
            <w:tcBorders>
              <w:top w:val="nil"/>
              <w:left w:val="nil"/>
              <w:bottom w:val="single" w:sz="4" w:space="0" w:color="auto"/>
              <w:right w:val="single" w:sz="4" w:space="0" w:color="auto"/>
            </w:tcBorders>
            <w:shd w:val="clear" w:color="auto" w:fill="auto"/>
            <w:vAlign w:val="center"/>
            <w:hideMark/>
          </w:tcPr>
          <w:p w14:paraId="629D658F"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6A651DB" w14:textId="77777777" w:rsidTr="00704883">
        <w:trPr>
          <w:trHeight w:val="9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15F61C"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17, de 16 de novembro de 2022</w:t>
            </w:r>
          </w:p>
        </w:tc>
        <w:tc>
          <w:tcPr>
            <w:tcW w:w="1660" w:type="pct"/>
            <w:tcBorders>
              <w:top w:val="nil"/>
              <w:left w:val="nil"/>
              <w:bottom w:val="single" w:sz="4" w:space="0" w:color="auto"/>
              <w:right w:val="single" w:sz="4" w:space="0" w:color="auto"/>
            </w:tcBorders>
            <w:shd w:val="clear" w:color="auto" w:fill="auto"/>
            <w:vAlign w:val="center"/>
            <w:hideMark/>
          </w:tcPr>
          <w:p w14:paraId="078F34D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BE9E296"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epígrafe</w:t>
            </w:r>
          </w:p>
        </w:tc>
      </w:tr>
      <w:tr w:rsidR="007D78B6" w:rsidRPr="00704883" w14:paraId="6785B8A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9F35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Regulamento do plano de benefícios</w:t>
            </w:r>
          </w:p>
        </w:tc>
        <w:tc>
          <w:tcPr>
            <w:tcW w:w="1660" w:type="pct"/>
            <w:tcBorders>
              <w:top w:val="nil"/>
              <w:left w:val="nil"/>
              <w:bottom w:val="nil"/>
              <w:right w:val="single" w:sz="4" w:space="0" w:color="auto"/>
            </w:tcBorders>
            <w:shd w:val="clear" w:color="auto" w:fill="auto"/>
            <w:vAlign w:val="center"/>
            <w:hideMark/>
          </w:tcPr>
          <w:p w14:paraId="27DBC050"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w:t>
            </w:r>
            <w:r w:rsidRPr="00704883">
              <w:rPr>
                <w:rFonts w:ascii="Calibri" w:eastAsia="Times New Roman" w:hAnsi="Calibri" w:cs="Calibri"/>
                <w:b/>
                <w:bCs/>
                <w:color w:val="000000"/>
                <w:sz w:val="24"/>
                <w:szCs w:val="24"/>
                <w:lang w:eastAsia="pt-BR"/>
              </w:rPr>
              <w:br/>
              <w:t>Regulamento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346D7D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Inclusão de subseção</w:t>
            </w:r>
          </w:p>
        </w:tc>
      </w:tr>
      <w:tr w:rsidR="007D78B6" w:rsidRPr="00704883" w14:paraId="6C9F450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09D5A8"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O regulamento do plano de benefícios deve dispor, em relação aos institutos, no mínimo, sobre: </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6456529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130.  O regulamento do plano de benefícios deve dispor, em relação aos institutos, no mínimo, sobre: </w:t>
            </w:r>
          </w:p>
        </w:tc>
        <w:tc>
          <w:tcPr>
            <w:tcW w:w="1679" w:type="pct"/>
            <w:tcBorders>
              <w:top w:val="nil"/>
              <w:left w:val="nil"/>
              <w:bottom w:val="single" w:sz="4" w:space="0" w:color="auto"/>
              <w:right w:val="single" w:sz="4" w:space="0" w:color="auto"/>
            </w:tcBorders>
            <w:shd w:val="clear" w:color="auto" w:fill="auto"/>
            <w:vAlign w:val="center"/>
            <w:hideMark/>
          </w:tcPr>
          <w:p w14:paraId="5EAB4C6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C7E312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527815F"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a carência, os requisitos e as demais condições de acesso aos institutos; </w:t>
            </w:r>
          </w:p>
        </w:tc>
        <w:tc>
          <w:tcPr>
            <w:tcW w:w="1660" w:type="pct"/>
            <w:tcBorders>
              <w:top w:val="nil"/>
              <w:left w:val="nil"/>
              <w:bottom w:val="single" w:sz="4" w:space="0" w:color="auto"/>
              <w:right w:val="single" w:sz="4" w:space="0" w:color="auto"/>
            </w:tcBorders>
            <w:shd w:val="clear" w:color="auto" w:fill="auto"/>
            <w:vAlign w:val="center"/>
            <w:hideMark/>
          </w:tcPr>
          <w:p w14:paraId="479AE7F6"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 - a carência, os requisitos e as demais condições de acesso aos institutos;</w:t>
            </w:r>
          </w:p>
        </w:tc>
        <w:tc>
          <w:tcPr>
            <w:tcW w:w="1679" w:type="pct"/>
            <w:tcBorders>
              <w:top w:val="nil"/>
              <w:left w:val="nil"/>
              <w:bottom w:val="single" w:sz="4" w:space="0" w:color="auto"/>
              <w:right w:val="single" w:sz="4" w:space="0" w:color="auto"/>
            </w:tcBorders>
            <w:shd w:val="clear" w:color="auto" w:fill="auto"/>
            <w:vAlign w:val="center"/>
            <w:hideMark/>
          </w:tcPr>
          <w:p w14:paraId="1CC1A90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11DD48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30AD8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forma de cálculo, de pagamento e de atualização do benefício decorrente da opção pelo benefício proporcional diferido; </w:t>
            </w:r>
          </w:p>
        </w:tc>
        <w:tc>
          <w:tcPr>
            <w:tcW w:w="1660" w:type="pct"/>
            <w:tcBorders>
              <w:top w:val="nil"/>
              <w:left w:val="nil"/>
              <w:bottom w:val="single" w:sz="4" w:space="0" w:color="auto"/>
              <w:right w:val="single" w:sz="4" w:space="0" w:color="auto"/>
            </w:tcBorders>
            <w:shd w:val="clear" w:color="auto" w:fill="auto"/>
            <w:vAlign w:val="center"/>
            <w:hideMark/>
          </w:tcPr>
          <w:p w14:paraId="067E511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forma de cálculo, de pagamento e de atualização do benefício decorrente da opção pelo benefício proporcional diferido;</w:t>
            </w:r>
          </w:p>
        </w:tc>
        <w:tc>
          <w:tcPr>
            <w:tcW w:w="1679" w:type="pct"/>
            <w:tcBorders>
              <w:top w:val="nil"/>
              <w:left w:val="nil"/>
              <w:bottom w:val="single" w:sz="4" w:space="0" w:color="auto"/>
              <w:right w:val="single" w:sz="4" w:space="0" w:color="auto"/>
            </w:tcBorders>
            <w:shd w:val="clear" w:color="auto" w:fill="auto"/>
            <w:vAlign w:val="center"/>
            <w:hideMark/>
          </w:tcPr>
          <w:p w14:paraId="36F99D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D22AFD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703D7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as condições para a manutenção e o custeio de eventuais coberturas dos riscos de invalidez e morte do participante, quando oferecidas durante a fase de diferimento ao participante optante pelo benefício proporcional diferido; </w:t>
            </w:r>
          </w:p>
        </w:tc>
        <w:tc>
          <w:tcPr>
            <w:tcW w:w="1660" w:type="pct"/>
            <w:tcBorders>
              <w:top w:val="nil"/>
              <w:left w:val="nil"/>
              <w:bottom w:val="single" w:sz="4" w:space="0" w:color="auto"/>
              <w:right w:val="single" w:sz="4" w:space="0" w:color="auto"/>
            </w:tcBorders>
            <w:shd w:val="clear" w:color="auto" w:fill="auto"/>
            <w:vAlign w:val="center"/>
            <w:hideMark/>
          </w:tcPr>
          <w:p w14:paraId="3CF34EC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as condições para a manutenção e o custeio de eventuais coberturas dos riscos de invalidez e morte do participante, quando oferecidas durante a fase de diferimento ao participante optante pelo benefício proporcional diferido;</w:t>
            </w:r>
          </w:p>
        </w:tc>
        <w:tc>
          <w:tcPr>
            <w:tcW w:w="1679" w:type="pct"/>
            <w:tcBorders>
              <w:top w:val="nil"/>
              <w:left w:val="nil"/>
              <w:bottom w:val="single" w:sz="4" w:space="0" w:color="auto"/>
              <w:right w:val="single" w:sz="4" w:space="0" w:color="auto"/>
            </w:tcBorders>
            <w:shd w:val="clear" w:color="auto" w:fill="auto"/>
            <w:vAlign w:val="center"/>
            <w:hideMark/>
          </w:tcPr>
          <w:p w14:paraId="5D212F5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D7B6AB"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6BFC5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as</w:t>
            </w:r>
            <w:proofErr w:type="gramEnd"/>
            <w:r w:rsidRPr="00704883">
              <w:rPr>
                <w:rFonts w:ascii="Calibri" w:eastAsia="Times New Roman" w:hAnsi="Calibri" w:cs="Calibri"/>
                <w:color w:val="000000"/>
                <w:sz w:val="24"/>
                <w:szCs w:val="24"/>
                <w:lang w:eastAsia="pt-BR"/>
              </w:rPr>
              <w:t xml:space="preserve"> diretrizes a serem utilizadas para o custeio das despesas administrativas, de déficits e de serviço passado, durante a fase de diferimento, pelo participante optante pelo benefício proporcional diferido, quando aplicável; </w:t>
            </w:r>
          </w:p>
        </w:tc>
        <w:tc>
          <w:tcPr>
            <w:tcW w:w="1660" w:type="pct"/>
            <w:tcBorders>
              <w:top w:val="nil"/>
              <w:left w:val="nil"/>
              <w:bottom w:val="single" w:sz="4" w:space="0" w:color="auto"/>
              <w:right w:val="single" w:sz="4" w:space="0" w:color="auto"/>
            </w:tcBorders>
            <w:shd w:val="clear" w:color="auto" w:fill="auto"/>
            <w:vAlign w:val="center"/>
            <w:hideMark/>
          </w:tcPr>
          <w:p w14:paraId="55FA8B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as</w:t>
            </w:r>
            <w:proofErr w:type="gramEnd"/>
            <w:r w:rsidRPr="00704883">
              <w:rPr>
                <w:rFonts w:ascii="Calibri" w:eastAsia="Times New Roman" w:hAnsi="Calibri" w:cs="Calibri"/>
                <w:color w:val="000000"/>
                <w:sz w:val="24"/>
                <w:szCs w:val="24"/>
                <w:lang w:eastAsia="pt-BR"/>
              </w:rPr>
              <w:t xml:space="preserve"> diretrizes a serem utilizadas para o custeio das despesas administrativas, de déficits e de serviço passado, durante a fase de diferimento, pelo participante optante pelo benefício proporcional diferido, quando aplicável;</w:t>
            </w:r>
          </w:p>
        </w:tc>
        <w:tc>
          <w:tcPr>
            <w:tcW w:w="1679" w:type="pct"/>
            <w:tcBorders>
              <w:top w:val="nil"/>
              <w:left w:val="nil"/>
              <w:bottom w:val="single" w:sz="4" w:space="0" w:color="auto"/>
              <w:right w:val="single" w:sz="4" w:space="0" w:color="auto"/>
            </w:tcBorders>
            <w:shd w:val="clear" w:color="auto" w:fill="auto"/>
            <w:vAlign w:val="center"/>
            <w:hideMark/>
          </w:tcPr>
          <w:p w14:paraId="07D531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5BDB9F3"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876B1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forma de apuração do direito acumulado para fins de portabilidade, inclusive quando se tratar de opção a ser realizada por participante que tenha previamente optado pelo benefício proporcional diferido; </w:t>
            </w:r>
          </w:p>
        </w:tc>
        <w:tc>
          <w:tcPr>
            <w:tcW w:w="1660" w:type="pct"/>
            <w:tcBorders>
              <w:top w:val="nil"/>
              <w:left w:val="nil"/>
              <w:bottom w:val="single" w:sz="4" w:space="0" w:color="auto"/>
              <w:right w:val="single" w:sz="4" w:space="0" w:color="auto"/>
            </w:tcBorders>
            <w:shd w:val="clear" w:color="auto" w:fill="auto"/>
            <w:vAlign w:val="center"/>
            <w:hideMark/>
          </w:tcPr>
          <w:p w14:paraId="3423B7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forma de apuração do direito acumulado para fins de portabilidade, inclusive quando se tratar de opção a ser realizada por participante que tenha previamente optado pelo benefício proporcional diferido;</w:t>
            </w:r>
          </w:p>
        </w:tc>
        <w:tc>
          <w:tcPr>
            <w:tcW w:w="1679" w:type="pct"/>
            <w:tcBorders>
              <w:top w:val="nil"/>
              <w:left w:val="nil"/>
              <w:bottom w:val="single" w:sz="4" w:space="0" w:color="auto"/>
              <w:right w:val="single" w:sz="4" w:space="0" w:color="auto"/>
            </w:tcBorders>
            <w:shd w:val="clear" w:color="auto" w:fill="auto"/>
            <w:vAlign w:val="center"/>
            <w:hideMark/>
          </w:tcPr>
          <w:p w14:paraId="5943B68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A46F1CD"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936A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de atualização do valor a ser objeto de portabilidade ou resgate, no período compreendido entre a data-base de cálculo, de que trata o § 1º do art. 3º, e a efetiva transferência dos recursos ao plano de benefícios de destino ou o efetivo pagamento, respectivamente; </w:t>
            </w:r>
          </w:p>
        </w:tc>
        <w:tc>
          <w:tcPr>
            <w:tcW w:w="1660" w:type="pct"/>
            <w:tcBorders>
              <w:top w:val="nil"/>
              <w:left w:val="nil"/>
              <w:bottom w:val="single" w:sz="4" w:space="0" w:color="auto"/>
              <w:right w:val="single" w:sz="4" w:space="0" w:color="auto"/>
            </w:tcBorders>
            <w:shd w:val="clear" w:color="auto" w:fill="auto"/>
            <w:vAlign w:val="center"/>
            <w:hideMark/>
          </w:tcPr>
          <w:p w14:paraId="7469BEC9"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xml:space="preserve">VI - </w:t>
            </w:r>
            <w:proofErr w:type="gramStart"/>
            <w:r w:rsidRPr="00704883">
              <w:rPr>
                <w:rFonts w:ascii="Calibri" w:eastAsia="Times New Roman" w:hAnsi="Calibri" w:cs="Calibri"/>
                <w:sz w:val="24"/>
                <w:szCs w:val="24"/>
                <w:lang w:eastAsia="pt-BR"/>
              </w:rPr>
              <w:t>o</w:t>
            </w:r>
            <w:proofErr w:type="gramEnd"/>
            <w:r w:rsidRPr="00704883">
              <w:rPr>
                <w:rFonts w:ascii="Calibri" w:eastAsia="Times New Roman" w:hAnsi="Calibri" w:cs="Calibri"/>
                <w:sz w:val="24"/>
                <w:szCs w:val="24"/>
                <w:lang w:eastAsia="pt-BR"/>
              </w:rPr>
              <w:t xml:space="preserve"> critério de atualização do valor a ser objeto de portabilidade ou resgate, no período compreendido entre a data-base de cálculo, de que trata o § 1º do art. 131, e a efetiva transferência dos recursos ao plano de benefícios de destino ou o efetivo pagamento, respectivamente;</w:t>
            </w:r>
          </w:p>
        </w:tc>
        <w:tc>
          <w:tcPr>
            <w:tcW w:w="1679" w:type="pct"/>
            <w:tcBorders>
              <w:top w:val="nil"/>
              <w:left w:val="nil"/>
              <w:bottom w:val="single" w:sz="4" w:space="0" w:color="auto"/>
              <w:right w:val="single" w:sz="4" w:space="0" w:color="auto"/>
            </w:tcBorders>
            <w:shd w:val="clear" w:color="auto" w:fill="auto"/>
            <w:vAlign w:val="center"/>
            <w:hideMark/>
          </w:tcPr>
          <w:p w14:paraId="17C922C1"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17BA559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B6F4F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VII - o critério de atualização dos recursos objeto de portabilidade procedente de outros planos de previdência complementar; </w:t>
            </w:r>
          </w:p>
        </w:tc>
        <w:tc>
          <w:tcPr>
            <w:tcW w:w="1660" w:type="pct"/>
            <w:tcBorders>
              <w:top w:val="nil"/>
              <w:left w:val="nil"/>
              <w:bottom w:val="single" w:sz="4" w:space="0" w:color="auto"/>
              <w:right w:val="single" w:sz="4" w:space="0" w:color="auto"/>
            </w:tcBorders>
            <w:shd w:val="clear" w:color="auto" w:fill="auto"/>
            <w:vAlign w:val="center"/>
            <w:hideMark/>
          </w:tcPr>
          <w:p w14:paraId="3BE0FA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 - o critério de atualização dos recursos objeto de portabilidade procedente de outros planos de previdência complementar;</w:t>
            </w:r>
          </w:p>
        </w:tc>
        <w:tc>
          <w:tcPr>
            <w:tcW w:w="1679" w:type="pct"/>
            <w:tcBorders>
              <w:top w:val="nil"/>
              <w:left w:val="nil"/>
              <w:bottom w:val="single" w:sz="4" w:space="0" w:color="auto"/>
              <w:right w:val="single" w:sz="4" w:space="0" w:color="auto"/>
            </w:tcBorders>
            <w:shd w:val="clear" w:color="auto" w:fill="auto"/>
            <w:vAlign w:val="center"/>
            <w:hideMark/>
          </w:tcPr>
          <w:p w14:paraId="41027E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006C96B"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72BB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VIII - os critérios de apuração, as condições de acesso e as formas de pagamento do resgate, inclusive quando se tratar de opção a ser realizada por participante que tenha previamente optado pelo benefício proporcional diferido; </w:t>
            </w:r>
          </w:p>
        </w:tc>
        <w:tc>
          <w:tcPr>
            <w:tcW w:w="1660" w:type="pct"/>
            <w:tcBorders>
              <w:top w:val="nil"/>
              <w:left w:val="nil"/>
              <w:bottom w:val="single" w:sz="4" w:space="0" w:color="auto"/>
              <w:right w:val="single" w:sz="4" w:space="0" w:color="auto"/>
            </w:tcBorders>
            <w:shd w:val="clear" w:color="auto" w:fill="auto"/>
            <w:vAlign w:val="center"/>
            <w:hideMark/>
          </w:tcPr>
          <w:p w14:paraId="669107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VIII - os critérios de apuração, as condições de acesso e as formas de pagamento do resgate, inclusive quando se tratar de opção a ser realizada por participante que tenha previamente optado pelo benefício proporcional diferido;</w:t>
            </w:r>
          </w:p>
        </w:tc>
        <w:tc>
          <w:tcPr>
            <w:tcW w:w="1679" w:type="pct"/>
            <w:tcBorders>
              <w:top w:val="nil"/>
              <w:left w:val="nil"/>
              <w:bottom w:val="single" w:sz="4" w:space="0" w:color="auto"/>
              <w:right w:val="single" w:sz="4" w:space="0" w:color="auto"/>
            </w:tcBorders>
            <w:shd w:val="clear" w:color="auto" w:fill="auto"/>
            <w:vAlign w:val="center"/>
            <w:hideMark/>
          </w:tcPr>
          <w:p w14:paraId="64E9FF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F9BA1F" w14:textId="77777777" w:rsidTr="00704883">
        <w:trPr>
          <w:trHeight w:val="30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F69C9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IX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destinação da parcela patronal não resgatável, quando for o caso; </w:t>
            </w:r>
          </w:p>
        </w:tc>
        <w:tc>
          <w:tcPr>
            <w:tcW w:w="1660" w:type="pct"/>
            <w:tcBorders>
              <w:top w:val="nil"/>
              <w:left w:val="nil"/>
              <w:bottom w:val="single" w:sz="4" w:space="0" w:color="auto"/>
              <w:right w:val="single" w:sz="4" w:space="0" w:color="auto"/>
            </w:tcBorders>
            <w:shd w:val="clear" w:color="auto" w:fill="auto"/>
            <w:vAlign w:val="center"/>
            <w:hideMark/>
          </w:tcPr>
          <w:p w14:paraId="3875D6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IX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destinação da parcela patronal não resgatável, quando for o caso;</w:t>
            </w:r>
          </w:p>
        </w:tc>
        <w:tc>
          <w:tcPr>
            <w:tcW w:w="1679" w:type="pct"/>
            <w:tcBorders>
              <w:top w:val="nil"/>
              <w:left w:val="nil"/>
              <w:bottom w:val="single" w:sz="4" w:space="0" w:color="auto"/>
              <w:right w:val="single" w:sz="4" w:space="0" w:color="auto"/>
            </w:tcBorders>
            <w:shd w:val="clear" w:color="auto" w:fill="auto"/>
            <w:vAlign w:val="center"/>
            <w:hideMark/>
          </w:tcPr>
          <w:p w14:paraId="1BA4AFD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E85BFF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65FE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 - o prazo e a forma para a disponibilização, pela EFPC, do extrato previdenciário de que trata o art. 3º;</w:t>
            </w:r>
          </w:p>
        </w:tc>
        <w:tc>
          <w:tcPr>
            <w:tcW w:w="1660" w:type="pct"/>
            <w:tcBorders>
              <w:top w:val="nil"/>
              <w:left w:val="nil"/>
              <w:bottom w:val="single" w:sz="4" w:space="0" w:color="auto"/>
              <w:right w:val="single" w:sz="4" w:space="0" w:color="auto"/>
            </w:tcBorders>
            <w:shd w:val="clear" w:color="auto" w:fill="auto"/>
            <w:vAlign w:val="center"/>
            <w:hideMark/>
          </w:tcPr>
          <w:p w14:paraId="7DF0638A"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X - o prazo e a forma para a disponibilização, pela EFPC, do extrato previdenciário de que trata o art. 131;</w:t>
            </w:r>
          </w:p>
        </w:tc>
        <w:tc>
          <w:tcPr>
            <w:tcW w:w="1679" w:type="pct"/>
            <w:tcBorders>
              <w:top w:val="nil"/>
              <w:left w:val="nil"/>
              <w:bottom w:val="single" w:sz="4" w:space="0" w:color="auto"/>
              <w:right w:val="single" w:sz="4" w:space="0" w:color="auto"/>
            </w:tcBorders>
            <w:shd w:val="clear" w:color="auto" w:fill="auto"/>
            <w:vAlign w:val="center"/>
            <w:hideMark/>
          </w:tcPr>
          <w:p w14:paraId="0A27A8DC"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6FF724F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C230C0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 - o prazo para a opção do participante pelos institutos, que deve ser de, no mínimo, trinta dias, contados da data do recebimento do extrato previdenciário, de que trata o art. 3º; </w:t>
            </w:r>
          </w:p>
        </w:tc>
        <w:tc>
          <w:tcPr>
            <w:tcW w:w="1660" w:type="pct"/>
            <w:tcBorders>
              <w:top w:val="nil"/>
              <w:left w:val="nil"/>
              <w:bottom w:val="single" w:sz="4" w:space="0" w:color="auto"/>
              <w:right w:val="single" w:sz="4" w:space="0" w:color="auto"/>
            </w:tcBorders>
            <w:shd w:val="clear" w:color="auto" w:fill="auto"/>
            <w:vAlign w:val="center"/>
            <w:hideMark/>
          </w:tcPr>
          <w:p w14:paraId="47903397"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XI - o prazo para a opção do participante pelos institutos, que deve ser de, no mínimo, trinta dias, contados da data do recebimento do extrato previdenciário, de que trata o art. 131;</w:t>
            </w:r>
          </w:p>
        </w:tc>
        <w:tc>
          <w:tcPr>
            <w:tcW w:w="1679" w:type="pct"/>
            <w:tcBorders>
              <w:top w:val="nil"/>
              <w:left w:val="nil"/>
              <w:bottom w:val="single" w:sz="4" w:space="0" w:color="auto"/>
              <w:right w:val="single" w:sz="4" w:space="0" w:color="auto"/>
            </w:tcBorders>
            <w:shd w:val="clear" w:color="auto" w:fill="auto"/>
            <w:vAlign w:val="center"/>
            <w:hideMark/>
          </w:tcPr>
          <w:p w14:paraId="02180EA9"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61A5BBC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51DA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XII - a possibilidade de opção, pelo participante, por mais de um instituto, de forma simultânea e combinada, se for o caso; e </w:t>
            </w:r>
          </w:p>
        </w:tc>
        <w:tc>
          <w:tcPr>
            <w:tcW w:w="1660" w:type="pct"/>
            <w:tcBorders>
              <w:top w:val="nil"/>
              <w:left w:val="nil"/>
              <w:bottom w:val="single" w:sz="4" w:space="0" w:color="auto"/>
              <w:right w:val="single" w:sz="4" w:space="0" w:color="auto"/>
            </w:tcBorders>
            <w:shd w:val="clear" w:color="auto" w:fill="auto"/>
            <w:vAlign w:val="center"/>
            <w:hideMark/>
          </w:tcPr>
          <w:p w14:paraId="1A409E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XII - a possibilidade de opção, pelo participante, por mais de um instituto, de forma simultânea e combinada, se for o caso; e</w:t>
            </w:r>
          </w:p>
        </w:tc>
        <w:tc>
          <w:tcPr>
            <w:tcW w:w="1679" w:type="pct"/>
            <w:tcBorders>
              <w:top w:val="nil"/>
              <w:left w:val="nil"/>
              <w:bottom w:val="single" w:sz="4" w:space="0" w:color="auto"/>
              <w:right w:val="single" w:sz="4" w:space="0" w:color="auto"/>
            </w:tcBorders>
            <w:shd w:val="clear" w:color="auto" w:fill="auto"/>
            <w:vAlign w:val="center"/>
            <w:hideMark/>
          </w:tcPr>
          <w:p w14:paraId="3C0332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7E57965"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2295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1660" w:type="pct"/>
            <w:tcBorders>
              <w:top w:val="nil"/>
              <w:left w:val="nil"/>
              <w:bottom w:val="single" w:sz="4" w:space="0" w:color="auto"/>
              <w:right w:val="single" w:sz="4" w:space="0" w:color="auto"/>
            </w:tcBorders>
            <w:shd w:val="clear" w:color="auto" w:fill="auto"/>
            <w:vAlign w:val="center"/>
            <w:hideMark/>
          </w:tcPr>
          <w:p w14:paraId="7FD588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1679" w:type="pct"/>
            <w:tcBorders>
              <w:top w:val="nil"/>
              <w:left w:val="nil"/>
              <w:bottom w:val="single" w:sz="4" w:space="0" w:color="auto"/>
              <w:right w:val="single" w:sz="4" w:space="0" w:color="auto"/>
            </w:tcBorders>
            <w:shd w:val="clear" w:color="auto" w:fill="auto"/>
            <w:vAlign w:val="center"/>
            <w:hideMark/>
          </w:tcPr>
          <w:p w14:paraId="3DE4A6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7F50B9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6EC540"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Extrato previdenciário</w:t>
            </w:r>
          </w:p>
        </w:tc>
        <w:tc>
          <w:tcPr>
            <w:tcW w:w="1660" w:type="pct"/>
            <w:tcBorders>
              <w:top w:val="nil"/>
              <w:left w:val="nil"/>
              <w:bottom w:val="nil"/>
              <w:right w:val="single" w:sz="4" w:space="0" w:color="auto"/>
            </w:tcBorders>
            <w:shd w:val="clear" w:color="auto" w:fill="auto"/>
            <w:vAlign w:val="center"/>
            <w:hideMark/>
          </w:tcPr>
          <w:p w14:paraId="7991EC82"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II</w:t>
            </w:r>
            <w:r w:rsidRPr="00704883">
              <w:rPr>
                <w:rFonts w:ascii="Calibri" w:eastAsia="Times New Roman" w:hAnsi="Calibri" w:cs="Calibri"/>
                <w:b/>
                <w:bCs/>
                <w:color w:val="000000"/>
                <w:sz w:val="24"/>
                <w:szCs w:val="24"/>
                <w:lang w:eastAsia="pt-BR"/>
              </w:rPr>
              <w:br/>
              <w:t>Extrato previdenciário</w:t>
            </w:r>
          </w:p>
        </w:tc>
        <w:tc>
          <w:tcPr>
            <w:tcW w:w="1679" w:type="pct"/>
            <w:tcBorders>
              <w:top w:val="nil"/>
              <w:left w:val="nil"/>
              <w:bottom w:val="single" w:sz="4" w:space="0" w:color="auto"/>
              <w:right w:val="single" w:sz="4" w:space="0" w:color="auto"/>
            </w:tcBorders>
            <w:shd w:val="clear" w:color="auto" w:fill="auto"/>
            <w:vAlign w:val="center"/>
            <w:hideMark/>
          </w:tcPr>
          <w:p w14:paraId="6E2B2345"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2FF0BF0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EC9C378"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3º A EFPC deve disponibilizar extrato previdenciário ao participante, por meio físico ou eletrônico, observado o prazo de trinta dias, contados da data-base de cálculo, referente a cada plano de benefícios ao qual esteja vinculado. </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7D5CADDA"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131.  A EFPC deve disponibilizar extrato previdenciário ao participante, por meio físico ou eletrônico, observado o prazo de trinta dias, contados da data-base de cálculo, referente a cada plano de benefícios ao qual esteja vinculado.</w:t>
            </w:r>
          </w:p>
        </w:tc>
        <w:tc>
          <w:tcPr>
            <w:tcW w:w="1679" w:type="pct"/>
            <w:tcBorders>
              <w:top w:val="nil"/>
              <w:left w:val="nil"/>
              <w:bottom w:val="single" w:sz="4" w:space="0" w:color="auto"/>
              <w:right w:val="single" w:sz="4" w:space="0" w:color="auto"/>
            </w:tcBorders>
            <w:shd w:val="clear" w:color="auto" w:fill="auto"/>
            <w:vAlign w:val="center"/>
            <w:hideMark/>
          </w:tcPr>
          <w:p w14:paraId="67868D8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8D0296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DD25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1º A data-base de cálculo das informações previstas no extrato previdenciário de que trata o caput, corresponde à data do:</w:t>
            </w:r>
          </w:p>
        </w:tc>
        <w:tc>
          <w:tcPr>
            <w:tcW w:w="1660" w:type="pct"/>
            <w:tcBorders>
              <w:top w:val="nil"/>
              <w:left w:val="nil"/>
              <w:bottom w:val="single" w:sz="4" w:space="0" w:color="auto"/>
              <w:right w:val="single" w:sz="4" w:space="0" w:color="auto"/>
            </w:tcBorders>
            <w:shd w:val="clear" w:color="auto" w:fill="auto"/>
            <w:vAlign w:val="center"/>
            <w:hideMark/>
          </w:tcPr>
          <w:p w14:paraId="5BF4243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data-base de cálculo das informações previstas no extrato previdenciário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corresponde à data do:</w:t>
            </w:r>
          </w:p>
        </w:tc>
        <w:tc>
          <w:tcPr>
            <w:tcW w:w="1679" w:type="pct"/>
            <w:tcBorders>
              <w:top w:val="nil"/>
              <w:left w:val="nil"/>
              <w:bottom w:val="single" w:sz="4" w:space="0" w:color="auto"/>
              <w:right w:val="single" w:sz="4" w:space="0" w:color="auto"/>
            </w:tcBorders>
            <w:shd w:val="clear" w:color="auto" w:fill="auto"/>
            <w:vAlign w:val="center"/>
            <w:hideMark/>
          </w:tcPr>
          <w:p w14:paraId="401E633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B67E246"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4D0AB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recebimento</w:t>
            </w:r>
            <w:proofErr w:type="gramEnd"/>
            <w:r w:rsidRPr="00704883">
              <w:rPr>
                <w:rFonts w:ascii="Calibri" w:eastAsia="Times New Roman" w:hAnsi="Calibri" w:cs="Calibri"/>
                <w:color w:val="000000"/>
                <w:sz w:val="24"/>
                <w:szCs w:val="24"/>
                <w:lang w:eastAsia="pt-BR"/>
              </w:rPr>
              <w:t xml:space="preserve"> da comunicação da cessação do: </w:t>
            </w:r>
          </w:p>
        </w:tc>
        <w:tc>
          <w:tcPr>
            <w:tcW w:w="1660" w:type="pct"/>
            <w:tcBorders>
              <w:top w:val="nil"/>
              <w:left w:val="nil"/>
              <w:bottom w:val="single" w:sz="4" w:space="0" w:color="auto"/>
              <w:right w:val="single" w:sz="4" w:space="0" w:color="auto"/>
            </w:tcBorders>
            <w:shd w:val="clear" w:color="auto" w:fill="auto"/>
            <w:vAlign w:val="center"/>
            <w:hideMark/>
          </w:tcPr>
          <w:p w14:paraId="2461AC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recebimento</w:t>
            </w:r>
            <w:proofErr w:type="gramEnd"/>
            <w:r w:rsidRPr="00704883">
              <w:rPr>
                <w:rFonts w:ascii="Calibri" w:eastAsia="Times New Roman" w:hAnsi="Calibri" w:cs="Calibri"/>
                <w:color w:val="000000"/>
                <w:sz w:val="24"/>
                <w:szCs w:val="24"/>
                <w:lang w:eastAsia="pt-BR"/>
              </w:rPr>
              <w:t xml:space="preserve"> da comunicação da cessação do: </w:t>
            </w:r>
          </w:p>
        </w:tc>
        <w:tc>
          <w:tcPr>
            <w:tcW w:w="1679" w:type="pct"/>
            <w:tcBorders>
              <w:top w:val="nil"/>
              <w:left w:val="nil"/>
              <w:bottom w:val="single" w:sz="4" w:space="0" w:color="auto"/>
              <w:right w:val="single" w:sz="4" w:space="0" w:color="auto"/>
            </w:tcBorders>
            <w:shd w:val="clear" w:color="auto" w:fill="auto"/>
            <w:vAlign w:val="center"/>
            <w:hideMark/>
          </w:tcPr>
          <w:p w14:paraId="522548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BE3AD8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B60A1E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vínculo empregatício do participante com o patrocinador; ou </w:t>
            </w:r>
          </w:p>
        </w:tc>
        <w:tc>
          <w:tcPr>
            <w:tcW w:w="1660" w:type="pct"/>
            <w:tcBorders>
              <w:top w:val="nil"/>
              <w:left w:val="nil"/>
              <w:bottom w:val="single" w:sz="4" w:space="0" w:color="auto"/>
              <w:right w:val="single" w:sz="4" w:space="0" w:color="auto"/>
            </w:tcBorders>
            <w:shd w:val="clear" w:color="auto" w:fill="auto"/>
            <w:vAlign w:val="center"/>
            <w:hideMark/>
          </w:tcPr>
          <w:p w14:paraId="252FC1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vínculo empregatício do participante com o patrocinador; ou </w:t>
            </w:r>
          </w:p>
        </w:tc>
        <w:tc>
          <w:tcPr>
            <w:tcW w:w="1679" w:type="pct"/>
            <w:tcBorders>
              <w:top w:val="nil"/>
              <w:left w:val="nil"/>
              <w:bottom w:val="single" w:sz="4" w:space="0" w:color="auto"/>
              <w:right w:val="single" w:sz="4" w:space="0" w:color="auto"/>
            </w:tcBorders>
            <w:shd w:val="clear" w:color="auto" w:fill="auto"/>
            <w:vAlign w:val="center"/>
            <w:hideMark/>
          </w:tcPr>
          <w:p w14:paraId="342AE01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60B262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88589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vínculo associativo com instituidor; </w:t>
            </w:r>
          </w:p>
        </w:tc>
        <w:tc>
          <w:tcPr>
            <w:tcW w:w="1660" w:type="pct"/>
            <w:tcBorders>
              <w:top w:val="nil"/>
              <w:left w:val="nil"/>
              <w:bottom w:val="single" w:sz="4" w:space="0" w:color="auto"/>
              <w:right w:val="single" w:sz="4" w:space="0" w:color="auto"/>
            </w:tcBorders>
            <w:shd w:val="clear" w:color="auto" w:fill="auto"/>
            <w:vAlign w:val="center"/>
            <w:hideMark/>
          </w:tcPr>
          <w:p w14:paraId="55F91C2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b) vínculo associativo com instituidor;</w:t>
            </w:r>
          </w:p>
        </w:tc>
        <w:tc>
          <w:tcPr>
            <w:tcW w:w="1679" w:type="pct"/>
            <w:tcBorders>
              <w:top w:val="nil"/>
              <w:left w:val="nil"/>
              <w:bottom w:val="single" w:sz="4" w:space="0" w:color="auto"/>
              <w:right w:val="single" w:sz="4" w:space="0" w:color="auto"/>
            </w:tcBorders>
            <w:shd w:val="clear" w:color="auto" w:fill="auto"/>
            <w:vAlign w:val="center"/>
            <w:hideMark/>
          </w:tcPr>
          <w:p w14:paraId="50BA4C3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36E683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C3CB9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 - </w:t>
            </w:r>
            <w:proofErr w:type="gramStart"/>
            <w:r w:rsidRPr="00704883">
              <w:rPr>
                <w:rFonts w:ascii="Calibri" w:eastAsia="Times New Roman" w:hAnsi="Calibri" w:cs="Calibri"/>
                <w:color w:val="000000"/>
                <w:sz w:val="24"/>
                <w:szCs w:val="24"/>
                <w:lang w:eastAsia="pt-BR"/>
              </w:rPr>
              <w:t>requerimento</w:t>
            </w:r>
            <w:proofErr w:type="gramEnd"/>
            <w:r w:rsidRPr="00704883">
              <w:rPr>
                <w:rFonts w:ascii="Calibri" w:eastAsia="Times New Roman" w:hAnsi="Calibri" w:cs="Calibri"/>
                <w:color w:val="000000"/>
                <w:sz w:val="24"/>
                <w:szCs w:val="24"/>
                <w:lang w:eastAsia="pt-BR"/>
              </w:rPr>
              <w:t xml:space="preserve"> protocolado pelo participante para a nova opção, no caso de participante que tenha optado pelo benefício proporcional diferido e que queira realizar posterior opção pela portabilidade, resgate ou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ou </w:t>
            </w:r>
          </w:p>
        </w:tc>
        <w:tc>
          <w:tcPr>
            <w:tcW w:w="1660" w:type="pct"/>
            <w:tcBorders>
              <w:top w:val="nil"/>
              <w:left w:val="nil"/>
              <w:bottom w:val="single" w:sz="4" w:space="0" w:color="auto"/>
              <w:right w:val="single" w:sz="4" w:space="0" w:color="auto"/>
            </w:tcBorders>
            <w:shd w:val="clear" w:color="auto" w:fill="auto"/>
            <w:vAlign w:val="center"/>
            <w:hideMark/>
          </w:tcPr>
          <w:p w14:paraId="2666FB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requerimento</w:t>
            </w:r>
            <w:proofErr w:type="gramEnd"/>
            <w:r w:rsidRPr="00704883">
              <w:rPr>
                <w:rFonts w:ascii="Calibri" w:eastAsia="Times New Roman" w:hAnsi="Calibri" w:cs="Calibri"/>
                <w:color w:val="000000"/>
                <w:sz w:val="24"/>
                <w:szCs w:val="24"/>
                <w:lang w:eastAsia="pt-BR"/>
              </w:rPr>
              <w:t xml:space="preserve"> protocolado pelo participante para a nova opção, no caso de participante que tenha optado pelo benefício proporcional diferido e que queira realizar posterior opção pela portabilidade, resgate ou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ou </w:t>
            </w:r>
          </w:p>
        </w:tc>
        <w:tc>
          <w:tcPr>
            <w:tcW w:w="1679" w:type="pct"/>
            <w:tcBorders>
              <w:top w:val="nil"/>
              <w:left w:val="nil"/>
              <w:bottom w:val="single" w:sz="4" w:space="0" w:color="auto"/>
              <w:right w:val="single" w:sz="4" w:space="0" w:color="auto"/>
            </w:tcBorders>
            <w:shd w:val="clear" w:color="auto" w:fill="auto"/>
            <w:vAlign w:val="center"/>
            <w:hideMark/>
          </w:tcPr>
          <w:p w14:paraId="57DAE4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E42DB2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DA179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requerimento protocolado pelo participante, em quaisquer outras circunstâncias. </w:t>
            </w:r>
          </w:p>
        </w:tc>
        <w:tc>
          <w:tcPr>
            <w:tcW w:w="1660" w:type="pct"/>
            <w:tcBorders>
              <w:top w:val="nil"/>
              <w:left w:val="nil"/>
              <w:bottom w:val="single" w:sz="4" w:space="0" w:color="auto"/>
              <w:right w:val="single" w:sz="4" w:space="0" w:color="auto"/>
            </w:tcBorders>
            <w:shd w:val="clear" w:color="auto" w:fill="auto"/>
            <w:vAlign w:val="center"/>
            <w:hideMark/>
          </w:tcPr>
          <w:p w14:paraId="76C4A37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requerimento protocolado pelo participante, em quaisquer outras circunstâncias.</w:t>
            </w:r>
          </w:p>
        </w:tc>
        <w:tc>
          <w:tcPr>
            <w:tcW w:w="1679" w:type="pct"/>
            <w:tcBorders>
              <w:top w:val="nil"/>
              <w:left w:val="nil"/>
              <w:bottom w:val="single" w:sz="4" w:space="0" w:color="auto"/>
              <w:right w:val="single" w:sz="4" w:space="0" w:color="auto"/>
            </w:tcBorders>
            <w:shd w:val="clear" w:color="auto" w:fill="auto"/>
            <w:vAlign w:val="center"/>
            <w:hideMark/>
          </w:tcPr>
          <w:p w14:paraId="70BF84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BBE83C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DD6F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A ausência de comunicação tempestiva, pelo patrocinador, da cessação do vínculo empregatício, não retira do participante o direito de optar pelos institutos. </w:t>
            </w:r>
          </w:p>
        </w:tc>
        <w:tc>
          <w:tcPr>
            <w:tcW w:w="1660" w:type="pct"/>
            <w:tcBorders>
              <w:top w:val="nil"/>
              <w:left w:val="nil"/>
              <w:bottom w:val="single" w:sz="4" w:space="0" w:color="auto"/>
              <w:right w:val="single" w:sz="4" w:space="0" w:color="auto"/>
            </w:tcBorders>
            <w:shd w:val="clear" w:color="auto" w:fill="auto"/>
            <w:vAlign w:val="center"/>
            <w:hideMark/>
          </w:tcPr>
          <w:p w14:paraId="7B0BA5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ausência de comunicação tempestiva, pelo patrocinador, da cessação do vínculo empregatício, não retira do participante o direito de optar pelos institutos.</w:t>
            </w:r>
          </w:p>
        </w:tc>
        <w:tc>
          <w:tcPr>
            <w:tcW w:w="1679" w:type="pct"/>
            <w:tcBorders>
              <w:top w:val="nil"/>
              <w:left w:val="nil"/>
              <w:bottom w:val="single" w:sz="4" w:space="0" w:color="auto"/>
              <w:right w:val="single" w:sz="4" w:space="0" w:color="auto"/>
            </w:tcBorders>
            <w:shd w:val="clear" w:color="auto" w:fill="auto"/>
            <w:vAlign w:val="center"/>
            <w:hideMark/>
          </w:tcPr>
          <w:p w14:paraId="08C86B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75CEA7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D1039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O extrato previdenciário deve: </w:t>
            </w:r>
          </w:p>
        </w:tc>
        <w:tc>
          <w:tcPr>
            <w:tcW w:w="1660" w:type="pct"/>
            <w:tcBorders>
              <w:top w:val="nil"/>
              <w:left w:val="nil"/>
              <w:bottom w:val="single" w:sz="4" w:space="0" w:color="auto"/>
              <w:right w:val="single" w:sz="4" w:space="0" w:color="auto"/>
            </w:tcBorders>
            <w:shd w:val="clear" w:color="auto" w:fill="auto"/>
            <w:vAlign w:val="center"/>
            <w:hideMark/>
          </w:tcPr>
          <w:p w14:paraId="3B82889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extrato previdenciário deve: </w:t>
            </w:r>
          </w:p>
        </w:tc>
        <w:tc>
          <w:tcPr>
            <w:tcW w:w="1679" w:type="pct"/>
            <w:tcBorders>
              <w:top w:val="nil"/>
              <w:left w:val="nil"/>
              <w:bottom w:val="single" w:sz="4" w:space="0" w:color="auto"/>
              <w:right w:val="single" w:sz="4" w:space="0" w:color="auto"/>
            </w:tcBorders>
            <w:shd w:val="clear" w:color="auto" w:fill="auto"/>
            <w:vAlign w:val="center"/>
            <w:hideMark/>
          </w:tcPr>
          <w:p w14:paraId="19BF34E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6BF402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9BB6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conter</w:t>
            </w:r>
            <w:proofErr w:type="gramEnd"/>
            <w:r w:rsidRPr="00704883">
              <w:rPr>
                <w:rFonts w:ascii="Calibri" w:eastAsia="Times New Roman" w:hAnsi="Calibri" w:cs="Calibri"/>
                <w:color w:val="000000"/>
                <w:sz w:val="24"/>
                <w:szCs w:val="24"/>
                <w:lang w:eastAsia="pt-BR"/>
              </w:rPr>
              <w:t xml:space="preserve"> as informações relativas a cada um dos institutos, na forma dos </w:t>
            </w:r>
            <w:proofErr w:type="spellStart"/>
            <w:r w:rsidRPr="00704883">
              <w:rPr>
                <w:rFonts w:ascii="Calibri" w:eastAsia="Times New Roman" w:hAnsi="Calibri" w:cs="Calibri"/>
                <w:color w:val="000000"/>
                <w:sz w:val="24"/>
                <w:szCs w:val="24"/>
                <w:lang w:eastAsia="pt-BR"/>
              </w:rPr>
              <w:t>arts</w:t>
            </w:r>
            <w:proofErr w:type="spellEnd"/>
            <w:r w:rsidRPr="00704883">
              <w:rPr>
                <w:rFonts w:ascii="Calibri" w:eastAsia="Times New Roman" w:hAnsi="Calibri" w:cs="Calibri"/>
                <w:color w:val="000000"/>
                <w:sz w:val="24"/>
                <w:szCs w:val="24"/>
                <w:lang w:eastAsia="pt-BR"/>
              </w:rPr>
              <w:t xml:space="preserve">. 4º a 7º; e </w:t>
            </w:r>
          </w:p>
        </w:tc>
        <w:tc>
          <w:tcPr>
            <w:tcW w:w="1660" w:type="pct"/>
            <w:tcBorders>
              <w:top w:val="nil"/>
              <w:left w:val="nil"/>
              <w:bottom w:val="single" w:sz="4" w:space="0" w:color="auto"/>
              <w:right w:val="single" w:sz="4" w:space="0" w:color="auto"/>
            </w:tcBorders>
            <w:shd w:val="clear" w:color="auto" w:fill="auto"/>
            <w:vAlign w:val="center"/>
            <w:hideMark/>
          </w:tcPr>
          <w:p w14:paraId="4ABC67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conter</w:t>
            </w:r>
            <w:proofErr w:type="gramEnd"/>
            <w:r w:rsidRPr="00704883">
              <w:rPr>
                <w:rFonts w:ascii="Calibri" w:eastAsia="Times New Roman" w:hAnsi="Calibri" w:cs="Calibri"/>
                <w:color w:val="000000"/>
                <w:sz w:val="24"/>
                <w:szCs w:val="24"/>
                <w:lang w:eastAsia="pt-BR"/>
              </w:rPr>
              <w:t xml:space="preserve"> as informações relativas a cada um dos institutos, na forma dos arts.132 a 135; e </w:t>
            </w:r>
          </w:p>
        </w:tc>
        <w:tc>
          <w:tcPr>
            <w:tcW w:w="1679" w:type="pct"/>
            <w:tcBorders>
              <w:top w:val="nil"/>
              <w:left w:val="nil"/>
              <w:bottom w:val="single" w:sz="4" w:space="0" w:color="auto"/>
              <w:right w:val="single" w:sz="4" w:space="0" w:color="auto"/>
            </w:tcBorders>
            <w:shd w:val="clear" w:color="auto" w:fill="auto"/>
            <w:vAlign w:val="center"/>
            <w:hideMark/>
          </w:tcPr>
          <w:p w14:paraId="38DBE3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4F1EB1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0D35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fazer</w:t>
            </w:r>
            <w:proofErr w:type="gramEnd"/>
            <w:r w:rsidRPr="00704883">
              <w:rPr>
                <w:rFonts w:ascii="Calibri" w:eastAsia="Times New Roman" w:hAnsi="Calibri" w:cs="Calibri"/>
                <w:color w:val="000000"/>
                <w:sz w:val="24"/>
                <w:szCs w:val="24"/>
                <w:lang w:eastAsia="pt-BR"/>
              </w:rPr>
              <w:t xml:space="preserve"> referência à possibilidade de opção por mais de um instituto, caso haja previsão regulamentar. </w:t>
            </w:r>
          </w:p>
        </w:tc>
        <w:tc>
          <w:tcPr>
            <w:tcW w:w="1660" w:type="pct"/>
            <w:tcBorders>
              <w:top w:val="nil"/>
              <w:left w:val="nil"/>
              <w:bottom w:val="single" w:sz="4" w:space="0" w:color="auto"/>
              <w:right w:val="single" w:sz="4" w:space="0" w:color="auto"/>
            </w:tcBorders>
            <w:shd w:val="clear" w:color="auto" w:fill="auto"/>
            <w:vAlign w:val="center"/>
            <w:hideMark/>
          </w:tcPr>
          <w:p w14:paraId="5FB9B4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fazer</w:t>
            </w:r>
            <w:proofErr w:type="gramEnd"/>
            <w:r w:rsidRPr="00704883">
              <w:rPr>
                <w:rFonts w:ascii="Calibri" w:eastAsia="Times New Roman" w:hAnsi="Calibri" w:cs="Calibri"/>
                <w:color w:val="000000"/>
                <w:sz w:val="24"/>
                <w:szCs w:val="24"/>
                <w:lang w:eastAsia="pt-BR"/>
              </w:rPr>
              <w:t xml:space="preserve"> referência à possibilidade de opção por mais de um instituto, caso haja previsão regulamentar.  </w:t>
            </w:r>
          </w:p>
        </w:tc>
        <w:tc>
          <w:tcPr>
            <w:tcW w:w="1679" w:type="pct"/>
            <w:tcBorders>
              <w:top w:val="nil"/>
              <w:left w:val="nil"/>
              <w:bottom w:val="single" w:sz="4" w:space="0" w:color="auto"/>
              <w:right w:val="single" w:sz="4" w:space="0" w:color="auto"/>
            </w:tcBorders>
            <w:shd w:val="clear" w:color="auto" w:fill="auto"/>
            <w:vAlign w:val="center"/>
            <w:hideMark/>
          </w:tcPr>
          <w:p w14:paraId="72543E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5CE43C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D5A3A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4º O extrato previdenciário deve conter, no mínimo, em relação ao instituto do benefício proporcional diferido: </w:t>
            </w:r>
          </w:p>
        </w:tc>
        <w:tc>
          <w:tcPr>
            <w:tcW w:w="1660" w:type="pct"/>
            <w:tcBorders>
              <w:top w:val="nil"/>
              <w:left w:val="nil"/>
              <w:bottom w:val="single" w:sz="4" w:space="0" w:color="auto"/>
              <w:right w:val="single" w:sz="4" w:space="0" w:color="auto"/>
            </w:tcBorders>
            <w:shd w:val="clear" w:color="auto" w:fill="auto"/>
            <w:vAlign w:val="center"/>
            <w:hideMark/>
          </w:tcPr>
          <w:p w14:paraId="71F441F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132.  O extrato previdenciário deve conter, no mínimo, em relação ao instituto do benefício proporcional diferido: </w:t>
            </w:r>
          </w:p>
        </w:tc>
        <w:tc>
          <w:tcPr>
            <w:tcW w:w="1679" w:type="pct"/>
            <w:tcBorders>
              <w:top w:val="nil"/>
              <w:left w:val="nil"/>
              <w:bottom w:val="single" w:sz="4" w:space="0" w:color="auto"/>
              <w:right w:val="single" w:sz="4" w:space="0" w:color="auto"/>
            </w:tcBorders>
            <w:shd w:val="clear" w:color="auto" w:fill="auto"/>
            <w:vAlign w:val="center"/>
            <w:hideMark/>
          </w:tcPr>
          <w:p w14:paraId="42947EB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0AFE8B4"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0A97C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estimativa do valor do benefício decorrente da opção pelo instituto, de acordo com a modalidade do plano de benefícios e o disposto no seu regulamento; </w:t>
            </w:r>
          </w:p>
        </w:tc>
        <w:tc>
          <w:tcPr>
            <w:tcW w:w="1660" w:type="pct"/>
            <w:tcBorders>
              <w:top w:val="nil"/>
              <w:left w:val="nil"/>
              <w:bottom w:val="single" w:sz="4" w:space="0" w:color="auto"/>
              <w:right w:val="single" w:sz="4" w:space="0" w:color="auto"/>
            </w:tcBorders>
            <w:shd w:val="clear" w:color="auto" w:fill="auto"/>
            <w:vAlign w:val="center"/>
            <w:hideMark/>
          </w:tcPr>
          <w:p w14:paraId="626CDA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estimativa do valor do benefício decorrente da opção pelo instituto, de acordo com a modalidade do plano de benefícios e o disposto no seu regulamento;</w:t>
            </w:r>
          </w:p>
        </w:tc>
        <w:tc>
          <w:tcPr>
            <w:tcW w:w="1679" w:type="pct"/>
            <w:tcBorders>
              <w:top w:val="nil"/>
              <w:left w:val="nil"/>
              <w:bottom w:val="single" w:sz="4" w:space="0" w:color="auto"/>
              <w:right w:val="single" w:sz="4" w:space="0" w:color="auto"/>
            </w:tcBorders>
            <w:shd w:val="clear" w:color="auto" w:fill="auto"/>
            <w:vAlign w:val="center"/>
            <w:hideMark/>
          </w:tcPr>
          <w:p w14:paraId="05015F4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20FF66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7EFBB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as</w:t>
            </w:r>
            <w:proofErr w:type="gramEnd"/>
            <w:r w:rsidRPr="00704883">
              <w:rPr>
                <w:rFonts w:ascii="Calibri" w:eastAsia="Times New Roman" w:hAnsi="Calibri" w:cs="Calibri"/>
                <w:color w:val="000000"/>
                <w:sz w:val="24"/>
                <w:szCs w:val="24"/>
                <w:lang w:eastAsia="pt-BR"/>
              </w:rPr>
              <w:t xml:space="preserve"> condições de cobertura dos riscos de invalidez e morte, quando oferecidas durante a fase de diferimento, com a indicação do critério para seu custeio; </w:t>
            </w:r>
          </w:p>
        </w:tc>
        <w:tc>
          <w:tcPr>
            <w:tcW w:w="1660" w:type="pct"/>
            <w:tcBorders>
              <w:top w:val="nil"/>
              <w:left w:val="nil"/>
              <w:bottom w:val="single" w:sz="4" w:space="0" w:color="auto"/>
              <w:right w:val="single" w:sz="4" w:space="0" w:color="auto"/>
            </w:tcBorders>
            <w:shd w:val="clear" w:color="auto" w:fill="auto"/>
            <w:vAlign w:val="center"/>
            <w:hideMark/>
          </w:tcPr>
          <w:p w14:paraId="7D8A4E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as</w:t>
            </w:r>
            <w:proofErr w:type="gramEnd"/>
            <w:r w:rsidRPr="00704883">
              <w:rPr>
                <w:rFonts w:ascii="Calibri" w:eastAsia="Times New Roman" w:hAnsi="Calibri" w:cs="Calibri"/>
                <w:color w:val="000000"/>
                <w:sz w:val="24"/>
                <w:szCs w:val="24"/>
                <w:lang w:eastAsia="pt-BR"/>
              </w:rPr>
              <w:t xml:space="preserve"> condições de cobertura dos riscos de invalidez e morte, quando oferecidas durante a fase de diferimento, com a indicação do critério para seu custeio;</w:t>
            </w:r>
          </w:p>
        </w:tc>
        <w:tc>
          <w:tcPr>
            <w:tcW w:w="1679" w:type="pct"/>
            <w:tcBorders>
              <w:top w:val="nil"/>
              <w:left w:val="nil"/>
              <w:bottom w:val="single" w:sz="4" w:space="0" w:color="auto"/>
              <w:right w:val="single" w:sz="4" w:space="0" w:color="auto"/>
            </w:tcBorders>
            <w:shd w:val="clear" w:color="auto" w:fill="auto"/>
            <w:vAlign w:val="center"/>
            <w:hideMark/>
          </w:tcPr>
          <w:p w14:paraId="3DF4593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07D3D9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6C18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o critério para o custeio de déficits ou de serviço passado, quando aplicável; </w:t>
            </w:r>
          </w:p>
        </w:tc>
        <w:tc>
          <w:tcPr>
            <w:tcW w:w="1660" w:type="pct"/>
            <w:tcBorders>
              <w:top w:val="nil"/>
              <w:left w:val="nil"/>
              <w:bottom w:val="single" w:sz="4" w:space="0" w:color="auto"/>
              <w:right w:val="single" w:sz="4" w:space="0" w:color="auto"/>
            </w:tcBorders>
            <w:shd w:val="clear" w:color="auto" w:fill="auto"/>
            <w:vAlign w:val="center"/>
            <w:hideMark/>
          </w:tcPr>
          <w:p w14:paraId="62F577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o critério para o custeio de déficits ou de serviço passado, quando aplicável;</w:t>
            </w:r>
          </w:p>
        </w:tc>
        <w:tc>
          <w:tcPr>
            <w:tcW w:w="1679" w:type="pct"/>
            <w:tcBorders>
              <w:top w:val="nil"/>
              <w:left w:val="nil"/>
              <w:bottom w:val="single" w:sz="4" w:space="0" w:color="auto"/>
              <w:right w:val="single" w:sz="4" w:space="0" w:color="auto"/>
            </w:tcBorders>
            <w:shd w:val="clear" w:color="auto" w:fill="auto"/>
            <w:vAlign w:val="center"/>
            <w:hideMark/>
          </w:tcPr>
          <w:p w14:paraId="7DE39FF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E23894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B1C3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das despesas administrativas, conforme definido em plano de custeio; e </w:t>
            </w:r>
          </w:p>
        </w:tc>
        <w:tc>
          <w:tcPr>
            <w:tcW w:w="1660" w:type="pct"/>
            <w:tcBorders>
              <w:top w:val="nil"/>
              <w:left w:val="nil"/>
              <w:bottom w:val="single" w:sz="4" w:space="0" w:color="auto"/>
              <w:right w:val="single" w:sz="4" w:space="0" w:color="auto"/>
            </w:tcBorders>
            <w:shd w:val="clear" w:color="auto" w:fill="auto"/>
            <w:vAlign w:val="center"/>
            <w:hideMark/>
          </w:tcPr>
          <w:p w14:paraId="61AE44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das despesas administrativas, conforme definido em plano de custeio; e </w:t>
            </w:r>
          </w:p>
        </w:tc>
        <w:tc>
          <w:tcPr>
            <w:tcW w:w="1679" w:type="pct"/>
            <w:tcBorders>
              <w:top w:val="nil"/>
              <w:left w:val="nil"/>
              <w:bottom w:val="single" w:sz="4" w:space="0" w:color="auto"/>
              <w:right w:val="single" w:sz="4" w:space="0" w:color="auto"/>
            </w:tcBorders>
            <w:shd w:val="clear" w:color="auto" w:fill="auto"/>
            <w:vAlign w:val="center"/>
            <w:hideMark/>
          </w:tcPr>
          <w:p w14:paraId="757B817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FB73BA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554B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a atualização do seu valor. </w:t>
            </w:r>
          </w:p>
        </w:tc>
        <w:tc>
          <w:tcPr>
            <w:tcW w:w="1660" w:type="pct"/>
            <w:tcBorders>
              <w:top w:val="nil"/>
              <w:left w:val="nil"/>
              <w:bottom w:val="single" w:sz="4" w:space="0" w:color="auto"/>
              <w:right w:val="single" w:sz="4" w:space="0" w:color="auto"/>
            </w:tcBorders>
            <w:shd w:val="clear" w:color="auto" w:fill="auto"/>
            <w:vAlign w:val="center"/>
            <w:hideMark/>
          </w:tcPr>
          <w:p w14:paraId="67393D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a atualização do seu valor.  </w:t>
            </w:r>
          </w:p>
        </w:tc>
        <w:tc>
          <w:tcPr>
            <w:tcW w:w="1679" w:type="pct"/>
            <w:tcBorders>
              <w:top w:val="nil"/>
              <w:left w:val="nil"/>
              <w:bottom w:val="single" w:sz="4" w:space="0" w:color="auto"/>
              <w:right w:val="single" w:sz="4" w:space="0" w:color="auto"/>
            </w:tcBorders>
            <w:shd w:val="clear" w:color="auto" w:fill="auto"/>
            <w:vAlign w:val="center"/>
            <w:hideMark/>
          </w:tcPr>
          <w:p w14:paraId="19F178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0828C8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77A5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 EFPC, no extrato previdenciário, em relação ao instituto do benefício proporcional diferido, deve: </w:t>
            </w:r>
          </w:p>
        </w:tc>
        <w:tc>
          <w:tcPr>
            <w:tcW w:w="1660" w:type="pct"/>
            <w:tcBorders>
              <w:top w:val="nil"/>
              <w:left w:val="nil"/>
              <w:bottom w:val="single" w:sz="4" w:space="0" w:color="auto"/>
              <w:right w:val="single" w:sz="4" w:space="0" w:color="auto"/>
            </w:tcBorders>
            <w:shd w:val="clear" w:color="auto" w:fill="auto"/>
            <w:vAlign w:val="center"/>
            <w:hideMark/>
          </w:tcPr>
          <w:p w14:paraId="700C25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 EFPC, no extrato previdenciário, em relação ao instituto do benefício proporcional diferido, deve: </w:t>
            </w:r>
          </w:p>
        </w:tc>
        <w:tc>
          <w:tcPr>
            <w:tcW w:w="1679" w:type="pct"/>
            <w:tcBorders>
              <w:top w:val="nil"/>
              <w:left w:val="nil"/>
              <w:bottom w:val="single" w:sz="4" w:space="0" w:color="auto"/>
              <w:right w:val="single" w:sz="4" w:space="0" w:color="auto"/>
            </w:tcBorders>
            <w:shd w:val="clear" w:color="auto" w:fill="auto"/>
            <w:vAlign w:val="center"/>
            <w:hideMark/>
          </w:tcPr>
          <w:p w14:paraId="1D102C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1DCD70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55FF5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informar</w:t>
            </w:r>
            <w:proofErr w:type="gramEnd"/>
            <w:r w:rsidRPr="00704883">
              <w:rPr>
                <w:rFonts w:ascii="Calibri" w:eastAsia="Times New Roman" w:hAnsi="Calibri" w:cs="Calibri"/>
                <w:color w:val="000000"/>
                <w:sz w:val="24"/>
                <w:szCs w:val="24"/>
                <w:lang w:eastAsia="pt-BR"/>
              </w:rPr>
              <w:t xml:space="preserve"> as premissas utilizadas no cálculo da estimativa de que trata o inciso I do caput; e</w:t>
            </w:r>
          </w:p>
        </w:tc>
        <w:tc>
          <w:tcPr>
            <w:tcW w:w="1660" w:type="pct"/>
            <w:tcBorders>
              <w:top w:val="nil"/>
              <w:left w:val="nil"/>
              <w:bottom w:val="single" w:sz="4" w:space="0" w:color="auto"/>
              <w:right w:val="single" w:sz="4" w:space="0" w:color="auto"/>
            </w:tcBorders>
            <w:shd w:val="clear" w:color="auto" w:fill="auto"/>
            <w:vAlign w:val="center"/>
            <w:hideMark/>
          </w:tcPr>
          <w:p w14:paraId="2D31A6D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informar</w:t>
            </w:r>
            <w:proofErr w:type="gramEnd"/>
            <w:r w:rsidRPr="00704883">
              <w:rPr>
                <w:rFonts w:ascii="Calibri" w:eastAsia="Times New Roman" w:hAnsi="Calibri" w:cs="Calibri"/>
                <w:color w:val="000000"/>
                <w:sz w:val="24"/>
                <w:szCs w:val="24"/>
                <w:lang w:eastAsia="pt-BR"/>
              </w:rPr>
              <w:t xml:space="preserve"> as premissas utilizadas no cálculo da estimativa de que trata o inciso 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e</w:t>
            </w:r>
          </w:p>
        </w:tc>
        <w:tc>
          <w:tcPr>
            <w:tcW w:w="1679" w:type="pct"/>
            <w:tcBorders>
              <w:top w:val="nil"/>
              <w:left w:val="nil"/>
              <w:bottom w:val="single" w:sz="4" w:space="0" w:color="auto"/>
              <w:right w:val="single" w:sz="4" w:space="0" w:color="auto"/>
            </w:tcBorders>
            <w:shd w:val="clear" w:color="auto" w:fill="auto"/>
            <w:vAlign w:val="center"/>
            <w:hideMark/>
          </w:tcPr>
          <w:p w14:paraId="64D95D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2FCC750"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31AD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destacar</w:t>
            </w:r>
            <w:proofErr w:type="gramEnd"/>
            <w:r w:rsidRPr="00704883">
              <w:rPr>
                <w:rFonts w:ascii="Calibri" w:eastAsia="Times New Roman" w:hAnsi="Calibri" w:cs="Calibri"/>
                <w:color w:val="000000"/>
                <w:sz w:val="24"/>
                <w:szCs w:val="24"/>
                <w:lang w:eastAsia="pt-BR"/>
              </w:rPr>
              <w:t xml:space="preserve"> que o valor do benefício, quando o plano estiver configurado na modalidade de contribuição definida, dependerá da remuneração apropriada ao saldo da conta individual mantida em favor do participante.</w:t>
            </w:r>
          </w:p>
        </w:tc>
        <w:tc>
          <w:tcPr>
            <w:tcW w:w="1660" w:type="pct"/>
            <w:tcBorders>
              <w:top w:val="nil"/>
              <w:left w:val="nil"/>
              <w:bottom w:val="single" w:sz="4" w:space="0" w:color="auto"/>
              <w:right w:val="single" w:sz="4" w:space="0" w:color="auto"/>
            </w:tcBorders>
            <w:shd w:val="clear" w:color="auto" w:fill="auto"/>
            <w:vAlign w:val="center"/>
            <w:hideMark/>
          </w:tcPr>
          <w:p w14:paraId="5CD2AF6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destacar</w:t>
            </w:r>
            <w:proofErr w:type="gramEnd"/>
            <w:r w:rsidRPr="00704883">
              <w:rPr>
                <w:rFonts w:ascii="Calibri" w:eastAsia="Times New Roman" w:hAnsi="Calibri" w:cs="Calibri"/>
                <w:color w:val="000000"/>
                <w:sz w:val="24"/>
                <w:szCs w:val="24"/>
                <w:lang w:eastAsia="pt-BR"/>
              </w:rPr>
              <w:t xml:space="preserve"> que o valor do benefício, quando o plano estiver configurado na modalidade de contribuição definida, dependerá da remuneração apropriada ao saldo da conta individual mantida em favor do participante.</w:t>
            </w:r>
          </w:p>
        </w:tc>
        <w:tc>
          <w:tcPr>
            <w:tcW w:w="1679" w:type="pct"/>
            <w:tcBorders>
              <w:top w:val="nil"/>
              <w:left w:val="nil"/>
              <w:bottom w:val="single" w:sz="4" w:space="0" w:color="auto"/>
              <w:right w:val="single" w:sz="4" w:space="0" w:color="auto"/>
            </w:tcBorders>
            <w:shd w:val="clear" w:color="auto" w:fill="auto"/>
            <w:vAlign w:val="center"/>
            <w:hideMark/>
          </w:tcPr>
          <w:p w14:paraId="199EFA8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D8594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676EE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O extrato previdenciário deve conter, no mínimo, em relação ao instituto da portabilidade: </w:t>
            </w:r>
          </w:p>
        </w:tc>
        <w:tc>
          <w:tcPr>
            <w:tcW w:w="1660" w:type="pct"/>
            <w:tcBorders>
              <w:top w:val="nil"/>
              <w:left w:val="nil"/>
              <w:bottom w:val="single" w:sz="4" w:space="0" w:color="auto"/>
              <w:right w:val="single" w:sz="4" w:space="0" w:color="auto"/>
            </w:tcBorders>
            <w:shd w:val="clear" w:color="auto" w:fill="auto"/>
            <w:vAlign w:val="center"/>
            <w:hideMark/>
          </w:tcPr>
          <w:p w14:paraId="0B9A25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133.  O extrato previdenciário deve conter, no mínimo, em relação ao instituto da portabilidade: </w:t>
            </w:r>
          </w:p>
        </w:tc>
        <w:tc>
          <w:tcPr>
            <w:tcW w:w="1679" w:type="pct"/>
            <w:tcBorders>
              <w:top w:val="nil"/>
              <w:left w:val="nil"/>
              <w:bottom w:val="single" w:sz="4" w:space="0" w:color="auto"/>
              <w:right w:val="single" w:sz="4" w:space="0" w:color="auto"/>
            </w:tcBorders>
            <w:shd w:val="clear" w:color="auto" w:fill="auto"/>
            <w:vAlign w:val="center"/>
            <w:hideMark/>
          </w:tcPr>
          <w:p w14:paraId="33AEFAC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EFEB8C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E695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correspondente ao direito acumulado no plano de benefícios, com a demonstração do cálculo, segregado entre contribuições do participante e do patrocinador; </w:t>
            </w:r>
          </w:p>
        </w:tc>
        <w:tc>
          <w:tcPr>
            <w:tcW w:w="1660" w:type="pct"/>
            <w:tcBorders>
              <w:top w:val="nil"/>
              <w:left w:val="nil"/>
              <w:bottom w:val="single" w:sz="4" w:space="0" w:color="auto"/>
              <w:right w:val="single" w:sz="4" w:space="0" w:color="auto"/>
            </w:tcBorders>
            <w:shd w:val="clear" w:color="auto" w:fill="auto"/>
            <w:vAlign w:val="center"/>
            <w:hideMark/>
          </w:tcPr>
          <w:p w14:paraId="010B91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correspondente ao direito acumulado no plano de benefícios, com a demonstração do cálculo, segregado entre contribuições do participante e do patrocinador;</w:t>
            </w:r>
          </w:p>
        </w:tc>
        <w:tc>
          <w:tcPr>
            <w:tcW w:w="1679" w:type="pct"/>
            <w:tcBorders>
              <w:top w:val="nil"/>
              <w:left w:val="nil"/>
              <w:bottom w:val="single" w:sz="4" w:space="0" w:color="auto"/>
              <w:right w:val="single" w:sz="4" w:space="0" w:color="auto"/>
            </w:tcBorders>
            <w:shd w:val="clear" w:color="auto" w:fill="auto"/>
            <w:vAlign w:val="center"/>
            <w:hideMark/>
          </w:tcPr>
          <w:p w14:paraId="33E3A35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8A2B287"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03335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 </w:t>
            </w:r>
          </w:p>
        </w:tc>
        <w:tc>
          <w:tcPr>
            <w:tcW w:w="1660" w:type="pct"/>
            <w:tcBorders>
              <w:top w:val="nil"/>
              <w:left w:val="nil"/>
              <w:bottom w:val="single" w:sz="4" w:space="0" w:color="auto"/>
              <w:right w:val="single" w:sz="4" w:space="0" w:color="auto"/>
            </w:tcBorders>
            <w:shd w:val="clear" w:color="auto" w:fill="auto"/>
            <w:vAlign w:val="center"/>
            <w:hideMark/>
          </w:tcPr>
          <w:p w14:paraId="0ED4B98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1679" w:type="pct"/>
            <w:tcBorders>
              <w:top w:val="nil"/>
              <w:left w:val="nil"/>
              <w:bottom w:val="single" w:sz="4" w:space="0" w:color="auto"/>
              <w:right w:val="single" w:sz="4" w:space="0" w:color="auto"/>
            </w:tcBorders>
            <w:shd w:val="clear" w:color="auto" w:fill="auto"/>
            <w:vAlign w:val="center"/>
            <w:hideMark/>
          </w:tcPr>
          <w:p w14:paraId="11DEBA6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800E0B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A7B1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o valor das contribuições extraordinárias e dos resultados deficitários não equacionados cabíveis ao participante; </w:t>
            </w:r>
          </w:p>
        </w:tc>
        <w:tc>
          <w:tcPr>
            <w:tcW w:w="1660" w:type="pct"/>
            <w:tcBorders>
              <w:top w:val="nil"/>
              <w:left w:val="nil"/>
              <w:bottom w:val="single" w:sz="4" w:space="0" w:color="auto"/>
              <w:right w:val="single" w:sz="4" w:space="0" w:color="auto"/>
            </w:tcBorders>
            <w:shd w:val="clear" w:color="auto" w:fill="auto"/>
            <w:vAlign w:val="center"/>
            <w:hideMark/>
          </w:tcPr>
          <w:p w14:paraId="3041CD9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o valor das contribuições extraordinárias e dos resultados deficitários não equacionados cabíveis ao participante;</w:t>
            </w:r>
          </w:p>
        </w:tc>
        <w:tc>
          <w:tcPr>
            <w:tcW w:w="1679" w:type="pct"/>
            <w:tcBorders>
              <w:top w:val="nil"/>
              <w:left w:val="nil"/>
              <w:bottom w:val="single" w:sz="4" w:space="0" w:color="auto"/>
              <w:right w:val="single" w:sz="4" w:space="0" w:color="auto"/>
            </w:tcBorders>
            <w:shd w:val="clear" w:color="auto" w:fill="auto"/>
            <w:vAlign w:val="center"/>
            <w:hideMark/>
          </w:tcPr>
          <w:p w14:paraId="67782A6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564A2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B947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de outros débitos do participante em relação ao plano de benefícios, inclusive aqueles decorrentes de operações da EFPC com o participante; e </w:t>
            </w:r>
          </w:p>
        </w:tc>
        <w:tc>
          <w:tcPr>
            <w:tcW w:w="1660" w:type="pct"/>
            <w:tcBorders>
              <w:top w:val="nil"/>
              <w:left w:val="nil"/>
              <w:bottom w:val="single" w:sz="4" w:space="0" w:color="auto"/>
              <w:right w:val="single" w:sz="4" w:space="0" w:color="auto"/>
            </w:tcBorders>
            <w:shd w:val="clear" w:color="auto" w:fill="auto"/>
            <w:vAlign w:val="center"/>
            <w:hideMark/>
          </w:tcPr>
          <w:p w14:paraId="72F18D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de outros débitos do participante em relação ao plano de benefícios, inclusive aqueles decorrentes de operações da EFPC com o participante; e </w:t>
            </w:r>
          </w:p>
        </w:tc>
        <w:tc>
          <w:tcPr>
            <w:tcW w:w="1679" w:type="pct"/>
            <w:tcBorders>
              <w:top w:val="nil"/>
              <w:left w:val="nil"/>
              <w:bottom w:val="single" w:sz="4" w:space="0" w:color="auto"/>
              <w:right w:val="single" w:sz="4" w:space="0" w:color="auto"/>
            </w:tcBorders>
            <w:shd w:val="clear" w:color="auto" w:fill="auto"/>
            <w:vAlign w:val="center"/>
            <w:hideMark/>
          </w:tcPr>
          <w:p w14:paraId="37CC2FE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7A750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6835A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a atualização dos valores informados, nos termos dos incisos I a IV, entre a data-base de cálculo e a data de sua efetiva transferência. </w:t>
            </w:r>
          </w:p>
        </w:tc>
        <w:tc>
          <w:tcPr>
            <w:tcW w:w="1660" w:type="pct"/>
            <w:tcBorders>
              <w:top w:val="nil"/>
              <w:left w:val="nil"/>
              <w:bottom w:val="single" w:sz="4" w:space="0" w:color="auto"/>
              <w:right w:val="single" w:sz="4" w:space="0" w:color="auto"/>
            </w:tcBorders>
            <w:shd w:val="clear" w:color="auto" w:fill="auto"/>
            <w:vAlign w:val="center"/>
            <w:hideMark/>
          </w:tcPr>
          <w:p w14:paraId="64DE2B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a atualização dos valores informados, nos termos dos incisos I a IV, entre a data-base de cálculo e a data de sua efetiva transferência.</w:t>
            </w:r>
          </w:p>
        </w:tc>
        <w:tc>
          <w:tcPr>
            <w:tcW w:w="1679" w:type="pct"/>
            <w:tcBorders>
              <w:top w:val="nil"/>
              <w:left w:val="nil"/>
              <w:bottom w:val="single" w:sz="4" w:space="0" w:color="auto"/>
              <w:right w:val="single" w:sz="4" w:space="0" w:color="auto"/>
            </w:tcBorders>
            <w:shd w:val="clear" w:color="auto" w:fill="auto"/>
            <w:vAlign w:val="center"/>
            <w:hideMark/>
          </w:tcPr>
          <w:p w14:paraId="3A35729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B2FF2B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E799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Art. 6º O extrato previdenciário deve conter, no mínimo, em relação ao instituto do resgate:</w:t>
            </w:r>
          </w:p>
        </w:tc>
        <w:tc>
          <w:tcPr>
            <w:tcW w:w="1660" w:type="pct"/>
            <w:tcBorders>
              <w:top w:val="nil"/>
              <w:left w:val="nil"/>
              <w:bottom w:val="single" w:sz="4" w:space="0" w:color="auto"/>
              <w:right w:val="single" w:sz="4" w:space="0" w:color="auto"/>
            </w:tcBorders>
            <w:shd w:val="clear" w:color="auto" w:fill="auto"/>
            <w:vAlign w:val="center"/>
            <w:hideMark/>
          </w:tcPr>
          <w:p w14:paraId="5AEF30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134.  O extrato previdenciário deve conter, no mínimo, em relação ao instituto do resgate:</w:t>
            </w:r>
          </w:p>
        </w:tc>
        <w:tc>
          <w:tcPr>
            <w:tcW w:w="1679" w:type="pct"/>
            <w:tcBorders>
              <w:top w:val="nil"/>
              <w:left w:val="nil"/>
              <w:bottom w:val="single" w:sz="4" w:space="0" w:color="auto"/>
              <w:right w:val="single" w:sz="4" w:space="0" w:color="auto"/>
            </w:tcBorders>
            <w:shd w:val="clear" w:color="auto" w:fill="auto"/>
            <w:vAlign w:val="center"/>
            <w:hideMark/>
          </w:tcPr>
          <w:p w14:paraId="2513299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D74A72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7EC39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caso de resgate integral: </w:t>
            </w:r>
          </w:p>
        </w:tc>
        <w:tc>
          <w:tcPr>
            <w:tcW w:w="1660" w:type="pct"/>
            <w:tcBorders>
              <w:top w:val="nil"/>
              <w:left w:val="nil"/>
              <w:bottom w:val="single" w:sz="4" w:space="0" w:color="auto"/>
              <w:right w:val="single" w:sz="4" w:space="0" w:color="auto"/>
            </w:tcBorders>
            <w:shd w:val="clear" w:color="auto" w:fill="auto"/>
            <w:vAlign w:val="center"/>
            <w:hideMark/>
          </w:tcPr>
          <w:p w14:paraId="7F22A71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caso de resgate integral: </w:t>
            </w:r>
          </w:p>
        </w:tc>
        <w:tc>
          <w:tcPr>
            <w:tcW w:w="1679" w:type="pct"/>
            <w:tcBorders>
              <w:top w:val="nil"/>
              <w:left w:val="nil"/>
              <w:bottom w:val="single" w:sz="4" w:space="0" w:color="auto"/>
              <w:right w:val="single" w:sz="4" w:space="0" w:color="auto"/>
            </w:tcBorders>
            <w:shd w:val="clear" w:color="auto" w:fill="auto"/>
            <w:vAlign w:val="center"/>
            <w:hideMark/>
          </w:tcPr>
          <w:p w14:paraId="6F71D7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9469B6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3CCB0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o respectivo valor, com a demonstração do cálculo, segregado entre contribuições do participante e do patrocinador; </w:t>
            </w:r>
          </w:p>
        </w:tc>
        <w:tc>
          <w:tcPr>
            <w:tcW w:w="1660" w:type="pct"/>
            <w:tcBorders>
              <w:top w:val="nil"/>
              <w:left w:val="nil"/>
              <w:bottom w:val="single" w:sz="4" w:space="0" w:color="auto"/>
              <w:right w:val="single" w:sz="4" w:space="0" w:color="auto"/>
            </w:tcBorders>
            <w:shd w:val="clear" w:color="auto" w:fill="auto"/>
            <w:vAlign w:val="center"/>
            <w:hideMark/>
          </w:tcPr>
          <w:p w14:paraId="5A4663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 o respectivo valor, com a demonstração do cálculo, segregado entre contribuições do participante e do patrocinador;</w:t>
            </w:r>
          </w:p>
        </w:tc>
        <w:tc>
          <w:tcPr>
            <w:tcW w:w="1679" w:type="pct"/>
            <w:tcBorders>
              <w:top w:val="nil"/>
              <w:left w:val="nil"/>
              <w:bottom w:val="single" w:sz="4" w:space="0" w:color="auto"/>
              <w:right w:val="single" w:sz="4" w:space="0" w:color="auto"/>
            </w:tcBorders>
            <w:shd w:val="clear" w:color="auto" w:fill="auto"/>
            <w:vAlign w:val="center"/>
            <w:hideMark/>
          </w:tcPr>
          <w:p w14:paraId="59602A6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4DF996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C4F2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o valor de contribuições extraordinárias e resultados deficitários não equacionados cabíveis ao participante; </w:t>
            </w:r>
          </w:p>
        </w:tc>
        <w:tc>
          <w:tcPr>
            <w:tcW w:w="1660" w:type="pct"/>
            <w:tcBorders>
              <w:top w:val="nil"/>
              <w:left w:val="nil"/>
              <w:bottom w:val="single" w:sz="4" w:space="0" w:color="auto"/>
              <w:right w:val="single" w:sz="4" w:space="0" w:color="auto"/>
            </w:tcBorders>
            <w:shd w:val="clear" w:color="auto" w:fill="auto"/>
            <w:vAlign w:val="center"/>
            <w:hideMark/>
          </w:tcPr>
          <w:p w14:paraId="129C91A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b) o valor de contribuições extraordinárias e resultados deficitários não equacionados cabíveis ao participante;</w:t>
            </w:r>
          </w:p>
        </w:tc>
        <w:tc>
          <w:tcPr>
            <w:tcW w:w="1679" w:type="pct"/>
            <w:tcBorders>
              <w:top w:val="nil"/>
              <w:left w:val="nil"/>
              <w:bottom w:val="single" w:sz="4" w:space="0" w:color="auto"/>
              <w:right w:val="single" w:sz="4" w:space="0" w:color="auto"/>
            </w:tcBorders>
            <w:shd w:val="clear" w:color="auto" w:fill="auto"/>
            <w:vAlign w:val="center"/>
            <w:hideMark/>
          </w:tcPr>
          <w:p w14:paraId="1B8DAA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E5AA2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0DC1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o valor de outros débitos do participante em relação ao plano de benefícios, inclusive aquelas decorrentes de operações com participantes; e </w:t>
            </w:r>
          </w:p>
        </w:tc>
        <w:tc>
          <w:tcPr>
            <w:tcW w:w="1660" w:type="pct"/>
            <w:tcBorders>
              <w:top w:val="nil"/>
              <w:left w:val="nil"/>
              <w:bottom w:val="single" w:sz="4" w:space="0" w:color="auto"/>
              <w:right w:val="single" w:sz="4" w:space="0" w:color="auto"/>
            </w:tcBorders>
            <w:shd w:val="clear" w:color="auto" w:fill="auto"/>
            <w:vAlign w:val="center"/>
            <w:hideMark/>
          </w:tcPr>
          <w:p w14:paraId="77C893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o valor de outros débitos do participante em relação ao plano de benefícios, inclusive aquelas decorrentes de operações com participantes; e </w:t>
            </w:r>
          </w:p>
        </w:tc>
        <w:tc>
          <w:tcPr>
            <w:tcW w:w="1679" w:type="pct"/>
            <w:tcBorders>
              <w:top w:val="nil"/>
              <w:left w:val="nil"/>
              <w:bottom w:val="single" w:sz="4" w:space="0" w:color="auto"/>
              <w:right w:val="single" w:sz="4" w:space="0" w:color="auto"/>
            </w:tcBorders>
            <w:shd w:val="clear" w:color="auto" w:fill="auto"/>
            <w:vAlign w:val="center"/>
            <w:hideMark/>
          </w:tcPr>
          <w:p w14:paraId="64C6C0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FD126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0BDA5F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 o critério para a atualização dos valores informados, nos termos das alíneas “a” a “c”, entre a data-base de cálculo e a data do seu efetivo pagamento; e</w:t>
            </w:r>
          </w:p>
        </w:tc>
        <w:tc>
          <w:tcPr>
            <w:tcW w:w="1660" w:type="pct"/>
            <w:tcBorders>
              <w:top w:val="nil"/>
              <w:left w:val="nil"/>
              <w:bottom w:val="single" w:sz="4" w:space="0" w:color="auto"/>
              <w:right w:val="single" w:sz="4" w:space="0" w:color="auto"/>
            </w:tcBorders>
            <w:shd w:val="clear" w:color="auto" w:fill="auto"/>
            <w:vAlign w:val="center"/>
            <w:hideMark/>
          </w:tcPr>
          <w:p w14:paraId="06958C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 o critério para a atualização dos valores informados, nos termos das alíneas “a” a “c”, entre a data-base de cálculo e a data do seu efetivo pagamento; e</w:t>
            </w:r>
          </w:p>
        </w:tc>
        <w:tc>
          <w:tcPr>
            <w:tcW w:w="1679" w:type="pct"/>
            <w:tcBorders>
              <w:top w:val="nil"/>
              <w:left w:val="nil"/>
              <w:bottom w:val="single" w:sz="4" w:space="0" w:color="auto"/>
              <w:right w:val="single" w:sz="4" w:space="0" w:color="auto"/>
            </w:tcBorders>
            <w:shd w:val="clear" w:color="auto" w:fill="auto"/>
            <w:vAlign w:val="center"/>
            <w:hideMark/>
          </w:tcPr>
          <w:p w14:paraId="322E01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58BF1B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CB703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caso de resgate parcial: </w:t>
            </w:r>
          </w:p>
        </w:tc>
        <w:tc>
          <w:tcPr>
            <w:tcW w:w="1660" w:type="pct"/>
            <w:tcBorders>
              <w:top w:val="nil"/>
              <w:left w:val="nil"/>
              <w:bottom w:val="single" w:sz="4" w:space="0" w:color="auto"/>
              <w:right w:val="single" w:sz="4" w:space="0" w:color="auto"/>
            </w:tcBorders>
            <w:shd w:val="clear" w:color="auto" w:fill="auto"/>
            <w:vAlign w:val="center"/>
            <w:hideMark/>
          </w:tcPr>
          <w:p w14:paraId="4411B3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caso de resgate parcial: </w:t>
            </w:r>
          </w:p>
        </w:tc>
        <w:tc>
          <w:tcPr>
            <w:tcW w:w="1679" w:type="pct"/>
            <w:tcBorders>
              <w:top w:val="nil"/>
              <w:left w:val="nil"/>
              <w:bottom w:val="single" w:sz="4" w:space="0" w:color="auto"/>
              <w:right w:val="single" w:sz="4" w:space="0" w:color="auto"/>
            </w:tcBorders>
            <w:shd w:val="clear" w:color="auto" w:fill="auto"/>
            <w:vAlign w:val="center"/>
            <w:hideMark/>
          </w:tcPr>
          <w:p w14:paraId="760FC1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5390BF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C555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 o percentual respectivo, observado o disposto no regulamento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5169E1F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 o percentual respectivo, observado o disposto no regulamento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660E149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964F98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8C1F0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b) a demonstração do cálculo, segregado entre contribuições do participante e do patrocinador; </w:t>
            </w:r>
          </w:p>
        </w:tc>
        <w:tc>
          <w:tcPr>
            <w:tcW w:w="1660" w:type="pct"/>
            <w:tcBorders>
              <w:top w:val="nil"/>
              <w:left w:val="nil"/>
              <w:bottom w:val="single" w:sz="4" w:space="0" w:color="auto"/>
              <w:right w:val="single" w:sz="4" w:space="0" w:color="auto"/>
            </w:tcBorders>
            <w:shd w:val="clear" w:color="auto" w:fill="auto"/>
            <w:vAlign w:val="center"/>
            <w:hideMark/>
          </w:tcPr>
          <w:p w14:paraId="728E25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b) a demonstração do cálculo, segregado entre contribuições do participante e do patrocinador;</w:t>
            </w:r>
          </w:p>
        </w:tc>
        <w:tc>
          <w:tcPr>
            <w:tcW w:w="1679" w:type="pct"/>
            <w:tcBorders>
              <w:top w:val="nil"/>
              <w:left w:val="nil"/>
              <w:bottom w:val="single" w:sz="4" w:space="0" w:color="auto"/>
              <w:right w:val="single" w:sz="4" w:space="0" w:color="auto"/>
            </w:tcBorders>
            <w:shd w:val="clear" w:color="auto" w:fill="auto"/>
            <w:vAlign w:val="center"/>
            <w:hideMark/>
          </w:tcPr>
          <w:p w14:paraId="525106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6454A4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C58C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c) o critério para a atualização do valor informado, nos termos da alínea “a”, entre a data-base de cálculo e a data do seu efetivo pagamento. </w:t>
            </w:r>
          </w:p>
        </w:tc>
        <w:tc>
          <w:tcPr>
            <w:tcW w:w="1660" w:type="pct"/>
            <w:tcBorders>
              <w:top w:val="nil"/>
              <w:left w:val="nil"/>
              <w:bottom w:val="single" w:sz="4" w:space="0" w:color="auto"/>
              <w:right w:val="single" w:sz="4" w:space="0" w:color="auto"/>
            </w:tcBorders>
            <w:shd w:val="clear" w:color="auto" w:fill="auto"/>
            <w:vAlign w:val="center"/>
            <w:hideMark/>
          </w:tcPr>
          <w:p w14:paraId="12A090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 o critério para a atualização do valor informado, nos termos da alínea “a”, entre a data-base de cálculo e a data do seu efetivo pagamento.</w:t>
            </w:r>
          </w:p>
        </w:tc>
        <w:tc>
          <w:tcPr>
            <w:tcW w:w="1679" w:type="pct"/>
            <w:tcBorders>
              <w:top w:val="nil"/>
              <w:left w:val="nil"/>
              <w:bottom w:val="single" w:sz="4" w:space="0" w:color="auto"/>
              <w:right w:val="single" w:sz="4" w:space="0" w:color="auto"/>
            </w:tcBorders>
            <w:shd w:val="clear" w:color="auto" w:fill="auto"/>
            <w:vAlign w:val="center"/>
            <w:hideMark/>
          </w:tcPr>
          <w:p w14:paraId="34DE7BE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17971D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B405A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O extrato previdenciário deve conter informações sobre a opção de tributação do participante e a estimativa da alíquota incidente e do valor líquido para o resgate.</w:t>
            </w:r>
          </w:p>
        </w:tc>
        <w:tc>
          <w:tcPr>
            <w:tcW w:w="1660" w:type="pct"/>
            <w:tcBorders>
              <w:top w:val="nil"/>
              <w:left w:val="nil"/>
              <w:bottom w:val="single" w:sz="4" w:space="0" w:color="auto"/>
              <w:right w:val="single" w:sz="4" w:space="0" w:color="auto"/>
            </w:tcBorders>
            <w:shd w:val="clear" w:color="auto" w:fill="auto"/>
            <w:vAlign w:val="center"/>
            <w:hideMark/>
          </w:tcPr>
          <w:p w14:paraId="2EEDA9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O extrato previdenciário deve conter informações sobre a opção de tributação do participante e a estimativa da alíquota incidente e do valor líquido para o resgate.</w:t>
            </w:r>
          </w:p>
        </w:tc>
        <w:tc>
          <w:tcPr>
            <w:tcW w:w="1679" w:type="pct"/>
            <w:tcBorders>
              <w:top w:val="nil"/>
              <w:left w:val="nil"/>
              <w:bottom w:val="single" w:sz="4" w:space="0" w:color="auto"/>
              <w:right w:val="single" w:sz="4" w:space="0" w:color="auto"/>
            </w:tcBorders>
            <w:shd w:val="clear" w:color="auto" w:fill="auto"/>
            <w:vAlign w:val="center"/>
            <w:hideMark/>
          </w:tcPr>
          <w:p w14:paraId="6E9692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9E344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B113B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7º O extrato previdenciário deve conter, no mínimo, em relação ao instituto do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w:t>
            </w:r>
          </w:p>
        </w:tc>
        <w:tc>
          <w:tcPr>
            <w:tcW w:w="1660" w:type="pct"/>
            <w:tcBorders>
              <w:top w:val="nil"/>
              <w:left w:val="nil"/>
              <w:bottom w:val="single" w:sz="4" w:space="0" w:color="auto"/>
              <w:right w:val="single" w:sz="4" w:space="0" w:color="auto"/>
            </w:tcBorders>
            <w:shd w:val="clear" w:color="auto" w:fill="auto"/>
            <w:vAlign w:val="center"/>
            <w:hideMark/>
          </w:tcPr>
          <w:p w14:paraId="6F2CC9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135.  O extrato previdenciário deve conter, no mínimo, em relação ao instituto do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244B58E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4089F4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547DD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base de remuneração, para fins de contribuição, e o critério para a sua atualização; </w:t>
            </w:r>
          </w:p>
        </w:tc>
        <w:tc>
          <w:tcPr>
            <w:tcW w:w="1660" w:type="pct"/>
            <w:tcBorders>
              <w:top w:val="nil"/>
              <w:left w:val="nil"/>
              <w:bottom w:val="single" w:sz="4" w:space="0" w:color="auto"/>
              <w:right w:val="single" w:sz="4" w:space="0" w:color="auto"/>
            </w:tcBorders>
            <w:shd w:val="clear" w:color="auto" w:fill="auto"/>
            <w:vAlign w:val="center"/>
            <w:hideMark/>
          </w:tcPr>
          <w:p w14:paraId="711619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base de remuneração, para fins de contribuição, e o critério para a sua atualização;</w:t>
            </w:r>
          </w:p>
        </w:tc>
        <w:tc>
          <w:tcPr>
            <w:tcW w:w="1679" w:type="pct"/>
            <w:tcBorders>
              <w:top w:val="nil"/>
              <w:left w:val="nil"/>
              <w:bottom w:val="single" w:sz="4" w:space="0" w:color="auto"/>
              <w:right w:val="single" w:sz="4" w:space="0" w:color="auto"/>
            </w:tcBorders>
            <w:shd w:val="clear" w:color="auto" w:fill="auto"/>
            <w:vAlign w:val="center"/>
            <w:hideMark/>
          </w:tcPr>
          <w:p w14:paraId="77CA39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1DFC0A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9D21FB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percentual ou valor da contribuição e o critério para a sua atualização ou alteração, se for o caso, conforme definido em plano de custeio; </w:t>
            </w:r>
          </w:p>
        </w:tc>
        <w:tc>
          <w:tcPr>
            <w:tcW w:w="1660" w:type="pct"/>
            <w:tcBorders>
              <w:top w:val="nil"/>
              <w:left w:val="nil"/>
              <w:bottom w:val="single" w:sz="4" w:space="0" w:color="auto"/>
              <w:right w:val="single" w:sz="4" w:space="0" w:color="auto"/>
            </w:tcBorders>
            <w:shd w:val="clear" w:color="auto" w:fill="auto"/>
            <w:vAlign w:val="center"/>
            <w:hideMark/>
          </w:tcPr>
          <w:p w14:paraId="0D174B3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percentual ou valor da contribuição e o critério para a sua atualização ou alteração, se for o caso, conforme definido em plano de custeio;</w:t>
            </w:r>
          </w:p>
        </w:tc>
        <w:tc>
          <w:tcPr>
            <w:tcW w:w="1679" w:type="pct"/>
            <w:tcBorders>
              <w:top w:val="nil"/>
              <w:left w:val="nil"/>
              <w:bottom w:val="single" w:sz="4" w:space="0" w:color="auto"/>
              <w:right w:val="single" w:sz="4" w:space="0" w:color="auto"/>
            </w:tcBorders>
            <w:shd w:val="clear" w:color="auto" w:fill="auto"/>
            <w:vAlign w:val="center"/>
            <w:hideMark/>
          </w:tcPr>
          <w:p w14:paraId="51ACEBD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2CC0E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EE15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as condições de cobertura dos riscos de invalidez e de morte durante a fase de contribuição, quando previstas em regulamento, com a indicação do critério para seu custeio; </w:t>
            </w:r>
          </w:p>
        </w:tc>
        <w:tc>
          <w:tcPr>
            <w:tcW w:w="1660" w:type="pct"/>
            <w:tcBorders>
              <w:top w:val="nil"/>
              <w:left w:val="nil"/>
              <w:bottom w:val="single" w:sz="4" w:space="0" w:color="auto"/>
              <w:right w:val="single" w:sz="4" w:space="0" w:color="auto"/>
            </w:tcBorders>
            <w:shd w:val="clear" w:color="auto" w:fill="auto"/>
            <w:vAlign w:val="center"/>
            <w:hideMark/>
          </w:tcPr>
          <w:p w14:paraId="5BCA9C3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as condições de cobertura dos riscos de invalidez e de morte durante a fase de contribuição, quando previstas em regulamento, com a indicação do critério para seu custeio;</w:t>
            </w:r>
          </w:p>
        </w:tc>
        <w:tc>
          <w:tcPr>
            <w:tcW w:w="1679" w:type="pct"/>
            <w:tcBorders>
              <w:top w:val="nil"/>
              <w:left w:val="nil"/>
              <w:bottom w:val="single" w:sz="4" w:space="0" w:color="auto"/>
              <w:right w:val="single" w:sz="4" w:space="0" w:color="auto"/>
            </w:tcBorders>
            <w:shd w:val="clear" w:color="auto" w:fill="auto"/>
            <w:vAlign w:val="center"/>
            <w:hideMark/>
          </w:tcPr>
          <w:p w14:paraId="06D833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AD8927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F196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de déficits ou de serviço passado, quando aplicável; e </w:t>
            </w:r>
          </w:p>
        </w:tc>
        <w:tc>
          <w:tcPr>
            <w:tcW w:w="1660" w:type="pct"/>
            <w:tcBorders>
              <w:top w:val="nil"/>
              <w:left w:val="nil"/>
              <w:bottom w:val="single" w:sz="4" w:space="0" w:color="auto"/>
              <w:right w:val="single" w:sz="4" w:space="0" w:color="auto"/>
            </w:tcBorders>
            <w:shd w:val="clear" w:color="auto" w:fill="auto"/>
            <w:vAlign w:val="center"/>
            <w:hideMark/>
          </w:tcPr>
          <w:p w14:paraId="69235B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de déficits ou de serviço passado, quando aplicável; e </w:t>
            </w:r>
          </w:p>
        </w:tc>
        <w:tc>
          <w:tcPr>
            <w:tcW w:w="1679" w:type="pct"/>
            <w:tcBorders>
              <w:top w:val="nil"/>
              <w:left w:val="nil"/>
              <w:bottom w:val="single" w:sz="4" w:space="0" w:color="auto"/>
              <w:right w:val="single" w:sz="4" w:space="0" w:color="auto"/>
            </w:tcBorders>
            <w:shd w:val="clear" w:color="auto" w:fill="auto"/>
            <w:vAlign w:val="center"/>
            <w:hideMark/>
          </w:tcPr>
          <w:p w14:paraId="0C85FA1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D44C03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786D2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das despesas administrativas definidas em plano de custeio. </w:t>
            </w:r>
          </w:p>
        </w:tc>
        <w:tc>
          <w:tcPr>
            <w:tcW w:w="1660" w:type="pct"/>
            <w:tcBorders>
              <w:top w:val="nil"/>
              <w:left w:val="nil"/>
              <w:bottom w:val="single" w:sz="4" w:space="0" w:color="auto"/>
              <w:right w:val="single" w:sz="4" w:space="0" w:color="auto"/>
            </w:tcBorders>
            <w:shd w:val="clear" w:color="auto" w:fill="auto"/>
            <w:vAlign w:val="center"/>
            <w:hideMark/>
          </w:tcPr>
          <w:p w14:paraId="73FF227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critério para o custeio das despesas administrativas definidas em plano de custeio.</w:t>
            </w:r>
          </w:p>
        </w:tc>
        <w:tc>
          <w:tcPr>
            <w:tcW w:w="1679" w:type="pct"/>
            <w:tcBorders>
              <w:top w:val="nil"/>
              <w:left w:val="nil"/>
              <w:bottom w:val="single" w:sz="4" w:space="0" w:color="auto"/>
              <w:right w:val="single" w:sz="4" w:space="0" w:color="auto"/>
            </w:tcBorders>
            <w:shd w:val="clear" w:color="auto" w:fill="auto"/>
            <w:vAlign w:val="center"/>
            <w:hideMark/>
          </w:tcPr>
          <w:p w14:paraId="1DD91D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03181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8E401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Termo de opção</w:t>
            </w:r>
          </w:p>
        </w:tc>
        <w:tc>
          <w:tcPr>
            <w:tcW w:w="1660" w:type="pct"/>
            <w:tcBorders>
              <w:top w:val="nil"/>
              <w:left w:val="nil"/>
              <w:bottom w:val="single" w:sz="4" w:space="0" w:color="auto"/>
              <w:right w:val="single" w:sz="4" w:space="0" w:color="auto"/>
            </w:tcBorders>
            <w:shd w:val="clear" w:color="auto" w:fill="auto"/>
            <w:vAlign w:val="center"/>
            <w:hideMark/>
          </w:tcPr>
          <w:p w14:paraId="093D8AD9"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III</w:t>
            </w:r>
            <w:r w:rsidRPr="00704883">
              <w:rPr>
                <w:rFonts w:ascii="Calibri" w:eastAsia="Times New Roman" w:hAnsi="Calibri" w:cs="Calibri"/>
                <w:b/>
                <w:bCs/>
                <w:color w:val="000000"/>
                <w:sz w:val="24"/>
                <w:szCs w:val="24"/>
                <w:lang w:eastAsia="pt-BR"/>
              </w:rPr>
              <w:br/>
              <w:t>Termo de opção</w:t>
            </w:r>
          </w:p>
        </w:tc>
        <w:tc>
          <w:tcPr>
            <w:tcW w:w="1679" w:type="pct"/>
            <w:tcBorders>
              <w:top w:val="nil"/>
              <w:left w:val="nil"/>
              <w:bottom w:val="single" w:sz="4" w:space="0" w:color="auto"/>
              <w:right w:val="single" w:sz="4" w:space="0" w:color="auto"/>
            </w:tcBorders>
            <w:shd w:val="clear" w:color="auto" w:fill="auto"/>
            <w:vAlign w:val="center"/>
            <w:hideMark/>
          </w:tcPr>
          <w:p w14:paraId="19046E2B"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1B42D65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C064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O participante deve formalizar sua opção pelos institutos por meio do preenchimento de termo de opção, disponibilizado pela EFPC em meio físico ou eletrônico, no prazo a que se refere o inciso XI do art. 2º. </w:t>
            </w:r>
          </w:p>
        </w:tc>
        <w:tc>
          <w:tcPr>
            <w:tcW w:w="1660" w:type="pct"/>
            <w:tcBorders>
              <w:top w:val="nil"/>
              <w:left w:val="nil"/>
              <w:bottom w:val="single" w:sz="4" w:space="0" w:color="auto"/>
              <w:right w:val="single" w:sz="4" w:space="0" w:color="auto"/>
            </w:tcBorders>
            <w:shd w:val="clear" w:color="auto" w:fill="auto"/>
            <w:vAlign w:val="center"/>
            <w:hideMark/>
          </w:tcPr>
          <w:p w14:paraId="46ECBCE0"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136.  O participante deve formalizar sua opção pelos institutos por meio do preenchimento de termo de opção, disponibilizado pela EFPC em meio físico ou eletrônico, no prazo a que se refere o inciso XI do art. 130.</w:t>
            </w:r>
          </w:p>
        </w:tc>
        <w:tc>
          <w:tcPr>
            <w:tcW w:w="1679" w:type="pct"/>
            <w:tcBorders>
              <w:top w:val="nil"/>
              <w:left w:val="nil"/>
              <w:bottom w:val="single" w:sz="4" w:space="0" w:color="auto"/>
              <w:right w:val="single" w:sz="4" w:space="0" w:color="auto"/>
            </w:tcBorders>
            <w:shd w:val="clear" w:color="auto" w:fill="auto"/>
            <w:vAlign w:val="center"/>
            <w:hideMark/>
          </w:tcPr>
          <w:p w14:paraId="0316C2FB"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0B79FBAC"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25F2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 termo de opção deve possibilitar a opção por mais de um instituto, mediante a combinação que mais aprouver ao participante, especialmente quando houver interesse no resgate parcial, observados os dispositivos pertinentes no regulamento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40E40E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080D90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C4A4897"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1B8A3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Na hipótese de questionamento, pelo participante, das informações constantes do extrato previdenciário, o prazo para opção a que se refere o caput deve ser suspenso até que sejam prestados, pela EFPC, os esclarecimentos pertinentes, observado o prazo de trinta dias, contados da data do questionamento. </w:t>
            </w:r>
          </w:p>
        </w:tc>
        <w:tc>
          <w:tcPr>
            <w:tcW w:w="1660" w:type="pct"/>
            <w:tcBorders>
              <w:top w:val="nil"/>
              <w:left w:val="nil"/>
              <w:bottom w:val="single" w:sz="4" w:space="0" w:color="auto"/>
              <w:right w:val="single" w:sz="4" w:space="0" w:color="auto"/>
            </w:tcBorders>
            <w:shd w:val="clear" w:color="auto" w:fill="auto"/>
            <w:vAlign w:val="center"/>
            <w:hideMark/>
          </w:tcPr>
          <w:p w14:paraId="035681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Na</w:t>
            </w:r>
            <w:proofErr w:type="gramEnd"/>
            <w:r w:rsidRPr="00704883">
              <w:rPr>
                <w:rFonts w:ascii="Calibri" w:eastAsia="Times New Roman" w:hAnsi="Calibri" w:cs="Calibri"/>
                <w:color w:val="000000"/>
                <w:sz w:val="24"/>
                <w:szCs w:val="24"/>
                <w:lang w:eastAsia="pt-BR"/>
              </w:rPr>
              <w:t xml:space="preserve"> hipótese de questionamento, pelo participante, das informações constantes do extrato previdenciário, o prazo para opção a que se refere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 ser suspenso até que sejam prestados, pela EFPC, os esclarecimentos pertinentes, observado o prazo de trinta dias, contados da data do questionamento.</w:t>
            </w:r>
          </w:p>
        </w:tc>
        <w:tc>
          <w:tcPr>
            <w:tcW w:w="1679" w:type="pct"/>
            <w:tcBorders>
              <w:top w:val="nil"/>
              <w:left w:val="nil"/>
              <w:bottom w:val="single" w:sz="4" w:space="0" w:color="auto"/>
              <w:right w:val="single" w:sz="4" w:space="0" w:color="auto"/>
            </w:tcBorders>
            <w:shd w:val="clear" w:color="auto" w:fill="auto"/>
            <w:vAlign w:val="center"/>
            <w:hideMark/>
          </w:tcPr>
          <w:p w14:paraId="28A490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C73439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CF9A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3º Na hipótese de opção pela portabilidade, as informações de que tratam os incisos IV, V e VII do art. 9º devem constar do termo de opção.</w:t>
            </w:r>
          </w:p>
        </w:tc>
        <w:tc>
          <w:tcPr>
            <w:tcW w:w="1660" w:type="pct"/>
            <w:tcBorders>
              <w:top w:val="nil"/>
              <w:left w:val="nil"/>
              <w:bottom w:val="single" w:sz="4" w:space="0" w:color="auto"/>
              <w:right w:val="single" w:sz="4" w:space="0" w:color="auto"/>
            </w:tcBorders>
            <w:shd w:val="clear" w:color="auto" w:fill="auto"/>
            <w:vAlign w:val="center"/>
            <w:hideMark/>
          </w:tcPr>
          <w:p w14:paraId="2F70A60C"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3</w:t>
            </w:r>
            <w:proofErr w:type="gramStart"/>
            <w:r w:rsidRPr="00704883">
              <w:rPr>
                <w:rFonts w:ascii="Calibri" w:eastAsia="Times New Roman" w:hAnsi="Calibri" w:cs="Calibri"/>
                <w:sz w:val="24"/>
                <w:szCs w:val="24"/>
                <w:lang w:eastAsia="pt-BR"/>
              </w:rPr>
              <w:t>º  Na</w:t>
            </w:r>
            <w:proofErr w:type="gramEnd"/>
            <w:r w:rsidRPr="00704883">
              <w:rPr>
                <w:rFonts w:ascii="Calibri" w:eastAsia="Times New Roman" w:hAnsi="Calibri" w:cs="Calibri"/>
                <w:sz w:val="24"/>
                <w:szCs w:val="24"/>
                <w:lang w:eastAsia="pt-BR"/>
              </w:rPr>
              <w:t xml:space="preserve"> hipótese de opção pela portabilidade, as informações de que tratam os incisos IV, V e VII do art. 137 devem constar do termo de opção.</w:t>
            </w:r>
          </w:p>
        </w:tc>
        <w:tc>
          <w:tcPr>
            <w:tcW w:w="1679" w:type="pct"/>
            <w:tcBorders>
              <w:top w:val="nil"/>
              <w:left w:val="nil"/>
              <w:bottom w:val="single" w:sz="4" w:space="0" w:color="auto"/>
              <w:right w:val="single" w:sz="4" w:space="0" w:color="auto"/>
            </w:tcBorders>
            <w:shd w:val="clear" w:color="auto" w:fill="auto"/>
            <w:vAlign w:val="center"/>
            <w:hideMark/>
          </w:tcPr>
          <w:p w14:paraId="0F9EDC3A"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7CAFDA2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F492E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Termo de portabilidade</w:t>
            </w:r>
          </w:p>
        </w:tc>
        <w:tc>
          <w:tcPr>
            <w:tcW w:w="1660" w:type="pct"/>
            <w:tcBorders>
              <w:top w:val="nil"/>
              <w:left w:val="nil"/>
              <w:bottom w:val="single" w:sz="4" w:space="0" w:color="auto"/>
              <w:right w:val="single" w:sz="4" w:space="0" w:color="auto"/>
            </w:tcBorders>
            <w:shd w:val="clear" w:color="auto" w:fill="auto"/>
            <w:vAlign w:val="center"/>
            <w:hideMark/>
          </w:tcPr>
          <w:p w14:paraId="5DB497B6"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IV</w:t>
            </w:r>
            <w:r w:rsidRPr="00704883">
              <w:rPr>
                <w:rFonts w:ascii="Calibri" w:eastAsia="Times New Roman" w:hAnsi="Calibri" w:cs="Calibri"/>
                <w:b/>
                <w:bCs/>
                <w:color w:val="000000"/>
                <w:sz w:val="24"/>
                <w:szCs w:val="24"/>
                <w:lang w:eastAsia="pt-BR"/>
              </w:rPr>
              <w:br/>
              <w:t>Termo de portabilidade</w:t>
            </w:r>
          </w:p>
        </w:tc>
        <w:tc>
          <w:tcPr>
            <w:tcW w:w="1679" w:type="pct"/>
            <w:tcBorders>
              <w:top w:val="nil"/>
              <w:left w:val="nil"/>
              <w:bottom w:val="single" w:sz="4" w:space="0" w:color="auto"/>
              <w:right w:val="single" w:sz="4" w:space="0" w:color="auto"/>
            </w:tcBorders>
            <w:shd w:val="clear" w:color="auto" w:fill="auto"/>
            <w:vAlign w:val="center"/>
            <w:hideMark/>
          </w:tcPr>
          <w:p w14:paraId="742CFB4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14A573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511F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9º A portabilidade deve ser implementada por meio de termo de portabilidade emitido pela entidade de origem, em meio físico ou eletrônico, contendo, no mínimo: </w:t>
            </w:r>
          </w:p>
        </w:tc>
        <w:tc>
          <w:tcPr>
            <w:tcW w:w="1660" w:type="pct"/>
            <w:tcBorders>
              <w:top w:val="nil"/>
              <w:left w:val="nil"/>
              <w:bottom w:val="single" w:sz="4" w:space="0" w:color="auto"/>
              <w:right w:val="single" w:sz="4" w:space="0" w:color="auto"/>
            </w:tcBorders>
            <w:shd w:val="clear" w:color="auto" w:fill="auto"/>
            <w:vAlign w:val="center"/>
            <w:hideMark/>
          </w:tcPr>
          <w:p w14:paraId="20438B0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137.  A portabilidade deve ser implementada por meio de termo de portabilidade emitido pela entidade de origem, em meio físico ou eletrônico, contendo, no mínimo: </w:t>
            </w:r>
          </w:p>
        </w:tc>
        <w:tc>
          <w:tcPr>
            <w:tcW w:w="1679" w:type="pct"/>
            <w:tcBorders>
              <w:top w:val="nil"/>
              <w:left w:val="nil"/>
              <w:bottom w:val="single" w:sz="4" w:space="0" w:color="auto"/>
              <w:right w:val="single" w:sz="4" w:space="0" w:color="auto"/>
            </w:tcBorders>
            <w:shd w:val="clear" w:color="auto" w:fill="auto"/>
            <w:vAlign w:val="center"/>
            <w:hideMark/>
          </w:tcPr>
          <w:p w14:paraId="5A38D4D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617ED7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C01D5E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do participante e sua anuência quanto às informações constantes do termo de portabilidade; </w:t>
            </w:r>
          </w:p>
        </w:tc>
        <w:tc>
          <w:tcPr>
            <w:tcW w:w="1660" w:type="pct"/>
            <w:tcBorders>
              <w:top w:val="nil"/>
              <w:left w:val="nil"/>
              <w:bottom w:val="single" w:sz="4" w:space="0" w:color="auto"/>
              <w:right w:val="single" w:sz="4" w:space="0" w:color="auto"/>
            </w:tcBorders>
            <w:shd w:val="clear" w:color="auto" w:fill="auto"/>
            <w:vAlign w:val="center"/>
            <w:hideMark/>
          </w:tcPr>
          <w:p w14:paraId="5D785D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do participante e sua anuência quanto às informações constantes do termo de portabilidade;</w:t>
            </w:r>
          </w:p>
        </w:tc>
        <w:tc>
          <w:tcPr>
            <w:tcW w:w="1679" w:type="pct"/>
            <w:tcBorders>
              <w:top w:val="nil"/>
              <w:left w:val="nil"/>
              <w:bottom w:val="single" w:sz="4" w:space="0" w:color="auto"/>
              <w:right w:val="single" w:sz="4" w:space="0" w:color="auto"/>
            </w:tcBorders>
            <w:shd w:val="clear" w:color="auto" w:fill="auto"/>
            <w:vAlign w:val="center"/>
            <w:hideMark/>
          </w:tcPr>
          <w:p w14:paraId="6DA8F6F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85D351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EFD2E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da entidade de origem, com assinatura do seu representante legal; </w:t>
            </w:r>
          </w:p>
        </w:tc>
        <w:tc>
          <w:tcPr>
            <w:tcW w:w="1660" w:type="pct"/>
            <w:tcBorders>
              <w:top w:val="nil"/>
              <w:left w:val="nil"/>
              <w:bottom w:val="single" w:sz="4" w:space="0" w:color="auto"/>
              <w:right w:val="single" w:sz="4" w:space="0" w:color="auto"/>
            </w:tcBorders>
            <w:shd w:val="clear" w:color="auto" w:fill="auto"/>
            <w:vAlign w:val="center"/>
            <w:hideMark/>
          </w:tcPr>
          <w:p w14:paraId="31F7F4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da entidade de origem, com assinatura do seu representante legal;</w:t>
            </w:r>
          </w:p>
        </w:tc>
        <w:tc>
          <w:tcPr>
            <w:tcW w:w="1679" w:type="pct"/>
            <w:tcBorders>
              <w:top w:val="nil"/>
              <w:left w:val="nil"/>
              <w:bottom w:val="single" w:sz="4" w:space="0" w:color="auto"/>
              <w:right w:val="single" w:sz="4" w:space="0" w:color="auto"/>
            </w:tcBorders>
            <w:shd w:val="clear" w:color="auto" w:fill="auto"/>
            <w:vAlign w:val="center"/>
            <w:hideMark/>
          </w:tcPr>
          <w:p w14:paraId="1077A0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371C36"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CA9E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a identificação do plano de benefícios de origem; </w:t>
            </w:r>
          </w:p>
        </w:tc>
        <w:tc>
          <w:tcPr>
            <w:tcW w:w="1660" w:type="pct"/>
            <w:tcBorders>
              <w:top w:val="nil"/>
              <w:left w:val="nil"/>
              <w:bottom w:val="single" w:sz="4" w:space="0" w:color="auto"/>
              <w:right w:val="single" w:sz="4" w:space="0" w:color="auto"/>
            </w:tcBorders>
            <w:shd w:val="clear" w:color="auto" w:fill="auto"/>
            <w:vAlign w:val="center"/>
            <w:hideMark/>
          </w:tcPr>
          <w:p w14:paraId="1A2CAB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a identificação do plano de benefícios de origem;</w:t>
            </w:r>
          </w:p>
        </w:tc>
        <w:tc>
          <w:tcPr>
            <w:tcW w:w="1679" w:type="pct"/>
            <w:tcBorders>
              <w:top w:val="nil"/>
              <w:left w:val="nil"/>
              <w:bottom w:val="single" w:sz="4" w:space="0" w:color="auto"/>
              <w:right w:val="single" w:sz="4" w:space="0" w:color="auto"/>
            </w:tcBorders>
            <w:shd w:val="clear" w:color="auto" w:fill="auto"/>
            <w:vAlign w:val="center"/>
            <w:hideMark/>
          </w:tcPr>
          <w:p w14:paraId="3EAC75F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7BF6B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42316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da entidade de destino, incluindo os dados de contato para envio do termo de portabilidade; </w:t>
            </w:r>
          </w:p>
        </w:tc>
        <w:tc>
          <w:tcPr>
            <w:tcW w:w="1660" w:type="pct"/>
            <w:tcBorders>
              <w:top w:val="nil"/>
              <w:left w:val="nil"/>
              <w:bottom w:val="single" w:sz="4" w:space="0" w:color="auto"/>
              <w:right w:val="single" w:sz="4" w:space="0" w:color="auto"/>
            </w:tcBorders>
            <w:shd w:val="clear" w:color="auto" w:fill="auto"/>
            <w:vAlign w:val="center"/>
            <w:hideMark/>
          </w:tcPr>
          <w:p w14:paraId="506D80D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da entidade de destino, incluindo os dados de contato para envio do termo de portabilidade;</w:t>
            </w:r>
          </w:p>
        </w:tc>
        <w:tc>
          <w:tcPr>
            <w:tcW w:w="1679" w:type="pct"/>
            <w:tcBorders>
              <w:top w:val="nil"/>
              <w:left w:val="nil"/>
              <w:bottom w:val="single" w:sz="4" w:space="0" w:color="auto"/>
              <w:right w:val="single" w:sz="4" w:space="0" w:color="auto"/>
            </w:tcBorders>
            <w:shd w:val="clear" w:color="auto" w:fill="auto"/>
            <w:vAlign w:val="center"/>
            <w:hideMark/>
          </w:tcPr>
          <w:p w14:paraId="13F4F5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15220B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B4869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do plano de benefícios de destino;</w:t>
            </w:r>
          </w:p>
        </w:tc>
        <w:tc>
          <w:tcPr>
            <w:tcW w:w="1660" w:type="pct"/>
            <w:tcBorders>
              <w:top w:val="nil"/>
              <w:left w:val="nil"/>
              <w:bottom w:val="single" w:sz="4" w:space="0" w:color="auto"/>
              <w:right w:val="single" w:sz="4" w:space="0" w:color="auto"/>
            </w:tcBorders>
            <w:shd w:val="clear" w:color="auto" w:fill="auto"/>
            <w:vAlign w:val="center"/>
            <w:hideMark/>
          </w:tcPr>
          <w:p w14:paraId="0D9B82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identificação do plano de benefícios de destino;</w:t>
            </w:r>
          </w:p>
        </w:tc>
        <w:tc>
          <w:tcPr>
            <w:tcW w:w="1679" w:type="pct"/>
            <w:tcBorders>
              <w:top w:val="nil"/>
              <w:left w:val="nil"/>
              <w:bottom w:val="single" w:sz="4" w:space="0" w:color="auto"/>
              <w:right w:val="single" w:sz="4" w:space="0" w:color="auto"/>
            </w:tcBorders>
            <w:shd w:val="clear" w:color="auto" w:fill="auto"/>
            <w:vAlign w:val="center"/>
            <w:hideMark/>
          </w:tcPr>
          <w:p w14:paraId="21F5E4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4B77F50"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6BD76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a ser objeto de portabilidade, com segregação entre as parcelas correspondentes às contribuições do participante e do patrocinador, e o critério para sua atualização até a data da sua efetiva transferência; e </w:t>
            </w:r>
          </w:p>
        </w:tc>
        <w:tc>
          <w:tcPr>
            <w:tcW w:w="1660" w:type="pct"/>
            <w:tcBorders>
              <w:top w:val="nil"/>
              <w:left w:val="nil"/>
              <w:bottom w:val="single" w:sz="4" w:space="0" w:color="auto"/>
              <w:right w:val="single" w:sz="4" w:space="0" w:color="auto"/>
            </w:tcBorders>
            <w:shd w:val="clear" w:color="auto" w:fill="auto"/>
            <w:vAlign w:val="center"/>
            <w:hideMark/>
          </w:tcPr>
          <w:p w14:paraId="5D6A8B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o</w:t>
            </w:r>
            <w:proofErr w:type="gramEnd"/>
            <w:r w:rsidRPr="00704883">
              <w:rPr>
                <w:rFonts w:ascii="Calibri" w:eastAsia="Times New Roman" w:hAnsi="Calibri" w:cs="Calibri"/>
                <w:color w:val="000000"/>
                <w:sz w:val="24"/>
                <w:szCs w:val="24"/>
                <w:lang w:eastAsia="pt-BR"/>
              </w:rPr>
              <w:t xml:space="preserve"> valor a ser objeto de portabilidade, com segregação entre as parcelas correspondentes às contribuições do participante e do patrocinador, e o critério para sua atualização até a data da sua efetiva transferência; e </w:t>
            </w:r>
          </w:p>
        </w:tc>
        <w:tc>
          <w:tcPr>
            <w:tcW w:w="1679" w:type="pct"/>
            <w:tcBorders>
              <w:top w:val="nil"/>
              <w:left w:val="nil"/>
              <w:bottom w:val="single" w:sz="4" w:space="0" w:color="auto"/>
              <w:right w:val="single" w:sz="4" w:space="0" w:color="auto"/>
            </w:tcBorders>
            <w:shd w:val="clear" w:color="auto" w:fill="auto"/>
            <w:vAlign w:val="center"/>
            <w:hideMark/>
          </w:tcPr>
          <w:p w14:paraId="5B6B76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C7CF17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E9BF8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VII - a indicação dos dados bancários de titularidade da entidade de destino, a serem utilizados para a transferência dos recursos. </w:t>
            </w:r>
          </w:p>
        </w:tc>
        <w:tc>
          <w:tcPr>
            <w:tcW w:w="1660" w:type="pct"/>
            <w:tcBorders>
              <w:top w:val="nil"/>
              <w:left w:val="nil"/>
              <w:bottom w:val="single" w:sz="4" w:space="0" w:color="auto"/>
              <w:right w:val="single" w:sz="4" w:space="0" w:color="auto"/>
            </w:tcBorders>
            <w:shd w:val="clear" w:color="auto" w:fill="auto"/>
            <w:vAlign w:val="center"/>
            <w:hideMark/>
          </w:tcPr>
          <w:p w14:paraId="509B26E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VII - a indicação dos dados bancários de titularidade da entidade de destino, a serem utilizados para a transferência dos recursos.</w:t>
            </w:r>
          </w:p>
        </w:tc>
        <w:tc>
          <w:tcPr>
            <w:tcW w:w="1679" w:type="pct"/>
            <w:tcBorders>
              <w:top w:val="nil"/>
              <w:left w:val="nil"/>
              <w:bottom w:val="single" w:sz="4" w:space="0" w:color="auto"/>
              <w:right w:val="single" w:sz="4" w:space="0" w:color="auto"/>
            </w:tcBorders>
            <w:shd w:val="clear" w:color="auto" w:fill="auto"/>
            <w:vAlign w:val="center"/>
            <w:hideMark/>
          </w:tcPr>
          <w:p w14:paraId="6B30DC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0DE2DE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4820C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Para fins do disposto neste artigo, entende-se por: </w:t>
            </w:r>
          </w:p>
        </w:tc>
        <w:tc>
          <w:tcPr>
            <w:tcW w:w="1660" w:type="pct"/>
            <w:tcBorders>
              <w:top w:val="nil"/>
              <w:left w:val="nil"/>
              <w:bottom w:val="single" w:sz="4" w:space="0" w:color="auto"/>
              <w:right w:val="single" w:sz="4" w:space="0" w:color="auto"/>
            </w:tcBorders>
            <w:shd w:val="clear" w:color="auto" w:fill="auto"/>
            <w:vAlign w:val="center"/>
            <w:hideMark/>
          </w:tcPr>
          <w:p w14:paraId="1A1EFF4A"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1</w:t>
            </w:r>
            <w:proofErr w:type="gramStart"/>
            <w:r w:rsidRPr="00704883">
              <w:rPr>
                <w:rFonts w:ascii="Calibri" w:eastAsia="Times New Roman" w:hAnsi="Calibri" w:cs="Calibri"/>
                <w:sz w:val="24"/>
                <w:szCs w:val="24"/>
                <w:lang w:eastAsia="pt-BR"/>
              </w:rPr>
              <w:t>º  Para</w:t>
            </w:r>
            <w:proofErr w:type="gramEnd"/>
            <w:r w:rsidRPr="00704883">
              <w:rPr>
                <w:rFonts w:ascii="Calibri" w:eastAsia="Times New Roman" w:hAnsi="Calibri" w:cs="Calibri"/>
                <w:sz w:val="24"/>
                <w:szCs w:val="24"/>
                <w:lang w:eastAsia="pt-BR"/>
              </w:rPr>
              <w:t xml:space="preserve"> fins do disposto neste artigo, entende-se por: </w:t>
            </w:r>
          </w:p>
        </w:tc>
        <w:tc>
          <w:tcPr>
            <w:tcW w:w="1679" w:type="pct"/>
            <w:tcBorders>
              <w:top w:val="nil"/>
              <w:left w:val="nil"/>
              <w:bottom w:val="single" w:sz="4" w:space="0" w:color="auto"/>
              <w:right w:val="single" w:sz="4" w:space="0" w:color="auto"/>
            </w:tcBorders>
            <w:shd w:val="clear" w:color="auto" w:fill="auto"/>
            <w:vAlign w:val="center"/>
            <w:hideMark/>
          </w:tcPr>
          <w:p w14:paraId="323470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BE94EB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9330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 - </w:t>
            </w:r>
            <w:proofErr w:type="gramStart"/>
            <w:r w:rsidRPr="00704883">
              <w:rPr>
                <w:rFonts w:ascii="Calibri" w:eastAsia="Times New Roman" w:hAnsi="Calibri" w:cs="Calibri"/>
                <w:color w:val="000000"/>
                <w:sz w:val="24"/>
                <w:szCs w:val="24"/>
                <w:lang w:eastAsia="pt-BR"/>
              </w:rPr>
              <w:t>entidade</w:t>
            </w:r>
            <w:proofErr w:type="gramEnd"/>
            <w:r w:rsidRPr="00704883">
              <w:rPr>
                <w:rFonts w:ascii="Calibri" w:eastAsia="Times New Roman" w:hAnsi="Calibri" w:cs="Calibri"/>
                <w:color w:val="000000"/>
                <w:sz w:val="24"/>
                <w:szCs w:val="24"/>
                <w:lang w:eastAsia="pt-BR"/>
              </w:rPr>
              <w:t xml:space="preserve"> de origem: aquela que administra o plano de benefícios ao qual está vinculado o participante; e </w:t>
            </w:r>
          </w:p>
        </w:tc>
        <w:tc>
          <w:tcPr>
            <w:tcW w:w="1660" w:type="pct"/>
            <w:tcBorders>
              <w:top w:val="nil"/>
              <w:left w:val="nil"/>
              <w:bottom w:val="single" w:sz="4" w:space="0" w:color="auto"/>
              <w:right w:val="single" w:sz="4" w:space="0" w:color="auto"/>
            </w:tcBorders>
            <w:shd w:val="clear" w:color="auto" w:fill="auto"/>
            <w:vAlign w:val="center"/>
            <w:hideMark/>
          </w:tcPr>
          <w:p w14:paraId="57C6482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entidade</w:t>
            </w:r>
            <w:proofErr w:type="gramEnd"/>
            <w:r w:rsidRPr="00704883">
              <w:rPr>
                <w:rFonts w:ascii="Calibri" w:eastAsia="Times New Roman" w:hAnsi="Calibri" w:cs="Calibri"/>
                <w:color w:val="000000"/>
                <w:sz w:val="24"/>
                <w:szCs w:val="24"/>
                <w:lang w:eastAsia="pt-BR"/>
              </w:rPr>
              <w:t xml:space="preserve"> de origem: aquela que administra o plano de benefícios ao qual está vinculado o participante; e </w:t>
            </w:r>
          </w:p>
        </w:tc>
        <w:tc>
          <w:tcPr>
            <w:tcW w:w="1679" w:type="pct"/>
            <w:tcBorders>
              <w:top w:val="nil"/>
              <w:left w:val="nil"/>
              <w:bottom w:val="single" w:sz="4" w:space="0" w:color="auto"/>
              <w:right w:val="single" w:sz="4" w:space="0" w:color="auto"/>
            </w:tcBorders>
            <w:shd w:val="clear" w:color="auto" w:fill="auto"/>
            <w:vAlign w:val="center"/>
            <w:hideMark/>
          </w:tcPr>
          <w:p w14:paraId="6CC9FC8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66951D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07C7DC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entidade</w:t>
            </w:r>
            <w:proofErr w:type="gramEnd"/>
            <w:r w:rsidRPr="00704883">
              <w:rPr>
                <w:rFonts w:ascii="Calibri" w:eastAsia="Times New Roman" w:hAnsi="Calibri" w:cs="Calibri"/>
                <w:color w:val="000000"/>
                <w:sz w:val="24"/>
                <w:szCs w:val="24"/>
                <w:lang w:eastAsia="pt-BR"/>
              </w:rPr>
              <w:t xml:space="preserve"> de destino: aquela que administra o plano de benefícios ao qual o participante pretende transferir seus recursos. </w:t>
            </w:r>
          </w:p>
        </w:tc>
        <w:tc>
          <w:tcPr>
            <w:tcW w:w="1660" w:type="pct"/>
            <w:tcBorders>
              <w:top w:val="nil"/>
              <w:left w:val="nil"/>
              <w:bottom w:val="single" w:sz="4" w:space="0" w:color="auto"/>
              <w:right w:val="single" w:sz="4" w:space="0" w:color="auto"/>
            </w:tcBorders>
            <w:shd w:val="clear" w:color="auto" w:fill="auto"/>
            <w:vAlign w:val="center"/>
            <w:hideMark/>
          </w:tcPr>
          <w:p w14:paraId="22F2B6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entidade</w:t>
            </w:r>
            <w:proofErr w:type="gramEnd"/>
            <w:r w:rsidRPr="00704883">
              <w:rPr>
                <w:rFonts w:ascii="Calibri" w:eastAsia="Times New Roman" w:hAnsi="Calibri" w:cs="Calibri"/>
                <w:color w:val="000000"/>
                <w:sz w:val="24"/>
                <w:szCs w:val="24"/>
                <w:lang w:eastAsia="pt-BR"/>
              </w:rPr>
              <w:t xml:space="preserve"> de destino: aquela que administra o plano de benefícios ao qual o participante pretende transferir seus recursos.</w:t>
            </w:r>
          </w:p>
        </w:tc>
        <w:tc>
          <w:tcPr>
            <w:tcW w:w="1679" w:type="pct"/>
            <w:tcBorders>
              <w:top w:val="nil"/>
              <w:left w:val="nil"/>
              <w:bottom w:val="single" w:sz="4" w:space="0" w:color="auto"/>
              <w:right w:val="single" w:sz="4" w:space="0" w:color="auto"/>
            </w:tcBorders>
            <w:shd w:val="clear" w:color="auto" w:fill="auto"/>
            <w:vAlign w:val="center"/>
            <w:hideMark/>
          </w:tcPr>
          <w:p w14:paraId="543D155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54443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174D89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Em caso de portabilidade entre planos administrados pela mesma entidade, as informações previstas nos incisos IV e VII do caput ficam dispensadas da inclusão no termo de portabilidade. </w:t>
            </w:r>
          </w:p>
        </w:tc>
        <w:tc>
          <w:tcPr>
            <w:tcW w:w="1660" w:type="pct"/>
            <w:tcBorders>
              <w:top w:val="nil"/>
              <w:left w:val="nil"/>
              <w:bottom w:val="single" w:sz="4" w:space="0" w:color="auto"/>
              <w:right w:val="single" w:sz="4" w:space="0" w:color="auto"/>
            </w:tcBorders>
            <w:shd w:val="clear" w:color="auto" w:fill="auto"/>
            <w:vAlign w:val="center"/>
            <w:hideMark/>
          </w:tcPr>
          <w:p w14:paraId="0AA67A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Em</w:t>
            </w:r>
            <w:proofErr w:type="gramEnd"/>
            <w:r w:rsidRPr="00704883">
              <w:rPr>
                <w:rFonts w:ascii="Calibri" w:eastAsia="Times New Roman" w:hAnsi="Calibri" w:cs="Calibri"/>
                <w:color w:val="000000"/>
                <w:sz w:val="24"/>
                <w:szCs w:val="24"/>
                <w:lang w:eastAsia="pt-BR"/>
              </w:rPr>
              <w:t xml:space="preserve"> caso de portabilidade entre planos administrados pela mesma entidade, as informações previstas nos incisos IV e VII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ficam dispensadas da inclusão no termo de portabilidade.</w:t>
            </w:r>
          </w:p>
        </w:tc>
        <w:tc>
          <w:tcPr>
            <w:tcW w:w="1679" w:type="pct"/>
            <w:tcBorders>
              <w:top w:val="nil"/>
              <w:left w:val="nil"/>
              <w:bottom w:val="single" w:sz="4" w:space="0" w:color="auto"/>
              <w:right w:val="single" w:sz="4" w:space="0" w:color="auto"/>
            </w:tcBorders>
            <w:shd w:val="clear" w:color="auto" w:fill="auto"/>
            <w:vAlign w:val="center"/>
            <w:hideMark/>
          </w:tcPr>
          <w:p w14:paraId="2FBD9D9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9D673C9"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3C8A9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 A entidade de origem deve encaminhar o termo de portabilidade à entidade de destino, observado o prazo de cinco dias úteis, contados da data do protocolo do termo de opção ou do envio das informações necessárias para a confecção do termo de portabilidade. </w:t>
            </w:r>
          </w:p>
        </w:tc>
        <w:tc>
          <w:tcPr>
            <w:tcW w:w="1660" w:type="pct"/>
            <w:tcBorders>
              <w:top w:val="nil"/>
              <w:left w:val="nil"/>
              <w:bottom w:val="single" w:sz="4" w:space="0" w:color="auto"/>
              <w:right w:val="single" w:sz="4" w:space="0" w:color="auto"/>
            </w:tcBorders>
            <w:shd w:val="clear" w:color="auto" w:fill="auto"/>
            <w:vAlign w:val="center"/>
            <w:hideMark/>
          </w:tcPr>
          <w:p w14:paraId="740BFE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138.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1679" w:type="pct"/>
            <w:tcBorders>
              <w:top w:val="nil"/>
              <w:left w:val="nil"/>
              <w:bottom w:val="single" w:sz="4" w:space="0" w:color="auto"/>
              <w:right w:val="single" w:sz="4" w:space="0" w:color="auto"/>
            </w:tcBorders>
            <w:shd w:val="clear" w:color="auto" w:fill="auto"/>
            <w:vAlign w:val="center"/>
            <w:hideMark/>
          </w:tcPr>
          <w:p w14:paraId="0B38B7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C3C332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324B71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Quando se tratar de portabilidade para entidade aberta de previdência complementar ou sociedade seguradora, o respectivo termo deve ser entregue ao próprio participante.</w:t>
            </w:r>
          </w:p>
        </w:tc>
        <w:tc>
          <w:tcPr>
            <w:tcW w:w="1660" w:type="pct"/>
            <w:tcBorders>
              <w:top w:val="nil"/>
              <w:left w:val="nil"/>
              <w:bottom w:val="single" w:sz="4" w:space="0" w:color="auto"/>
              <w:right w:val="single" w:sz="4" w:space="0" w:color="auto"/>
            </w:tcBorders>
            <w:shd w:val="clear" w:color="auto" w:fill="auto"/>
            <w:vAlign w:val="center"/>
            <w:hideMark/>
          </w:tcPr>
          <w:p w14:paraId="4290DBB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Quando se tratar de portabilidade para entidade aberta de previdência complementar ou sociedade seguradora, o respectivo termo deve ser entregue ao próprio participante.</w:t>
            </w:r>
          </w:p>
        </w:tc>
        <w:tc>
          <w:tcPr>
            <w:tcW w:w="1679" w:type="pct"/>
            <w:tcBorders>
              <w:top w:val="nil"/>
              <w:left w:val="nil"/>
              <w:bottom w:val="single" w:sz="4" w:space="0" w:color="auto"/>
              <w:right w:val="single" w:sz="4" w:space="0" w:color="auto"/>
            </w:tcBorders>
            <w:shd w:val="clear" w:color="auto" w:fill="auto"/>
            <w:vAlign w:val="center"/>
            <w:hideMark/>
          </w:tcPr>
          <w:p w14:paraId="4A4A37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EFEC673"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8407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 O valor a ser objeto de portabilidade corresponde ao somatório dos valores referidos nos incisos I a IV do art. 5º, acrescido de eventuais contribuições efetuadas posteriormente a essa data.</w:t>
            </w:r>
          </w:p>
        </w:tc>
        <w:tc>
          <w:tcPr>
            <w:tcW w:w="1660" w:type="pct"/>
            <w:tcBorders>
              <w:top w:val="nil"/>
              <w:left w:val="nil"/>
              <w:bottom w:val="single" w:sz="4" w:space="0" w:color="auto"/>
              <w:right w:val="single" w:sz="4" w:space="0" w:color="auto"/>
            </w:tcBorders>
            <w:shd w:val="clear" w:color="auto" w:fill="auto"/>
            <w:vAlign w:val="center"/>
            <w:hideMark/>
          </w:tcPr>
          <w:p w14:paraId="00128FA1"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139.  O valor a ser objeto de portabilidade corresponde ao somatório dos valores referidos nos incisos I a IV do art. 133, acrescido de eventuais contribuições efetuadas posteriormente a essa data.</w:t>
            </w:r>
          </w:p>
        </w:tc>
        <w:tc>
          <w:tcPr>
            <w:tcW w:w="1679" w:type="pct"/>
            <w:tcBorders>
              <w:top w:val="nil"/>
              <w:left w:val="nil"/>
              <w:bottom w:val="single" w:sz="4" w:space="0" w:color="auto"/>
              <w:right w:val="single" w:sz="4" w:space="0" w:color="auto"/>
            </w:tcBorders>
            <w:shd w:val="clear" w:color="auto" w:fill="auto"/>
            <w:vAlign w:val="center"/>
            <w:hideMark/>
          </w:tcPr>
          <w:p w14:paraId="631CB2A8" w14:textId="77777777" w:rsidR="007D78B6" w:rsidRPr="00704883" w:rsidRDefault="007D78B6" w:rsidP="007D78B6">
            <w:pPr>
              <w:spacing w:after="0" w:line="240" w:lineRule="auto"/>
              <w:rPr>
                <w:rFonts w:ascii="Calibri" w:eastAsia="Times New Roman" w:hAnsi="Calibri" w:cs="Calibri"/>
                <w:color w:val="000000"/>
                <w:lang w:eastAsia="pt-BR"/>
              </w:rPr>
            </w:pPr>
            <w:r w:rsidRPr="00704883">
              <w:rPr>
                <w:rFonts w:ascii="Calibri" w:eastAsia="Times New Roman" w:hAnsi="Calibri" w:cs="Calibri"/>
                <w:color w:val="000000"/>
                <w:lang w:eastAsia="pt-BR"/>
              </w:rPr>
              <w:t> </w:t>
            </w:r>
          </w:p>
        </w:tc>
      </w:tr>
      <w:tr w:rsidR="007D78B6" w:rsidRPr="00704883" w14:paraId="68029CCD" w14:textId="77777777" w:rsidTr="00704883">
        <w:trPr>
          <w:trHeight w:val="30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10151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Disposições gerais</w:t>
            </w:r>
          </w:p>
        </w:tc>
        <w:tc>
          <w:tcPr>
            <w:tcW w:w="1660" w:type="pct"/>
            <w:tcBorders>
              <w:top w:val="nil"/>
              <w:left w:val="nil"/>
              <w:bottom w:val="single" w:sz="4" w:space="0" w:color="auto"/>
              <w:right w:val="single" w:sz="4" w:space="0" w:color="auto"/>
            </w:tcBorders>
            <w:shd w:val="clear" w:color="auto" w:fill="auto"/>
            <w:vAlign w:val="center"/>
            <w:hideMark/>
          </w:tcPr>
          <w:p w14:paraId="570557F0"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30B6A88"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5C79DDF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46438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 A entidade de destino deve manter registro contábil específico dos recursos recepcionados de outros planos em decorrência da portabilidade. </w:t>
            </w:r>
          </w:p>
        </w:tc>
        <w:tc>
          <w:tcPr>
            <w:tcW w:w="1660" w:type="pct"/>
            <w:tcBorders>
              <w:top w:val="nil"/>
              <w:left w:val="nil"/>
              <w:bottom w:val="single" w:sz="4" w:space="0" w:color="auto"/>
              <w:right w:val="single" w:sz="4" w:space="0" w:color="auto"/>
            </w:tcBorders>
            <w:shd w:val="clear" w:color="auto" w:fill="auto"/>
            <w:vAlign w:val="center"/>
            <w:hideMark/>
          </w:tcPr>
          <w:p w14:paraId="6D9AA2A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05FF6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055B60B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442F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 1º Os recursos de que trata o caput devem ser segregados entre contribuições do participante e do patrocinador. </w:t>
            </w:r>
          </w:p>
        </w:tc>
        <w:tc>
          <w:tcPr>
            <w:tcW w:w="1660" w:type="pct"/>
            <w:tcBorders>
              <w:top w:val="nil"/>
              <w:left w:val="nil"/>
              <w:bottom w:val="single" w:sz="4" w:space="0" w:color="auto"/>
              <w:right w:val="single" w:sz="4" w:space="0" w:color="auto"/>
            </w:tcBorders>
            <w:shd w:val="clear" w:color="auto" w:fill="auto"/>
            <w:vAlign w:val="center"/>
            <w:hideMark/>
          </w:tcPr>
          <w:p w14:paraId="34EBCA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4C7858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6AE0099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D9B2FC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disposto no caput não se aplica à parcela utilizada para pagamento de aporte inicial previsto no regulamento e na nota técnica atuarial do plano de benefícios de destino. </w:t>
            </w:r>
          </w:p>
        </w:tc>
        <w:tc>
          <w:tcPr>
            <w:tcW w:w="1660" w:type="pct"/>
            <w:tcBorders>
              <w:top w:val="nil"/>
              <w:left w:val="nil"/>
              <w:bottom w:val="single" w:sz="4" w:space="0" w:color="auto"/>
              <w:right w:val="single" w:sz="4" w:space="0" w:color="auto"/>
            </w:tcBorders>
            <w:shd w:val="clear" w:color="auto" w:fill="auto"/>
            <w:vAlign w:val="center"/>
            <w:hideMark/>
          </w:tcPr>
          <w:p w14:paraId="65853F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3D8AF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56E7AE7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DD41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13. A segregação de que tratam os incisos I e II do art. 5º, a alínea “a” do inciso I e a alínea “b” do inciso II do art. 6º, o inciso VI do art. 9º e o § 1º do art. 12 não se aplica aos recursos:</w:t>
            </w:r>
          </w:p>
        </w:tc>
        <w:tc>
          <w:tcPr>
            <w:tcW w:w="1660" w:type="pct"/>
            <w:tcBorders>
              <w:top w:val="nil"/>
              <w:left w:val="nil"/>
              <w:bottom w:val="single" w:sz="4" w:space="0" w:color="auto"/>
              <w:right w:val="single" w:sz="4" w:space="0" w:color="auto"/>
            </w:tcBorders>
            <w:shd w:val="clear" w:color="auto" w:fill="auto"/>
            <w:vAlign w:val="center"/>
            <w:hideMark/>
          </w:tcPr>
          <w:p w14:paraId="5639A0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BD289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1E254EC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1D0C2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recebidos</w:t>
            </w:r>
            <w:proofErr w:type="gramEnd"/>
            <w:r w:rsidRPr="00704883">
              <w:rPr>
                <w:rFonts w:ascii="Calibri" w:eastAsia="Times New Roman" w:hAnsi="Calibri" w:cs="Calibri"/>
                <w:color w:val="000000"/>
                <w:sz w:val="24"/>
                <w:szCs w:val="24"/>
                <w:lang w:eastAsia="pt-BR"/>
              </w:rPr>
              <w:t xml:space="preserve"> em decorrência de retirada de patrocínio de outro plano previdenciário; e </w:t>
            </w:r>
          </w:p>
        </w:tc>
        <w:tc>
          <w:tcPr>
            <w:tcW w:w="1660" w:type="pct"/>
            <w:tcBorders>
              <w:top w:val="nil"/>
              <w:left w:val="nil"/>
              <w:bottom w:val="single" w:sz="4" w:space="0" w:color="auto"/>
              <w:right w:val="single" w:sz="4" w:space="0" w:color="auto"/>
            </w:tcBorders>
            <w:shd w:val="clear" w:color="auto" w:fill="auto"/>
            <w:vAlign w:val="center"/>
            <w:hideMark/>
          </w:tcPr>
          <w:p w14:paraId="226931B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8A49CE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24F61FB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84CB7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decorrentes</w:t>
            </w:r>
            <w:proofErr w:type="gramEnd"/>
            <w:r w:rsidRPr="00704883">
              <w:rPr>
                <w:rFonts w:ascii="Calibri" w:eastAsia="Times New Roman" w:hAnsi="Calibri" w:cs="Calibri"/>
                <w:color w:val="000000"/>
                <w:sz w:val="24"/>
                <w:szCs w:val="24"/>
                <w:lang w:eastAsia="pt-BR"/>
              </w:rPr>
              <w:t xml:space="preserve"> de portabilidade realizada anteriormente à vigência desta Resolução. </w:t>
            </w:r>
          </w:p>
        </w:tc>
        <w:tc>
          <w:tcPr>
            <w:tcW w:w="1660" w:type="pct"/>
            <w:tcBorders>
              <w:top w:val="nil"/>
              <w:left w:val="nil"/>
              <w:bottom w:val="single" w:sz="4" w:space="0" w:color="auto"/>
              <w:right w:val="single" w:sz="4" w:space="0" w:color="auto"/>
            </w:tcBorders>
            <w:shd w:val="clear" w:color="auto" w:fill="auto"/>
            <w:vAlign w:val="center"/>
            <w:hideMark/>
          </w:tcPr>
          <w:p w14:paraId="5215AB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46DD7A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1DA574A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2C973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Os recursos referidos no caput podem ser informados como contribuições do participante. </w:t>
            </w:r>
          </w:p>
        </w:tc>
        <w:tc>
          <w:tcPr>
            <w:tcW w:w="1660" w:type="pct"/>
            <w:tcBorders>
              <w:top w:val="nil"/>
              <w:left w:val="nil"/>
              <w:bottom w:val="single" w:sz="4" w:space="0" w:color="auto"/>
              <w:right w:val="single" w:sz="4" w:space="0" w:color="auto"/>
            </w:tcBorders>
            <w:shd w:val="clear" w:color="auto" w:fill="auto"/>
            <w:vAlign w:val="center"/>
            <w:hideMark/>
          </w:tcPr>
          <w:p w14:paraId="76B1CE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E50D26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26158B65"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7897A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Quando a modelagem de acumulação do recurso garantidor do benefício pleno for de benefício definido, a EFPC pode assumir como valor das contribuições do patrocinador a diferença entre a reserva matemática e a reserva constituída pelo participante. </w:t>
            </w:r>
          </w:p>
        </w:tc>
        <w:tc>
          <w:tcPr>
            <w:tcW w:w="1660" w:type="pct"/>
            <w:tcBorders>
              <w:top w:val="nil"/>
              <w:left w:val="nil"/>
              <w:bottom w:val="single" w:sz="4" w:space="0" w:color="auto"/>
              <w:right w:val="single" w:sz="4" w:space="0" w:color="auto"/>
            </w:tcBorders>
            <w:shd w:val="clear" w:color="auto" w:fill="auto"/>
            <w:vAlign w:val="center"/>
            <w:hideMark/>
          </w:tcPr>
          <w:p w14:paraId="005E1C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5840DE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23EB9AA4" w14:textId="77777777" w:rsidTr="00704883">
        <w:trPr>
          <w:trHeight w:val="252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915F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14. A transferência dos recursos entre os planos de benefícios de origem e de destino, em decorrência da portabilidade, deve ser efetuada em moeda corrente nacional, observado o prazo de dez dias úteis, contados da data do protocolo do termo de portabilidade a que se refere o art. 9º perante a entidade de origem ou da data em o participante tiver realizado a entrega completa da documentação e informações exigidas pela entidade de origem, o que resultar no maior prazo. </w:t>
            </w:r>
          </w:p>
        </w:tc>
        <w:tc>
          <w:tcPr>
            <w:tcW w:w="1660" w:type="pct"/>
            <w:tcBorders>
              <w:top w:val="nil"/>
              <w:left w:val="nil"/>
              <w:bottom w:val="single" w:sz="4" w:space="0" w:color="auto"/>
              <w:right w:val="single" w:sz="4" w:space="0" w:color="auto"/>
            </w:tcBorders>
            <w:shd w:val="clear" w:color="auto" w:fill="auto"/>
            <w:vAlign w:val="center"/>
            <w:hideMark/>
          </w:tcPr>
          <w:p w14:paraId="1B1B11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881BAE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4F75B3D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9848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Art. 15. As coberturas dos benefícios dos participantes que optaram pelo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não podem ser distintas daquelas previstas no plano de custeio para os demais participantes. </w:t>
            </w:r>
          </w:p>
        </w:tc>
        <w:tc>
          <w:tcPr>
            <w:tcW w:w="1660" w:type="pct"/>
            <w:tcBorders>
              <w:top w:val="nil"/>
              <w:left w:val="nil"/>
              <w:bottom w:val="single" w:sz="4" w:space="0" w:color="auto"/>
              <w:right w:val="single" w:sz="4" w:space="0" w:color="auto"/>
            </w:tcBorders>
            <w:shd w:val="clear" w:color="auto" w:fill="auto"/>
            <w:vAlign w:val="center"/>
            <w:hideMark/>
          </w:tcPr>
          <w:p w14:paraId="0D3304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93A5FA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6E0920F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81DF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16. As EFPC devem realizar as adaptações obrigatórias nos regulamentos dos planos de benefícios administrados, em razão das disposições da Resolução CNPC nº 50, de 16 de fevereiro de 2022, até o dia 31 de dezembro de 2023. </w:t>
            </w:r>
          </w:p>
        </w:tc>
        <w:tc>
          <w:tcPr>
            <w:tcW w:w="1660" w:type="pct"/>
            <w:tcBorders>
              <w:top w:val="nil"/>
              <w:left w:val="nil"/>
              <w:bottom w:val="single" w:sz="4" w:space="0" w:color="auto"/>
              <w:right w:val="single" w:sz="4" w:space="0" w:color="auto"/>
            </w:tcBorders>
            <w:shd w:val="clear" w:color="auto" w:fill="auto"/>
            <w:vAlign w:val="center"/>
            <w:hideMark/>
          </w:tcPr>
          <w:p w14:paraId="1E6277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2811B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2474633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4397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Os planos que possuam somente assistidos em gozo de benefícios de prestação continuada e participantes ativos elegíveis ao benefício programado estão dispensados de realizar as adaptações referidas no caput. </w:t>
            </w:r>
          </w:p>
        </w:tc>
        <w:tc>
          <w:tcPr>
            <w:tcW w:w="1660" w:type="pct"/>
            <w:tcBorders>
              <w:top w:val="nil"/>
              <w:left w:val="nil"/>
              <w:bottom w:val="single" w:sz="4" w:space="0" w:color="auto"/>
              <w:right w:val="single" w:sz="4" w:space="0" w:color="auto"/>
            </w:tcBorders>
            <w:shd w:val="clear" w:color="auto" w:fill="auto"/>
            <w:vAlign w:val="center"/>
            <w:hideMark/>
          </w:tcPr>
          <w:p w14:paraId="0F0A75C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F553F9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a Seção V - Obrigações e Direitos da Entidade</w:t>
            </w:r>
          </w:p>
        </w:tc>
      </w:tr>
      <w:tr w:rsidR="007D78B6" w:rsidRPr="00704883" w14:paraId="4DBC008A"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0ED7A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7474BF24"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V</w:t>
            </w:r>
            <w:r w:rsidRPr="00704883">
              <w:rPr>
                <w:rFonts w:ascii="Calibri" w:eastAsia="Times New Roman" w:hAnsi="Calibri" w:cs="Calibri"/>
                <w:b/>
                <w:bCs/>
                <w:color w:val="000000"/>
                <w:sz w:val="24"/>
                <w:szCs w:val="24"/>
                <w:lang w:eastAsia="pt-BR"/>
              </w:rPr>
              <w:br/>
              <w:t>Obrigações e Direitos da Entidade</w:t>
            </w:r>
          </w:p>
        </w:tc>
        <w:tc>
          <w:tcPr>
            <w:tcW w:w="1679" w:type="pct"/>
            <w:tcBorders>
              <w:top w:val="nil"/>
              <w:left w:val="nil"/>
              <w:bottom w:val="single" w:sz="4" w:space="0" w:color="auto"/>
              <w:right w:val="single" w:sz="4" w:space="0" w:color="auto"/>
            </w:tcBorders>
            <w:shd w:val="clear" w:color="auto" w:fill="auto"/>
            <w:vAlign w:val="center"/>
            <w:hideMark/>
          </w:tcPr>
          <w:p w14:paraId="3DD5CA3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54EE29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06D966F"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9, de 30 de março de 2022.</w:t>
            </w:r>
          </w:p>
        </w:tc>
        <w:tc>
          <w:tcPr>
            <w:tcW w:w="1660" w:type="pct"/>
            <w:tcBorders>
              <w:top w:val="nil"/>
              <w:left w:val="nil"/>
              <w:bottom w:val="single" w:sz="4" w:space="0" w:color="auto"/>
              <w:right w:val="single" w:sz="4" w:space="0" w:color="auto"/>
            </w:tcBorders>
            <w:shd w:val="clear" w:color="auto" w:fill="auto"/>
            <w:vAlign w:val="center"/>
            <w:hideMark/>
          </w:tcPr>
          <w:p w14:paraId="4730F42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C13F9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43389F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57DE3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11. Nos requerimentos de licenciamento que envolverem alteração de estatuto ou alteração de regulamento de plano de benefícios, a EFPC deve:</w:t>
            </w:r>
          </w:p>
        </w:tc>
        <w:tc>
          <w:tcPr>
            <w:tcW w:w="1660" w:type="pct"/>
            <w:tcBorders>
              <w:top w:val="nil"/>
              <w:left w:val="nil"/>
              <w:bottom w:val="single" w:sz="4" w:space="0" w:color="auto"/>
              <w:right w:val="single" w:sz="4" w:space="0" w:color="auto"/>
            </w:tcBorders>
            <w:shd w:val="clear" w:color="auto" w:fill="auto"/>
            <w:vAlign w:val="center"/>
            <w:hideMark/>
          </w:tcPr>
          <w:p w14:paraId="2BF423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140.  Nos requerimentos de licenciamento que envolverem alteração de estatuto ou alteração de regulamento de plano de benefícios, a EFPC deve: </w:t>
            </w:r>
          </w:p>
        </w:tc>
        <w:tc>
          <w:tcPr>
            <w:tcW w:w="1679" w:type="pct"/>
            <w:tcBorders>
              <w:top w:val="nil"/>
              <w:left w:val="nil"/>
              <w:bottom w:val="single" w:sz="4" w:space="0" w:color="auto"/>
              <w:right w:val="single" w:sz="4" w:space="0" w:color="auto"/>
            </w:tcBorders>
            <w:shd w:val="clear" w:color="auto" w:fill="auto"/>
            <w:vAlign w:val="center"/>
            <w:hideMark/>
          </w:tcPr>
          <w:p w14:paraId="50017D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C13F3B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8419F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comunicar</w:t>
            </w:r>
            <w:proofErr w:type="gramEnd"/>
            <w:r w:rsidRPr="00704883">
              <w:rPr>
                <w:rFonts w:ascii="Calibri" w:eastAsia="Times New Roman" w:hAnsi="Calibri" w:cs="Calibri"/>
                <w:color w:val="000000"/>
                <w:sz w:val="24"/>
                <w:szCs w:val="24"/>
                <w:lang w:eastAsia="pt-BR"/>
              </w:rPr>
              <w:t xml:space="preserve"> a síntese das alterações aos participantes e assistidos pelos meios de comunicação usualmente utilizados, com antecedência mínima de trinta dias de sua remessa à Previc; </w:t>
            </w:r>
          </w:p>
        </w:tc>
        <w:tc>
          <w:tcPr>
            <w:tcW w:w="1660" w:type="pct"/>
            <w:tcBorders>
              <w:top w:val="nil"/>
              <w:left w:val="nil"/>
              <w:bottom w:val="single" w:sz="4" w:space="0" w:color="auto"/>
              <w:right w:val="single" w:sz="4" w:space="0" w:color="auto"/>
            </w:tcBorders>
            <w:shd w:val="clear" w:color="auto" w:fill="auto"/>
            <w:vAlign w:val="center"/>
            <w:hideMark/>
          </w:tcPr>
          <w:p w14:paraId="787DB90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comunicar</w:t>
            </w:r>
            <w:proofErr w:type="gramEnd"/>
            <w:r w:rsidRPr="00704883">
              <w:rPr>
                <w:rFonts w:ascii="Calibri" w:eastAsia="Times New Roman" w:hAnsi="Calibri" w:cs="Calibri"/>
                <w:color w:val="000000"/>
                <w:sz w:val="24"/>
                <w:szCs w:val="24"/>
                <w:lang w:eastAsia="pt-BR"/>
              </w:rPr>
              <w:t xml:space="preserve"> o inteiro teor da proposta de alteração aos participantes e assistidos pelos meios de comunicação usualmente utilizados, com antecedência mínima de trinta dias de sua remessa à Previc;</w:t>
            </w:r>
          </w:p>
        </w:tc>
        <w:tc>
          <w:tcPr>
            <w:tcW w:w="1679" w:type="pct"/>
            <w:tcBorders>
              <w:top w:val="nil"/>
              <w:left w:val="nil"/>
              <w:bottom w:val="single" w:sz="4" w:space="0" w:color="auto"/>
              <w:right w:val="single" w:sz="4" w:space="0" w:color="auto"/>
            </w:tcBorders>
            <w:shd w:val="clear" w:color="auto" w:fill="auto"/>
            <w:vAlign w:val="center"/>
            <w:hideMark/>
          </w:tcPr>
          <w:p w14:paraId="0A2F85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Avanço nas ações de transparência com os participantes e assistidos, por meio da divulgação do inteiro teor da proposta de alteração de estatuto ou alteração de regulamento de plano de benefícios.</w:t>
            </w:r>
          </w:p>
        </w:tc>
      </w:tr>
      <w:tr w:rsidR="007D78B6" w:rsidRPr="00704883" w14:paraId="22F4F20F"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79CF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solicitar</w:t>
            </w:r>
            <w:proofErr w:type="gramEnd"/>
            <w:r w:rsidRPr="00704883">
              <w:rPr>
                <w:rFonts w:ascii="Calibri" w:eastAsia="Times New Roman" w:hAnsi="Calibri" w:cs="Calibri"/>
                <w:color w:val="000000"/>
                <w:sz w:val="24"/>
                <w:szCs w:val="24"/>
                <w:lang w:eastAsia="pt-BR"/>
              </w:rPr>
              <w:t xml:space="preserve"> a expressa anuência dos patrocinadores ou instituidores, definindo prazo para manifestação, que não pode ser inferior a trinta dias, contados da remessa da respectiva notificação. </w:t>
            </w:r>
          </w:p>
        </w:tc>
        <w:tc>
          <w:tcPr>
            <w:tcW w:w="1660" w:type="pct"/>
            <w:tcBorders>
              <w:top w:val="nil"/>
              <w:left w:val="nil"/>
              <w:bottom w:val="single" w:sz="4" w:space="0" w:color="auto"/>
              <w:right w:val="single" w:sz="4" w:space="0" w:color="auto"/>
            </w:tcBorders>
            <w:shd w:val="clear" w:color="auto" w:fill="auto"/>
            <w:vAlign w:val="center"/>
            <w:hideMark/>
          </w:tcPr>
          <w:p w14:paraId="502501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comunicar</w:t>
            </w:r>
            <w:proofErr w:type="gramEnd"/>
            <w:r w:rsidRPr="00704883">
              <w:rPr>
                <w:rFonts w:ascii="Calibri" w:eastAsia="Times New Roman" w:hAnsi="Calibri" w:cs="Calibri"/>
                <w:color w:val="000000"/>
                <w:sz w:val="24"/>
                <w:szCs w:val="24"/>
                <w:lang w:eastAsia="pt-BR"/>
              </w:rPr>
              <w:t xml:space="preserve"> aos patrocinadores e instituidores o inteiro teor da proposta de alteração, com prazo mínimo de trinta dias para manifestação expressa de eventual discordância; e </w:t>
            </w:r>
          </w:p>
        </w:tc>
        <w:tc>
          <w:tcPr>
            <w:tcW w:w="1679" w:type="pct"/>
            <w:tcBorders>
              <w:top w:val="nil"/>
              <w:left w:val="nil"/>
              <w:bottom w:val="single" w:sz="4" w:space="0" w:color="auto"/>
              <w:right w:val="single" w:sz="4" w:space="0" w:color="auto"/>
            </w:tcBorders>
            <w:shd w:val="clear" w:color="auto" w:fill="auto"/>
            <w:vAlign w:val="center"/>
            <w:hideMark/>
          </w:tcPr>
          <w:p w14:paraId="36C0F1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Simplificação operacional em relação à anuência das patrocinadoras nos movimentos de alteração de estatuto ou alteração de regulamento de plano de benefícios, passando de anuência expressa para manifestação expressa em caso de discordância apenas.</w:t>
            </w:r>
          </w:p>
        </w:tc>
      </w:tr>
      <w:tr w:rsidR="007D78B6" w:rsidRPr="00704883" w14:paraId="18D539E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9F6E4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c>
          <w:tcPr>
            <w:tcW w:w="1660" w:type="pct"/>
            <w:tcBorders>
              <w:top w:val="nil"/>
              <w:left w:val="nil"/>
              <w:bottom w:val="single" w:sz="4" w:space="0" w:color="auto"/>
              <w:right w:val="single" w:sz="4" w:space="0" w:color="auto"/>
            </w:tcBorders>
            <w:shd w:val="clear" w:color="auto" w:fill="auto"/>
            <w:vAlign w:val="center"/>
            <w:hideMark/>
          </w:tcPr>
          <w:p w14:paraId="7FB9D3E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III - propor as adequações necessárias às inovações constitucionais, legais e normativas que tenham entrado em vigor em data posterior à aprovação do texto vigente.</w:t>
            </w:r>
          </w:p>
        </w:tc>
        <w:tc>
          <w:tcPr>
            <w:tcW w:w="1679" w:type="pct"/>
            <w:tcBorders>
              <w:top w:val="nil"/>
              <w:left w:val="nil"/>
              <w:bottom w:val="single" w:sz="4" w:space="0" w:color="auto"/>
              <w:right w:val="single" w:sz="4" w:space="0" w:color="auto"/>
            </w:tcBorders>
            <w:shd w:val="clear" w:color="auto" w:fill="auto"/>
            <w:vAlign w:val="center"/>
            <w:hideMark/>
          </w:tcPr>
          <w:p w14:paraId="17043E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Previsão da necessidade de adequações às inovações constitucionais, legais e normativas que tenham entrado em vigor em data posterior à aprovação do texto vigente.</w:t>
            </w:r>
          </w:p>
        </w:tc>
      </w:tr>
      <w:tr w:rsidR="007D78B6" w:rsidRPr="00704883" w14:paraId="446AB69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1C0B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A EFPC pode considerar como anuência tácita dos patrocinadores ou instituidores a ausência de resposta à solicitação referida no inciso II, após transcorrido o prazo estabelecido. </w:t>
            </w:r>
          </w:p>
        </w:tc>
        <w:tc>
          <w:tcPr>
            <w:tcW w:w="1660" w:type="pct"/>
            <w:tcBorders>
              <w:top w:val="nil"/>
              <w:left w:val="nil"/>
              <w:bottom w:val="single" w:sz="4" w:space="0" w:color="auto"/>
              <w:right w:val="single" w:sz="4" w:space="0" w:color="auto"/>
            </w:tcBorders>
            <w:shd w:val="clear" w:color="auto" w:fill="auto"/>
            <w:vAlign w:val="center"/>
            <w:hideMark/>
          </w:tcPr>
          <w:p w14:paraId="19F87F6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D3C7B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537195C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ECB9E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disposto no § 1º não se aplica aos patrocinadores regidos pela Lei Complementar nº 108, de 29 de maio de 2001. </w:t>
            </w:r>
          </w:p>
        </w:tc>
        <w:tc>
          <w:tcPr>
            <w:tcW w:w="1660" w:type="pct"/>
            <w:tcBorders>
              <w:top w:val="nil"/>
              <w:left w:val="nil"/>
              <w:bottom w:val="single" w:sz="4" w:space="0" w:color="auto"/>
              <w:right w:val="single" w:sz="4" w:space="0" w:color="auto"/>
            </w:tcBorders>
            <w:shd w:val="clear" w:color="auto" w:fill="auto"/>
            <w:vAlign w:val="center"/>
            <w:hideMark/>
          </w:tcPr>
          <w:p w14:paraId="30A543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F0D7C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7D78B6" w:rsidRPr="00704883" w14:paraId="00BDFD3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8AF25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 A EFPC deve comunicar o início do seu funcionamento ou do plano de benefícios administrado, sob pena de cancelamento do licenciamento, em até cento e oitenta dias, contados da data da </w:t>
            </w:r>
            <w:proofErr w:type="gramStart"/>
            <w:r w:rsidRPr="00704883">
              <w:rPr>
                <w:rFonts w:ascii="Calibri" w:eastAsia="Times New Roman" w:hAnsi="Calibri" w:cs="Calibri"/>
                <w:color w:val="000000"/>
                <w:sz w:val="24"/>
                <w:szCs w:val="24"/>
                <w:lang w:eastAsia="pt-BR"/>
              </w:rPr>
              <w:t>autorização..</w:t>
            </w:r>
            <w:proofErr w:type="gramEnd"/>
            <w:r w:rsidRPr="00704883">
              <w:rPr>
                <w:rFonts w:ascii="Calibri" w:eastAsia="Times New Roman" w:hAnsi="Calibri" w:cs="Calibri"/>
                <w:color w:val="000000"/>
                <w:sz w:val="24"/>
                <w:szCs w:val="24"/>
                <w:lang w:eastAsia="pt-BR"/>
              </w:rPr>
              <w:t xml:space="preserve"> </w:t>
            </w:r>
          </w:p>
        </w:tc>
        <w:tc>
          <w:tcPr>
            <w:tcW w:w="1660" w:type="pct"/>
            <w:tcBorders>
              <w:top w:val="nil"/>
              <w:left w:val="nil"/>
              <w:bottom w:val="single" w:sz="4" w:space="0" w:color="auto"/>
              <w:right w:val="single" w:sz="4" w:space="0" w:color="auto"/>
            </w:tcBorders>
            <w:shd w:val="clear" w:color="auto" w:fill="auto"/>
            <w:vAlign w:val="center"/>
            <w:hideMark/>
          </w:tcPr>
          <w:p w14:paraId="387FDCA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141.  A EFPC deve comunicar o início do seu funcionamento ou do plano de benefícios administrado, sob pena de cancelamento do licenciamento, em até cento e oitenta dias, contados da data da autorização.</w:t>
            </w:r>
          </w:p>
        </w:tc>
        <w:tc>
          <w:tcPr>
            <w:tcW w:w="1679" w:type="pct"/>
            <w:tcBorders>
              <w:top w:val="nil"/>
              <w:left w:val="nil"/>
              <w:bottom w:val="single" w:sz="4" w:space="0" w:color="auto"/>
              <w:right w:val="single" w:sz="4" w:space="0" w:color="auto"/>
            </w:tcBorders>
            <w:shd w:val="clear" w:color="auto" w:fill="auto"/>
            <w:vAlign w:val="center"/>
            <w:hideMark/>
          </w:tcPr>
          <w:p w14:paraId="1C40E5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6A253E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A6E7F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prazo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 ser prorrogado, por igual período, mediante anuência da Previc</w:t>
            </w:r>
          </w:p>
        </w:tc>
        <w:tc>
          <w:tcPr>
            <w:tcW w:w="1660" w:type="pct"/>
            <w:tcBorders>
              <w:top w:val="nil"/>
              <w:left w:val="nil"/>
              <w:bottom w:val="single" w:sz="4" w:space="0" w:color="auto"/>
              <w:right w:val="single" w:sz="4" w:space="0" w:color="auto"/>
            </w:tcBorders>
            <w:shd w:val="clear" w:color="auto" w:fill="auto"/>
            <w:vAlign w:val="center"/>
            <w:hideMark/>
          </w:tcPr>
          <w:p w14:paraId="051EAE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prazo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 ser prorrogado, por igual período, mediante anuência da Previc.</w:t>
            </w:r>
          </w:p>
        </w:tc>
        <w:tc>
          <w:tcPr>
            <w:tcW w:w="1679" w:type="pct"/>
            <w:tcBorders>
              <w:top w:val="nil"/>
              <w:left w:val="nil"/>
              <w:bottom w:val="single" w:sz="4" w:space="0" w:color="auto"/>
              <w:right w:val="single" w:sz="4" w:space="0" w:color="auto"/>
            </w:tcBorders>
            <w:shd w:val="clear" w:color="auto" w:fill="auto"/>
            <w:vAlign w:val="center"/>
            <w:hideMark/>
          </w:tcPr>
          <w:p w14:paraId="051FF9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8EDABE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C78D3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 A EFPC pode, durante a fase de instrução, solicitar o cancelamento do requerimento de licenciamento, desde que autorizada pelo órgão estatutário competente. </w:t>
            </w:r>
          </w:p>
        </w:tc>
        <w:tc>
          <w:tcPr>
            <w:tcW w:w="1660" w:type="pct"/>
            <w:tcBorders>
              <w:top w:val="nil"/>
              <w:left w:val="nil"/>
              <w:bottom w:val="single" w:sz="4" w:space="0" w:color="auto"/>
              <w:right w:val="single" w:sz="4" w:space="0" w:color="auto"/>
            </w:tcBorders>
            <w:shd w:val="clear" w:color="auto" w:fill="auto"/>
            <w:vAlign w:val="center"/>
            <w:hideMark/>
          </w:tcPr>
          <w:p w14:paraId="1251793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142.  A EFPC pode, durante a fase de instrução, solicitar o cancelamento do requerimento de licenciamento, desde que autorizada pelo órgão estatutário competente.</w:t>
            </w:r>
          </w:p>
        </w:tc>
        <w:tc>
          <w:tcPr>
            <w:tcW w:w="1679" w:type="pct"/>
            <w:tcBorders>
              <w:top w:val="nil"/>
              <w:left w:val="nil"/>
              <w:bottom w:val="single" w:sz="4" w:space="0" w:color="auto"/>
              <w:right w:val="single" w:sz="4" w:space="0" w:color="auto"/>
            </w:tcBorders>
            <w:shd w:val="clear" w:color="auto" w:fill="auto"/>
            <w:vAlign w:val="center"/>
            <w:hideMark/>
          </w:tcPr>
          <w:p w14:paraId="5AA50C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EBB59A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E976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 A EFPC deve encaminhar a documentação comprobatória da finalização das operações previstas nos incisos VII a XII do art. 1º em até noventa dias após a data de conclusão da operação.</w:t>
            </w:r>
          </w:p>
        </w:tc>
        <w:tc>
          <w:tcPr>
            <w:tcW w:w="1660" w:type="pct"/>
            <w:tcBorders>
              <w:top w:val="nil"/>
              <w:left w:val="nil"/>
              <w:bottom w:val="single" w:sz="4" w:space="0" w:color="auto"/>
              <w:right w:val="single" w:sz="4" w:space="0" w:color="auto"/>
            </w:tcBorders>
            <w:shd w:val="clear" w:color="auto" w:fill="auto"/>
            <w:vAlign w:val="center"/>
            <w:hideMark/>
          </w:tcPr>
          <w:p w14:paraId="376260C2"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143.  A EFPC deve encaminhar a documentação comprobatória da finalização das operações previstas nos incisos VII a XII do art. 102 em até noventa dias após a data de conclusão da operação.</w:t>
            </w:r>
          </w:p>
        </w:tc>
        <w:tc>
          <w:tcPr>
            <w:tcW w:w="1679" w:type="pct"/>
            <w:tcBorders>
              <w:top w:val="nil"/>
              <w:left w:val="nil"/>
              <w:bottom w:val="single" w:sz="4" w:space="0" w:color="auto"/>
              <w:right w:val="single" w:sz="4" w:space="0" w:color="auto"/>
            </w:tcBorders>
            <w:shd w:val="clear" w:color="auto" w:fill="auto"/>
            <w:vAlign w:val="center"/>
            <w:hideMark/>
          </w:tcPr>
          <w:p w14:paraId="5426C7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749C20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6A78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22. A EFPC deve manter atualizadas as informações cadastrais relacionadas à instrução de processos de licenciamento no sistema informatizado da Previc. </w:t>
            </w:r>
          </w:p>
        </w:tc>
        <w:tc>
          <w:tcPr>
            <w:tcW w:w="1660" w:type="pct"/>
            <w:tcBorders>
              <w:top w:val="nil"/>
              <w:left w:val="nil"/>
              <w:bottom w:val="single" w:sz="4" w:space="0" w:color="auto"/>
              <w:right w:val="single" w:sz="4" w:space="0" w:color="auto"/>
            </w:tcBorders>
            <w:shd w:val="clear" w:color="auto" w:fill="auto"/>
            <w:vAlign w:val="center"/>
            <w:hideMark/>
          </w:tcPr>
          <w:p w14:paraId="23A4D3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144.  A EFPC deve manter atualizadas as informações cadastrais relacionadas à instrução de processos de licenciamento no sistema informatizado da Previc.</w:t>
            </w:r>
          </w:p>
        </w:tc>
        <w:tc>
          <w:tcPr>
            <w:tcW w:w="1679" w:type="pct"/>
            <w:tcBorders>
              <w:top w:val="nil"/>
              <w:left w:val="nil"/>
              <w:bottom w:val="single" w:sz="4" w:space="0" w:color="auto"/>
              <w:right w:val="single" w:sz="4" w:space="0" w:color="auto"/>
            </w:tcBorders>
            <w:shd w:val="clear" w:color="auto" w:fill="auto"/>
            <w:vAlign w:val="center"/>
            <w:hideMark/>
          </w:tcPr>
          <w:p w14:paraId="05610D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05390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3A6922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 1º A EFPC deve manter endereço de e-mail institucional destinado à comunicação com a Previc, permanentemente atualizado no sistema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0842318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EFPC deve manter endereço de e-mail institucional destinado à comunicação com a Previc, permanentemente atualizado no sistema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6E719F9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A6F46D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B68B5A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e-mail institucional referido no § 1º deve ser acessível às áreas da EFPC responsáveis pelo relacionamento com a Previc, sem vinculação a qualquer pessoa física específica. </w:t>
            </w:r>
          </w:p>
        </w:tc>
        <w:tc>
          <w:tcPr>
            <w:tcW w:w="1660" w:type="pct"/>
            <w:tcBorders>
              <w:top w:val="nil"/>
              <w:left w:val="nil"/>
              <w:bottom w:val="single" w:sz="4" w:space="0" w:color="auto"/>
              <w:right w:val="single" w:sz="4" w:space="0" w:color="auto"/>
            </w:tcBorders>
            <w:shd w:val="clear" w:color="auto" w:fill="auto"/>
            <w:vAlign w:val="center"/>
            <w:hideMark/>
          </w:tcPr>
          <w:p w14:paraId="1B0D9C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e-mail institucional referido no § 1º  deve ser acessível às áreas da EFPC responsáveis pelo relacionamento com a Previc, sem vinculação a qualquer pessoa física específica.</w:t>
            </w:r>
          </w:p>
        </w:tc>
        <w:tc>
          <w:tcPr>
            <w:tcW w:w="1679" w:type="pct"/>
            <w:tcBorders>
              <w:top w:val="nil"/>
              <w:left w:val="nil"/>
              <w:bottom w:val="single" w:sz="4" w:space="0" w:color="auto"/>
              <w:right w:val="single" w:sz="4" w:space="0" w:color="auto"/>
            </w:tcBorders>
            <w:shd w:val="clear" w:color="auto" w:fill="auto"/>
            <w:vAlign w:val="center"/>
            <w:hideMark/>
          </w:tcPr>
          <w:p w14:paraId="7444B20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068C49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9FD36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3º Sem prejuízo da utilização de outros meios, as comunicações enviadas pela Previc ao e-mail institucional referido no § 1º devem ser consideradas oficiais. </w:t>
            </w:r>
          </w:p>
        </w:tc>
        <w:tc>
          <w:tcPr>
            <w:tcW w:w="1660" w:type="pct"/>
            <w:tcBorders>
              <w:top w:val="nil"/>
              <w:left w:val="nil"/>
              <w:bottom w:val="single" w:sz="4" w:space="0" w:color="auto"/>
              <w:right w:val="single" w:sz="4" w:space="0" w:color="auto"/>
            </w:tcBorders>
            <w:shd w:val="clear" w:color="auto" w:fill="auto"/>
            <w:vAlign w:val="center"/>
            <w:hideMark/>
          </w:tcPr>
          <w:p w14:paraId="322137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Sem</w:t>
            </w:r>
            <w:proofErr w:type="gramEnd"/>
            <w:r w:rsidRPr="00704883">
              <w:rPr>
                <w:rFonts w:ascii="Calibri" w:eastAsia="Times New Roman" w:hAnsi="Calibri" w:cs="Calibri"/>
                <w:color w:val="000000"/>
                <w:sz w:val="24"/>
                <w:szCs w:val="24"/>
                <w:lang w:eastAsia="pt-BR"/>
              </w:rPr>
              <w:t xml:space="preserve"> prejuízo da utilização de outros meios, as comunicações enviadas pela Previc ao e-mail institucional referido no § 1º devem ser consideradas oficiais.</w:t>
            </w:r>
          </w:p>
        </w:tc>
        <w:tc>
          <w:tcPr>
            <w:tcW w:w="1679" w:type="pct"/>
            <w:tcBorders>
              <w:top w:val="nil"/>
              <w:left w:val="nil"/>
              <w:bottom w:val="single" w:sz="4" w:space="0" w:color="auto"/>
              <w:right w:val="single" w:sz="4" w:space="0" w:color="auto"/>
            </w:tcBorders>
            <w:shd w:val="clear" w:color="auto" w:fill="auto"/>
            <w:vAlign w:val="center"/>
            <w:hideMark/>
          </w:tcPr>
          <w:p w14:paraId="3F544F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3B215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4BAB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4º A Previc deve realizar a atualização cadastral decorrente do deferimento de requerimentos de licenciamento e da finalização das operações, no caso de as informações pertinentes não poderem ser enviadas por meio do sistema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6804FFB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4</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Previc deve realizar a atualização cadastral decorrente do deferimento de requerimentos de licenciamento e da finalização das operações, no caso de as informações pertinentes não poderem ser enviadas por meio do sistema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22D38FA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C7E623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C7B8D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23. A EFPC deve comunicar a existência de qualquer situação ou litígio que possa representar risco à conclusão do requerimento de licenciamento. </w:t>
            </w:r>
          </w:p>
        </w:tc>
        <w:tc>
          <w:tcPr>
            <w:tcW w:w="1660" w:type="pct"/>
            <w:tcBorders>
              <w:top w:val="nil"/>
              <w:left w:val="nil"/>
              <w:bottom w:val="single" w:sz="4" w:space="0" w:color="auto"/>
              <w:right w:val="single" w:sz="4" w:space="0" w:color="auto"/>
            </w:tcBorders>
            <w:shd w:val="clear" w:color="auto" w:fill="auto"/>
            <w:vAlign w:val="center"/>
            <w:hideMark/>
          </w:tcPr>
          <w:p w14:paraId="0AF15C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145.  A EFPC deve comunicar a existência de qualquer situação ou litígio que possa representar risco à conclusão do requerimento de licenciamento.</w:t>
            </w:r>
          </w:p>
        </w:tc>
        <w:tc>
          <w:tcPr>
            <w:tcW w:w="1679" w:type="pct"/>
            <w:tcBorders>
              <w:top w:val="nil"/>
              <w:left w:val="nil"/>
              <w:bottom w:val="single" w:sz="4" w:space="0" w:color="auto"/>
              <w:right w:val="single" w:sz="4" w:space="0" w:color="auto"/>
            </w:tcBorders>
            <w:shd w:val="clear" w:color="auto" w:fill="auto"/>
            <w:vAlign w:val="center"/>
            <w:hideMark/>
          </w:tcPr>
          <w:p w14:paraId="68706F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5BA2121" w14:textId="77777777" w:rsidTr="00704883">
        <w:trPr>
          <w:trHeight w:val="252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8AC8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24. As alterações em regulamento de plano de benefícios, apresentadas nos requerimentos de licenciamento referidos nos incisos VII a X e XIII do art. 1º, somente podem tratar de matérias inerentes ao correspondente requerimento. </w:t>
            </w:r>
          </w:p>
        </w:tc>
        <w:tc>
          <w:tcPr>
            <w:tcW w:w="1660" w:type="pct"/>
            <w:tcBorders>
              <w:top w:val="nil"/>
              <w:left w:val="nil"/>
              <w:bottom w:val="single" w:sz="4" w:space="0" w:color="auto"/>
              <w:right w:val="single" w:sz="4" w:space="0" w:color="auto"/>
            </w:tcBorders>
            <w:shd w:val="clear" w:color="auto" w:fill="auto"/>
            <w:vAlign w:val="center"/>
            <w:hideMark/>
          </w:tcPr>
          <w:p w14:paraId="022D306D"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146.  As alterações em regulamento de plano de benefícios, apresentadas nos requerimentos de licenciamento referidos nos incisos VIII a X e XIII do art. 102, podem tratar de outras matérias formais, desde que não repercutam no custo, no custeio ou no resultado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1AA7782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Permitir às EFPC que nas alterações de regulamento de plano de benefícios apresentadas nos requerimentos de fusão, cisão e incorporação de planos de benefícios e de EFPC, migração de participantes e assistidos, operações estruturais relacionadas e destinação de reserva especial que envolva reversão de valores possam ser propostos outros ajustes formais, desde que não repercutam no custo, no custeio ou no resultado do plano de benefícios.</w:t>
            </w:r>
          </w:p>
        </w:tc>
      </w:tr>
      <w:tr w:rsidR="007D78B6" w:rsidRPr="00704883" w14:paraId="34F6EAD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95C41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25. Os licenciamentos deferidos pela Previc devem ser publicados: </w:t>
            </w:r>
          </w:p>
        </w:tc>
        <w:tc>
          <w:tcPr>
            <w:tcW w:w="1660" w:type="pct"/>
            <w:tcBorders>
              <w:top w:val="nil"/>
              <w:left w:val="nil"/>
              <w:bottom w:val="single" w:sz="4" w:space="0" w:color="auto"/>
              <w:right w:val="single" w:sz="4" w:space="0" w:color="auto"/>
            </w:tcBorders>
            <w:shd w:val="clear" w:color="auto" w:fill="auto"/>
            <w:vAlign w:val="center"/>
            <w:hideMark/>
          </w:tcPr>
          <w:p w14:paraId="3C9126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147.  Os licenciamentos deferidos pela Previc devem ser publicados: </w:t>
            </w:r>
          </w:p>
        </w:tc>
        <w:tc>
          <w:tcPr>
            <w:tcW w:w="1679" w:type="pct"/>
            <w:tcBorders>
              <w:top w:val="nil"/>
              <w:left w:val="nil"/>
              <w:bottom w:val="single" w:sz="4" w:space="0" w:color="auto"/>
              <w:right w:val="single" w:sz="4" w:space="0" w:color="auto"/>
            </w:tcBorders>
            <w:shd w:val="clear" w:color="auto" w:fill="auto"/>
            <w:vAlign w:val="center"/>
            <w:hideMark/>
          </w:tcPr>
          <w:p w14:paraId="278BB04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CBDC78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9BF96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 - </w:t>
            </w:r>
            <w:proofErr w:type="gramStart"/>
            <w:r w:rsidRPr="00704883">
              <w:rPr>
                <w:rFonts w:ascii="Calibri" w:eastAsia="Times New Roman" w:hAnsi="Calibri" w:cs="Calibri"/>
                <w:color w:val="000000"/>
                <w:sz w:val="24"/>
                <w:szCs w:val="24"/>
                <w:lang w:eastAsia="pt-BR"/>
              </w:rPr>
              <w:t>em</w:t>
            </w:r>
            <w:proofErr w:type="gramEnd"/>
            <w:r w:rsidRPr="00704883">
              <w:rPr>
                <w:rFonts w:ascii="Calibri" w:eastAsia="Times New Roman" w:hAnsi="Calibri" w:cs="Calibri"/>
                <w:color w:val="000000"/>
                <w:sz w:val="24"/>
                <w:szCs w:val="24"/>
                <w:lang w:eastAsia="pt-BR"/>
              </w:rPr>
              <w:t xml:space="preserve"> seu sítio eletrônico, nos casos de habilitação de dirigentes e de requerimentos sujeitos ao licenciamento automático; e</w:t>
            </w:r>
          </w:p>
        </w:tc>
        <w:tc>
          <w:tcPr>
            <w:tcW w:w="1660" w:type="pct"/>
            <w:tcBorders>
              <w:top w:val="nil"/>
              <w:left w:val="nil"/>
              <w:bottom w:val="single" w:sz="4" w:space="0" w:color="auto"/>
              <w:right w:val="single" w:sz="4" w:space="0" w:color="auto"/>
            </w:tcBorders>
            <w:shd w:val="clear" w:color="auto" w:fill="auto"/>
            <w:vAlign w:val="center"/>
            <w:hideMark/>
          </w:tcPr>
          <w:p w14:paraId="1DBC6A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em</w:t>
            </w:r>
            <w:proofErr w:type="gramEnd"/>
            <w:r w:rsidRPr="00704883">
              <w:rPr>
                <w:rFonts w:ascii="Calibri" w:eastAsia="Times New Roman" w:hAnsi="Calibri" w:cs="Calibri"/>
                <w:color w:val="000000"/>
                <w:sz w:val="24"/>
                <w:szCs w:val="24"/>
                <w:lang w:eastAsia="pt-BR"/>
              </w:rPr>
              <w:t xml:space="preserve"> seu sítio eletrônico, nos casos de habilitação de dirigentes e de requerimentos sujeitos ao licenciamento automático; e</w:t>
            </w:r>
          </w:p>
        </w:tc>
        <w:tc>
          <w:tcPr>
            <w:tcW w:w="1679" w:type="pct"/>
            <w:tcBorders>
              <w:top w:val="nil"/>
              <w:left w:val="nil"/>
              <w:bottom w:val="single" w:sz="4" w:space="0" w:color="auto"/>
              <w:right w:val="single" w:sz="4" w:space="0" w:color="auto"/>
            </w:tcBorders>
            <w:shd w:val="clear" w:color="auto" w:fill="auto"/>
            <w:vAlign w:val="center"/>
            <w:hideMark/>
          </w:tcPr>
          <w:p w14:paraId="604972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97EC95F"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9D24A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Diário Oficial da União, nos demais casos. </w:t>
            </w:r>
          </w:p>
        </w:tc>
        <w:tc>
          <w:tcPr>
            <w:tcW w:w="1660" w:type="pct"/>
            <w:tcBorders>
              <w:top w:val="nil"/>
              <w:left w:val="nil"/>
              <w:bottom w:val="single" w:sz="4" w:space="0" w:color="auto"/>
              <w:right w:val="single" w:sz="4" w:space="0" w:color="auto"/>
            </w:tcBorders>
            <w:shd w:val="clear" w:color="auto" w:fill="auto"/>
            <w:vAlign w:val="center"/>
            <w:hideMark/>
          </w:tcPr>
          <w:p w14:paraId="02939F3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no</w:t>
            </w:r>
            <w:proofErr w:type="gramEnd"/>
            <w:r w:rsidRPr="00704883">
              <w:rPr>
                <w:rFonts w:ascii="Calibri" w:eastAsia="Times New Roman" w:hAnsi="Calibri" w:cs="Calibri"/>
                <w:color w:val="000000"/>
                <w:sz w:val="24"/>
                <w:szCs w:val="24"/>
                <w:lang w:eastAsia="pt-BR"/>
              </w:rPr>
              <w:t xml:space="preserve"> DOU, nos demais casos. </w:t>
            </w:r>
          </w:p>
        </w:tc>
        <w:tc>
          <w:tcPr>
            <w:tcW w:w="1679" w:type="pct"/>
            <w:tcBorders>
              <w:top w:val="nil"/>
              <w:left w:val="nil"/>
              <w:bottom w:val="single" w:sz="4" w:space="0" w:color="auto"/>
              <w:right w:val="single" w:sz="4" w:space="0" w:color="auto"/>
            </w:tcBorders>
            <w:shd w:val="clear" w:color="auto" w:fill="auto"/>
            <w:vAlign w:val="center"/>
            <w:hideMark/>
          </w:tcPr>
          <w:p w14:paraId="7450C4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4BF876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0022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26 A forma e a documentação para instrução dos requerimentos de licenciamento devem observar o disposto em normativo publicado pela Diretoria de Licenciamento.</w:t>
            </w:r>
          </w:p>
        </w:tc>
        <w:tc>
          <w:tcPr>
            <w:tcW w:w="1660" w:type="pct"/>
            <w:tcBorders>
              <w:top w:val="nil"/>
              <w:left w:val="nil"/>
              <w:bottom w:val="single" w:sz="4" w:space="0" w:color="auto"/>
              <w:right w:val="single" w:sz="4" w:space="0" w:color="auto"/>
            </w:tcBorders>
            <w:shd w:val="clear" w:color="auto" w:fill="auto"/>
            <w:vAlign w:val="center"/>
            <w:hideMark/>
          </w:tcPr>
          <w:p w14:paraId="50345136" w14:textId="7EE43F18"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148</w:t>
            </w:r>
            <w:r w:rsidR="00D657C7">
              <w:rPr>
                <w:rFonts w:ascii="Calibri" w:eastAsia="Times New Roman" w:hAnsi="Calibri" w:cs="Calibri"/>
                <w:color w:val="000000"/>
                <w:sz w:val="24"/>
                <w:szCs w:val="24"/>
                <w:lang w:eastAsia="pt-BR"/>
              </w:rPr>
              <w:t>.</w:t>
            </w:r>
            <w:r w:rsidRPr="00704883">
              <w:rPr>
                <w:rFonts w:ascii="Calibri" w:eastAsia="Times New Roman" w:hAnsi="Calibri" w:cs="Calibri"/>
                <w:color w:val="000000"/>
                <w:sz w:val="24"/>
                <w:szCs w:val="24"/>
                <w:lang w:eastAsia="pt-BR"/>
              </w:rPr>
              <w:t xml:space="preserve">  </w:t>
            </w:r>
            <w:proofErr w:type="gramStart"/>
            <w:r w:rsidRPr="00704883">
              <w:rPr>
                <w:rFonts w:ascii="Calibri" w:eastAsia="Times New Roman" w:hAnsi="Calibri" w:cs="Calibri"/>
                <w:color w:val="000000"/>
                <w:sz w:val="24"/>
                <w:szCs w:val="24"/>
                <w:lang w:eastAsia="pt-BR"/>
              </w:rPr>
              <w:t>A</w:t>
            </w:r>
            <w:proofErr w:type="gramEnd"/>
            <w:r w:rsidRPr="00704883">
              <w:rPr>
                <w:rFonts w:ascii="Calibri" w:eastAsia="Times New Roman" w:hAnsi="Calibri" w:cs="Calibri"/>
                <w:color w:val="000000"/>
                <w:sz w:val="24"/>
                <w:szCs w:val="24"/>
                <w:lang w:eastAsia="pt-BR"/>
              </w:rPr>
              <w:t xml:space="preserve"> forma e a documentação para instrução dos requerimentos de licenciamento devem observar o disposto em normativo publicado pela Diretoria de Licenciamento.</w:t>
            </w:r>
          </w:p>
        </w:tc>
        <w:tc>
          <w:tcPr>
            <w:tcW w:w="1679" w:type="pct"/>
            <w:tcBorders>
              <w:top w:val="nil"/>
              <w:left w:val="nil"/>
              <w:bottom w:val="single" w:sz="4" w:space="0" w:color="auto"/>
              <w:right w:val="single" w:sz="4" w:space="0" w:color="auto"/>
            </w:tcBorders>
            <w:shd w:val="clear" w:color="auto" w:fill="auto"/>
            <w:vAlign w:val="center"/>
            <w:hideMark/>
          </w:tcPr>
          <w:p w14:paraId="021C5A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795ACF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2BAEDDE"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Resolução Previc nº 17, de 16 de novembro de 2022.</w:t>
            </w:r>
          </w:p>
        </w:tc>
        <w:tc>
          <w:tcPr>
            <w:tcW w:w="1660" w:type="pct"/>
            <w:tcBorders>
              <w:top w:val="nil"/>
              <w:left w:val="nil"/>
              <w:bottom w:val="single" w:sz="4" w:space="0" w:color="auto"/>
              <w:right w:val="single" w:sz="4" w:space="0" w:color="auto"/>
            </w:tcBorders>
            <w:shd w:val="clear" w:color="auto" w:fill="auto"/>
            <w:vAlign w:val="center"/>
            <w:hideMark/>
          </w:tcPr>
          <w:p w14:paraId="28440789"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4E1DAD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3A2A09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1A77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 A entidade de destino deve manter registro contábil específico dos recursos recepcionados de outros planos em decorrência da portabilidade. </w:t>
            </w:r>
          </w:p>
        </w:tc>
        <w:tc>
          <w:tcPr>
            <w:tcW w:w="1660" w:type="pct"/>
            <w:tcBorders>
              <w:top w:val="nil"/>
              <w:left w:val="nil"/>
              <w:bottom w:val="single" w:sz="4" w:space="0" w:color="auto"/>
              <w:right w:val="single" w:sz="4" w:space="0" w:color="auto"/>
            </w:tcBorders>
            <w:shd w:val="clear" w:color="auto" w:fill="auto"/>
            <w:vAlign w:val="center"/>
            <w:hideMark/>
          </w:tcPr>
          <w:p w14:paraId="465E7A9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149.  A entidade de destino deve manter registro contábil específico dos recursos recepcionados de outros planos em decorrência da portabilidade.</w:t>
            </w:r>
          </w:p>
        </w:tc>
        <w:tc>
          <w:tcPr>
            <w:tcW w:w="1679" w:type="pct"/>
            <w:tcBorders>
              <w:top w:val="nil"/>
              <w:left w:val="nil"/>
              <w:bottom w:val="single" w:sz="4" w:space="0" w:color="auto"/>
              <w:right w:val="single" w:sz="4" w:space="0" w:color="auto"/>
            </w:tcBorders>
            <w:shd w:val="clear" w:color="auto" w:fill="auto"/>
            <w:vAlign w:val="center"/>
            <w:hideMark/>
          </w:tcPr>
          <w:p w14:paraId="3191DB9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E23302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F7FED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Os recursos de que trata o caput devem ser segregados entre contribuições do participante e do patrocinador. </w:t>
            </w:r>
          </w:p>
        </w:tc>
        <w:tc>
          <w:tcPr>
            <w:tcW w:w="1660" w:type="pct"/>
            <w:tcBorders>
              <w:top w:val="nil"/>
              <w:left w:val="nil"/>
              <w:bottom w:val="single" w:sz="4" w:space="0" w:color="auto"/>
              <w:right w:val="single" w:sz="4" w:space="0" w:color="auto"/>
            </w:tcBorders>
            <w:shd w:val="clear" w:color="auto" w:fill="auto"/>
            <w:vAlign w:val="center"/>
            <w:hideMark/>
          </w:tcPr>
          <w:p w14:paraId="54F9A36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Os</w:t>
            </w:r>
            <w:proofErr w:type="gramEnd"/>
            <w:r w:rsidRPr="00704883">
              <w:rPr>
                <w:rFonts w:ascii="Calibri" w:eastAsia="Times New Roman" w:hAnsi="Calibri" w:cs="Calibri"/>
                <w:color w:val="000000"/>
                <w:sz w:val="24"/>
                <w:szCs w:val="24"/>
                <w:lang w:eastAsia="pt-BR"/>
              </w:rPr>
              <w:t xml:space="preserve"> recursos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devem ser segregados entre contribuições do participante e do patrocinador.  </w:t>
            </w:r>
          </w:p>
        </w:tc>
        <w:tc>
          <w:tcPr>
            <w:tcW w:w="1679" w:type="pct"/>
            <w:tcBorders>
              <w:top w:val="nil"/>
              <w:left w:val="nil"/>
              <w:bottom w:val="single" w:sz="4" w:space="0" w:color="auto"/>
              <w:right w:val="single" w:sz="4" w:space="0" w:color="auto"/>
            </w:tcBorders>
            <w:shd w:val="clear" w:color="auto" w:fill="auto"/>
            <w:vAlign w:val="center"/>
            <w:hideMark/>
          </w:tcPr>
          <w:p w14:paraId="07FF747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6DAEA3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6FC04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2º O disposto no caput não se aplica à parcela utilizada para pagamento de aporte inicial previsto no regulamento e na nota técnica atuarial do plano de benefícios de destino. </w:t>
            </w:r>
          </w:p>
        </w:tc>
        <w:tc>
          <w:tcPr>
            <w:tcW w:w="1660" w:type="pct"/>
            <w:tcBorders>
              <w:top w:val="nil"/>
              <w:left w:val="nil"/>
              <w:bottom w:val="single" w:sz="4" w:space="0" w:color="auto"/>
              <w:right w:val="single" w:sz="4" w:space="0" w:color="auto"/>
            </w:tcBorders>
            <w:shd w:val="clear" w:color="auto" w:fill="auto"/>
            <w:vAlign w:val="center"/>
            <w:hideMark/>
          </w:tcPr>
          <w:p w14:paraId="1D4051B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O</w:t>
            </w:r>
            <w:proofErr w:type="gramEnd"/>
            <w:r w:rsidRPr="00704883">
              <w:rPr>
                <w:rFonts w:ascii="Calibri" w:eastAsia="Times New Roman" w:hAnsi="Calibri" w:cs="Calibri"/>
                <w:color w:val="000000"/>
                <w:sz w:val="24"/>
                <w:szCs w:val="24"/>
                <w:lang w:eastAsia="pt-BR"/>
              </w:rPr>
              <w:t xml:space="preserve"> disposto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não se aplica à parcela utilizada para pagamento de aporte inicial previsto no regulamento e na nota técnica atuarial do plano de benefícios de destino.</w:t>
            </w:r>
          </w:p>
        </w:tc>
        <w:tc>
          <w:tcPr>
            <w:tcW w:w="1679" w:type="pct"/>
            <w:tcBorders>
              <w:top w:val="nil"/>
              <w:left w:val="nil"/>
              <w:bottom w:val="single" w:sz="4" w:space="0" w:color="auto"/>
              <w:right w:val="single" w:sz="4" w:space="0" w:color="auto"/>
            </w:tcBorders>
            <w:shd w:val="clear" w:color="auto" w:fill="auto"/>
            <w:vAlign w:val="center"/>
            <w:hideMark/>
          </w:tcPr>
          <w:p w14:paraId="478B52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04364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5766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13. A segregação de que tratam os incisos I e II do art. 5º, a alínea “a” do inciso I e a alínea “b” do inciso II do art. 6º, o inciso VI do art. 9º e o § 1º do art. 12 não se aplica aos recursos:</w:t>
            </w:r>
          </w:p>
        </w:tc>
        <w:tc>
          <w:tcPr>
            <w:tcW w:w="1660" w:type="pct"/>
            <w:tcBorders>
              <w:top w:val="nil"/>
              <w:left w:val="nil"/>
              <w:bottom w:val="single" w:sz="4" w:space="0" w:color="auto"/>
              <w:right w:val="single" w:sz="4" w:space="0" w:color="auto"/>
            </w:tcBorders>
            <w:shd w:val="clear" w:color="auto" w:fill="auto"/>
            <w:vAlign w:val="center"/>
            <w:hideMark/>
          </w:tcPr>
          <w:p w14:paraId="4EF37537"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150.  A segregação de que tratam os incisos I e II do art. 133, a alínea “a” do inciso I e a alínea “b” do inciso II do art. 134, o inciso VI do art. 137 e o § 1</w:t>
            </w:r>
            <w:proofErr w:type="gramStart"/>
            <w:r w:rsidRPr="00704883">
              <w:rPr>
                <w:rFonts w:ascii="Calibri" w:eastAsia="Times New Roman" w:hAnsi="Calibri" w:cs="Calibri"/>
                <w:sz w:val="24"/>
                <w:szCs w:val="24"/>
                <w:lang w:eastAsia="pt-BR"/>
              </w:rPr>
              <w:t>º  do</w:t>
            </w:r>
            <w:proofErr w:type="gramEnd"/>
            <w:r w:rsidRPr="00704883">
              <w:rPr>
                <w:rFonts w:ascii="Calibri" w:eastAsia="Times New Roman" w:hAnsi="Calibri" w:cs="Calibri"/>
                <w:sz w:val="24"/>
                <w:szCs w:val="24"/>
                <w:lang w:eastAsia="pt-BR"/>
              </w:rPr>
              <w:t xml:space="preserve"> art. 149:</w:t>
            </w:r>
          </w:p>
        </w:tc>
        <w:tc>
          <w:tcPr>
            <w:tcW w:w="1679" w:type="pct"/>
            <w:tcBorders>
              <w:top w:val="nil"/>
              <w:left w:val="nil"/>
              <w:bottom w:val="single" w:sz="4" w:space="0" w:color="auto"/>
              <w:right w:val="single" w:sz="4" w:space="0" w:color="auto"/>
            </w:tcBorders>
            <w:shd w:val="clear" w:color="auto" w:fill="auto"/>
            <w:vAlign w:val="center"/>
            <w:hideMark/>
          </w:tcPr>
          <w:p w14:paraId="6CE48D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88EF4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A2A30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recebidos</w:t>
            </w:r>
            <w:proofErr w:type="gramEnd"/>
            <w:r w:rsidRPr="00704883">
              <w:rPr>
                <w:rFonts w:ascii="Calibri" w:eastAsia="Times New Roman" w:hAnsi="Calibri" w:cs="Calibri"/>
                <w:color w:val="000000"/>
                <w:sz w:val="24"/>
                <w:szCs w:val="24"/>
                <w:lang w:eastAsia="pt-BR"/>
              </w:rPr>
              <w:t xml:space="preserve"> em decorrência de retirada de patrocínio de outro plano previdenciário; e </w:t>
            </w:r>
          </w:p>
        </w:tc>
        <w:tc>
          <w:tcPr>
            <w:tcW w:w="1660" w:type="pct"/>
            <w:tcBorders>
              <w:top w:val="nil"/>
              <w:left w:val="nil"/>
              <w:bottom w:val="single" w:sz="4" w:space="0" w:color="auto"/>
              <w:right w:val="single" w:sz="4" w:space="0" w:color="auto"/>
            </w:tcBorders>
            <w:shd w:val="clear" w:color="auto" w:fill="auto"/>
            <w:vAlign w:val="center"/>
            <w:hideMark/>
          </w:tcPr>
          <w:p w14:paraId="5553F7B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recebidos</w:t>
            </w:r>
            <w:proofErr w:type="gramEnd"/>
            <w:r w:rsidRPr="00704883">
              <w:rPr>
                <w:rFonts w:ascii="Calibri" w:eastAsia="Times New Roman" w:hAnsi="Calibri" w:cs="Calibri"/>
                <w:color w:val="000000"/>
                <w:sz w:val="24"/>
                <w:szCs w:val="24"/>
                <w:lang w:eastAsia="pt-BR"/>
              </w:rPr>
              <w:t xml:space="preserve"> em decorrência de retirada de patrocínio de outro plano previdenciário; e </w:t>
            </w:r>
          </w:p>
        </w:tc>
        <w:tc>
          <w:tcPr>
            <w:tcW w:w="1679" w:type="pct"/>
            <w:tcBorders>
              <w:top w:val="nil"/>
              <w:left w:val="nil"/>
              <w:bottom w:val="single" w:sz="4" w:space="0" w:color="auto"/>
              <w:right w:val="single" w:sz="4" w:space="0" w:color="auto"/>
            </w:tcBorders>
            <w:shd w:val="clear" w:color="auto" w:fill="auto"/>
            <w:vAlign w:val="center"/>
            <w:hideMark/>
          </w:tcPr>
          <w:p w14:paraId="1153E51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242E97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5193D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decorrentes</w:t>
            </w:r>
            <w:proofErr w:type="gramEnd"/>
            <w:r w:rsidRPr="00704883">
              <w:rPr>
                <w:rFonts w:ascii="Calibri" w:eastAsia="Times New Roman" w:hAnsi="Calibri" w:cs="Calibri"/>
                <w:color w:val="000000"/>
                <w:sz w:val="24"/>
                <w:szCs w:val="24"/>
                <w:lang w:eastAsia="pt-BR"/>
              </w:rPr>
              <w:t xml:space="preserve"> de portabilidade realizada anteriormente à vigência desta Resolução. </w:t>
            </w:r>
          </w:p>
        </w:tc>
        <w:tc>
          <w:tcPr>
            <w:tcW w:w="1660" w:type="pct"/>
            <w:tcBorders>
              <w:top w:val="nil"/>
              <w:left w:val="nil"/>
              <w:bottom w:val="single" w:sz="4" w:space="0" w:color="auto"/>
              <w:right w:val="single" w:sz="4" w:space="0" w:color="auto"/>
            </w:tcBorders>
            <w:shd w:val="clear" w:color="auto" w:fill="auto"/>
            <w:vAlign w:val="center"/>
            <w:hideMark/>
          </w:tcPr>
          <w:p w14:paraId="1EA2BA9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decorrentes</w:t>
            </w:r>
            <w:proofErr w:type="gramEnd"/>
            <w:r w:rsidRPr="00704883">
              <w:rPr>
                <w:rFonts w:ascii="Calibri" w:eastAsia="Times New Roman" w:hAnsi="Calibri" w:cs="Calibri"/>
                <w:color w:val="000000"/>
                <w:sz w:val="24"/>
                <w:szCs w:val="24"/>
                <w:lang w:eastAsia="pt-BR"/>
              </w:rPr>
              <w:t xml:space="preserve"> de portabilidade realizada anteriormente à vigência desta </w:t>
            </w:r>
            <w:r w:rsidRPr="00336B52">
              <w:rPr>
                <w:rFonts w:ascii="Calibri" w:eastAsia="Times New Roman" w:hAnsi="Calibri" w:cs="Calibri"/>
                <w:color w:val="000000"/>
                <w:sz w:val="24"/>
                <w:szCs w:val="24"/>
                <w:highlight w:val="yellow"/>
                <w:lang w:eastAsia="pt-BR"/>
              </w:rPr>
              <w:t>Resolução</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63DDE26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C90CEF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C049EC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1º Os recursos referidos no caput podem ser informados como contribuições do participante. </w:t>
            </w:r>
          </w:p>
        </w:tc>
        <w:tc>
          <w:tcPr>
            <w:tcW w:w="1660" w:type="pct"/>
            <w:tcBorders>
              <w:top w:val="nil"/>
              <w:left w:val="nil"/>
              <w:bottom w:val="single" w:sz="4" w:space="0" w:color="auto"/>
              <w:right w:val="single" w:sz="4" w:space="0" w:color="auto"/>
            </w:tcBorders>
            <w:shd w:val="clear" w:color="auto" w:fill="auto"/>
            <w:vAlign w:val="center"/>
            <w:hideMark/>
          </w:tcPr>
          <w:p w14:paraId="084D0D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Os</w:t>
            </w:r>
            <w:proofErr w:type="gramEnd"/>
            <w:r w:rsidRPr="00704883">
              <w:rPr>
                <w:rFonts w:ascii="Calibri" w:eastAsia="Times New Roman" w:hAnsi="Calibri" w:cs="Calibri"/>
                <w:color w:val="000000"/>
                <w:sz w:val="24"/>
                <w:szCs w:val="24"/>
                <w:lang w:eastAsia="pt-BR"/>
              </w:rPr>
              <w:t xml:space="preserve"> recursos referidos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podem ser informados como contribuições do participante.</w:t>
            </w:r>
          </w:p>
        </w:tc>
        <w:tc>
          <w:tcPr>
            <w:tcW w:w="1679" w:type="pct"/>
            <w:tcBorders>
              <w:top w:val="nil"/>
              <w:left w:val="nil"/>
              <w:bottom w:val="single" w:sz="4" w:space="0" w:color="auto"/>
              <w:right w:val="single" w:sz="4" w:space="0" w:color="auto"/>
            </w:tcBorders>
            <w:shd w:val="clear" w:color="auto" w:fill="auto"/>
            <w:vAlign w:val="center"/>
            <w:hideMark/>
          </w:tcPr>
          <w:p w14:paraId="0F06A2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06F3375"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609E2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 2º Quando a modelagem de acumulação do recurso garantidor do benefício pleno for de benefício definido, a EFPC pode assumir como valor das contribuições do patrocinador a diferença entre a reserva matemática e a reserva constituída pelo participante. </w:t>
            </w:r>
          </w:p>
        </w:tc>
        <w:tc>
          <w:tcPr>
            <w:tcW w:w="1660" w:type="pct"/>
            <w:tcBorders>
              <w:top w:val="nil"/>
              <w:left w:val="nil"/>
              <w:bottom w:val="single" w:sz="4" w:space="0" w:color="auto"/>
              <w:right w:val="single" w:sz="4" w:space="0" w:color="auto"/>
            </w:tcBorders>
            <w:shd w:val="clear" w:color="auto" w:fill="auto"/>
            <w:vAlign w:val="center"/>
            <w:hideMark/>
          </w:tcPr>
          <w:p w14:paraId="579F9E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Quando</w:t>
            </w:r>
            <w:proofErr w:type="gramEnd"/>
            <w:r w:rsidRPr="00704883">
              <w:rPr>
                <w:rFonts w:ascii="Calibri" w:eastAsia="Times New Roman" w:hAnsi="Calibri" w:cs="Calibri"/>
                <w:color w:val="000000"/>
                <w:sz w:val="24"/>
                <w:szCs w:val="24"/>
                <w:lang w:eastAsia="pt-BR"/>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1679" w:type="pct"/>
            <w:tcBorders>
              <w:top w:val="nil"/>
              <w:left w:val="nil"/>
              <w:bottom w:val="single" w:sz="4" w:space="0" w:color="auto"/>
              <w:right w:val="single" w:sz="4" w:space="0" w:color="auto"/>
            </w:tcBorders>
            <w:shd w:val="clear" w:color="auto" w:fill="auto"/>
            <w:vAlign w:val="center"/>
            <w:hideMark/>
          </w:tcPr>
          <w:p w14:paraId="219807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C5C65F" w14:textId="77777777" w:rsidTr="00704883">
        <w:trPr>
          <w:trHeight w:val="252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5160B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14. A transferência dos recursos entre os planos de benefícios de origem e de destino, em decorrência da portabilidade, deve ser efetuada em moeda corrente nacional, observado o prazo de dez dias úteis, contados da data do protocolo do termo de portabilidade a que se refere o art. 9º perante a entidade de origem ou da data em o participante tiver realizado a entrega completa da documentação e informações exigidas pela entidade de origem, o que resultar no maior prazo. </w:t>
            </w:r>
          </w:p>
        </w:tc>
        <w:tc>
          <w:tcPr>
            <w:tcW w:w="1660" w:type="pct"/>
            <w:tcBorders>
              <w:top w:val="nil"/>
              <w:left w:val="nil"/>
              <w:bottom w:val="single" w:sz="4" w:space="0" w:color="auto"/>
              <w:right w:val="single" w:sz="4" w:space="0" w:color="auto"/>
            </w:tcBorders>
            <w:shd w:val="clear" w:color="auto" w:fill="auto"/>
            <w:vAlign w:val="center"/>
            <w:hideMark/>
          </w:tcPr>
          <w:p w14:paraId="59BEABED" w14:textId="2BEBC2F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 xml:space="preserve">Art. 151.  A transferência dos recursos entre os planos de benefícios de origem e de destino, em decorrência da portabilidade, deve ser efetuada em moeda corrente nacional, observado o prazo de dez dias úteis, contados da data do protocolo do termo de portabilidade a que se refere o art. 137 perante a entidade de origem ou da data em </w:t>
            </w:r>
            <w:r>
              <w:rPr>
                <w:rFonts w:ascii="Calibri" w:eastAsia="Times New Roman" w:hAnsi="Calibri" w:cs="Calibri"/>
                <w:sz w:val="24"/>
                <w:szCs w:val="24"/>
                <w:lang w:eastAsia="pt-BR"/>
              </w:rPr>
              <w:t xml:space="preserve">que </w:t>
            </w:r>
            <w:r w:rsidRPr="00704883">
              <w:rPr>
                <w:rFonts w:ascii="Calibri" w:eastAsia="Times New Roman" w:hAnsi="Calibri" w:cs="Calibri"/>
                <w:sz w:val="24"/>
                <w:szCs w:val="24"/>
                <w:lang w:eastAsia="pt-BR"/>
              </w:rPr>
              <w:t>o participante tiver realizado a entrega completa da documentação e informações exigidas pela entidade de origem, o que resultar no maior prazo.</w:t>
            </w:r>
          </w:p>
        </w:tc>
        <w:tc>
          <w:tcPr>
            <w:tcW w:w="1679" w:type="pct"/>
            <w:tcBorders>
              <w:top w:val="nil"/>
              <w:left w:val="nil"/>
              <w:bottom w:val="single" w:sz="4" w:space="0" w:color="auto"/>
              <w:right w:val="single" w:sz="4" w:space="0" w:color="auto"/>
            </w:tcBorders>
            <w:shd w:val="clear" w:color="auto" w:fill="auto"/>
            <w:vAlign w:val="center"/>
            <w:hideMark/>
          </w:tcPr>
          <w:p w14:paraId="02D6855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7FC212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5829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15. As coberturas dos benefícios dos participantes que optaram pelo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não podem ser distintas daquelas previstas no plano de custeio para os demais participantes. </w:t>
            </w:r>
          </w:p>
        </w:tc>
        <w:tc>
          <w:tcPr>
            <w:tcW w:w="1660" w:type="pct"/>
            <w:tcBorders>
              <w:top w:val="nil"/>
              <w:left w:val="nil"/>
              <w:bottom w:val="single" w:sz="4" w:space="0" w:color="auto"/>
              <w:right w:val="single" w:sz="4" w:space="0" w:color="auto"/>
            </w:tcBorders>
            <w:shd w:val="clear" w:color="auto" w:fill="auto"/>
            <w:vAlign w:val="center"/>
            <w:hideMark/>
          </w:tcPr>
          <w:p w14:paraId="212C5A0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152.  As coberturas dos benefícios dos participantes que optaram pelo </w:t>
            </w:r>
            <w:proofErr w:type="spellStart"/>
            <w:r w:rsidRPr="00704883">
              <w:rPr>
                <w:rFonts w:ascii="Calibri" w:eastAsia="Times New Roman" w:hAnsi="Calibri" w:cs="Calibri"/>
                <w:color w:val="000000"/>
                <w:sz w:val="24"/>
                <w:szCs w:val="24"/>
                <w:lang w:eastAsia="pt-BR"/>
              </w:rPr>
              <w:t>autopatrocínio</w:t>
            </w:r>
            <w:proofErr w:type="spellEnd"/>
            <w:r w:rsidRPr="00704883">
              <w:rPr>
                <w:rFonts w:ascii="Calibri" w:eastAsia="Times New Roman" w:hAnsi="Calibri" w:cs="Calibri"/>
                <w:color w:val="000000"/>
                <w:sz w:val="24"/>
                <w:szCs w:val="24"/>
                <w:lang w:eastAsia="pt-BR"/>
              </w:rPr>
              <w:t xml:space="preserve"> não podem ser distintas daquelas previstas no plano de custeio para os demais participantes.</w:t>
            </w:r>
          </w:p>
        </w:tc>
        <w:tc>
          <w:tcPr>
            <w:tcW w:w="1679" w:type="pct"/>
            <w:tcBorders>
              <w:top w:val="nil"/>
              <w:left w:val="nil"/>
              <w:bottom w:val="single" w:sz="4" w:space="0" w:color="auto"/>
              <w:right w:val="single" w:sz="4" w:space="0" w:color="auto"/>
            </w:tcBorders>
            <w:shd w:val="clear" w:color="auto" w:fill="auto"/>
            <w:vAlign w:val="center"/>
            <w:hideMark/>
          </w:tcPr>
          <w:p w14:paraId="3D85904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63BAA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907B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16. As EFPC devem realizar as adaptações obrigatórias nos regulamentos dos planos de benefícios administrados, em razão das disposições da Resolução CNPC nº 50, de 16 de fevereiro de 2022, até o dia 31 de dezembro de 2023. </w:t>
            </w:r>
          </w:p>
        </w:tc>
        <w:tc>
          <w:tcPr>
            <w:tcW w:w="1660" w:type="pct"/>
            <w:tcBorders>
              <w:top w:val="nil"/>
              <w:left w:val="nil"/>
              <w:bottom w:val="single" w:sz="4" w:space="0" w:color="auto"/>
              <w:right w:val="single" w:sz="4" w:space="0" w:color="auto"/>
            </w:tcBorders>
            <w:shd w:val="clear" w:color="auto" w:fill="auto"/>
            <w:vAlign w:val="center"/>
            <w:hideMark/>
          </w:tcPr>
          <w:p w14:paraId="77D46AC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153.  As EFPC devem realizar as adaptações obrigatórias nos regulamentos dos planos de benefícios administrados, em razão das disposições da Resolução CNPC nº 50, de 16 de fevereiro de 2022, até o dia 31 de dezembro de 2023.  </w:t>
            </w:r>
          </w:p>
        </w:tc>
        <w:tc>
          <w:tcPr>
            <w:tcW w:w="1679" w:type="pct"/>
            <w:tcBorders>
              <w:top w:val="nil"/>
              <w:left w:val="nil"/>
              <w:bottom w:val="single" w:sz="4" w:space="0" w:color="auto"/>
              <w:right w:val="single" w:sz="4" w:space="0" w:color="auto"/>
            </w:tcBorders>
            <w:shd w:val="clear" w:color="auto" w:fill="auto"/>
            <w:vAlign w:val="center"/>
            <w:hideMark/>
          </w:tcPr>
          <w:p w14:paraId="2B109C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Manter o texto, pois embora trate de uma regra transitória, seu prazo ainda só encerra em 31 de dezembro de 2023. (Talvez levar este artigo para as disposições transitórias da norma geral)</w:t>
            </w:r>
          </w:p>
        </w:tc>
      </w:tr>
      <w:tr w:rsidR="007D78B6" w:rsidRPr="00704883" w14:paraId="16C21372"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FD691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Os planos que possuam somente assistidos em gozo de benefícios de prestação continuada e participantes ativos elegíveis ao benefício programado estão dispensados de realizar as adaptações referidas no caput. </w:t>
            </w:r>
          </w:p>
        </w:tc>
        <w:tc>
          <w:tcPr>
            <w:tcW w:w="1660" w:type="pct"/>
            <w:tcBorders>
              <w:top w:val="nil"/>
              <w:left w:val="nil"/>
              <w:bottom w:val="single" w:sz="4" w:space="0" w:color="auto"/>
              <w:right w:val="single" w:sz="4" w:space="0" w:color="auto"/>
            </w:tcBorders>
            <w:shd w:val="clear" w:color="auto" w:fill="auto"/>
            <w:vAlign w:val="center"/>
            <w:hideMark/>
          </w:tcPr>
          <w:p w14:paraId="1FB5AD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Os planos que possuam somente assistidos em gozo de benefícios de prestação continuada e participantes ativos elegíveis ao benefício programado estão dispensados de realizar as adaptações referidas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w:t>
            </w:r>
          </w:p>
        </w:tc>
        <w:tc>
          <w:tcPr>
            <w:tcW w:w="1679" w:type="pct"/>
            <w:tcBorders>
              <w:top w:val="nil"/>
              <w:left w:val="nil"/>
              <w:bottom w:val="single" w:sz="4" w:space="0" w:color="auto"/>
              <w:right w:val="single" w:sz="4" w:space="0" w:color="auto"/>
            </w:tcBorders>
            <w:shd w:val="clear" w:color="auto" w:fill="auto"/>
            <w:vAlign w:val="center"/>
            <w:hideMark/>
          </w:tcPr>
          <w:p w14:paraId="17C5B5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Manter o texto, pois embora trate de uma regra transitória, seu prazo ainda só encerra em 31 de dezembro de 2023. (Talvez levar este artigo para as disposições transitórias da norma geral)</w:t>
            </w:r>
          </w:p>
        </w:tc>
      </w:tr>
      <w:tr w:rsidR="007D78B6" w:rsidRPr="00704883" w14:paraId="6E7FB20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70C43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37238C74"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VI</w:t>
            </w:r>
            <w:r w:rsidRPr="00704883">
              <w:rPr>
                <w:rFonts w:ascii="Calibri" w:eastAsia="Times New Roman" w:hAnsi="Calibri" w:cs="Calibri"/>
                <w:b/>
                <w:bCs/>
                <w:color w:val="000000"/>
                <w:sz w:val="24"/>
                <w:szCs w:val="24"/>
                <w:lang w:eastAsia="pt-BR"/>
              </w:rPr>
              <w:br/>
              <w:t>Transferência de gerenciamento de planos</w:t>
            </w:r>
          </w:p>
        </w:tc>
        <w:tc>
          <w:tcPr>
            <w:tcW w:w="1679" w:type="pct"/>
            <w:tcBorders>
              <w:top w:val="nil"/>
              <w:left w:val="nil"/>
              <w:bottom w:val="single" w:sz="4" w:space="0" w:color="auto"/>
              <w:right w:val="single" w:sz="4" w:space="0" w:color="auto"/>
            </w:tcBorders>
            <w:shd w:val="clear" w:color="auto" w:fill="auto"/>
            <w:vAlign w:val="center"/>
            <w:hideMark/>
          </w:tcPr>
          <w:p w14:paraId="69D0134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79AD90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3DCA0D6"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lastRenderedPageBreak/>
              <w:t>Resolução Previc nº 10, de 3 de maio de 2022.</w:t>
            </w:r>
          </w:p>
        </w:tc>
        <w:tc>
          <w:tcPr>
            <w:tcW w:w="1660" w:type="pct"/>
            <w:tcBorders>
              <w:top w:val="nil"/>
              <w:left w:val="nil"/>
              <w:bottom w:val="single" w:sz="4" w:space="0" w:color="auto"/>
              <w:right w:val="single" w:sz="4" w:space="0" w:color="auto"/>
            </w:tcBorders>
            <w:shd w:val="clear" w:color="auto" w:fill="auto"/>
            <w:vAlign w:val="center"/>
            <w:hideMark/>
          </w:tcPr>
          <w:p w14:paraId="32130E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02E9F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112409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85A66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2</w:t>
            </w:r>
            <w:proofErr w:type="gramStart"/>
            <w:r w:rsidRPr="00704883">
              <w:rPr>
                <w:rFonts w:ascii="Calibri" w:eastAsia="Times New Roman" w:hAnsi="Calibri" w:cstheme="minorHAnsi"/>
                <w:color w:val="000000"/>
                <w:sz w:val="24"/>
                <w:szCs w:val="24"/>
                <w:lang w:eastAsia="pt-BR"/>
              </w:rPr>
              <w:t>º  Para</w:t>
            </w:r>
            <w:proofErr w:type="gramEnd"/>
            <w:r w:rsidRPr="00704883">
              <w:rPr>
                <w:rFonts w:ascii="Calibri" w:eastAsia="Times New Roman" w:hAnsi="Calibri" w:cstheme="minorHAnsi"/>
                <w:color w:val="000000"/>
                <w:sz w:val="24"/>
                <w:szCs w:val="24"/>
                <w:lang w:eastAsia="pt-BR"/>
              </w:rPr>
              <w:t xml:space="preserve"> os fins desta Resolução, considera-se: </w:t>
            </w:r>
          </w:p>
        </w:tc>
        <w:tc>
          <w:tcPr>
            <w:tcW w:w="1660" w:type="pct"/>
            <w:tcBorders>
              <w:top w:val="nil"/>
              <w:left w:val="nil"/>
              <w:bottom w:val="single" w:sz="4" w:space="0" w:color="auto"/>
              <w:right w:val="single" w:sz="4" w:space="0" w:color="auto"/>
            </w:tcBorders>
            <w:shd w:val="clear" w:color="auto" w:fill="auto"/>
            <w:vAlign w:val="center"/>
            <w:hideMark/>
          </w:tcPr>
          <w:p w14:paraId="044EBA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B5899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1ABCC63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444D43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da notificação: aquela em que a entidade de origem receber do patrocinador a notificação da decisão de transferir o gerenciamento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3F8F44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63999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235E12F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0D38E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de protocolo: aquela em que a entidade de origem protocolar o requerimento de Licenciamento de transferência de gerenciamento na Superintendência Nacional de Previdência Complementar (Previc); </w:t>
            </w:r>
          </w:p>
        </w:tc>
        <w:tc>
          <w:tcPr>
            <w:tcW w:w="1660" w:type="pct"/>
            <w:tcBorders>
              <w:top w:val="nil"/>
              <w:left w:val="nil"/>
              <w:bottom w:val="single" w:sz="4" w:space="0" w:color="auto"/>
              <w:right w:val="single" w:sz="4" w:space="0" w:color="auto"/>
            </w:tcBorders>
            <w:shd w:val="clear" w:color="auto" w:fill="auto"/>
            <w:vAlign w:val="center"/>
            <w:hideMark/>
          </w:tcPr>
          <w:p w14:paraId="314D82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59E423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0590233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0B4EC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data de autorização: aquela em que for publicado, no Diário Oficial da União, o ato da Previc que autorizar a transferência de gerenciamento; </w:t>
            </w:r>
          </w:p>
        </w:tc>
        <w:tc>
          <w:tcPr>
            <w:tcW w:w="1660" w:type="pct"/>
            <w:tcBorders>
              <w:top w:val="nil"/>
              <w:left w:val="nil"/>
              <w:bottom w:val="single" w:sz="4" w:space="0" w:color="auto"/>
              <w:right w:val="single" w:sz="4" w:space="0" w:color="auto"/>
            </w:tcBorders>
            <w:shd w:val="clear" w:color="auto" w:fill="auto"/>
            <w:vAlign w:val="center"/>
            <w:hideMark/>
          </w:tcPr>
          <w:p w14:paraId="2BDACE9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43523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59B74314"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A2CF9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data-efetiva</w:t>
            </w:r>
            <w:proofErr w:type="gramEnd"/>
            <w:r w:rsidRPr="00704883">
              <w:rPr>
                <w:rFonts w:ascii="Calibri" w:eastAsia="Times New Roman" w:hAnsi="Calibri" w:cstheme="minorHAnsi"/>
                <w:color w:val="000000"/>
                <w:sz w:val="24"/>
                <w:szCs w:val="24"/>
                <w:lang w:eastAsia="pt-BR"/>
              </w:rPr>
              <w:t xml:space="preserve">: aquela acordada formalmente entre as entidades de origem e de destino e o patrocinador para a conclusão da transferência de gerenciamento, com o cumprimento do Termo de Transferência; e </w:t>
            </w:r>
          </w:p>
        </w:tc>
        <w:tc>
          <w:tcPr>
            <w:tcW w:w="1660" w:type="pct"/>
            <w:tcBorders>
              <w:top w:val="nil"/>
              <w:left w:val="nil"/>
              <w:bottom w:val="single" w:sz="4" w:space="0" w:color="auto"/>
              <w:right w:val="single" w:sz="4" w:space="0" w:color="auto"/>
            </w:tcBorders>
            <w:shd w:val="clear" w:color="auto" w:fill="auto"/>
            <w:vAlign w:val="center"/>
            <w:hideMark/>
          </w:tcPr>
          <w:p w14:paraId="520398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EFC22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7E8DAEF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tcPr>
          <w:p w14:paraId="78141FAD" w14:textId="2DDF8FB7" w:rsidR="007D78B6" w:rsidRPr="00704883" w:rsidRDefault="007D78B6" w:rsidP="007D78B6">
            <w:pPr>
              <w:spacing w:after="0" w:line="240" w:lineRule="auto"/>
              <w:jc w:val="both"/>
              <w:rPr>
                <w:rFonts w:ascii="Calibri" w:eastAsia="Times New Roman" w:hAnsi="Calibri" w:cstheme="minorHAnsi"/>
                <w:color w:val="000000"/>
                <w:sz w:val="24"/>
                <w:szCs w:val="24"/>
                <w:lang w:eastAsia="pt-BR"/>
              </w:rPr>
            </w:pPr>
            <w:r w:rsidRPr="00270ACC">
              <w:rPr>
                <w:rFonts w:ascii="Calibri" w:eastAsia="Times New Roman" w:hAnsi="Calibri" w:cs="Calibri"/>
                <w:color w:val="000000"/>
                <w:sz w:val="24"/>
                <w:szCs w:val="24"/>
                <w:lang w:eastAsia="pt-BR"/>
              </w:rPr>
              <w:t xml:space="preserve">V - </w:t>
            </w:r>
            <w:proofErr w:type="gramStart"/>
            <w:r w:rsidRPr="00270ACC">
              <w:rPr>
                <w:rFonts w:ascii="Calibri" w:eastAsia="Times New Roman" w:hAnsi="Calibri" w:cs="Calibri"/>
                <w:color w:val="000000"/>
                <w:sz w:val="24"/>
                <w:szCs w:val="24"/>
                <w:lang w:eastAsia="pt-BR"/>
              </w:rPr>
              <w:t>plano</w:t>
            </w:r>
            <w:proofErr w:type="gramEnd"/>
            <w:r w:rsidRPr="00270ACC">
              <w:rPr>
                <w:rFonts w:ascii="Calibri" w:eastAsia="Times New Roman" w:hAnsi="Calibri" w:cs="Calibri"/>
                <w:color w:val="000000"/>
                <w:sz w:val="24"/>
                <w:szCs w:val="24"/>
                <w:lang w:eastAsia="pt-BR"/>
              </w:rPr>
              <w:t xml:space="preserve"> de transferência de gerenciamento: documento pactuado entre o patrocinador e as entidades de origem e de destino, contemplando, pelo menos, a definição de cronograma, as diretrizes relacionadas à elaboração do</w:t>
            </w:r>
            <w:r>
              <w:rPr>
                <w:rFonts w:ascii="Arial" w:hAnsi="Arial" w:cs="Arial"/>
                <w:color w:val="162937"/>
                <w:sz w:val="27"/>
                <w:szCs w:val="27"/>
                <w:shd w:val="clear" w:color="auto" w:fill="FFFFFF"/>
              </w:rPr>
              <w:t xml:space="preserve"> </w:t>
            </w:r>
            <w:r w:rsidRPr="00270ACC">
              <w:rPr>
                <w:rFonts w:ascii="Calibri" w:eastAsia="Times New Roman" w:hAnsi="Calibri" w:cs="Calibri"/>
                <w:color w:val="000000"/>
                <w:sz w:val="24"/>
                <w:szCs w:val="24"/>
                <w:lang w:eastAsia="pt-BR"/>
              </w:rPr>
              <w:t>Termo de Transferência e a forma de disponibilização de documentos e informações para viabilizar a operação.</w:t>
            </w:r>
          </w:p>
        </w:tc>
        <w:tc>
          <w:tcPr>
            <w:tcW w:w="1660" w:type="pct"/>
            <w:tcBorders>
              <w:top w:val="nil"/>
              <w:left w:val="nil"/>
              <w:bottom w:val="single" w:sz="4" w:space="0" w:color="auto"/>
              <w:right w:val="single" w:sz="4" w:space="0" w:color="auto"/>
            </w:tcBorders>
            <w:shd w:val="clear" w:color="auto" w:fill="auto"/>
            <w:vAlign w:val="center"/>
          </w:tcPr>
          <w:p w14:paraId="37102449" w14:textId="77777777" w:rsidR="007D78B6" w:rsidRPr="00704883" w:rsidRDefault="007D78B6" w:rsidP="007D78B6">
            <w:pPr>
              <w:spacing w:after="0" w:line="240" w:lineRule="auto"/>
              <w:jc w:val="both"/>
              <w:rPr>
                <w:rFonts w:ascii="Calibri" w:eastAsia="Times New Roman" w:hAnsi="Calibri" w:cstheme="minorHAns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tcPr>
          <w:p w14:paraId="014CE8DA" w14:textId="355B481A"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443CE2F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953B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3</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representante Legal da EFPC deve, no prazo de dez dias úteis, contados da data da notificação do patrocinador: </w:t>
            </w:r>
          </w:p>
        </w:tc>
        <w:tc>
          <w:tcPr>
            <w:tcW w:w="1660" w:type="pct"/>
            <w:tcBorders>
              <w:top w:val="nil"/>
              <w:left w:val="nil"/>
              <w:bottom w:val="single" w:sz="4" w:space="0" w:color="auto"/>
              <w:right w:val="single" w:sz="4" w:space="0" w:color="auto"/>
            </w:tcBorders>
            <w:shd w:val="clear" w:color="auto" w:fill="auto"/>
            <w:vAlign w:val="center"/>
            <w:hideMark/>
          </w:tcPr>
          <w:p w14:paraId="061839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154.  O representante Legal da EFPC deve, no prazo de dez dias úteis, contados da data da notificação do patrocinador: </w:t>
            </w:r>
          </w:p>
        </w:tc>
        <w:tc>
          <w:tcPr>
            <w:tcW w:w="1679" w:type="pct"/>
            <w:tcBorders>
              <w:top w:val="nil"/>
              <w:left w:val="nil"/>
              <w:bottom w:val="single" w:sz="4" w:space="0" w:color="auto"/>
              <w:right w:val="single" w:sz="4" w:space="0" w:color="auto"/>
            </w:tcBorders>
            <w:shd w:val="clear" w:color="auto" w:fill="auto"/>
            <w:vAlign w:val="center"/>
            <w:hideMark/>
          </w:tcPr>
          <w:p w14:paraId="6A6F207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D9E0C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DB51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aos órgãos estatutários da EFPC; </w:t>
            </w:r>
          </w:p>
        </w:tc>
        <w:tc>
          <w:tcPr>
            <w:tcW w:w="1660" w:type="pct"/>
            <w:tcBorders>
              <w:top w:val="nil"/>
              <w:left w:val="nil"/>
              <w:bottom w:val="single" w:sz="4" w:space="0" w:color="auto"/>
              <w:right w:val="single" w:sz="4" w:space="0" w:color="auto"/>
            </w:tcBorders>
            <w:shd w:val="clear" w:color="auto" w:fill="auto"/>
            <w:vAlign w:val="center"/>
            <w:hideMark/>
          </w:tcPr>
          <w:p w14:paraId="6EDF0B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aos órgãos estatutários da EFPC; </w:t>
            </w:r>
          </w:p>
        </w:tc>
        <w:tc>
          <w:tcPr>
            <w:tcW w:w="1679" w:type="pct"/>
            <w:tcBorders>
              <w:top w:val="nil"/>
              <w:left w:val="nil"/>
              <w:bottom w:val="single" w:sz="4" w:space="0" w:color="auto"/>
              <w:right w:val="single" w:sz="4" w:space="0" w:color="auto"/>
            </w:tcBorders>
            <w:shd w:val="clear" w:color="auto" w:fill="auto"/>
            <w:vAlign w:val="center"/>
            <w:hideMark/>
          </w:tcPr>
          <w:p w14:paraId="7DD3C2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5A90DD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8FF26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os participantes e assistidos vinculados ao plano de benefícios; e </w:t>
            </w:r>
          </w:p>
        </w:tc>
        <w:tc>
          <w:tcPr>
            <w:tcW w:w="1660" w:type="pct"/>
            <w:tcBorders>
              <w:top w:val="nil"/>
              <w:left w:val="nil"/>
              <w:bottom w:val="single" w:sz="4" w:space="0" w:color="auto"/>
              <w:right w:val="single" w:sz="4" w:space="0" w:color="auto"/>
            </w:tcBorders>
            <w:shd w:val="clear" w:color="auto" w:fill="auto"/>
            <w:vAlign w:val="center"/>
            <w:hideMark/>
          </w:tcPr>
          <w:p w14:paraId="41532C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os participantes e assistidos vinculados ao plano de benefícios; e </w:t>
            </w:r>
          </w:p>
        </w:tc>
        <w:tc>
          <w:tcPr>
            <w:tcW w:w="1679" w:type="pct"/>
            <w:tcBorders>
              <w:top w:val="nil"/>
              <w:left w:val="nil"/>
              <w:bottom w:val="single" w:sz="4" w:space="0" w:color="auto"/>
              <w:right w:val="single" w:sz="4" w:space="0" w:color="auto"/>
            </w:tcBorders>
            <w:shd w:val="clear" w:color="auto" w:fill="auto"/>
            <w:vAlign w:val="center"/>
            <w:hideMark/>
          </w:tcPr>
          <w:p w14:paraId="2ED6E8A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958DB5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85A9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adotar os procedimentos necessários ao início da transferência de gerenciamento. </w:t>
            </w:r>
          </w:p>
        </w:tc>
        <w:tc>
          <w:tcPr>
            <w:tcW w:w="1660" w:type="pct"/>
            <w:tcBorders>
              <w:top w:val="nil"/>
              <w:left w:val="nil"/>
              <w:bottom w:val="single" w:sz="4" w:space="0" w:color="auto"/>
              <w:right w:val="single" w:sz="4" w:space="0" w:color="auto"/>
            </w:tcBorders>
            <w:shd w:val="clear" w:color="auto" w:fill="auto"/>
            <w:vAlign w:val="center"/>
            <w:hideMark/>
          </w:tcPr>
          <w:p w14:paraId="3FB278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adotar os procedimentos necessários ao início da transferência de gerenciamento. </w:t>
            </w:r>
          </w:p>
        </w:tc>
        <w:tc>
          <w:tcPr>
            <w:tcW w:w="1679" w:type="pct"/>
            <w:tcBorders>
              <w:top w:val="nil"/>
              <w:left w:val="nil"/>
              <w:bottom w:val="single" w:sz="4" w:space="0" w:color="auto"/>
              <w:right w:val="single" w:sz="4" w:space="0" w:color="auto"/>
            </w:tcBorders>
            <w:shd w:val="clear" w:color="auto" w:fill="auto"/>
            <w:vAlign w:val="center"/>
            <w:hideMark/>
          </w:tcPr>
          <w:p w14:paraId="3CBC92C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0F3A15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E2ED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roofErr w:type="spellStart"/>
            <w:r w:rsidRPr="00704883">
              <w:rPr>
                <w:rFonts w:ascii="Calibri" w:eastAsia="Times New Roman" w:hAnsi="Calibri" w:cstheme="minorHAnsi"/>
                <w:color w:val="000000"/>
                <w:sz w:val="24"/>
                <w:szCs w:val="24"/>
                <w:lang w:eastAsia="pt-BR"/>
              </w:rPr>
              <w:t>Paragrafo</w:t>
            </w:r>
            <w:proofErr w:type="spellEnd"/>
            <w:r w:rsidRPr="00704883">
              <w:rPr>
                <w:rFonts w:ascii="Calibri" w:eastAsia="Times New Roman" w:hAnsi="Calibri" w:cstheme="minorHAnsi"/>
                <w:color w:val="000000"/>
                <w:sz w:val="24"/>
                <w:szCs w:val="24"/>
                <w:lang w:eastAsia="pt-BR"/>
              </w:rPr>
              <w:t xml:space="preserve"> único.  A exposição de motivos contida na notificação do patrocinador deve apresentar manifestação sobre:</w:t>
            </w:r>
          </w:p>
        </w:tc>
        <w:tc>
          <w:tcPr>
            <w:tcW w:w="1660" w:type="pct"/>
            <w:tcBorders>
              <w:top w:val="nil"/>
              <w:left w:val="nil"/>
              <w:bottom w:val="single" w:sz="4" w:space="0" w:color="auto"/>
              <w:right w:val="single" w:sz="4" w:space="0" w:color="auto"/>
            </w:tcBorders>
            <w:shd w:val="clear" w:color="auto" w:fill="auto"/>
            <w:vAlign w:val="center"/>
            <w:hideMark/>
          </w:tcPr>
          <w:p w14:paraId="2CD035B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A exposição de motivos contida na notificação do patrocinador deve apresentar manifestação sobre:</w:t>
            </w:r>
          </w:p>
        </w:tc>
        <w:tc>
          <w:tcPr>
            <w:tcW w:w="1679" w:type="pct"/>
            <w:tcBorders>
              <w:top w:val="nil"/>
              <w:left w:val="nil"/>
              <w:bottom w:val="single" w:sz="4" w:space="0" w:color="auto"/>
              <w:right w:val="single" w:sz="4" w:space="0" w:color="auto"/>
            </w:tcBorders>
            <w:shd w:val="clear" w:color="auto" w:fill="auto"/>
            <w:vAlign w:val="center"/>
            <w:hideMark/>
          </w:tcPr>
          <w:p w14:paraId="4AAA43B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560BAD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D81376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economicidade da operação, mediante comparativo, entre as entidades de origem e de destino, do custeio administrativo dos planos de benefício e das despesas totais de investimentos; </w:t>
            </w:r>
          </w:p>
        </w:tc>
        <w:tc>
          <w:tcPr>
            <w:tcW w:w="1660" w:type="pct"/>
            <w:tcBorders>
              <w:top w:val="nil"/>
              <w:left w:val="nil"/>
              <w:bottom w:val="single" w:sz="4" w:space="0" w:color="auto"/>
              <w:right w:val="single" w:sz="4" w:space="0" w:color="auto"/>
            </w:tcBorders>
            <w:shd w:val="clear" w:color="auto" w:fill="auto"/>
            <w:vAlign w:val="center"/>
            <w:hideMark/>
          </w:tcPr>
          <w:p w14:paraId="01368D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economicidade da operação, mediante comparativo, entre as entidades de origem e de destino, do custeio administrativo dos planos de benefício e das despesas totais de investimentos; </w:t>
            </w:r>
          </w:p>
        </w:tc>
        <w:tc>
          <w:tcPr>
            <w:tcW w:w="1679" w:type="pct"/>
            <w:tcBorders>
              <w:top w:val="nil"/>
              <w:left w:val="nil"/>
              <w:bottom w:val="single" w:sz="4" w:space="0" w:color="auto"/>
              <w:right w:val="single" w:sz="4" w:space="0" w:color="auto"/>
            </w:tcBorders>
            <w:shd w:val="clear" w:color="auto" w:fill="auto"/>
            <w:vAlign w:val="center"/>
            <w:hideMark/>
          </w:tcPr>
          <w:p w14:paraId="24F0CFC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355502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ED6D4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estrutura de governança das entidades de origem e de destino, mediante comparativo que explicite a representação dos patrocinadores e participantes e assistidos vinculados aos planos objeto da transferência de gerenciamento; </w:t>
            </w:r>
          </w:p>
        </w:tc>
        <w:tc>
          <w:tcPr>
            <w:tcW w:w="1660" w:type="pct"/>
            <w:tcBorders>
              <w:top w:val="nil"/>
              <w:left w:val="nil"/>
              <w:bottom w:val="single" w:sz="4" w:space="0" w:color="auto"/>
              <w:right w:val="single" w:sz="4" w:space="0" w:color="auto"/>
            </w:tcBorders>
            <w:shd w:val="clear" w:color="auto" w:fill="auto"/>
            <w:vAlign w:val="center"/>
            <w:hideMark/>
          </w:tcPr>
          <w:p w14:paraId="718611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estrutura de governança das entidades de origem e de destino, mediante comparativo que explicite a representação dos patrocinadores e participantes e assistidos vinculados aos planos objeto da transferência de gerenciamento; </w:t>
            </w:r>
          </w:p>
        </w:tc>
        <w:tc>
          <w:tcPr>
            <w:tcW w:w="1679" w:type="pct"/>
            <w:tcBorders>
              <w:top w:val="nil"/>
              <w:left w:val="nil"/>
              <w:bottom w:val="single" w:sz="4" w:space="0" w:color="auto"/>
              <w:right w:val="single" w:sz="4" w:space="0" w:color="auto"/>
            </w:tcBorders>
            <w:shd w:val="clear" w:color="auto" w:fill="auto"/>
            <w:vAlign w:val="center"/>
            <w:hideMark/>
          </w:tcPr>
          <w:p w14:paraId="3F4A60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7952A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F10D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III - a vantajosidade da operação, tendo por base as informações dos incisos I e II; e</w:t>
            </w:r>
          </w:p>
        </w:tc>
        <w:tc>
          <w:tcPr>
            <w:tcW w:w="1660" w:type="pct"/>
            <w:tcBorders>
              <w:top w:val="nil"/>
              <w:left w:val="nil"/>
              <w:bottom w:val="single" w:sz="4" w:space="0" w:color="auto"/>
              <w:right w:val="single" w:sz="4" w:space="0" w:color="auto"/>
            </w:tcBorders>
            <w:shd w:val="clear" w:color="auto" w:fill="auto"/>
            <w:vAlign w:val="center"/>
            <w:hideMark/>
          </w:tcPr>
          <w:p w14:paraId="2CA9B5A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III - a vantajosidade da operação, tendo por base as informações dos incisos I e II; e</w:t>
            </w:r>
          </w:p>
        </w:tc>
        <w:tc>
          <w:tcPr>
            <w:tcW w:w="1679" w:type="pct"/>
            <w:tcBorders>
              <w:top w:val="nil"/>
              <w:left w:val="nil"/>
              <w:bottom w:val="single" w:sz="4" w:space="0" w:color="auto"/>
              <w:right w:val="single" w:sz="4" w:space="0" w:color="auto"/>
            </w:tcBorders>
            <w:shd w:val="clear" w:color="auto" w:fill="auto"/>
            <w:vAlign w:val="center"/>
            <w:hideMark/>
          </w:tcPr>
          <w:p w14:paraId="05AA89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A03729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B640A6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outras</w:t>
            </w:r>
            <w:proofErr w:type="gramEnd"/>
            <w:r w:rsidRPr="00704883">
              <w:rPr>
                <w:rFonts w:ascii="Calibri" w:eastAsia="Times New Roman" w:hAnsi="Calibri" w:cstheme="minorHAnsi"/>
                <w:color w:val="000000"/>
                <w:sz w:val="24"/>
                <w:szCs w:val="24"/>
                <w:lang w:eastAsia="pt-BR"/>
              </w:rPr>
              <w:t xml:space="preserve"> informações que fundamentem a decisão do patrocinador. </w:t>
            </w:r>
          </w:p>
        </w:tc>
        <w:tc>
          <w:tcPr>
            <w:tcW w:w="1660" w:type="pct"/>
            <w:tcBorders>
              <w:top w:val="nil"/>
              <w:left w:val="nil"/>
              <w:bottom w:val="single" w:sz="4" w:space="0" w:color="auto"/>
              <w:right w:val="single" w:sz="4" w:space="0" w:color="auto"/>
            </w:tcBorders>
            <w:shd w:val="clear" w:color="auto" w:fill="auto"/>
            <w:vAlign w:val="center"/>
            <w:hideMark/>
          </w:tcPr>
          <w:p w14:paraId="67EF43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outras</w:t>
            </w:r>
            <w:proofErr w:type="gramEnd"/>
            <w:r w:rsidRPr="00704883">
              <w:rPr>
                <w:rFonts w:ascii="Calibri" w:eastAsia="Times New Roman" w:hAnsi="Calibri" w:cstheme="minorHAnsi"/>
                <w:color w:val="000000"/>
                <w:sz w:val="24"/>
                <w:szCs w:val="24"/>
                <w:lang w:eastAsia="pt-BR"/>
              </w:rPr>
              <w:t xml:space="preserve"> informações que fundamentem a decisão do patrocinador. </w:t>
            </w:r>
          </w:p>
        </w:tc>
        <w:tc>
          <w:tcPr>
            <w:tcW w:w="1679" w:type="pct"/>
            <w:tcBorders>
              <w:top w:val="nil"/>
              <w:left w:val="nil"/>
              <w:bottom w:val="single" w:sz="4" w:space="0" w:color="auto"/>
              <w:right w:val="single" w:sz="4" w:space="0" w:color="auto"/>
            </w:tcBorders>
            <w:shd w:val="clear" w:color="auto" w:fill="auto"/>
            <w:vAlign w:val="center"/>
            <w:hideMark/>
          </w:tcPr>
          <w:p w14:paraId="60FA365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D22279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509D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4</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elaboração do plano de transferência a que se refere o inciso V do art. 2º deve observar o prazo de sessenta dias, contados da data de comunicação. </w:t>
            </w:r>
          </w:p>
        </w:tc>
        <w:tc>
          <w:tcPr>
            <w:tcW w:w="1660" w:type="pct"/>
            <w:tcBorders>
              <w:top w:val="nil"/>
              <w:left w:val="nil"/>
              <w:bottom w:val="single" w:sz="4" w:space="0" w:color="auto"/>
              <w:right w:val="single" w:sz="4" w:space="0" w:color="auto"/>
            </w:tcBorders>
            <w:shd w:val="clear" w:color="auto" w:fill="auto"/>
            <w:vAlign w:val="center"/>
            <w:hideMark/>
          </w:tcPr>
          <w:p w14:paraId="3CBE7308" w14:textId="09E9D681"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155.  A elaboração do plano de transferência de gerenciamento deve observar o prazo de sessenta dias, contados da data de comunicação. </w:t>
            </w:r>
          </w:p>
        </w:tc>
        <w:tc>
          <w:tcPr>
            <w:tcW w:w="1679" w:type="pct"/>
            <w:tcBorders>
              <w:top w:val="nil"/>
              <w:left w:val="nil"/>
              <w:bottom w:val="single" w:sz="4" w:space="0" w:color="auto"/>
              <w:right w:val="single" w:sz="4" w:space="0" w:color="auto"/>
            </w:tcBorders>
            <w:shd w:val="clear" w:color="auto" w:fill="auto"/>
            <w:vAlign w:val="center"/>
            <w:hideMark/>
          </w:tcPr>
          <w:p w14:paraId="714FCA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53E847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552E1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5</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requerimento de transferência de gerenciamento deve ser protocolado na Previc, pela entidade de origem, observado o prazo de cento e oitenta dias, contados da data da notificação. </w:t>
            </w:r>
          </w:p>
        </w:tc>
        <w:tc>
          <w:tcPr>
            <w:tcW w:w="1660" w:type="pct"/>
            <w:tcBorders>
              <w:top w:val="nil"/>
              <w:left w:val="nil"/>
              <w:bottom w:val="single" w:sz="4" w:space="0" w:color="auto"/>
              <w:right w:val="single" w:sz="4" w:space="0" w:color="auto"/>
            </w:tcBorders>
            <w:shd w:val="clear" w:color="auto" w:fill="auto"/>
            <w:vAlign w:val="center"/>
            <w:hideMark/>
          </w:tcPr>
          <w:p w14:paraId="58D6BDB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156.  O requerimento de transferência de gerenciamento deve ser protocolado na Previc, pela entidade de origem, observado o prazo de cento e oitenta dias, contados da data da notificação. </w:t>
            </w:r>
          </w:p>
        </w:tc>
        <w:tc>
          <w:tcPr>
            <w:tcW w:w="1679" w:type="pct"/>
            <w:tcBorders>
              <w:top w:val="nil"/>
              <w:left w:val="nil"/>
              <w:bottom w:val="single" w:sz="4" w:space="0" w:color="auto"/>
              <w:right w:val="single" w:sz="4" w:space="0" w:color="auto"/>
            </w:tcBorders>
            <w:shd w:val="clear" w:color="auto" w:fill="auto"/>
            <w:vAlign w:val="center"/>
            <w:hideMark/>
          </w:tcPr>
          <w:p w14:paraId="4139E6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E5EA1B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6C821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roofErr w:type="spellStart"/>
            <w:r w:rsidRPr="00704883">
              <w:rPr>
                <w:rFonts w:ascii="Calibri" w:eastAsia="Times New Roman" w:hAnsi="Calibri" w:cstheme="minorHAnsi"/>
                <w:color w:val="000000"/>
                <w:sz w:val="24"/>
                <w:szCs w:val="24"/>
                <w:lang w:eastAsia="pt-BR"/>
              </w:rPr>
              <w:t>Paragrafo</w:t>
            </w:r>
            <w:proofErr w:type="spellEnd"/>
            <w:r w:rsidRPr="00704883">
              <w:rPr>
                <w:rFonts w:ascii="Calibri" w:eastAsia="Times New Roman" w:hAnsi="Calibri" w:cstheme="minorHAnsi"/>
                <w:color w:val="000000"/>
                <w:sz w:val="24"/>
                <w:szCs w:val="24"/>
                <w:lang w:eastAsia="pt-BR"/>
              </w:rPr>
              <w:t xml:space="preserve"> único.  O prazo previsto no caput pode ser prorrogado mediante acordo firmado entre o patrocinador e as entidades de origem e de destino.</w:t>
            </w:r>
          </w:p>
        </w:tc>
        <w:tc>
          <w:tcPr>
            <w:tcW w:w="1660" w:type="pct"/>
            <w:tcBorders>
              <w:top w:val="nil"/>
              <w:left w:val="nil"/>
              <w:bottom w:val="single" w:sz="4" w:space="0" w:color="auto"/>
              <w:right w:val="single" w:sz="4" w:space="0" w:color="auto"/>
            </w:tcBorders>
            <w:shd w:val="clear" w:color="auto" w:fill="auto"/>
            <w:vAlign w:val="center"/>
            <w:hideMark/>
          </w:tcPr>
          <w:p w14:paraId="1FC7F41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roofErr w:type="spellStart"/>
            <w:r w:rsidRPr="00704883">
              <w:rPr>
                <w:rFonts w:ascii="Calibri" w:eastAsia="Times New Roman" w:hAnsi="Calibri" w:cstheme="minorHAnsi"/>
                <w:color w:val="000000"/>
                <w:sz w:val="24"/>
                <w:szCs w:val="24"/>
                <w:lang w:eastAsia="pt-BR"/>
              </w:rPr>
              <w:t>Paragrafo</w:t>
            </w:r>
            <w:proofErr w:type="spellEnd"/>
            <w:r w:rsidRPr="00704883">
              <w:rPr>
                <w:rFonts w:ascii="Calibri" w:eastAsia="Times New Roman" w:hAnsi="Calibri" w:cstheme="minorHAnsi"/>
                <w:color w:val="000000"/>
                <w:sz w:val="24"/>
                <w:szCs w:val="24"/>
                <w:lang w:eastAsia="pt-BR"/>
              </w:rPr>
              <w:t xml:space="preserve"> único.  O prazo previsto no </w:t>
            </w:r>
            <w:r w:rsidRPr="00704883">
              <w:rPr>
                <w:rFonts w:ascii="Calibri" w:eastAsia="Times New Roman" w:hAnsi="Calibri" w:cs="Calibri"/>
                <w:b/>
                <w:bCs/>
                <w:color w:val="000000"/>
                <w:sz w:val="24"/>
                <w:szCs w:val="24"/>
                <w:lang w:eastAsia="pt-BR"/>
              </w:rPr>
              <w:t xml:space="preserve">caput </w:t>
            </w:r>
            <w:r w:rsidRPr="00704883">
              <w:rPr>
                <w:rFonts w:ascii="Calibri" w:eastAsia="Times New Roman" w:hAnsi="Calibri" w:cs="Calibri"/>
                <w:color w:val="000000"/>
                <w:sz w:val="24"/>
                <w:szCs w:val="24"/>
                <w:lang w:eastAsia="pt-BR"/>
              </w:rPr>
              <w:t>pode ser prorrogado mediante acordo firmado entre o patrocinador e as entidades de origem e de destino.</w:t>
            </w:r>
          </w:p>
        </w:tc>
        <w:tc>
          <w:tcPr>
            <w:tcW w:w="1679" w:type="pct"/>
            <w:tcBorders>
              <w:top w:val="nil"/>
              <w:left w:val="nil"/>
              <w:bottom w:val="single" w:sz="4" w:space="0" w:color="auto"/>
              <w:right w:val="single" w:sz="4" w:space="0" w:color="auto"/>
            </w:tcBorders>
            <w:shd w:val="clear" w:color="auto" w:fill="auto"/>
            <w:vAlign w:val="center"/>
            <w:hideMark/>
          </w:tcPr>
          <w:p w14:paraId="54ECE01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33AE5B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6F840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Art. 6</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entidade de origem deve divulgar a minuta do Termo de Transferência aos participantes e assistidos do plano de benefício objeto da transferência de gerenciamento, observado o prazo mínimo de trinta dias antes da data de protocolo. </w:t>
            </w:r>
          </w:p>
        </w:tc>
        <w:tc>
          <w:tcPr>
            <w:tcW w:w="1660" w:type="pct"/>
            <w:tcBorders>
              <w:top w:val="nil"/>
              <w:left w:val="nil"/>
              <w:bottom w:val="single" w:sz="4" w:space="0" w:color="auto"/>
              <w:right w:val="single" w:sz="4" w:space="0" w:color="auto"/>
            </w:tcBorders>
            <w:shd w:val="clear" w:color="auto" w:fill="auto"/>
            <w:vAlign w:val="center"/>
            <w:hideMark/>
          </w:tcPr>
          <w:p w14:paraId="642925D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157.  A entidade de origem deve divulgar a minuta do Termo de Transferência aos participantes e assistidos do plano de benefício objeto da transferência de gerenciamento, observado o prazo mínimo de trinta dias antes da data de protocolo. </w:t>
            </w:r>
          </w:p>
        </w:tc>
        <w:tc>
          <w:tcPr>
            <w:tcW w:w="1679" w:type="pct"/>
            <w:tcBorders>
              <w:top w:val="nil"/>
              <w:left w:val="nil"/>
              <w:bottom w:val="single" w:sz="4" w:space="0" w:color="auto"/>
              <w:right w:val="single" w:sz="4" w:space="0" w:color="auto"/>
            </w:tcBorders>
            <w:shd w:val="clear" w:color="auto" w:fill="auto"/>
            <w:vAlign w:val="center"/>
            <w:hideMark/>
          </w:tcPr>
          <w:p w14:paraId="199D51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8C9D75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58B8B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7</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Termo de Transferência deve dispor, no mínimo, sabre: </w:t>
            </w:r>
          </w:p>
        </w:tc>
        <w:tc>
          <w:tcPr>
            <w:tcW w:w="1660" w:type="pct"/>
            <w:tcBorders>
              <w:top w:val="nil"/>
              <w:left w:val="nil"/>
              <w:bottom w:val="single" w:sz="4" w:space="0" w:color="auto"/>
              <w:right w:val="single" w:sz="4" w:space="0" w:color="auto"/>
            </w:tcBorders>
            <w:shd w:val="clear" w:color="auto" w:fill="auto"/>
            <w:vAlign w:val="center"/>
            <w:hideMark/>
          </w:tcPr>
          <w:p w14:paraId="157B334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158.  O Termo de Transferência deve dispor, no mínimo, sobre: </w:t>
            </w:r>
          </w:p>
        </w:tc>
        <w:tc>
          <w:tcPr>
            <w:tcW w:w="1679" w:type="pct"/>
            <w:tcBorders>
              <w:top w:val="nil"/>
              <w:left w:val="nil"/>
              <w:bottom w:val="single" w:sz="4" w:space="0" w:color="auto"/>
              <w:right w:val="single" w:sz="4" w:space="0" w:color="auto"/>
            </w:tcBorders>
            <w:shd w:val="clear" w:color="auto" w:fill="auto"/>
            <w:vAlign w:val="center"/>
            <w:hideMark/>
          </w:tcPr>
          <w:p w14:paraId="326B488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3DB003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578B0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 - os direitos e as obrigações das partes, inclusive quanta as despesas com o requerimento de licenciamento da transferência de gerenciamento;</w:t>
            </w:r>
          </w:p>
        </w:tc>
        <w:tc>
          <w:tcPr>
            <w:tcW w:w="1660" w:type="pct"/>
            <w:tcBorders>
              <w:top w:val="nil"/>
              <w:left w:val="nil"/>
              <w:bottom w:val="single" w:sz="4" w:space="0" w:color="auto"/>
              <w:right w:val="single" w:sz="4" w:space="0" w:color="auto"/>
            </w:tcBorders>
            <w:shd w:val="clear" w:color="auto" w:fill="auto"/>
            <w:vAlign w:val="center"/>
            <w:hideMark/>
          </w:tcPr>
          <w:p w14:paraId="037CBA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 - os direitos e as obrigações das partes, inclusive quanta as despesas com o requerimento de licenciamento da transferência de gerenciamento;</w:t>
            </w:r>
          </w:p>
        </w:tc>
        <w:tc>
          <w:tcPr>
            <w:tcW w:w="1679" w:type="pct"/>
            <w:tcBorders>
              <w:top w:val="nil"/>
              <w:left w:val="nil"/>
              <w:bottom w:val="single" w:sz="4" w:space="0" w:color="auto"/>
              <w:right w:val="single" w:sz="4" w:space="0" w:color="auto"/>
            </w:tcBorders>
            <w:shd w:val="clear" w:color="auto" w:fill="auto"/>
            <w:vAlign w:val="center"/>
            <w:hideMark/>
          </w:tcPr>
          <w:p w14:paraId="630A794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D776E9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A4280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tratamento a ser dado aos ativos, aos passivos e as ações judiciais e aos respectivos efeitos no patrimônio; </w:t>
            </w:r>
          </w:p>
        </w:tc>
        <w:tc>
          <w:tcPr>
            <w:tcW w:w="1660" w:type="pct"/>
            <w:tcBorders>
              <w:top w:val="nil"/>
              <w:left w:val="nil"/>
              <w:bottom w:val="single" w:sz="4" w:space="0" w:color="auto"/>
              <w:right w:val="single" w:sz="4" w:space="0" w:color="auto"/>
            </w:tcBorders>
            <w:shd w:val="clear" w:color="auto" w:fill="auto"/>
            <w:vAlign w:val="center"/>
            <w:hideMark/>
          </w:tcPr>
          <w:p w14:paraId="6B9F89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tratamento a ser dado aos ativos, aos passivos e as ações judiciais e aos respectivos efeitos no patrimônio; </w:t>
            </w:r>
          </w:p>
        </w:tc>
        <w:tc>
          <w:tcPr>
            <w:tcW w:w="1679" w:type="pct"/>
            <w:tcBorders>
              <w:top w:val="nil"/>
              <w:left w:val="nil"/>
              <w:bottom w:val="single" w:sz="4" w:space="0" w:color="auto"/>
              <w:right w:val="single" w:sz="4" w:space="0" w:color="auto"/>
            </w:tcBorders>
            <w:shd w:val="clear" w:color="auto" w:fill="auto"/>
            <w:vAlign w:val="center"/>
            <w:hideMark/>
          </w:tcPr>
          <w:p w14:paraId="6258A3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09AAE64"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9D9D6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1660" w:type="pct"/>
            <w:tcBorders>
              <w:top w:val="nil"/>
              <w:left w:val="nil"/>
              <w:bottom w:val="single" w:sz="4" w:space="0" w:color="auto"/>
              <w:right w:val="single" w:sz="4" w:space="0" w:color="auto"/>
            </w:tcBorders>
            <w:shd w:val="clear" w:color="auto" w:fill="auto"/>
            <w:vAlign w:val="center"/>
            <w:hideMark/>
          </w:tcPr>
          <w:p w14:paraId="650F181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1679" w:type="pct"/>
            <w:tcBorders>
              <w:top w:val="nil"/>
              <w:left w:val="nil"/>
              <w:bottom w:val="single" w:sz="4" w:space="0" w:color="auto"/>
              <w:right w:val="single" w:sz="4" w:space="0" w:color="auto"/>
            </w:tcBorders>
            <w:shd w:val="clear" w:color="auto" w:fill="auto"/>
            <w:vAlign w:val="center"/>
            <w:hideMark/>
          </w:tcPr>
          <w:p w14:paraId="0F1C6D5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1CD3D0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92116B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prazo para finalização da transferência de gerenciamento, a ser estabelecido a partir da data de autorização; e </w:t>
            </w:r>
          </w:p>
        </w:tc>
        <w:tc>
          <w:tcPr>
            <w:tcW w:w="1660" w:type="pct"/>
            <w:tcBorders>
              <w:top w:val="nil"/>
              <w:left w:val="nil"/>
              <w:bottom w:val="single" w:sz="4" w:space="0" w:color="auto"/>
              <w:right w:val="single" w:sz="4" w:space="0" w:color="auto"/>
            </w:tcBorders>
            <w:shd w:val="clear" w:color="auto" w:fill="auto"/>
            <w:vAlign w:val="center"/>
            <w:hideMark/>
          </w:tcPr>
          <w:p w14:paraId="6571ED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prazo para finalização da transferência de gerenciamento, a ser estabelecido a partir da data de autorização; e </w:t>
            </w:r>
          </w:p>
        </w:tc>
        <w:tc>
          <w:tcPr>
            <w:tcW w:w="1679" w:type="pct"/>
            <w:tcBorders>
              <w:top w:val="nil"/>
              <w:left w:val="nil"/>
              <w:bottom w:val="single" w:sz="4" w:space="0" w:color="auto"/>
              <w:right w:val="single" w:sz="4" w:space="0" w:color="auto"/>
            </w:tcBorders>
            <w:shd w:val="clear" w:color="auto" w:fill="auto"/>
            <w:vAlign w:val="center"/>
            <w:hideMark/>
          </w:tcPr>
          <w:p w14:paraId="5EA02C3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C8C8FF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9AB29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termos da rescisão do convenio de adesão do patrocinador com a entidade de origem. </w:t>
            </w:r>
          </w:p>
        </w:tc>
        <w:tc>
          <w:tcPr>
            <w:tcW w:w="1660" w:type="pct"/>
            <w:tcBorders>
              <w:top w:val="nil"/>
              <w:left w:val="nil"/>
              <w:bottom w:val="single" w:sz="4" w:space="0" w:color="auto"/>
              <w:right w:val="single" w:sz="4" w:space="0" w:color="auto"/>
            </w:tcBorders>
            <w:shd w:val="clear" w:color="auto" w:fill="auto"/>
            <w:vAlign w:val="center"/>
            <w:hideMark/>
          </w:tcPr>
          <w:p w14:paraId="3670A69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termos da rescisão do convenio de adesão do patrocinador com a entidade de origem. </w:t>
            </w:r>
          </w:p>
        </w:tc>
        <w:tc>
          <w:tcPr>
            <w:tcW w:w="1679" w:type="pct"/>
            <w:tcBorders>
              <w:top w:val="nil"/>
              <w:left w:val="nil"/>
              <w:bottom w:val="single" w:sz="4" w:space="0" w:color="auto"/>
              <w:right w:val="single" w:sz="4" w:space="0" w:color="auto"/>
            </w:tcBorders>
            <w:shd w:val="clear" w:color="auto" w:fill="auto"/>
            <w:vAlign w:val="center"/>
            <w:hideMark/>
          </w:tcPr>
          <w:p w14:paraId="1AB4FE4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ABB6335"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77BAED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roofErr w:type="spellStart"/>
            <w:r w:rsidRPr="00704883">
              <w:rPr>
                <w:rFonts w:ascii="Calibri" w:eastAsia="Times New Roman" w:hAnsi="Calibri" w:cstheme="minorHAnsi"/>
                <w:color w:val="000000"/>
                <w:sz w:val="24"/>
                <w:szCs w:val="24"/>
                <w:lang w:eastAsia="pt-BR"/>
              </w:rPr>
              <w:t>Paragrafo</w:t>
            </w:r>
            <w:proofErr w:type="spellEnd"/>
            <w:r w:rsidRPr="00704883">
              <w:rPr>
                <w:rFonts w:ascii="Calibri" w:eastAsia="Times New Roman" w:hAnsi="Calibri" w:cstheme="minorHAnsi"/>
                <w:color w:val="000000"/>
                <w:sz w:val="24"/>
                <w:szCs w:val="24"/>
                <w:lang w:eastAsia="pt-BR"/>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tc>
        <w:tc>
          <w:tcPr>
            <w:tcW w:w="1660" w:type="pct"/>
            <w:tcBorders>
              <w:top w:val="nil"/>
              <w:left w:val="nil"/>
              <w:bottom w:val="single" w:sz="4" w:space="0" w:color="auto"/>
              <w:right w:val="single" w:sz="4" w:space="0" w:color="auto"/>
            </w:tcBorders>
            <w:shd w:val="clear" w:color="auto" w:fill="auto"/>
            <w:vAlign w:val="center"/>
            <w:hideMark/>
          </w:tcPr>
          <w:p w14:paraId="4EEFBC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roofErr w:type="spellStart"/>
            <w:r w:rsidRPr="00704883">
              <w:rPr>
                <w:rFonts w:ascii="Calibri" w:eastAsia="Times New Roman" w:hAnsi="Calibri" w:cstheme="minorHAnsi"/>
                <w:color w:val="000000"/>
                <w:sz w:val="24"/>
                <w:szCs w:val="24"/>
                <w:lang w:eastAsia="pt-BR"/>
              </w:rPr>
              <w:t>Paragrafo</w:t>
            </w:r>
            <w:proofErr w:type="spellEnd"/>
            <w:r w:rsidRPr="00704883">
              <w:rPr>
                <w:rFonts w:ascii="Calibri" w:eastAsia="Times New Roman" w:hAnsi="Calibri" w:cstheme="minorHAnsi"/>
                <w:color w:val="000000"/>
                <w:sz w:val="24"/>
                <w:szCs w:val="24"/>
                <w:lang w:eastAsia="pt-BR"/>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tc>
        <w:tc>
          <w:tcPr>
            <w:tcW w:w="1679" w:type="pct"/>
            <w:tcBorders>
              <w:top w:val="nil"/>
              <w:left w:val="nil"/>
              <w:bottom w:val="single" w:sz="4" w:space="0" w:color="auto"/>
              <w:right w:val="single" w:sz="4" w:space="0" w:color="auto"/>
            </w:tcBorders>
            <w:shd w:val="clear" w:color="auto" w:fill="auto"/>
            <w:vAlign w:val="center"/>
            <w:hideMark/>
          </w:tcPr>
          <w:p w14:paraId="5E2EF6B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5E75FF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D9BFD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8</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disposto nesta Resolução aplica-se somente aos processos de transferência de gerenciamento protocolados na Previc após o início de sua vigência. </w:t>
            </w:r>
          </w:p>
        </w:tc>
        <w:tc>
          <w:tcPr>
            <w:tcW w:w="1660" w:type="pct"/>
            <w:tcBorders>
              <w:top w:val="nil"/>
              <w:left w:val="nil"/>
              <w:bottom w:val="single" w:sz="4" w:space="0" w:color="auto"/>
              <w:right w:val="single" w:sz="4" w:space="0" w:color="auto"/>
            </w:tcBorders>
            <w:shd w:val="clear" w:color="auto" w:fill="auto"/>
            <w:vAlign w:val="center"/>
            <w:hideMark/>
          </w:tcPr>
          <w:p w14:paraId="69A1A8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9C140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 pois trata-se de regra transitória.</w:t>
            </w:r>
          </w:p>
        </w:tc>
      </w:tr>
      <w:tr w:rsidR="007D78B6" w:rsidRPr="00704883" w14:paraId="2274DE1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85A2F60"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c>
          <w:tcPr>
            <w:tcW w:w="1660" w:type="pct"/>
            <w:tcBorders>
              <w:top w:val="nil"/>
              <w:left w:val="nil"/>
              <w:bottom w:val="nil"/>
              <w:right w:val="single" w:sz="4" w:space="0" w:color="auto"/>
            </w:tcBorders>
            <w:shd w:val="clear" w:color="auto" w:fill="auto"/>
            <w:vAlign w:val="center"/>
            <w:hideMark/>
          </w:tcPr>
          <w:p w14:paraId="56D82DC5"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VII</w:t>
            </w:r>
            <w:r w:rsidRPr="00704883">
              <w:rPr>
                <w:rFonts w:ascii="Calibri" w:eastAsia="Times New Roman" w:hAnsi="Calibri" w:cs="Calibri"/>
                <w:b/>
                <w:bCs/>
                <w:color w:val="000000"/>
                <w:sz w:val="24"/>
                <w:szCs w:val="24"/>
                <w:lang w:eastAsia="pt-BR"/>
              </w:rPr>
              <w:br/>
              <w:t>Retirada de Patrocínio</w:t>
            </w:r>
          </w:p>
        </w:tc>
        <w:tc>
          <w:tcPr>
            <w:tcW w:w="1679" w:type="pct"/>
            <w:tcBorders>
              <w:top w:val="nil"/>
              <w:left w:val="nil"/>
              <w:bottom w:val="single" w:sz="4" w:space="0" w:color="auto"/>
              <w:right w:val="single" w:sz="4" w:space="0" w:color="auto"/>
            </w:tcBorders>
            <w:shd w:val="clear" w:color="auto" w:fill="auto"/>
            <w:vAlign w:val="center"/>
            <w:hideMark/>
          </w:tcPr>
          <w:p w14:paraId="3E60CBB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A183AE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78D651"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Resolução Previc nº 15, de 20 de setembro de 2022.</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4EC2E9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695C0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79EB7E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98060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 </w:t>
            </w:r>
          </w:p>
        </w:tc>
        <w:tc>
          <w:tcPr>
            <w:tcW w:w="1660" w:type="pct"/>
            <w:tcBorders>
              <w:top w:val="nil"/>
              <w:left w:val="nil"/>
              <w:bottom w:val="single" w:sz="4" w:space="0" w:color="auto"/>
              <w:right w:val="single" w:sz="4" w:space="0" w:color="auto"/>
            </w:tcBorders>
            <w:shd w:val="clear" w:color="auto" w:fill="auto"/>
            <w:vAlign w:val="center"/>
            <w:hideMark/>
          </w:tcPr>
          <w:p w14:paraId="592C4C8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37FC46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Excluir.</w:t>
            </w:r>
          </w:p>
        </w:tc>
      </w:tr>
      <w:tr w:rsidR="007D78B6" w:rsidRPr="00704883" w14:paraId="7C50D99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02D96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DO ÂMBITO E DA FINALIDADE</w:t>
            </w:r>
          </w:p>
        </w:tc>
        <w:tc>
          <w:tcPr>
            <w:tcW w:w="1660" w:type="pct"/>
            <w:tcBorders>
              <w:top w:val="nil"/>
              <w:left w:val="nil"/>
              <w:bottom w:val="single" w:sz="4" w:space="0" w:color="auto"/>
              <w:right w:val="single" w:sz="4" w:space="0" w:color="auto"/>
            </w:tcBorders>
            <w:shd w:val="clear" w:color="auto" w:fill="auto"/>
            <w:vAlign w:val="center"/>
            <w:hideMark/>
          </w:tcPr>
          <w:p w14:paraId="7B5A8015"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9F08CA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3A9C1C9"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B7E6B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1º As entidades fechadas de previdência complementar (EFPC) devem observar o disposto nesta Resolução para o requerimento de licenciamento e a operacionalização da retirada de patrocínio e da rescisão unilateral de convênio de adesão, no âmbito do regime de previdência complementar fechado.</w:t>
            </w:r>
          </w:p>
        </w:tc>
        <w:tc>
          <w:tcPr>
            <w:tcW w:w="1660" w:type="pct"/>
            <w:tcBorders>
              <w:top w:val="nil"/>
              <w:left w:val="nil"/>
              <w:bottom w:val="single" w:sz="4" w:space="0" w:color="auto"/>
              <w:right w:val="single" w:sz="4" w:space="0" w:color="auto"/>
            </w:tcBorders>
            <w:shd w:val="clear" w:color="auto" w:fill="auto"/>
            <w:vAlign w:val="center"/>
            <w:hideMark/>
          </w:tcPr>
          <w:p w14:paraId="5E1B06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DDBC88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Excluir</w:t>
            </w:r>
          </w:p>
        </w:tc>
      </w:tr>
      <w:tr w:rsidR="007D78B6" w:rsidRPr="00704883" w14:paraId="6606CC0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7BF9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II </w:t>
            </w:r>
          </w:p>
        </w:tc>
        <w:tc>
          <w:tcPr>
            <w:tcW w:w="1660" w:type="pct"/>
            <w:tcBorders>
              <w:top w:val="nil"/>
              <w:left w:val="nil"/>
              <w:bottom w:val="single" w:sz="4" w:space="0" w:color="auto"/>
              <w:right w:val="single" w:sz="4" w:space="0" w:color="auto"/>
            </w:tcBorders>
            <w:shd w:val="clear" w:color="auto" w:fill="auto"/>
            <w:vAlign w:val="center"/>
            <w:hideMark/>
          </w:tcPr>
          <w:p w14:paraId="091DFB9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E4A5E0C"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02A7DAC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DCED2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DAS DEFINIÇÕES</w:t>
            </w:r>
          </w:p>
        </w:tc>
        <w:tc>
          <w:tcPr>
            <w:tcW w:w="1660" w:type="pct"/>
            <w:tcBorders>
              <w:top w:val="nil"/>
              <w:left w:val="nil"/>
              <w:bottom w:val="single" w:sz="4" w:space="0" w:color="auto"/>
              <w:right w:val="single" w:sz="4" w:space="0" w:color="auto"/>
            </w:tcBorders>
            <w:shd w:val="clear" w:color="auto" w:fill="auto"/>
            <w:vAlign w:val="center"/>
            <w:hideMark/>
          </w:tcPr>
          <w:p w14:paraId="726CB42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F47703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F5193F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C7FAE2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2º Para os fins desta Resolução, além das definições estabelecidas pela Resolução CNPC nº 53, de 10 de março de 2022, considera-se: </w:t>
            </w:r>
          </w:p>
        </w:tc>
        <w:tc>
          <w:tcPr>
            <w:tcW w:w="1660" w:type="pct"/>
            <w:tcBorders>
              <w:top w:val="nil"/>
              <w:left w:val="nil"/>
              <w:bottom w:val="single" w:sz="4" w:space="0" w:color="auto"/>
              <w:right w:val="single" w:sz="4" w:space="0" w:color="auto"/>
            </w:tcBorders>
            <w:shd w:val="clear" w:color="auto" w:fill="auto"/>
            <w:vAlign w:val="center"/>
            <w:hideMark/>
          </w:tcPr>
          <w:p w14:paraId="4948BC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67C08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1F45B385"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A53AD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78D071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F976D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5788C1A1"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04B56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 </w:t>
            </w:r>
          </w:p>
        </w:tc>
        <w:tc>
          <w:tcPr>
            <w:tcW w:w="1660" w:type="pct"/>
            <w:tcBorders>
              <w:top w:val="nil"/>
              <w:left w:val="nil"/>
              <w:bottom w:val="single" w:sz="4" w:space="0" w:color="auto"/>
              <w:right w:val="single" w:sz="4" w:space="0" w:color="auto"/>
            </w:tcBorders>
            <w:shd w:val="clear" w:color="auto" w:fill="auto"/>
            <w:vAlign w:val="center"/>
            <w:hideMark/>
          </w:tcPr>
          <w:p w14:paraId="5FAF2F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EC570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05322625"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4791F6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III - data de aporte: aquela na qual devem ocorrer os aportes de responsabilidade do patrocinador, previstos no termo de retirada de patrocínio ou de rescisão unilateral, no prazo de trinta dias, contados da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25B7353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0818E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6703F48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FEE022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data</w:t>
            </w:r>
            <w:proofErr w:type="gramEnd"/>
            <w:r w:rsidRPr="00704883">
              <w:rPr>
                <w:rFonts w:ascii="Calibri" w:eastAsia="Times New Roman" w:hAnsi="Calibri" w:cstheme="minorHAnsi"/>
                <w:color w:val="000000"/>
                <w:sz w:val="24"/>
                <w:szCs w:val="24"/>
                <w:lang w:eastAsia="pt-BR"/>
              </w:rPr>
              <w:t xml:space="preserve"> efetiva: aquela na qual a EFPC deve finalizar a liquidação dos compromissos previstos no termo de retirada de patrocínio ou de rescisão unilateral, no prazo máximo de duzentos e dez dias, contados da data do cálculo, observado o disposto no art. 9º; e </w:t>
            </w:r>
          </w:p>
        </w:tc>
        <w:tc>
          <w:tcPr>
            <w:tcW w:w="1660" w:type="pct"/>
            <w:tcBorders>
              <w:top w:val="nil"/>
              <w:left w:val="nil"/>
              <w:bottom w:val="single" w:sz="4" w:space="0" w:color="auto"/>
              <w:right w:val="single" w:sz="4" w:space="0" w:color="auto"/>
            </w:tcBorders>
            <w:shd w:val="clear" w:color="auto" w:fill="auto"/>
            <w:vAlign w:val="center"/>
            <w:hideMark/>
          </w:tcPr>
          <w:p w14:paraId="18D4832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BB8AE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2A025D5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DC995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período</w:t>
            </w:r>
            <w:proofErr w:type="gramEnd"/>
            <w:r w:rsidRPr="00704883">
              <w:rPr>
                <w:rFonts w:ascii="Calibri" w:eastAsia="Times New Roman" w:hAnsi="Calibri" w:cstheme="minorHAnsi"/>
                <w:color w:val="000000"/>
                <w:sz w:val="24"/>
                <w:szCs w:val="24"/>
                <w:lang w:eastAsia="pt-BR"/>
              </w:rPr>
              <w:t xml:space="preserve"> de opção: prazo mínimo de trinta dias, concedido aos participantes e assistidos para o exercício das opções oferecidas em face da retirada de patrocínio ou da rescisão unilateral de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597DCA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9D922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Deslocado para o início do Capítulo – Seção I – Conceitos e Definições.</w:t>
            </w:r>
          </w:p>
        </w:tc>
      </w:tr>
      <w:tr w:rsidR="007D78B6" w:rsidRPr="00704883" w14:paraId="29D90D69"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C49A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III </w:t>
            </w:r>
          </w:p>
        </w:tc>
        <w:tc>
          <w:tcPr>
            <w:tcW w:w="1660" w:type="pct"/>
            <w:tcBorders>
              <w:top w:val="nil"/>
              <w:left w:val="nil"/>
              <w:bottom w:val="single" w:sz="4" w:space="0" w:color="auto"/>
              <w:right w:val="single" w:sz="4" w:space="0" w:color="auto"/>
            </w:tcBorders>
            <w:shd w:val="clear" w:color="auto" w:fill="auto"/>
            <w:vAlign w:val="center"/>
            <w:hideMark/>
          </w:tcPr>
          <w:p w14:paraId="0C5F089C"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4D9FD59"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E8E7AC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E432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DA OPERACIONALIZAÇÃO DA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7B83DB95" w14:textId="77777777" w:rsidR="007D78B6" w:rsidRPr="00704883" w:rsidRDefault="007D78B6" w:rsidP="007D78B6">
            <w:pPr>
              <w:spacing w:after="0" w:line="240" w:lineRule="auto"/>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C8BE9A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35455D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086A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SEÇÃO I </w:t>
            </w:r>
          </w:p>
        </w:tc>
        <w:tc>
          <w:tcPr>
            <w:tcW w:w="1660" w:type="pct"/>
            <w:tcBorders>
              <w:top w:val="nil"/>
              <w:left w:val="nil"/>
              <w:bottom w:val="single" w:sz="4" w:space="0" w:color="auto"/>
              <w:right w:val="single" w:sz="4" w:space="0" w:color="auto"/>
            </w:tcBorders>
            <w:shd w:val="clear" w:color="auto" w:fill="auto"/>
            <w:vAlign w:val="center"/>
            <w:hideMark/>
          </w:tcPr>
          <w:p w14:paraId="3CE2CF55"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w:t>
            </w:r>
            <w:r w:rsidRPr="00704883">
              <w:rPr>
                <w:rFonts w:ascii="Calibri" w:eastAsia="Times New Roman" w:hAnsi="Calibri" w:cstheme="minorHAnsi"/>
                <w:b/>
                <w:bCs/>
                <w:color w:val="000000"/>
                <w:sz w:val="24"/>
                <w:szCs w:val="24"/>
                <w:lang w:eastAsia="pt-BR"/>
              </w:rPr>
              <w:br/>
              <w:t>Operacionalização da Retirada de Patrocínio e Notificação</w:t>
            </w:r>
          </w:p>
        </w:tc>
        <w:tc>
          <w:tcPr>
            <w:tcW w:w="1679" w:type="pct"/>
            <w:tcBorders>
              <w:top w:val="nil"/>
              <w:left w:val="nil"/>
              <w:bottom w:val="single" w:sz="4" w:space="0" w:color="auto"/>
              <w:right w:val="single" w:sz="4" w:space="0" w:color="auto"/>
            </w:tcBorders>
            <w:shd w:val="clear" w:color="auto" w:fill="auto"/>
            <w:vAlign w:val="center"/>
            <w:hideMark/>
          </w:tcPr>
          <w:p w14:paraId="6438D51B"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1FF806"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6EA5B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Da notificação</w:t>
            </w:r>
          </w:p>
        </w:tc>
        <w:tc>
          <w:tcPr>
            <w:tcW w:w="1660" w:type="pct"/>
            <w:tcBorders>
              <w:top w:val="nil"/>
              <w:left w:val="nil"/>
              <w:bottom w:val="single" w:sz="4" w:space="0" w:color="auto"/>
              <w:right w:val="single" w:sz="4" w:space="0" w:color="auto"/>
            </w:tcBorders>
            <w:shd w:val="clear" w:color="auto" w:fill="auto"/>
            <w:vAlign w:val="center"/>
            <w:hideMark/>
          </w:tcPr>
          <w:p w14:paraId="00D88B18"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E5CC5E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25E531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D7AAE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3º A EFPC deve, no prazo de dez dias úteis, contados da data da notificação do patrocinador: </w:t>
            </w:r>
          </w:p>
        </w:tc>
        <w:tc>
          <w:tcPr>
            <w:tcW w:w="1660" w:type="pct"/>
            <w:tcBorders>
              <w:top w:val="nil"/>
              <w:left w:val="nil"/>
              <w:bottom w:val="single" w:sz="4" w:space="0" w:color="auto"/>
              <w:right w:val="single" w:sz="4" w:space="0" w:color="auto"/>
            </w:tcBorders>
            <w:shd w:val="clear" w:color="auto" w:fill="auto"/>
            <w:vAlign w:val="center"/>
            <w:hideMark/>
          </w:tcPr>
          <w:p w14:paraId="0681415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159.  A EFPC deve, no prazo de dez dias úteis, contados da data da notificação do patrocinador: </w:t>
            </w:r>
          </w:p>
        </w:tc>
        <w:tc>
          <w:tcPr>
            <w:tcW w:w="1679" w:type="pct"/>
            <w:tcBorders>
              <w:top w:val="nil"/>
              <w:left w:val="nil"/>
              <w:bottom w:val="single" w:sz="4" w:space="0" w:color="auto"/>
              <w:right w:val="single" w:sz="4" w:space="0" w:color="auto"/>
            </w:tcBorders>
            <w:shd w:val="clear" w:color="auto" w:fill="auto"/>
            <w:vAlign w:val="center"/>
            <w:hideMark/>
          </w:tcPr>
          <w:p w14:paraId="27B4138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586811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7A5584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da decisão aos seus órgãos estatutários; </w:t>
            </w:r>
          </w:p>
        </w:tc>
        <w:tc>
          <w:tcPr>
            <w:tcW w:w="1660" w:type="pct"/>
            <w:tcBorders>
              <w:top w:val="nil"/>
              <w:left w:val="nil"/>
              <w:bottom w:val="single" w:sz="4" w:space="0" w:color="auto"/>
              <w:right w:val="single" w:sz="4" w:space="0" w:color="auto"/>
            </w:tcBorders>
            <w:shd w:val="clear" w:color="auto" w:fill="auto"/>
            <w:vAlign w:val="center"/>
            <w:hideMark/>
          </w:tcPr>
          <w:p w14:paraId="5D396F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da decisão aos seus órgãos estatutários; </w:t>
            </w:r>
          </w:p>
        </w:tc>
        <w:tc>
          <w:tcPr>
            <w:tcW w:w="1679" w:type="pct"/>
            <w:tcBorders>
              <w:top w:val="nil"/>
              <w:left w:val="nil"/>
              <w:bottom w:val="single" w:sz="4" w:space="0" w:color="auto"/>
              <w:right w:val="single" w:sz="4" w:space="0" w:color="auto"/>
            </w:tcBorders>
            <w:shd w:val="clear" w:color="auto" w:fill="auto"/>
            <w:vAlign w:val="center"/>
            <w:hideMark/>
          </w:tcPr>
          <w:p w14:paraId="7F66CAF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A8387A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4130A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a decisão aos participantes e assistidos vinculados ao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5996E91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a decisão aos participantes e assistidos vinculados ao plano de benefícios; </w:t>
            </w:r>
          </w:p>
        </w:tc>
        <w:tc>
          <w:tcPr>
            <w:tcW w:w="1679" w:type="pct"/>
            <w:tcBorders>
              <w:top w:val="nil"/>
              <w:left w:val="nil"/>
              <w:bottom w:val="single" w:sz="4" w:space="0" w:color="auto"/>
              <w:right w:val="single" w:sz="4" w:space="0" w:color="auto"/>
            </w:tcBorders>
            <w:shd w:val="clear" w:color="auto" w:fill="auto"/>
            <w:vAlign w:val="center"/>
            <w:hideMark/>
          </w:tcPr>
          <w:p w14:paraId="0D78B34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F7C179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F82D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dar ciência aos patrocinadores remanescentes do plano de benefícios, se houver; e </w:t>
            </w:r>
          </w:p>
        </w:tc>
        <w:tc>
          <w:tcPr>
            <w:tcW w:w="1660" w:type="pct"/>
            <w:tcBorders>
              <w:top w:val="nil"/>
              <w:left w:val="nil"/>
              <w:bottom w:val="single" w:sz="4" w:space="0" w:color="auto"/>
              <w:right w:val="single" w:sz="4" w:space="0" w:color="auto"/>
            </w:tcBorders>
            <w:shd w:val="clear" w:color="auto" w:fill="auto"/>
            <w:vAlign w:val="center"/>
            <w:hideMark/>
          </w:tcPr>
          <w:p w14:paraId="15F43A1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dar ciência aos patrocinadores remanescentes do plano de benefícios, se houver; e </w:t>
            </w:r>
          </w:p>
        </w:tc>
        <w:tc>
          <w:tcPr>
            <w:tcW w:w="1679" w:type="pct"/>
            <w:tcBorders>
              <w:top w:val="nil"/>
              <w:left w:val="nil"/>
              <w:bottom w:val="single" w:sz="4" w:space="0" w:color="auto"/>
              <w:right w:val="single" w:sz="4" w:space="0" w:color="auto"/>
            </w:tcBorders>
            <w:shd w:val="clear" w:color="auto" w:fill="auto"/>
            <w:vAlign w:val="center"/>
            <w:hideMark/>
          </w:tcPr>
          <w:p w14:paraId="55656FB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2D6096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6A1368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iniciar</w:t>
            </w:r>
            <w:proofErr w:type="gramEnd"/>
            <w:r w:rsidRPr="00704883">
              <w:rPr>
                <w:rFonts w:ascii="Calibri" w:eastAsia="Times New Roman" w:hAnsi="Calibri" w:cstheme="minorHAnsi"/>
                <w:color w:val="000000"/>
                <w:sz w:val="24"/>
                <w:szCs w:val="24"/>
                <w:lang w:eastAsia="pt-BR"/>
              </w:rPr>
              <w:t xml:space="preserve"> os procedimentos necessários à realização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31B6720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iniciar</w:t>
            </w:r>
            <w:proofErr w:type="gramEnd"/>
            <w:r w:rsidRPr="00704883">
              <w:rPr>
                <w:rFonts w:ascii="Calibri" w:eastAsia="Times New Roman" w:hAnsi="Calibri" w:cstheme="minorHAnsi"/>
                <w:color w:val="000000"/>
                <w:sz w:val="24"/>
                <w:szCs w:val="24"/>
                <w:lang w:eastAsia="pt-BR"/>
              </w:rPr>
              <w:t xml:space="preserve"> os procedimentos necessários à realização da operação. </w:t>
            </w:r>
          </w:p>
        </w:tc>
        <w:tc>
          <w:tcPr>
            <w:tcW w:w="1679" w:type="pct"/>
            <w:tcBorders>
              <w:top w:val="nil"/>
              <w:left w:val="nil"/>
              <w:bottom w:val="single" w:sz="4" w:space="0" w:color="auto"/>
              <w:right w:val="single" w:sz="4" w:space="0" w:color="auto"/>
            </w:tcBorders>
            <w:shd w:val="clear" w:color="auto" w:fill="auto"/>
            <w:vAlign w:val="center"/>
            <w:hideMark/>
          </w:tcPr>
          <w:p w14:paraId="3F412F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B19EA56"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8337F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 1º A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1660" w:type="pct"/>
            <w:tcBorders>
              <w:top w:val="nil"/>
              <w:left w:val="nil"/>
              <w:bottom w:val="single" w:sz="4" w:space="0" w:color="auto"/>
              <w:right w:val="single" w:sz="4" w:space="0" w:color="auto"/>
            </w:tcBorders>
            <w:shd w:val="clear" w:color="auto" w:fill="auto"/>
            <w:vAlign w:val="center"/>
            <w:hideMark/>
          </w:tcPr>
          <w:p w14:paraId="5AA665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notificação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1679" w:type="pct"/>
            <w:tcBorders>
              <w:top w:val="nil"/>
              <w:left w:val="nil"/>
              <w:bottom w:val="single" w:sz="4" w:space="0" w:color="auto"/>
              <w:right w:val="single" w:sz="4" w:space="0" w:color="auto"/>
            </w:tcBorders>
            <w:shd w:val="clear" w:color="auto" w:fill="auto"/>
            <w:vAlign w:val="center"/>
            <w:hideMark/>
          </w:tcPr>
          <w:p w14:paraId="3C913E9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DD21E34"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3FBE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2º A EFPC deve dar início à atualização cadastral dos participantes e assistidos vinculados ao plano de benefícios objeto da retirada de patrocínio, incluindo os participantes optantes pelos institutos do </w:t>
            </w:r>
            <w:proofErr w:type="spellStart"/>
            <w:r w:rsidRPr="00704883">
              <w:rPr>
                <w:rFonts w:ascii="Calibri" w:eastAsia="Times New Roman" w:hAnsi="Calibri" w:cstheme="minorHAnsi"/>
                <w:color w:val="000000"/>
                <w:sz w:val="24"/>
                <w:szCs w:val="24"/>
                <w:lang w:eastAsia="pt-BR"/>
              </w:rPr>
              <w:t>autopatrocínio</w:t>
            </w:r>
            <w:proofErr w:type="spellEnd"/>
            <w:r w:rsidRPr="00704883">
              <w:rPr>
                <w:rFonts w:ascii="Calibri" w:eastAsia="Times New Roman" w:hAnsi="Calibri" w:cstheme="minorHAnsi"/>
                <w:color w:val="000000"/>
                <w:sz w:val="24"/>
                <w:szCs w:val="24"/>
                <w:lang w:eastAsia="pt-BR"/>
              </w:rPr>
              <w:t xml:space="preserve"> e do benefício proporcional diferido e os </w:t>
            </w:r>
            <w:proofErr w:type="spellStart"/>
            <w:r w:rsidRPr="00704883">
              <w:rPr>
                <w:rFonts w:ascii="Calibri" w:eastAsia="Times New Roman" w:hAnsi="Calibri" w:cstheme="minorHAnsi"/>
                <w:color w:val="000000"/>
                <w:sz w:val="24"/>
                <w:szCs w:val="24"/>
                <w:lang w:eastAsia="pt-BR"/>
              </w:rPr>
              <w:t>ex-participantes</w:t>
            </w:r>
            <w:proofErr w:type="spellEnd"/>
            <w:r w:rsidRPr="00704883">
              <w:rPr>
                <w:rFonts w:ascii="Calibri" w:eastAsia="Times New Roman" w:hAnsi="Calibri" w:cstheme="minorHAnsi"/>
                <w:color w:val="000000"/>
                <w:sz w:val="24"/>
                <w:szCs w:val="24"/>
                <w:lang w:eastAsia="pt-BR"/>
              </w:rPr>
              <w:t xml:space="preserve"> com recursos financeiros no plano de benefícios, em, no máximo, trinta dias, contados da data da notificação. </w:t>
            </w:r>
          </w:p>
        </w:tc>
        <w:tc>
          <w:tcPr>
            <w:tcW w:w="1660" w:type="pct"/>
            <w:tcBorders>
              <w:top w:val="nil"/>
              <w:left w:val="nil"/>
              <w:bottom w:val="single" w:sz="4" w:space="0" w:color="auto"/>
              <w:right w:val="single" w:sz="4" w:space="0" w:color="auto"/>
            </w:tcBorders>
            <w:shd w:val="clear" w:color="auto" w:fill="auto"/>
            <w:vAlign w:val="center"/>
            <w:hideMark/>
          </w:tcPr>
          <w:p w14:paraId="5486DAD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EFPC deve dar início à atualização cadastral dos participantes e assistidos vinculados ao plano de benefícios objeto da retirada de patrocínio, incluindo os participantes optantes pelos institutos do </w:t>
            </w:r>
            <w:proofErr w:type="spellStart"/>
            <w:r w:rsidRPr="00704883">
              <w:rPr>
                <w:rFonts w:ascii="Calibri" w:eastAsia="Times New Roman" w:hAnsi="Calibri" w:cstheme="minorHAnsi"/>
                <w:color w:val="000000"/>
                <w:sz w:val="24"/>
                <w:szCs w:val="24"/>
                <w:lang w:eastAsia="pt-BR"/>
              </w:rPr>
              <w:t>autopatrocínio</w:t>
            </w:r>
            <w:proofErr w:type="spellEnd"/>
            <w:r w:rsidRPr="00704883">
              <w:rPr>
                <w:rFonts w:ascii="Calibri" w:eastAsia="Times New Roman" w:hAnsi="Calibri" w:cstheme="minorHAnsi"/>
                <w:color w:val="000000"/>
                <w:sz w:val="24"/>
                <w:szCs w:val="24"/>
                <w:lang w:eastAsia="pt-BR"/>
              </w:rPr>
              <w:t xml:space="preserve"> e do benefício proporcional diferido e os </w:t>
            </w:r>
            <w:proofErr w:type="spellStart"/>
            <w:r w:rsidRPr="00704883">
              <w:rPr>
                <w:rFonts w:ascii="Calibri" w:eastAsia="Times New Roman" w:hAnsi="Calibri" w:cstheme="minorHAnsi"/>
                <w:color w:val="000000"/>
                <w:sz w:val="24"/>
                <w:szCs w:val="24"/>
                <w:lang w:eastAsia="pt-BR"/>
              </w:rPr>
              <w:t>ex-participantes</w:t>
            </w:r>
            <w:proofErr w:type="spellEnd"/>
            <w:r w:rsidRPr="00704883">
              <w:rPr>
                <w:rFonts w:ascii="Calibri" w:eastAsia="Times New Roman" w:hAnsi="Calibri" w:cstheme="minorHAnsi"/>
                <w:color w:val="000000"/>
                <w:sz w:val="24"/>
                <w:szCs w:val="24"/>
                <w:lang w:eastAsia="pt-BR"/>
              </w:rPr>
              <w:t xml:space="preserve"> com recursos financeiros no plano de benefícios, em, no máximo, trinta dias, contados da data da notificação. </w:t>
            </w:r>
          </w:p>
        </w:tc>
        <w:tc>
          <w:tcPr>
            <w:tcW w:w="1679" w:type="pct"/>
            <w:tcBorders>
              <w:top w:val="nil"/>
              <w:left w:val="nil"/>
              <w:bottom w:val="single" w:sz="4" w:space="0" w:color="auto"/>
              <w:right w:val="single" w:sz="4" w:space="0" w:color="auto"/>
            </w:tcBorders>
            <w:shd w:val="clear" w:color="auto" w:fill="auto"/>
            <w:vAlign w:val="center"/>
            <w:hideMark/>
          </w:tcPr>
          <w:p w14:paraId="54856DC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263A170"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DD64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3º Sem prejuízo do disposto no § 2º, incumbe ao participante ou assistido manter atualizados junto à EFPC os seus endereços residencial e eletrônico e os dados relativos à conta referida no inciso I do art. 9º, bem como incumbe à EFPC adotar as medidas necessárias para o controle dessas atualizações.</w:t>
            </w:r>
          </w:p>
        </w:tc>
        <w:tc>
          <w:tcPr>
            <w:tcW w:w="1660" w:type="pct"/>
            <w:tcBorders>
              <w:top w:val="nil"/>
              <w:left w:val="nil"/>
              <w:bottom w:val="single" w:sz="4" w:space="0" w:color="auto"/>
              <w:right w:val="single" w:sz="4" w:space="0" w:color="auto"/>
            </w:tcBorders>
            <w:shd w:val="clear" w:color="auto" w:fill="auto"/>
            <w:vAlign w:val="center"/>
            <w:hideMark/>
          </w:tcPr>
          <w:p w14:paraId="68603BD1"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3</w:t>
            </w:r>
            <w:proofErr w:type="gramStart"/>
            <w:r w:rsidRPr="00704883">
              <w:rPr>
                <w:rFonts w:ascii="Calibri" w:eastAsia="Times New Roman" w:hAnsi="Calibri" w:cstheme="minorHAnsi"/>
                <w:sz w:val="24"/>
                <w:szCs w:val="24"/>
                <w:lang w:eastAsia="pt-BR"/>
              </w:rPr>
              <w:t>º  Sem</w:t>
            </w:r>
            <w:proofErr w:type="gramEnd"/>
            <w:r w:rsidRPr="00704883">
              <w:rPr>
                <w:rFonts w:ascii="Calibri" w:eastAsia="Times New Roman" w:hAnsi="Calibri" w:cstheme="minorHAnsi"/>
                <w:sz w:val="24"/>
                <w:szCs w:val="24"/>
                <w:lang w:eastAsia="pt-BR"/>
              </w:rPr>
              <w:t xml:space="preserve"> prejuízo do disposto no § 2º, incumbe ao participante ou assistido manter atualizados junto à EFPC os seus endereços residencial e eletrônico e os dados relativos à conta referida no inciso I do art. 165, bem como incumbe à EFPC adotar as medidas necessárias para o controle dessas atualizações.</w:t>
            </w:r>
          </w:p>
        </w:tc>
        <w:tc>
          <w:tcPr>
            <w:tcW w:w="1679" w:type="pct"/>
            <w:tcBorders>
              <w:top w:val="nil"/>
              <w:left w:val="nil"/>
              <w:bottom w:val="single" w:sz="4" w:space="0" w:color="auto"/>
              <w:right w:val="single" w:sz="4" w:space="0" w:color="auto"/>
            </w:tcBorders>
            <w:shd w:val="clear" w:color="auto" w:fill="auto"/>
            <w:vAlign w:val="center"/>
            <w:hideMark/>
          </w:tcPr>
          <w:p w14:paraId="4EE3C0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B126B32" w14:textId="77777777" w:rsidTr="00704883">
        <w:trPr>
          <w:trHeight w:val="105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3511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SEÇÃO II </w:t>
            </w:r>
          </w:p>
        </w:tc>
        <w:tc>
          <w:tcPr>
            <w:tcW w:w="1660" w:type="pct"/>
            <w:tcBorders>
              <w:top w:val="nil"/>
              <w:left w:val="nil"/>
              <w:bottom w:val="single" w:sz="4" w:space="0" w:color="auto"/>
              <w:right w:val="single" w:sz="4" w:space="0" w:color="auto"/>
            </w:tcBorders>
            <w:shd w:val="clear" w:color="auto" w:fill="auto"/>
            <w:vAlign w:val="center"/>
            <w:hideMark/>
          </w:tcPr>
          <w:p w14:paraId="75EAE806"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II</w:t>
            </w:r>
            <w:r w:rsidRPr="00704883">
              <w:rPr>
                <w:rFonts w:ascii="Calibri" w:eastAsia="Times New Roman" w:hAnsi="Calibri" w:cstheme="minorHAnsi"/>
                <w:b/>
                <w:bCs/>
                <w:color w:val="000000"/>
                <w:sz w:val="24"/>
                <w:szCs w:val="24"/>
                <w:lang w:eastAsia="pt-BR"/>
              </w:rPr>
              <w:br/>
              <w:t>Instrumentalização do requerimento</w:t>
            </w:r>
          </w:p>
        </w:tc>
        <w:tc>
          <w:tcPr>
            <w:tcW w:w="1679" w:type="pct"/>
            <w:tcBorders>
              <w:top w:val="nil"/>
              <w:left w:val="nil"/>
              <w:bottom w:val="single" w:sz="4" w:space="0" w:color="auto"/>
              <w:right w:val="single" w:sz="4" w:space="0" w:color="auto"/>
            </w:tcBorders>
            <w:shd w:val="clear" w:color="auto" w:fill="auto"/>
            <w:vAlign w:val="center"/>
            <w:hideMark/>
          </w:tcPr>
          <w:p w14:paraId="4FD4356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BA4464F" w14:textId="77777777" w:rsidTr="00704883">
        <w:trPr>
          <w:trHeight w:val="138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CA7136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Da instrumentalização do requerimento</w:t>
            </w:r>
          </w:p>
        </w:tc>
        <w:tc>
          <w:tcPr>
            <w:tcW w:w="1660" w:type="pct"/>
            <w:tcBorders>
              <w:top w:val="nil"/>
              <w:left w:val="nil"/>
              <w:bottom w:val="single" w:sz="4" w:space="0" w:color="auto"/>
              <w:right w:val="single" w:sz="4" w:space="0" w:color="auto"/>
            </w:tcBorders>
            <w:shd w:val="clear" w:color="auto" w:fill="auto"/>
            <w:vAlign w:val="center"/>
            <w:hideMark/>
          </w:tcPr>
          <w:p w14:paraId="20A09078"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AD2FF98"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10B250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82A013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4º A avaliação atuarial da retirada de patrocínio, posicionada na data-base e na data do </w:t>
            </w:r>
            <w:r w:rsidRPr="00704883">
              <w:rPr>
                <w:rFonts w:ascii="Calibri" w:eastAsia="Times New Roman" w:hAnsi="Calibri" w:cstheme="minorHAnsi"/>
                <w:color w:val="000000"/>
                <w:sz w:val="24"/>
                <w:szCs w:val="24"/>
                <w:lang w:eastAsia="pt-BR"/>
              </w:rPr>
              <w:lastRenderedPageBreak/>
              <w:t xml:space="preserve">cálculo, deve considerar a precificação dos ativos do plano de benefícios a valores de mercado. </w:t>
            </w:r>
          </w:p>
        </w:tc>
        <w:tc>
          <w:tcPr>
            <w:tcW w:w="1660" w:type="pct"/>
            <w:tcBorders>
              <w:top w:val="nil"/>
              <w:left w:val="nil"/>
              <w:bottom w:val="single" w:sz="4" w:space="0" w:color="auto"/>
              <w:right w:val="single" w:sz="4" w:space="0" w:color="auto"/>
            </w:tcBorders>
            <w:shd w:val="clear" w:color="auto" w:fill="auto"/>
            <w:vAlign w:val="center"/>
            <w:hideMark/>
          </w:tcPr>
          <w:p w14:paraId="4E7E785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160.  A avaliação atuarial da retirada de patrocínio, posicionada na data-base e na data do </w:t>
            </w:r>
            <w:r w:rsidRPr="00704883">
              <w:rPr>
                <w:rFonts w:ascii="Calibri" w:eastAsia="Times New Roman" w:hAnsi="Calibri" w:cstheme="minorHAnsi"/>
                <w:color w:val="000000"/>
                <w:sz w:val="24"/>
                <w:szCs w:val="24"/>
                <w:lang w:eastAsia="pt-BR"/>
              </w:rPr>
              <w:lastRenderedPageBreak/>
              <w:t xml:space="preserve">cálculo, deve considerar a precificação dos ativos do plano de benefícios a valores de mercado. </w:t>
            </w:r>
          </w:p>
        </w:tc>
        <w:tc>
          <w:tcPr>
            <w:tcW w:w="1679" w:type="pct"/>
            <w:tcBorders>
              <w:top w:val="nil"/>
              <w:left w:val="nil"/>
              <w:bottom w:val="single" w:sz="4" w:space="0" w:color="auto"/>
              <w:right w:val="single" w:sz="4" w:space="0" w:color="auto"/>
            </w:tcBorders>
            <w:shd w:val="clear" w:color="auto" w:fill="auto"/>
            <w:vAlign w:val="center"/>
            <w:hideMark/>
          </w:tcPr>
          <w:p w14:paraId="64DCADF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7D78B6" w:rsidRPr="00704883" w14:paraId="409963F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97D21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5º O termo de retirada de patrocínio deve tratar, no mínimo:</w:t>
            </w:r>
          </w:p>
        </w:tc>
        <w:tc>
          <w:tcPr>
            <w:tcW w:w="1660" w:type="pct"/>
            <w:tcBorders>
              <w:top w:val="nil"/>
              <w:left w:val="nil"/>
              <w:bottom w:val="single" w:sz="4" w:space="0" w:color="auto"/>
              <w:right w:val="single" w:sz="4" w:space="0" w:color="auto"/>
            </w:tcBorders>
            <w:shd w:val="clear" w:color="auto" w:fill="auto"/>
            <w:vAlign w:val="center"/>
            <w:hideMark/>
          </w:tcPr>
          <w:p w14:paraId="1263625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161. O termo de retirada de patrocínio deve tratar, no mínimo:</w:t>
            </w:r>
          </w:p>
        </w:tc>
        <w:tc>
          <w:tcPr>
            <w:tcW w:w="1679" w:type="pct"/>
            <w:tcBorders>
              <w:top w:val="nil"/>
              <w:left w:val="nil"/>
              <w:bottom w:val="single" w:sz="4" w:space="0" w:color="auto"/>
              <w:right w:val="single" w:sz="4" w:space="0" w:color="auto"/>
            </w:tcBorders>
            <w:shd w:val="clear" w:color="auto" w:fill="auto"/>
            <w:vAlign w:val="center"/>
            <w:hideMark/>
          </w:tcPr>
          <w:p w14:paraId="09C0B2D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A5D17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9BEC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e dos procedimentos relativos à segregação patrimonial do plano de benefícios, no caso de retirada parcial; </w:t>
            </w:r>
          </w:p>
        </w:tc>
        <w:tc>
          <w:tcPr>
            <w:tcW w:w="1660" w:type="pct"/>
            <w:tcBorders>
              <w:top w:val="nil"/>
              <w:left w:val="nil"/>
              <w:bottom w:val="single" w:sz="4" w:space="0" w:color="auto"/>
              <w:right w:val="single" w:sz="4" w:space="0" w:color="auto"/>
            </w:tcBorders>
            <w:shd w:val="clear" w:color="auto" w:fill="auto"/>
            <w:vAlign w:val="center"/>
            <w:hideMark/>
          </w:tcPr>
          <w:p w14:paraId="13CBF74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e dos procedimentos relativos à segregação patrimonial do plano de benefícios, no caso de retirada parcial; </w:t>
            </w:r>
          </w:p>
        </w:tc>
        <w:tc>
          <w:tcPr>
            <w:tcW w:w="1679" w:type="pct"/>
            <w:tcBorders>
              <w:top w:val="nil"/>
              <w:left w:val="nil"/>
              <w:bottom w:val="single" w:sz="4" w:space="0" w:color="auto"/>
              <w:right w:val="single" w:sz="4" w:space="0" w:color="auto"/>
            </w:tcBorders>
            <w:shd w:val="clear" w:color="auto" w:fill="auto"/>
            <w:vAlign w:val="center"/>
            <w:hideMark/>
          </w:tcPr>
          <w:p w14:paraId="12D9913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6B17DFE"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608E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2E4101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0EEE4A9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2ABCDC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3B570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7985CA7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1CB5B9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4366174"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402736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demais obrigações do plano de benefícios, da EFPC e do patrocinador, em face da retirada de patrocínio,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3D1333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demais obrigações do plano de benefícios, da EFPC e do patrocinador, em face da retirada de patrocínio,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24BA255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431D41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456E7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da</w:t>
            </w:r>
            <w:proofErr w:type="gramEnd"/>
            <w:r w:rsidRPr="00704883">
              <w:rPr>
                <w:rFonts w:ascii="Calibri" w:eastAsia="Times New Roman" w:hAnsi="Calibri" w:cstheme="minorHAnsi"/>
                <w:color w:val="000000"/>
                <w:sz w:val="24"/>
                <w:szCs w:val="24"/>
                <w:lang w:eastAsia="pt-BR"/>
              </w:rPr>
              <w:t xml:space="preserve"> responsabilidade do patrocinador e da EFPC sobre demandas judiciais ou extrajudiciais relacionadas ao plano de benefícios ocorridas após 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53AC98F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da</w:t>
            </w:r>
            <w:proofErr w:type="gramEnd"/>
            <w:r w:rsidRPr="00704883">
              <w:rPr>
                <w:rFonts w:ascii="Calibri" w:eastAsia="Times New Roman" w:hAnsi="Calibri" w:cstheme="minorHAnsi"/>
                <w:color w:val="000000"/>
                <w:sz w:val="24"/>
                <w:szCs w:val="24"/>
                <w:lang w:eastAsia="pt-BR"/>
              </w:rPr>
              <w:t xml:space="preserve"> responsabilidade do patrocinador e da EFPC sobre demandas judiciais ou extrajudiciais relacionadas ao plano de benefícios ocorridas após a data do cálculo; </w:t>
            </w:r>
          </w:p>
        </w:tc>
        <w:tc>
          <w:tcPr>
            <w:tcW w:w="1679" w:type="pct"/>
            <w:tcBorders>
              <w:top w:val="nil"/>
              <w:left w:val="nil"/>
              <w:bottom w:val="single" w:sz="4" w:space="0" w:color="auto"/>
              <w:right w:val="single" w:sz="4" w:space="0" w:color="auto"/>
            </w:tcBorders>
            <w:shd w:val="clear" w:color="auto" w:fill="auto"/>
            <w:vAlign w:val="center"/>
            <w:hideMark/>
          </w:tcPr>
          <w:p w14:paraId="1F74F04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CE5FDC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A348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prazos, contados a partir da data do cálculo, para: </w:t>
            </w:r>
          </w:p>
        </w:tc>
        <w:tc>
          <w:tcPr>
            <w:tcW w:w="1660" w:type="pct"/>
            <w:tcBorders>
              <w:top w:val="nil"/>
              <w:left w:val="nil"/>
              <w:bottom w:val="single" w:sz="4" w:space="0" w:color="auto"/>
              <w:right w:val="single" w:sz="4" w:space="0" w:color="auto"/>
            </w:tcBorders>
            <w:shd w:val="clear" w:color="auto" w:fill="auto"/>
            <w:vAlign w:val="center"/>
            <w:hideMark/>
          </w:tcPr>
          <w:p w14:paraId="2132B27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prazos, contados a partir da data do cálculo, para: </w:t>
            </w:r>
          </w:p>
        </w:tc>
        <w:tc>
          <w:tcPr>
            <w:tcW w:w="1679" w:type="pct"/>
            <w:tcBorders>
              <w:top w:val="nil"/>
              <w:left w:val="nil"/>
              <w:bottom w:val="single" w:sz="4" w:space="0" w:color="auto"/>
              <w:right w:val="single" w:sz="4" w:space="0" w:color="auto"/>
            </w:tcBorders>
            <w:shd w:val="clear" w:color="auto" w:fill="auto"/>
            <w:vAlign w:val="center"/>
            <w:hideMark/>
          </w:tcPr>
          <w:p w14:paraId="30F5B3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A5087F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44F6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 a disponibilização dos termos de opção aos participantes e assistidos; </w:t>
            </w:r>
          </w:p>
        </w:tc>
        <w:tc>
          <w:tcPr>
            <w:tcW w:w="1660" w:type="pct"/>
            <w:tcBorders>
              <w:top w:val="nil"/>
              <w:left w:val="nil"/>
              <w:bottom w:val="single" w:sz="4" w:space="0" w:color="auto"/>
              <w:right w:val="single" w:sz="4" w:space="0" w:color="auto"/>
            </w:tcBorders>
            <w:shd w:val="clear" w:color="auto" w:fill="auto"/>
            <w:vAlign w:val="center"/>
            <w:hideMark/>
          </w:tcPr>
          <w:p w14:paraId="36B49C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 a disponibilização dos termos de opção aos participantes e assistidos; </w:t>
            </w:r>
          </w:p>
        </w:tc>
        <w:tc>
          <w:tcPr>
            <w:tcW w:w="1679" w:type="pct"/>
            <w:tcBorders>
              <w:top w:val="nil"/>
              <w:left w:val="nil"/>
              <w:bottom w:val="single" w:sz="4" w:space="0" w:color="auto"/>
              <w:right w:val="single" w:sz="4" w:space="0" w:color="auto"/>
            </w:tcBorders>
            <w:shd w:val="clear" w:color="auto" w:fill="auto"/>
            <w:vAlign w:val="center"/>
            <w:hideMark/>
          </w:tcPr>
          <w:p w14:paraId="49EB7E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4E61BC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7C687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b) o período de opção; </w:t>
            </w:r>
          </w:p>
        </w:tc>
        <w:tc>
          <w:tcPr>
            <w:tcW w:w="1660" w:type="pct"/>
            <w:tcBorders>
              <w:top w:val="nil"/>
              <w:left w:val="nil"/>
              <w:bottom w:val="single" w:sz="4" w:space="0" w:color="auto"/>
              <w:right w:val="single" w:sz="4" w:space="0" w:color="auto"/>
            </w:tcBorders>
            <w:shd w:val="clear" w:color="auto" w:fill="auto"/>
            <w:vAlign w:val="center"/>
            <w:hideMark/>
          </w:tcPr>
          <w:p w14:paraId="75BF97D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b) o período de opção; </w:t>
            </w:r>
          </w:p>
        </w:tc>
        <w:tc>
          <w:tcPr>
            <w:tcW w:w="1679" w:type="pct"/>
            <w:tcBorders>
              <w:top w:val="nil"/>
              <w:left w:val="nil"/>
              <w:bottom w:val="single" w:sz="4" w:space="0" w:color="auto"/>
              <w:right w:val="single" w:sz="4" w:space="0" w:color="auto"/>
            </w:tcBorders>
            <w:shd w:val="clear" w:color="auto" w:fill="auto"/>
            <w:vAlign w:val="center"/>
            <w:hideMark/>
          </w:tcPr>
          <w:p w14:paraId="5231A07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4E0144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C532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 o aporte de responsabilidade do patrocinador, se for o caso; e </w:t>
            </w:r>
          </w:p>
        </w:tc>
        <w:tc>
          <w:tcPr>
            <w:tcW w:w="1660" w:type="pct"/>
            <w:tcBorders>
              <w:top w:val="nil"/>
              <w:left w:val="nil"/>
              <w:bottom w:val="single" w:sz="4" w:space="0" w:color="auto"/>
              <w:right w:val="single" w:sz="4" w:space="0" w:color="auto"/>
            </w:tcBorders>
            <w:shd w:val="clear" w:color="auto" w:fill="auto"/>
            <w:vAlign w:val="center"/>
            <w:hideMark/>
          </w:tcPr>
          <w:p w14:paraId="1A39FC0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 o aporte de responsabilidade do patrocinador, se for o caso; e </w:t>
            </w:r>
          </w:p>
        </w:tc>
        <w:tc>
          <w:tcPr>
            <w:tcW w:w="1679" w:type="pct"/>
            <w:tcBorders>
              <w:top w:val="nil"/>
              <w:left w:val="nil"/>
              <w:bottom w:val="single" w:sz="4" w:space="0" w:color="auto"/>
              <w:right w:val="single" w:sz="4" w:space="0" w:color="auto"/>
            </w:tcBorders>
            <w:shd w:val="clear" w:color="auto" w:fill="auto"/>
            <w:vAlign w:val="center"/>
            <w:hideMark/>
          </w:tcPr>
          <w:p w14:paraId="3D8726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8225FB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7580D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d) a fixação da data efetiva; </w:t>
            </w:r>
          </w:p>
        </w:tc>
        <w:tc>
          <w:tcPr>
            <w:tcW w:w="1660" w:type="pct"/>
            <w:tcBorders>
              <w:top w:val="nil"/>
              <w:left w:val="nil"/>
              <w:bottom w:val="single" w:sz="4" w:space="0" w:color="auto"/>
              <w:right w:val="single" w:sz="4" w:space="0" w:color="auto"/>
            </w:tcBorders>
            <w:shd w:val="clear" w:color="auto" w:fill="auto"/>
            <w:vAlign w:val="center"/>
            <w:hideMark/>
          </w:tcPr>
          <w:p w14:paraId="6DDD7F2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d) a fixação da data efetiva; </w:t>
            </w:r>
          </w:p>
        </w:tc>
        <w:tc>
          <w:tcPr>
            <w:tcW w:w="1679" w:type="pct"/>
            <w:tcBorders>
              <w:top w:val="nil"/>
              <w:left w:val="nil"/>
              <w:bottom w:val="single" w:sz="4" w:space="0" w:color="auto"/>
              <w:right w:val="single" w:sz="4" w:space="0" w:color="auto"/>
            </w:tcBorders>
            <w:shd w:val="clear" w:color="auto" w:fill="auto"/>
            <w:vAlign w:val="center"/>
            <w:hideMark/>
          </w:tcPr>
          <w:p w14:paraId="6564692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24C51E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9BF07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 - das opções oferecidas aos participantes e assistidos vinculados ao patrocinador retirante; </w:t>
            </w:r>
          </w:p>
        </w:tc>
        <w:tc>
          <w:tcPr>
            <w:tcW w:w="1660" w:type="pct"/>
            <w:tcBorders>
              <w:top w:val="nil"/>
              <w:left w:val="nil"/>
              <w:bottom w:val="single" w:sz="4" w:space="0" w:color="auto"/>
              <w:right w:val="single" w:sz="4" w:space="0" w:color="auto"/>
            </w:tcBorders>
            <w:shd w:val="clear" w:color="auto" w:fill="auto"/>
            <w:vAlign w:val="center"/>
            <w:hideMark/>
          </w:tcPr>
          <w:p w14:paraId="708755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 - das opções oferecidas aos participantes e assistidos vinculados ao patrocinador retirante; </w:t>
            </w:r>
          </w:p>
        </w:tc>
        <w:tc>
          <w:tcPr>
            <w:tcW w:w="1679" w:type="pct"/>
            <w:tcBorders>
              <w:top w:val="nil"/>
              <w:left w:val="nil"/>
              <w:bottom w:val="single" w:sz="4" w:space="0" w:color="auto"/>
              <w:right w:val="single" w:sz="4" w:space="0" w:color="auto"/>
            </w:tcBorders>
            <w:shd w:val="clear" w:color="auto" w:fill="auto"/>
            <w:vAlign w:val="center"/>
            <w:hideMark/>
          </w:tcPr>
          <w:p w14:paraId="12E83BD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9EA5245"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EE66C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tc>
        <w:tc>
          <w:tcPr>
            <w:tcW w:w="1660" w:type="pct"/>
            <w:tcBorders>
              <w:top w:val="nil"/>
              <w:left w:val="nil"/>
              <w:bottom w:val="single" w:sz="4" w:space="0" w:color="auto"/>
              <w:right w:val="single" w:sz="4" w:space="0" w:color="auto"/>
            </w:tcBorders>
            <w:shd w:val="clear" w:color="auto" w:fill="auto"/>
            <w:vAlign w:val="center"/>
            <w:hideMark/>
          </w:tcPr>
          <w:p w14:paraId="78EAB1B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tc>
        <w:tc>
          <w:tcPr>
            <w:tcW w:w="1679" w:type="pct"/>
            <w:tcBorders>
              <w:top w:val="nil"/>
              <w:left w:val="nil"/>
              <w:bottom w:val="single" w:sz="4" w:space="0" w:color="auto"/>
              <w:right w:val="single" w:sz="4" w:space="0" w:color="auto"/>
            </w:tcBorders>
            <w:shd w:val="clear" w:color="auto" w:fill="auto"/>
            <w:vAlign w:val="center"/>
            <w:hideMark/>
          </w:tcPr>
          <w:p w14:paraId="5EAFD0C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062EE2C"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62D5F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IX - </w:t>
            </w:r>
            <w:proofErr w:type="gramStart"/>
            <w:r w:rsidRPr="00704883">
              <w:rPr>
                <w:rFonts w:ascii="Calibri" w:eastAsia="Times New Roman" w:hAnsi="Calibri" w:cstheme="minorHAnsi"/>
                <w:color w:val="000000"/>
                <w:sz w:val="24"/>
                <w:szCs w:val="24"/>
                <w:lang w:eastAsia="pt-BR"/>
              </w:rPr>
              <w:t>do</w:t>
            </w:r>
            <w:proofErr w:type="gramEnd"/>
            <w:r w:rsidRPr="00704883">
              <w:rPr>
                <w:rFonts w:ascii="Calibri" w:eastAsia="Times New Roman" w:hAnsi="Calibri" w:cstheme="minorHAns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1660" w:type="pct"/>
            <w:tcBorders>
              <w:top w:val="nil"/>
              <w:left w:val="nil"/>
              <w:bottom w:val="single" w:sz="4" w:space="0" w:color="auto"/>
              <w:right w:val="single" w:sz="4" w:space="0" w:color="auto"/>
            </w:tcBorders>
            <w:shd w:val="clear" w:color="auto" w:fill="auto"/>
            <w:vAlign w:val="center"/>
            <w:hideMark/>
          </w:tcPr>
          <w:p w14:paraId="63B747B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IX - </w:t>
            </w:r>
            <w:proofErr w:type="gramStart"/>
            <w:r w:rsidRPr="00704883">
              <w:rPr>
                <w:rFonts w:ascii="Calibri" w:eastAsia="Times New Roman" w:hAnsi="Calibri" w:cstheme="minorHAnsi"/>
                <w:color w:val="000000"/>
                <w:sz w:val="24"/>
                <w:szCs w:val="24"/>
                <w:lang w:eastAsia="pt-BR"/>
              </w:rPr>
              <w:t>do</w:t>
            </w:r>
            <w:proofErr w:type="gramEnd"/>
            <w:r w:rsidRPr="00704883">
              <w:rPr>
                <w:rFonts w:ascii="Calibri" w:eastAsia="Times New Roman" w:hAnsi="Calibri" w:cstheme="minorHAns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1679" w:type="pct"/>
            <w:tcBorders>
              <w:top w:val="nil"/>
              <w:left w:val="nil"/>
              <w:bottom w:val="single" w:sz="4" w:space="0" w:color="auto"/>
              <w:right w:val="single" w:sz="4" w:space="0" w:color="auto"/>
            </w:tcBorders>
            <w:shd w:val="clear" w:color="auto" w:fill="auto"/>
            <w:vAlign w:val="center"/>
            <w:hideMark/>
          </w:tcPr>
          <w:p w14:paraId="0946E8F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F771E63"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57BD3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1660" w:type="pct"/>
            <w:tcBorders>
              <w:top w:val="nil"/>
              <w:left w:val="nil"/>
              <w:bottom w:val="single" w:sz="4" w:space="0" w:color="auto"/>
              <w:right w:val="single" w:sz="4" w:space="0" w:color="auto"/>
            </w:tcBorders>
            <w:shd w:val="clear" w:color="auto" w:fill="auto"/>
            <w:vAlign w:val="center"/>
            <w:hideMark/>
          </w:tcPr>
          <w:p w14:paraId="3701C4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1679" w:type="pct"/>
            <w:tcBorders>
              <w:top w:val="nil"/>
              <w:left w:val="nil"/>
              <w:bottom w:val="single" w:sz="4" w:space="0" w:color="auto"/>
              <w:right w:val="single" w:sz="4" w:space="0" w:color="auto"/>
            </w:tcBorders>
            <w:shd w:val="clear" w:color="auto" w:fill="auto"/>
            <w:vAlign w:val="center"/>
            <w:hideMark/>
          </w:tcPr>
          <w:p w14:paraId="59EC0B3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B716669" w14:textId="77777777" w:rsidTr="00704883">
        <w:trPr>
          <w:trHeight w:val="84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7D59AE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SEÇÃO III </w:t>
            </w:r>
          </w:p>
        </w:tc>
        <w:tc>
          <w:tcPr>
            <w:tcW w:w="1660" w:type="pct"/>
            <w:tcBorders>
              <w:top w:val="nil"/>
              <w:left w:val="nil"/>
              <w:bottom w:val="single" w:sz="4" w:space="0" w:color="auto"/>
              <w:right w:val="single" w:sz="4" w:space="0" w:color="auto"/>
            </w:tcBorders>
            <w:shd w:val="clear" w:color="auto" w:fill="auto"/>
            <w:vAlign w:val="center"/>
            <w:hideMark/>
          </w:tcPr>
          <w:p w14:paraId="48A448B7"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III</w:t>
            </w:r>
            <w:r w:rsidRPr="00704883">
              <w:rPr>
                <w:rFonts w:ascii="Calibri" w:eastAsia="Times New Roman" w:hAnsi="Calibri" w:cstheme="minorHAnsi"/>
                <w:b/>
                <w:bCs/>
                <w:color w:val="000000"/>
                <w:sz w:val="24"/>
                <w:szCs w:val="24"/>
                <w:lang w:eastAsia="pt-BR"/>
              </w:rPr>
              <w:br/>
              <w:t>Procedimentos posteriores à autorização</w:t>
            </w:r>
          </w:p>
        </w:tc>
        <w:tc>
          <w:tcPr>
            <w:tcW w:w="1679" w:type="pct"/>
            <w:tcBorders>
              <w:top w:val="nil"/>
              <w:left w:val="nil"/>
              <w:bottom w:val="single" w:sz="4" w:space="0" w:color="auto"/>
              <w:right w:val="single" w:sz="4" w:space="0" w:color="auto"/>
            </w:tcBorders>
            <w:shd w:val="clear" w:color="auto" w:fill="auto"/>
            <w:vAlign w:val="center"/>
            <w:hideMark/>
          </w:tcPr>
          <w:p w14:paraId="6186622E"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B20621E" w14:textId="77777777" w:rsidTr="00704883">
        <w:trPr>
          <w:trHeight w:val="12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872B2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Dos procedimentos posteriores à autorização</w:t>
            </w:r>
          </w:p>
        </w:tc>
        <w:tc>
          <w:tcPr>
            <w:tcW w:w="1660" w:type="pct"/>
            <w:tcBorders>
              <w:top w:val="nil"/>
              <w:left w:val="nil"/>
              <w:bottom w:val="single" w:sz="4" w:space="0" w:color="auto"/>
              <w:right w:val="single" w:sz="4" w:space="0" w:color="auto"/>
            </w:tcBorders>
            <w:shd w:val="clear" w:color="auto" w:fill="auto"/>
            <w:vAlign w:val="center"/>
            <w:hideMark/>
          </w:tcPr>
          <w:p w14:paraId="7348B26D"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6F1F3BD"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287EC9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460E52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6º A EFPC deve comunicar aos participantes, aos assistidos e ao patrocinador a autorização da retirada de patrocínio pela Previc e os prazos para os procedimentos subsequentes, no prazo de dez dias úteis, contados da data de autorização. </w:t>
            </w:r>
          </w:p>
        </w:tc>
        <w:tc>
          <w:tcPr>
            <w:tcW w:w="1660" w:type="pct"/>
            <w:tcBorders>
              <w:top w:val="nil"/>
              <w:left w:val="nil"/>
              <w:bottom w:val="single" w:sz="4" w:space="0" w:color="auto"/>
              <w:right w:val="single" w:sz="4" w:space="0" w:color="auto"/>
            </w:tcBorders>
            <w:shd w:val="clear" w:color="auto" w:fill="auto"/>
            <w:vAlign w:val="center"/>
            <w:hideMark/>
          </w:tcPr>
          <w:p w14:paraId="0444C5B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162.  A EFPC deve comunicar aos participantes, aos assistidos e ao patrocinador a autorização da retirada de patrocínio pela Previc e os prazos para os procedimentos subsequentes, no prazo de dez dias úteis, contados da data de autorização. </w:t>
            </w:r>
          </w:p>
        </w:tc>
        <w:tc>
          <w:tcPr>
            <w:tcW w:w="1679" w:type="pct"/>
            <w:tcBorders>
              <w:top w:val="nil"/>
              <w:left w:val="nil"/>
              <w:bottom w:val="single" w:sz="4" w:space="0" w:color="auto"/>
              <w:right w:val="single" w:sz="4" w:space="0" w:color="auto"/>
            </w:tcBorders>
            <w:shd w:val="clear" w:color="auto" w:fill="auto"/>
            <w:vAlign w:val="center"/>
            <w:hideMark/>
          </w:tcPr>
          <w:p w14:paraId="5D62CE0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23726D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38C403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7º A EFPC deve encaminhar o termo de opção aos participantes e assistidos, contendo, no mínimo: </w:t>
            </w:r>
          </w:p>
        </w:tc>
        <w:tc>
          <w:tcPr>
            <w:tcW w:w="1660" w:type="pct"/>
            <w:tcBorders>
              <w:top w:val="nil"/>
              <w:left w:val="nil"/>
              <w:bottom w:val="single" w:sz="4" w:space="0" w:color="auto"/>
              <w:right w:val="single" w:sz="4" w:space="0" w:color="auto"/>
            </w:tcBorders>
            <w:shd w:val="clear" w:color="auto" w:fill="auto"/>
            <w:vAlign w:val="center"/>
            <w:hideMark/>
          </w:tcPr>
          <w:p w14:paraId="56882B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163.  A EFPC deve encaminhar o termo de opção aos participantes e assistidos, contendo, no mínimo: </w:t>
            </w:r>
          </w:p>
        </w:tc>
        <w:tc>
          <w:tcPr>
            <w:tcW w:w="1679" w:type="pct"/>
            <w:tcBorders>
              <w:top w:val="nil"/>
              <w:left w:val="nil"/>
              <w:bottom w:val="single" w:sz="4" w:space="0" w:color="auto"/>
              <w:right w:val="single" w:sz="4" w:space="0" w:color="auto"/>
            </w:tcBorders>
            <w:shd w:val="clear" w:color="auto" w:fill="auto"/>
            <w:vAlign w:val="center"/>
            <w:hideMark/>
          </w:tcPr>
          <w:p w14:paraId="410970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118613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D96B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dados cadastrais e financeiros do participante ou assistido, desde o início de suas contribuições, com todos os parâmetros considerados para o cálculo da reserva matemática individual final; </w:t>
            </w:r>
          </w:p>
        </w:tc>
        <w:tc>
          <w:tcPr>
            <w:tcW w:w="1660" w:type="pct"/>
            <w:tcBorders>
              <w:top w:val="nil"/>
              <w:left w:val="nil"/>
              <w:bottom w:val="single" w:sz="4" w:space="0" w:color="auto"/>
              <w:right w:val="single" w:sz="4" w:space="0" w:color="auto"/>
            </w:tcBorders>
            <w:shd w:val="clear" w:color="auto" w:fill="auto"/>
            <w:vAlign w:val="center"/>
            <w:hideMark/>
          </w:tcPr>
          <w:p w14:paraId="080C80E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dados cadastrais e financeiros do participante ou assistido, desde o início de suas contribuições, com todos os parâmetros considerados para o cálculo da reserva matemática individual final; </w:t>
            </w:r>
          </w:p>
        </w:tc>
        <w:tc>
          <w:tcPr>
            <w:tcW w:w="1679" w:type="pct"/>
            <w:tcBorders>
              <w:top w:val="nil"/>
              <w:left w:val="nil"/>
              <w:bottom w:val="single" w:sz="4" w:space="0" w:color="auto"/>
              <w:right w:val="single" w:sz="4" w:space="0" w:color="auto"/>
            </w:tcBorders>
            <w:shd w:val="clear" w:color="auto" w:fill="auto"/>
            <w:vAlign w:val="center"/>
            <w:hideMark/>
          </w:tcPr>
          <w:p w14:paraId="62BA533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D11E85F"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F575A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valor da reserva matemática individual final, com esclarecimentos pertinentes quanto à forma de apuração, discriminando os valores relativos à reserva matemática individual e os valores de excedente e de insuficiência patrimonial; </w:t>
            </w:r>
          </w:p>
        </w:tc>
        <w:tc>
          <w:tcPr>
            <w:tcW w:w="1660" w:type="pct"/>
            <w:tcBorders>
              <w:top w:val="nil"/>
              <w:left w:val="nil"/>
              <w:bottom w:val="single" w:sz="4" w:space="0" w:color="auto"/>
              <w:right w:val="single" w:sz="4" w:space="0" w:color="auto"/>
            </w:tcBorders>
            <w:shd w:val="clear" w:color="auto" w:fill="auto"/>
            <w:vAlign w:val="center"/>
            <w:hideMark/>
          </w:tcPr>
          <w:p w14:paraId="153F29F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valor da reserva matemática individual final, com esclarecimentos pertinentes quanto à forma de apuração, discriminando os valores relativos à reserva matemática individual e os valores de excedente e de insuficiência patrimonial; </w:t>
            </w:r>
          </w:p>
        </w:tc>
        <w:tc>
          <w:tcPr>
            <w:tcW w:w="1679" w:type="pct"/>
            <w:tcBorders>
              <w:top w:val="nil"/>
              <w:left w:val="nil"/>
              <w:bottom w:val="single" w:sz="4" w:space="0" w:color="auto"/>
              <w:right w:val="single" w:sz="4" w:space="0" w:color="auto"/>
            </w:tcBorders>
            <w:shd w:val="clear" w:color="auto" w:fill="auto"/>
            <w:vAlign w:val="center"/>
            <w:hideMark/>
          </w:tcPr>
          <w:p w14:paraId="3339D7A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E33BEE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30C56C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as opções decorrentes da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4B6A21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as opções decorrentes da retirada de patrocínio; </w:t>
            </w:r>
          </w:p>
        </w:tc>
        <w:tc>
          <w:tcPr>
            <w:tcW w:w="1679" w:type="pct"/>
            <w:tcBorders>
              <w:top w:val="nil"/>
              <w:left w:val="nil"/>
              <w:bottom w:val="single" w:sz="4" w:space="0" w:color="auto"/>
              <w:right w:val="single" w:sz="4" w:space="0" w:color="auto"/>
            </w:tcBorders>
            <w:shd w:val="clear" w:color="auto" w:fill="auto"/>
            <w:vAlign w:val="center"/>
            <w:hideMark/>
          </w:tcPr>
          <w:p w14:paraId="41914C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16F4B7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2E93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período de opção; </w:t>
            </w:r>
          </w:p>
        </w:tc>
        <w:tc>
          <w:tcPr>
            <w:tcW w:w="1660" w:type="pct"/>
            <w:tcBorders>
              <w:top w:val="nil"/>
              <w:left w:val="nil"/>
              <w:bottom w:val="single" w:sz="4" w:space="0" w:color="auto"/>
              <w:right w:val="single" w:sz="4" w:space="0" w:color="auto"/>
            </w:tcBorders>
            <w:shd w:val="clear" w:color="auto" w:fill="auto"/>
            <w:vAlign w:val="center"/>
            <w:hideMark/>
          </w:tcPr>
          <w:p w14:paraId="6FED00E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período de opção; </w:t>
            </w:r>
          </w:p>
        </w:tc>
        <w:tc>
          <w:tcPr>
            <w:tcW w:w="1679" w:type="pct"/>
            <w:tcBorders>
              <w:top w:val="nil"/>
              <w:left w:val="nil"/>
              <w:bottom w:val="single" w:sz="4" w:space="0" w:color="auto"/>
              <w:right w:val="single" w:sz="4" w:space="0" w:color="auto"/>
            </w:tcBorders>
            <w:shd w:val="clear" w:color="auto" w:fill="auto"/>
            <w:vAlign w:val="center"/>
            <w:hideMark/>
          </w:tcPr>
          <w:p w14:paraId="72494F2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0F9EAC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5AFC1A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as</w:t>
            </w:r>
            <w:proofErr w:type="gramEnd"/>
            <w:r w:rsidRPr="00704883">
              <w:rPr>
                <w:rFonts w:ascii="Calibri" w:eastAsia="Times New Roman" w:hAnsi="Calibri" w:cstheme="minorHAnsi"/>
                <w:color w:val="000000"/>
                <w:sz w:val="24"/>
                <w:szCs w:val="24"/>
                <w:lang w:eastAsia="pt-BR"/>
              </w:rPr>
              <w:t xml:space="preserve"> informações sobre o procedimento a ser adotado no caso de não exercício da opção no prazo previsto; </w:t>
            </w:r>
          </w:p>
        </w:tc>
        <w:tc>
          <w:tcPr>
            <w:tcW w:w="1660" w:type="pct"/>
            <w:tcBorders>
              <w:top w:val="nil"/>
              <w:left w:val="nil"/>
              <w:bottom w:val="single" w:sz="4" w:space="0" w:color="auto"/>
              <w:right w:val="single" w:sz="4" w:space="0" w:color="auto"/>
            </w:tcBorders>
            <w:shd w:val="clear" w:color="auto" w:fill="auto"/>
            <w:vAlign w:val="center"/>
            <w:hideMark/>
          </w:tcPr>
          <w:p w14:paraId="62A58CF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as</w:t>
            </w:r>
            <w:proofErr w:type="gramEnd"/>
            <w:r w:rsidRPr="00704883">
              <w:rPr>
                <w:rFonts w:ascii="Calibri" w:eastAsia="Times New Roman" w:hAnsi="Calibri" w:cstheme="minorHAnsi"/>
                <w:color w:val="000000"/>
                <w:sz w:val="24"/>
                <w:szCs w:val="24"/>
                <w:lang w:eastAsia="pt-BR"/>
              </w:rPr>
              <w:t xml:space="preserve"> informações sobre o procedimento a ser adotado no caso de não exercício da opção no prazo previsto; </w:t>
            </w:r>
          </w:p>
        </w:tc>
        <w:tc>
          <w:tcPr>
            <w:tcW w:w="1679" w:type="pct"/>
            <w:tcBorders>
              <w:top w:val="nil"/>
              <w:left w:val="nil"/>
              <w:bottom w:val="single" w:sz="4" w:space="0" w:color="auto"/>
              <w:right w:val="single" w:sz="4" w:space="0" w:color="auto"/>
            </w:tcBorders>
            <w:shd w:val="clear" w:color="auto" w:fill="auto"/>
            <w:vAlign w:val="center"/>
            <w:hideMark/>
          </w:tcPr>
          <w:p w14:paraId="041EE9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9541B4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AFA19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esclarecimentos necessários sobre a possibilidade de recebimento, no futuro, de valor decorrente de patrimônio retido para cobertura de exigível contingencial do plano de benefícios; e </w:t>
            </w:r>
          </w:p>
        </w:tc>
        <w:tc>
          <w:tcPr>
            <w:tcW w:w="1660" w:type="pct"/>
            <w:tcBorders>
              <w:top w:val="nil"/>
              <w:left w:val="nil"/>
              <w:bottom w:val="single" w:sz="4" w:space="0" w:color="auto"/>
              <w:right w:val="single" w:sz="4" w:space="0" w:color="auto"/>
            </w:tcBorders>
            <w:shd w:val="clear" w:color="auto" w:fill="auto"/>
            <w:vAlign w:val="center"/>
            <w:hideMark/>
          </w:tcPr>
          <w:p w14:paraId="32D6EF8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esclarecimentos necessários sobre a possibilidade de recebimento, no futuro, de valor decorrente de patrimônio retido para cobertura de exigível contingencial do plano de benefícios; e </w:t>
            </w:r>
          </w:p>
        </w:tc>
        <w:tc>
          <w:tcPr>
            <w:tcW w:w="1679" w:type="pct"/>
            <w:tcBorders>
              <w:top w:val="nil"/>
              <w:left w:val="nil"/>
              <w:bottom w:val="single" w:sz="4" w:space="0" w:color="auto"/>
              <w:right w:val="single" w:sz="4" w:space="0" w:color="auto"/>
            </w:tcBorders>
            <w:shd w:val="clear" w:color="auto" w:fill="auto"/>
            <w:vAlign w:val="center"/>
            <w:hideMark/>
          </w:tcPr>
          <w:p w14:paraId="7AAFE79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31B2E04"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AA7CFE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 - a informação sobre eventuais débitos do participante junto ao plano de benefícios, inclusive os referentes àqueles realizados no segmento de operações com participantes, e as respectivas condições de quitação, dentre elas a compensação </w:t>
            </w:r>
            <w:r w:rsidRPr="00704883">
              <w:rPr>
                <w:rFonts w:ascii="Calibri" w:eastAsia="Times New Roman" w:hAnsi="Calibri" w:cstheme="minorHAnsi"/>
                <w:color w:val="000000"/>
                <w:sz w:val="24"/>
                <w:szCs w:val="24"/>
                <w:lang w:eastAsia="pt-BR"/>
              </w:rPr>
              <w:lastRenderedPageBreak/>
              <w:t xml:space="preserve">com o valor da sua reserva matemática individual final. </w:t>
            </w:r>
          </w:p>
        </w:tc>
        <w:tc>
          <w:tcPr>
            <w:tcW w:w="1660" w:type="pct"/>
            <w:tcBorders>
              <w:top w:val="nil"/>
              <w:left w:val="nil"/>
              <w:bottom w:val="single" w:sz="4" w:space="0" w:color="auto"/>
              <w:right w:val="single" w:sz="4" w:space="0" w:color="auto"/>
            </w:tcBorders>
            <w:shd w:val="clear" w:color="auto" w:fill="auto"/>
            <w:vAlign w:val="center"/>
            <w:hideMark/>
          </w:tcPr>
          <w:p w14:paraId="52DFD1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VII - a informação sobre eventuais débitos do participante junto ao plano de benefícios, inclusive os referentes àqueles realizados no segmento de operações com participantes, e as respectivas condições de quitação, dentre elas a compensação </w:t>
            </w:r>
            <w:r w:rsidRPr="00704883">
              <w:rPr>
                <w:rFonts w:ascii="Calibri" w:eastAsia="Times New Roman" w:hAnsi="Calibri" w:cstheme="minorHAnsi"/>
                <w:color w:val="000000"/>
                <w:sz w:val="24"/>
                <w:szCs w:val="24"/>
                <w:lang w:eastAsia="pt-BR"/>
              </w:rPr>
              <w:lastRenderedPageBreak/>
              <w:t xml:space="preserve">com o valor da sua reserva matemática individual final. </w:t>
            </w:r>
          </w:p>
        </w:tc>
        <w:tc>
          <w:tcPr>
            <w:tcW w:w="1679" w:type="pct"/>
            <w:tcBorders>
              <w:top w:val="nil"/>
              <w:left w:val="nil"/>
              <w:bottom w:val="single" w:sz="4" w:space="0" w:color="auto"/>
              <w:right w:val="single" w:sz="4" w:space="0" w:color="auto"/>
            </w:tcBorders>
            <w:shd w:val="clear" w:color="auto" w:fill="auto"/>
            <w:vAlign w:val="center"/>
            <w:hideMark/>
          </w:tcPr>
          <w:p w14:paraId="6F86028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7D78B6" w:rsidRPr="00704883" w14:paraId="44095E4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C0FB7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1º O termo de que trata o caput deve ser enviado no prazo de até sessenta dias, contados da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3A7AC3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termo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 ser enviado no prazo de até sessenta dias, contados da data do cálculo. </w:t>
            </w:r>
          </w:p>
        </w:tc>
        <w:tc>
          <w:tcPr>
            <w:tcW w:w="1679" w:type="pct"/>
            <w:tcBorders>
              <w:top w:val="nil"/>
              <w:left w:val="nil"/>
              <w:bottom w:val="single" w:sz="4" w:space="0" w:color="auto"/>
              <w:right w:val="single" w:sz="4" w:space="0" w:color="auto"/>
            </w:tcBorders>
            <w:shd w:val="clear" w:color="auto" w:fill="auto"/>
            <w:vAlign w:val="center"/>
            <w:hideMark/>
          </w:tcPr>
          <w:p w14:paraId="129A49A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32F8CE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672508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2º A EFPC deve disponibilizar o regulamento do plano instituído por opção, quando oferecido, acompanhado de materiais explicativos que descrevam as características gerais do plano de benefícios e o perfil de investimento. </w:t>
            </w:r>
          </w:p>
        </w:tc>
        <w:tc>
          <w:tcPr>
            <w:tcW w:w="1660" w:type="pct"/>
            <w:tcBorders>
              <w:top w:val="nil"/>
              <w:left w:val="nil"/>
              <w:bottom w:val="single" w:sz="4" w:space="0" w:color="auto"/>
              <w:right w:val="single" w:sz="4" w:space="0" w:color="auto"/>
            </w:tcBorders>
            <w:shd w:val="clear" w:color="auto" w:fill="auto"/>
            <w:vAlign w:val="center"/>
            <w:hideMark/>
          </w:tcPr>
          <w:p w14:paraId="5A887EF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EFPC deve disponibilizar o regulamento do plano instituído por opção, quando oferecido, acompanhado de materiais explicativos que descrevam as características gerais do plano de benefícios e o perfil de investimento. </w:t>
            </w:r>
          </w:p>
        </w:tc>
        <w:tc>
          <w:tcPr>
            <w:tcW w:w="1679" w:type="pct"/>
            <w:tcBorders>
              <w:top w:val="nil"/>
              <w:left w:val="nil"/>
              <w:bottom w:val="single" w:sz="4" w:space="0" w:color="auto"/>
              <w:right w:val="single" w:sz="4" w:space="0" w:color="auto"/>
            </w:tcBorders>
            <w:shd w:val="clear" w:color="auto" w:fill="auto"/>
            <w:vAlign w:val="center"/>
            <w:hideMark/>
          </w:tcPr>
          <w:p w14:paraId="417AE85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9F15BD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3D17B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8º A EFPC, após o período de opção, deve adotar os procedimentos necessários à conclusão da retirada de patrocínio, providenciando: </w:t>
            </w:r>
          </w:p>
        </w:tc>
        <w:tc>
          <w:tcPr>
            <w:tcW w:w="1660" w:type="pct"/>
            <w:tcBorders>
              <w:top w:val="nil"/>
              <w:left w:val="nil"/>
              <w:bottom w:val="single" w:sz="4" w:space="0" w:color="auto"/>
              <w:right w:val="single" w:sz="4" w:space="0" w:color="auto"/>
            </w:tcBorders>
            <w:shd w:val="clear" w:color="auto" w:fill="auto"/>
            <w:vAlign w:val="center"/>
            <w:hideMark/>
          </w:tcPr>
          <w:p w14:paraId="2CC492B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164.  A EFPC, após o período de opção, deve adotar os procedimentos necessários à conclusão da retirada de patrocínio, providenciando: </w:t>
            </w:r>
          </w:p>
        </w:tc>
        <w:tc>
          <w:tcPr>
            <w:tcW w:w="1679" w:type="pct"/>
            <w:tcBorders>
              <w:top w:val="nil"/>
              <w:left w:val="nil"/>
              <w:bottom w:val="single" w:sz="4" w:space="0" w:color="auto"/>
              <w:right w:val="single" w:sz="4" w:space="0" w:color="auto"/>
            </w:tcBorders>
            <w:shd w:val="clear" w:color="auto" w:fill="auto"/>
            <w:vAlign w:val="center"/>
            <w:hideMark/>
          </w:tcPr>
          <w:p w14:paraId="0C3E37D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52B1DD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B5D496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cobrança, à vista, das obrigações e débitos dos participantes, dos assistidos ou do patrocinador, nas condições estabelecidas no termo de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54D5EF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cobrança, à vista, das obrigações e débitos dos participantes, dos assistidos ou do patrocinador, nas condições estabelecidas no termo de retirada de patrocínio; </w:t>
            </w:r>
          </w:p>
        </w:tc>
        <w:tc>
          <w:tcPr>
            <w:tcW w:w="1679" w:type="pct"/>
            <w:tcBorders>
              <w:top w:val="nil"/>
              <w:left w:val="nil"/>
              <w:bottom w:val="single" w:sz="4" w:space="0" w:color="auto"/>
              <w:right w:val="single" w:sz="4" w:space="0" w:color="auto"/>
            </w:tcBorders>
            <w:shd w:val="clear" w:color="auto" w:fill="auto"/>
            <w:vAlign w:val="center"/>
            <w:hideMark/>
          </w:tcPr>
          <w:p w14:paraId="2E5B71D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5CF51B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23DD8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liquidação do direito dos participantes e assistidos, pela efetivação das suas opções, bem como o pagamento de eventual excedente remanescente ao patrocinador retirante; e </w:t>
            </w:r>
          </w:p>
        </w:tc>
        <w:tc>
          <w:tcPr>
            <w:tcW w:w="1660" w:type="pct"/>
            <w:tcBorders>
              <w:top w:val="nil"/>
              <w:left w:val="nil"/>
              <w:bottom w:val="single" w:sz="4" w:space="0" w:color="auto"/>
              <w:right w:val="single" w:sz="4" w:space="0" w:color="auto"/>
            </w:tcBorders>
            <w:shd w:val="clear" w:color="auto" w:fill="auto"/>
            <w:vAlign w:val="center"/>
            <w:hideMark/>
          </w:tcPr>
          <w:p w14:paraId="14F64E8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liquidação do direito dos participantes e assistidos, pela efetivação das suas opções, bem como o pagamento de eventual excedente remanescente ao patrocinador retirante; e </w:t>
            </w:r>
          </w:p>
        </w:tc>
        <w:tc>
          <w:tcPr>
            <w:tcW w:w="1679" w:type="pct"/>
            <w:tcBorders>
              <w:top w:val="nil"/>
              <w:left w:val="nil"/>
              <w:bottom w:val="single" w:sz="4" w:space="0" w:color="auto"/>
              <w:right w:val="single" w:sz="4" w:space="0" w:color="auto"/>
            </w:tcBorders>
            <w:shd w:val="clear" w:color="auto" w:fill="auto"/>
            <w:vAlign w:val="center"/>
            <w:hideMark/>
          </w:tcPr>
          <w:p w14:paraId="482F334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2F5F3B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7F677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 adesão dos participantes e assistidos que optarem pelo plano instituído por opção ou outro plano administrado pela EFPC, quando oferecido. </w:t>
            </w:r>
          </w:p>
        </w:tc>
        <w:tc>
          <w:tcPr>
            <w:tcW w:w="1660" w:type="pct"/>
            <w:tcBorders>
              <w:top w:val="nil"/>
              <w:left w:val="nil"/>
              <w:bottom w:val="single" w:sz="4" w:space="0" w:color="auto"/>
              <w:right w:val="single" w:sz="4" w:space="0" w:color="auto"/>
            </w:tcBorders>
            <w:shd w:val="clear" w:color="auto" w:fill="auto"/>
            <w:vAlign w:val="center"/>
            <w:hideMark/>
          </w:tcPr>
          <w:p w14:paraId="6BB06B8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 adesão dos participantes e assistidos que optarem pelo plano instituído por opção ou outro plano administrado pela EFPC, quando oferecido. </w:t>
            </w:r>
          </w:p>
        </w:tc>
        <w:tc>
          <w:tcPr>
            <w:tcW w:w="1679" w:type="pct"/>
            <w:tcBorders>
              <w:top w:val="nil"/>
              <w:left w:val="nil"/>
              <w:bottom w:val="single" w:sz="4" w:space="0" w:color="auto"/>
              <w:right w:val="single" w:sz="4" w:space="0" w:color="auto"/>
            </w:tcBorders>
            <w:shd w:val="clear" w:color="auto" w:fill="auto"/>
            <w:vAlign w:val="center"/>
            <w:hideMark/>
          </w:tcPr>
          <w:p w14:paraId="6A1B436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7FE3A4"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09405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1º O pagamento das obrigações referidas no inciso I do caput pode ser realizado por meio de encontro de contas, na forma acordada entre as partes, mediante a dedução de débitos do montante previsto no inciso II, a ser recebido em decorrência da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69A6E4E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pagamento das obrigações referidas no inciso 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 ser realizado por meio de encontro de contas, na forma acordada entre as partes, mediante a dedução de débitos do montante previsto no inciso II, a ser recebido em decorrência da retirada de patrocínio. </w:t>
            </w:r>
          </w:p>
        </w:tc>
        <w:tc>
          <w:tcPr>
            <w:tcW w:w="1679" w:type="pct"/>
            <w:tcBorders>
              <w:top w:val="nil"/>
              <w:left w:val="nil"/>
              <w:bottom w:val="single" w:sz="4" w:space="0" w:color="auto"/>
              <w:right w:val="single" w:sz="4" w:space="0" w:color="auto"/>
            </w:tcBorders>
            <w:shd w:val="clear" w:color="auto" w:fill="auto"/>
            <w:vAlign w:val="center"/>
            <w:hideMark/>
          </w:tcPr>
          <w:p w14:paraId="42A7EEC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2EE38B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84CEFE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 2º Para a efetivação das opções de que trata o inciso II do caput, os valores apurados na avaliação atuarial da retirada de patrocínio, na data do cálculo, devem ser atualizados até a data da efetiva liquidação do compromisso, observando: </w:t>
            </w:r>
          </w:p>
        </w:tc>
        <w:tc>
          <w:tcPr>
            <w:tcW w:w="1660" w:type="pct"/>
            <w:tcBorders>
              <w:top w:val="nil"/>
              <w:left w:val="nil"/>
              <w:bottom w:val="single" w:sz="4" w:space="0" w:color="auto"/>
              <w:right w:val="single" w:sz="4" w:space="0" w:color="auto"/>
            </w:tcBorders>
            <w:shd w:val="clear" w:color="auto" w:fill="auto"/>
            <w:vAlign w:val="center"/>
            <w:hideMark/>
          </w:tcPr>
          <w:p w14:paraId="2A9B7AC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Para</w:t>
            </w:r>
            <w:proofErr w:type="gramEnd"/>
            <w:r w:rsidRPr="00704883">
              <w:rPr>
                <w:rFonts w:ascii="Calibri" w:eastAsia="Times New Roman" w:hAnsi="Calibri" w:cstheme="minorHAnsi"/>
                <w:color w:val="000000"/>
                <w:sz w:val="24"/>
                <w:szCs w:val="24"/>
                <w:lang w:eastAsia="pt-BR"/>
              </w:rPr>
              <w:t xml:space="preserve"> a efetivação das opções de que trata o inciso 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os valores apurados na avaliação atuarial da retirada de patrocínio, na data do cálculo, devem ser atualizados até a data da efetiva liquidação do compromisso, observando: </w:t>
            </w:r>
          </w:p>
        </w:tc>
        <w:tc>
          <w:tcPr>
            <w:tcW w:w="1679" w:type="pct"/>
            <w:tcBorders>
              <w:top w:val="nil"/>
              <w:left w:val="nil"/>
              <w:bottom w:val="single" w:sz="4" w:space="0" w:color="auto"/>
              <w:right w:val="single" w:sz="4" w:space="0" w:color="auto"/>
            </w:tcBorders>
            <w:shd w:val="clear" w:color="auto" w:fill="auto"/>
            <w:vAlign w:val="center"/>
            <w:hideMark/>
          </w:tcPr>
          <w:p w14:paraId="29C12D2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9A486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028E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rentabilidade líquida do patrimônio do plano de benefícios, no caso de retirada total; ou </w:t>
            </w:r>
          </w:p>
        </w:tc>
        <w:tc>
          <w:tcPr>
            <w:tcW w:w="1660" w:type="pct"/>
            <w:tcBorders>
              <w:top w:val="nil"/>
              <w:left w:val="nil"/>
              <w:bottom w:val="single" w:sz="4" w:space="0" w:color="auto"/>
              <w:right w:val="single" w:sz="4" w:space="0" w:color="auto"/>
            </w:tcBorders>
            <w:shd w:val="clear" w:color="auto" w:fill="auto"/>
            <w:vAlign w:val="center"/>
            <w:hideMark/>
          </w:tcPr>
          <w:p w14:paraId="5521FCB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rentabilidade líquida do patrimônio do plano de benefícios, no caso de retirada total; ou </w:t>
            </w:r>
          </w:p>
        </w:tc>
        <w:tc>
          <w:tcPr>
            <w:tcW w:w="1679" w:type="pct"/>
            <w:tcBorders>
              <w:top w:val="nil"/>
              <w:left w:val="nil"/>
              <w:bottom w:val="single" w:sz="4" w:space="0" w:color="auto"/>
              <w:right w:val="single" w:sz="4" w:space="0" w:color="auto"/>
            </w:tcBorders>
            <w:shd w:val="clear" w:color="auto" w:fill="auto"/>
            <w:vAlign w:val="center"/>
            <w:hideMark/>
          </w:tcPr>
          <w:p w14:paraId="13EA1E5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E16F15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4D90A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rentabilidade líquida da parcela patrimonial vinculada ao grupo que se retira do plano de benefícios, no caso de retirada parcial. </w:t>
            </w:r>
          </w:p>
        </w:tc>
        <w:tc>
          <w:tcPr>
            <w:tcW w:w="1660" w:type="pct"/>
            <w:tcBorders>
              <w:top w:val="nil"/>
              <w:left w:val="nil"/>
              <w:bottom w:val="single" w:sz="4" w:space="0" w:color="auto"/>
              <w:right w:val="single" w:sz="4" w:space="0" w:color="auto"/>
            </w:tcBorders>
            <w:shd w:val="clear" w:color="auto" w:fill="auto"/>
            <w:vAlign w:val="center"/>
            <w:hideMark/>
          </w:tcPr>
          <w:p w14:paraId="657F99A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rentabilidade líquida da parcela patrimonial vinculada ao grupo que se retira do plano de benefícios, no caso de retirada parcial. </w:t>
            </w:r>
          </w:p>
        </w:tc>
        <w:tc>
          <w:tcPr>
            <w:tcW w:w="1679" w:type="pct"/>
            <w:tcBorders>
              <w:top w:val="nil"/>
              <w:left w:val="nil"/>
              <w:bottom w:val="single" w:sz="4" w:space="0" w:color="auto"/>
              <w:right w:val="single" w:sz="4" w:space="0" w:color="auto"/>
            </w:tcBorders>
            <w:shd w:val="clear" w:color="auto" w:fill="auto"/>
            <w:vAlign w:val="center"/>
            <w:hideMark/>
          </w:tcPr>
          <w:p w14:paraId="6B36BDA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9683576"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361EB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9º A EFPC, quando o participante ou assistido não for localizado, permanecer inerte ou recusar-se a receber o valor a que faz jus em razão da retirada de patrocínio, deve adotar, no prazo de sessenta dias, contados da data efetiva, quaisquer das medidas a seguir: </w:t>
            </w:r>
          </w:p>
        </w:tc>
        <w:tc>
          <w:tcPr>
            <w:tcW w:w="1660" w:type="pct"/>
            <w:tcBorders>
              <w:top w:val="nil"/>
              <w:left w:val="nil"/>
              <w:bottom w:val="single" w:sz="4" w:space="0" w:color="auto"/>
              <w:right w:val="single" w:sz="4" w:space="0" w:color="auto"/>
            </w:tcBorders>
            <w:shd w:val="clear" w:color="auto" w:fill="auto"/>
            <w:vAlign w:val="center"/>
            <w:hideMark/>
          </w:tcPr>
          <w:p w14:paraId="5445AA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165.  A EFPC, quando o participante ou assistido não for localizado, permanecer inerte ou recusar-se a receber o valor a que faz jus em razão da retirada de patrocínio, deve adotar, no prazo de sessenta dias, contados da data efetiva, quaisquer das medidas a seguir: </w:t>
            </w:r>
          </w:p>
        </w:tc>
        <w:tc>
          <w:tcPr>
            <w:tcW w:w="1679" w:type="pct"/>
            <w:tcBorders>
              <w:top w:val="nil"/>
              <w:left w:val="nil"/>
              <w:bottom w:val="single" w:sz="4" w:space="0" w:color="auto"/>
              <w:right w:val="single" w:sz="4" w:space="0" w:color="auto"/>
            </w:tcBorders>
            <w:shd w:val="clear" w:color="auto" w:fill="auto"/>
            <w:vAlign w:val="center"/>
            <w:hideMark/>
          </w:tcPr>
          <w:p w14:paraId="0FA21E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C72BFE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D7CE0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depósito</w:t>
            </w:r>
            <w:proofErr w:type="gramEnd"/>
            <w:r w:rsidRPr="00704883">
              <w:rPr>
                <w:rFonts w:ascii="Calibri" w:eastAsia="Times New Roman" w:hAnsi="Calibri" w:cstheme="minorHAnsi"/>
                <w:color w:val="000000"/>
                <w:sz w:val="24"/>
                <w:szCs w:val="24"/>
                <w:lang w:eastAsia="pt-BR"/>
              </w:rPr>
              <w:t xml:space="preserve"> em conta corrente, de pagamento ou de poupança em instituição financeira ou outra instituição autorizada a funcionar pelo Banco Central do Brasil, de que o participante ou assistido seja titular; ou </w:t>
            </w:r>
          </w:p>
        </w:tc>
        <w:tc>
          <w:tcPr>
            <w:tcW w:w="1660" w:type="pct"/>
            <w:tcBorders>
              <w:top w:val="nil"/>
              <w:left w:val="nil"/>
              <w:bottom w:val="single" w:sz="4" w:space="0" w:color="auto"/>
              <w:right w:val="single" w:sz="4" w:space="0" w:color="auto"/>
            </w:tcBorders>
            <w:shd w:val="clear" w:color="auto" w:fill="auto"/>
            <w:vAlign w:val="center"/>
            <w:hideMark/>
          </w:tcPr>
          <w:p w14:paraId="2B08AEE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depósito</w:t>
            </w:r>
            <w:proofErr w:type="gramEnd"/>
            <w:r w:rsidRPr="00704883">
              <w:rPr>
                <w:rFonts w:ascii="Calibri" w:eastAsia="Times New Roman" w:hAnsi="Calibri" w:cstheme="minorHAnsi"/>
                <w:color w:val="000000"/>
                <w:sz w:val="24"/>
                <w:szCs w:val="24"/>
                <w:lang w:eastAsia="pt-BR"/>
              </w:rPr>
              <w:t xml:space="preserve"> em conta corrente, de pagamento ou de poupança em instituição financeira ou outra instituição autorizada a funcionar pelo Banco Central do Brasil, de que o participante ou assistido seja titular; ou </w:t>
            </w:r>
          </w:p>
        </w:tc>
        <w:tc>
          <w:tcPr>
            <w:tcW w:w="1679" w:type="pct"/>
            <w:tcBorders>
              <w:top w:val="nil"/>
              <w:left w:val="nil"/>
              <w:bottom w:val="single" w:sz="4" w:space="0" w:color="auto"/>
              <w:right w:val="single" w:sz="4" w:space="0" w:color="auto"/>
            </w:tcBorders>
            <w:shd w:val="clear" w:color="auto" w:fill="auto"/>
            <w:vAlign w:val="center"/>
            <w:hideMark/>
          </w:tcPr>
          <w:p w14:paraId="072B8AA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CEFC1C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93899D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proposição</w:t>
            </w:r>
            <w:proofErr w:type="gramEnd"/>
            <w:r w:rsidRPr="00704883">
              <w:rPr>
                <w:rFonts w:ascii="Calibri" w:eastAsia="Times New Roman" w:hAnsi="Calibri" w:cstheme="minorHAnsi"/>
                <w:color w:val="000000"/>
                <w:sz w:val="24"/>
                <w:szCs w:val="24"/>
                <w:lang w:eastAsia="pt-BR"/>
              </w:rPr>
              <w:t xml:space="preserve"> de ação de consignação judicial ou extrajudicial em pagamento, nos termos do código de processo civil. </w:t>
            </w:r>
          </w:p>
        </w:tc>
        <w:tc>
          <w:tcPr>
            <w:tcW w:w="1660" w:type="pct"/>
            <w:tcBorders>
              <w:top w:val="nil"/>
              <w:left w:val="nil"/>
              <w:bottom w:val="single" w:sz="4" w:space="0" w:color="auto"/>
              <w:right w:val="single" w:sz="4" w:space="0" w:color="auto"/>
            </w:tcBorders>
            <w:shd w:val="clear" w:color="auto" w:fill="auto"/>
            <w:vAlign w:val="center"/>
            <w:hideMark/>
          </w:tcPr>
          <w:p w14:paraId="1B73C6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proposição</w:t>
            </w:r>
            <w:proofErr w:type="gramEnd"/>
            <w:r w:rsidRPr="00704883">
              <w:rPr>
                <w:rFonts w:ascii="Calibri" w:eastAsia="Times New Roman" w:hAnsi="Calibri" w:cstheme="minorHAnsi"/>
                <w:color w:val="000000"/>
                <w:sz w:val="24"/>
                <w:szCs w:val="24"/>
                <w:lang w:eastAsia="pt-BR"/>
              </w:rPr>
              <w:t xml:space="preserve"> de ação de consignação judicial ou extrajudicial em pagamento, nos termos do código de processo civil. </w:t>
            </w:r>
          </w:p>
        </w:tc>
        <w:tc>
          <w:tcPr>
            <w:tcW w:w="1679" w:type="pct"/>
            <w:tcBorders>
              <w:top w:val="nil"/>
              <w:left w:val="nil"/>
              <w:bottom w:val="single" w:sz="4" w:space="0" w:color="auto"/>
              <w:right w:val="single" w:sz="4" w:space="0" w:color="auto"/>
            </w:tcBorders>
            <w:shd w:val="clear" w:color="auto" w:fill="auto"/>
            <w:vAlign w:val="center"/>
            <w:hideMark/>
          </w:tcPr>
          <w:p w14:paraId="438553E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D5B6FC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EA678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1º Na impossibilidade de adoção das medidas previstas nos incisos do caput, a EFPC pode:</w:t>
            </w:r>
          </w:p>
        </w:tc>
        <w:tc>
          <w:tcPr>
            <w:tcW w:w="1660" w:type="pct"/>
            <w:tcBorders>
              <w:top w:val="nil"/>
              <w:left w:val="nil"/>
              <w:bottom w:val="single" w:sz="4" w:space="0" w:color="auto"/>
              <w:right w:val="single" w:sz="4" w:space="0" w:color="auto"/>
            </w:tcBorders>
            <w:shd w:val="clear" w:color="auto" w:fill="auto"/>
            <w:vAlign w:val="center"/>
            <w:hideMark/>
          </w:tcPr>
          <w:p w14:paraId="6F929DB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Na</w:t>
            </w:r>
            <w:proofErr w:type="gramEnd"/>
            <w:r w:rsidRPr="00704883">
              <w:rPr>
                <w:rFonts w:ascii="Calibri" w:eastAsia="Times New Roman" w:hAnsi="Calibri" w:cstheme="minorHAnsi"/>
                <w:color w:val="000000"/>
                <w:sz w:val="24"/>
                <w:szCs w:val="24"/>
                <w:lang w:eastAsia="pt-BR"/>
              </w:rPr>
              <w:t xml:space="preserve"> impossibilidade de adoção das medidas previstas nos incisos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a EFPC pode:</w:t>
            </w:r>
          </w:p>
        </w:tc>
        <w:tc>
          <w:tcPr>
            <w:tcW w:w="1679" w:type="pct"/>
            <w:tcBorders>
              <w:top w:val="nil"/>
              <w:left w:val="nil"/>
              <w:bottom w:val="single" w:sz="4" w:space="0" w:color="auto"/>
              <w:right w:val="single" w:sz="4" w:space="0" w:color="auto"/>
            </w:tcBorders>
            <w:shd w:val="clear" w:color="auto" w:fill="auto"/>
            <w:vAlign w:val="center"/>
            <w:hideMark/>
          </w:tcPr>
          <w:p w14:paraId="66B8DF4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BB5E2C9"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DCFBB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registrar</w:t>
            </w:r>
            <w:proofErr w:type="gramEnd"/>
            <w:r w:rsidRPr="00704883">
              <w:rPr>
                <w:rFonts w:ascii="Calibri" w:eastAsia="Times New Roman" w:hAnsi="Calibri" w:cstheme="minorHAnsi"/>
                <w:color w:val="000000"/>
                <w:sz w:val="24"/>
                <w:szCs w:val="24"/>
                <w:lang w:eastAsia="pt-BR"/>
              </w:rPr>
              <w:t xml:space="preserve"> o valor em rubrica apropriada no exigível operacional do plano de benefícios objeto de retirada parcial, ou do Plano de Gestão Administrativa, no caso de retirada total, desde que a EFPC permaneça em funcionamento; ou</w:t>
            </w:r>
          </w:p>
        </w:tc>
        <w:tc>
          <w:tcPr>
            <w:tcW w:w="1660" w:type="pct"/>
            <w:tcBorders>
              <w:top w:val="nil"/>
              <w:left w:val="nil"/>
              <w:bottom w:val="single" w:sz="4" w:space="0" w:color="auto"/>
              <w:right w:val="single" w:sz="4" w:space="0" w:color="auto"/>
            </w:tcBorders>
            <w:shd w:val="clear" w:color="auto" w:fill="auto"/>
            <w:vAlign w:val="center"/>
            <w:hideMark/>
          </w:tcPr>
          <w:p w14:paraId="13B179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registrar</w:t>
            </w:r>
            <w:proofErr w:type="gramEnd"/>
            <w:r w:rsidRPr="00704883">
              <w:rPr>
                <w:rFonts w:ascii="Calibri" w:eastAsia="Times New Roman" w:hAnsi="Calibri" w:cstheme="minorHAnsi"/>
                <w:color w:val="000000"/>
                <w:sz w:val="24"/>
                <w:szCs w:val="24"/>
                <w:lang w:eastAsia="pt-BR"/>
              </w:rPr>
              <w:t xml:space="preserve"> o valor em rubrica apropriada no exigível operacional do plano de benefícios objeto de retirada parcial, ou do Plano de Gestão Administrativa, no caso de retirada total, desde que a EFPC permaneça em funcionamento; ou </w:t>
            </w:r>
          </w:p>
        </w:tc>
        <w:tc>
          <w:tcPr>
            <w:tcW w:w="1679" w:type="pct"/>
            <w:tcBorders>
              <w:top w:val="nil"/>
              <w:left w:val="nil"/>
              <w:bottom w:val="single" w:sz="4" w:space="0" w:color="auto"/>
              <w:right w:val="single" w:sz="4" w:space="0" w:color="auto"/>
            </w:tcBorders>
            <w:shd w:val="clear" w:color="auto" w:fill="auto"/>
            <w:vAlign w:val="center"/>
            <w:hideMark/>
          </w:tcPr>
          <w:p w14:paraId="1A7E55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9AE78C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BCA40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adotar</w:t>
            </w:r>
            <w:proofErr w:type="gramEnd"/>
            <w:r w:rsidRPr="00704883">
              <w:rPr>
                <w:rFonts w:ascii="Calibri" w:eastAsia="Times New Roman" w:hAnsi="Calibri" w:cstheme="minorHAnsi"/>
                <w:color w:val="000000"/>
                <w:sz w:val="24"/>
                <w:szCs w:val="24"/>
                <w:lang w:eastAsia="pt-BR"/>
              </w:rPr>
              <w:t xml:space="preserve"> outra medida administrativa que possibilite a liquidação dos compromissos oriundos da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6913253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adotar</w:t>
            </w:r>
            <w:proofErr w:type="gramEnd"/>
            <w:r w:rsidRPr="00704883">
              <w:rPr>
                <w:rFonts w:ascii="Calibri" w:eastAsia="Times New Roman" w:hAnsi="Calibri" w:cstheme="minorHAnsi"/>
                <w:color w:val="000000"/>
                <w:sz w:val="24"/>
                <w:szCs w:val="24"/>
                <w:lang w:eastAsia="pt-BR"/>
              </w:rPr>
              <w:t xml:space="preserve"> outra medida administrativa que possibilite a liquidação dos compromissos oriundos da retirada de patrocínio. </w:t>
            </w:r>
          </w:p>
        </w:tc>
        <w:tc>
          <w:tcPr>
            <w:tcW w:w="1679" w:type="pct"/>
            <w:tcBorders>
              <w:top w:val="nil"/>
              <w:left w:val="nil"/>
              <w:bottom w:val="single" w:sz="4" w:space="0" w:color="auto"/>
              <w:right w:val="single" w:sz="4" w:space="0" w:color="auto"/>
            </w:tcBorders>
            <w:shd w:val="clear" w:color="auto" w:fill="auto"/>
            <w:vAlign w:val="center"/>
            <w:hideMark/>
          </w:tcPr>
          <w:p w14:paraId="1E889AF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7AA2216" w14:textId="77777777" w:rsidTr="00704883">
        <w:trPr>
          <w:trHeight w:val="103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55B81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2º A EFPC pode descontar dos valores contabilizados nos termos do § 1º as despesas decorrentes da sua administração, limitado ao valor a que fizer jus o participante ou assistido.</w:t>
            </w:r>
          </w:p>
        </w:tc>
        <w:tc>
          <w:tcPr>
            <w:tcW w:w="1660" w:type="pct"/>
            <w:tcBorders>
              <w:top w:val="nil"/>
              <w:left w:val="nil"/>
              <w:bottom w:val="single" w:sz="4" w:space="0" w:color="auto"/>
              <w:right w:val="single" w:sz="4" w:space="0" w:color="auto"/>
            </w:tcBorders>
            <w:shd w:val="clear" w:color="auto" w:fill="auto"/>
            <w:vAlign w:val="center"/>
            <w:hideMark/>
          </w:tcPr>
          <w:p w14:paraId="128B4DA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EFPC pode descontar dos valores contabilizados nos termos do § 1º as despesas decorrentes da sua administração, limitado ao valor a que fizer jus o participante ou assistido.</w:t>
            </w:r>
          </w:p>
        </w:tc>
        <w:tc>
          <w:tcPr>
            <w:tcW w:w="1679" w:type="pct"/>
            <w:tcBorders>
              <w:top w:val="nil"/>
              <w:left w:val="nil"/>
              <w:bottom w:val="single" w:sz="4" w:space="0" w:color="auto"/>
              <w:right w:val="single" w:sz="4" w:space="0" w:color="auto"/>
            </w:tcBorders>
            <w:shd w:val="clear" w:color="auto" w:fill="auto"/>
            <w:vAlign w:val="center"/>
            <w:hideMark/>
          </w:tcPr>
          <w:p w14:paraId="052DC34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6A262BE" w14:textId="77777777" w:rsidTr="00704883">
        <w:trPr>
          <w:trHeight w:val="6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4EA79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IV </w:t>
            </w:r>
          </w:p>
        </w:tc>
        <w:tc>
          <w:tcPr>
            <w:tcW w:w="1660" w:type="pct"/>
            <w:tcBorders>
              <w:top w:val="nil"/>
              <w:left w:val="nil"/>
              <w:bottom w:val="single" w:sz="4" w:space="0" w:color="auto"/>
              <w:right w:val="single" w:sz="4" w:space="0" w:color="auto"/>
            </w:tcBorders>
            <w:shd w:val="clear" w:color="auto" w:fill="auto"/>
            <w:vAlign w:val="center"/>
            <w:hideMark/>
          </w:tcPr>
          <w:p w14:paraId="1253CA45"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Seção VIII</w:t>
            </w:r>
            <w:r w:rsidRPr="00704883">
              <w:rPr>
                <w:rFonts w:ascii="Calibri" w:eastAsia="Times New Roman" w:hAnsi="Calibri" w:cstheme="minorHAnsi"/>
                <w:b/>
                <w:bCs/>
                <w:color w:val="000000"/>
                <w:sz w:val="24"/>
                <w:szCs w:val="24"/>
                <w:lang w:eastAsia="pt-BR"/>
              </w:rPr>
              <w:br/>
              <w:t>Providências Operacionais da Rescisão Unilateral de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33837EC0"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C4907F4" w14:textId="77777777" w:rsidTr="00704883">
        <w:trPr>
          <w:trHeight w:val="12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B2E87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DAS PROVIDÊNCIAS OPERACIONAIS DA RESCISÃO UNILATERAL DE CONVÊNIO DE ADESÃO</w:t>
            </w:r>
          </w:p>
        </w:tc>
        <w:tc>
          <w:tcPr>
            <w:tcW w:w="1660" w:type="pct"/>
            <w:tcBorders>
              <w:top w:val="nil"/>
              <w:left w:val="nil"/>
              <w:bottom w:val="single" w:sz="4" w:space="0" w:color="auto"/>
              <w:right w:val="single" w:sz="4" w:space="0" w:color="auto"/>
            </w:tcBorders>
            <w:shd w:val="clear" w:color="auto" w:fill="auto"/>
            <w:vAlign w:val="center"/>
            <w:hideMark/>
          </w:tcPr>
          <w:p w14:paraId="208C1397" w14:textId="77777777" w:rsidR="007D78B6" w:rsidRPr="00704883" w:rsidRDefault="007D78B6" w:rsidP="007D78B6">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8D847D8"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C9BD3F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C2F75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10. A rescisão unilateral de convênio de adesão somente pode ser adotada mediante aprovação pelo órgão estatutário competente da EFPC. </w:t>
            </w:r>
          </w:p>
        </w:tc>
        <w:tc>
          <w:tcPr>
            <w:tcW w:w="1660" w:type="pct"/>
            <w:tcBorders>
              <w:top w:val="nil"/>
              <w:left w:val="nil"/>
              <w:bottom w:val="single" w:sz="4" w:space="0" w:color="auto"/>
              <w:right w:val="single" w:sz="4" w:space="0" w:color="auto"/>
            </w:tcBorders>
            <w:shd w:val="clear" w:color="auto" w:fill="auto"/>
            <w:vAlign w:val="center"/>
            <w:hideMark/>
          </w:tcPr>
          <w:p w14:paraId="6A981E1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166.  A rescisão unilateral de convênio de adesão somente pode ser adotada mediante aprovação pelo órgão estatutário competente da EFPC. </w:t>
            </w:r>
          </w:p>
        </w:tc>
        <w:tc>
          <w:tcPr>
            <w:tcW w:w="1679" w:type="pct"/>
            <w:tcBorders>
              <w:top w:val="nil"/>
              <w:left w:val="nil"/>
              <w:bottom w:val="single" w:sz="4" w:space="0" w:color="auto"/>
              <w:right w:val="single" w:sz="4" w:space="0" w:color="auto"/>
            </w:tcBorders>
            <w:shd w:val="clear" w:color="auto" w:fill="auto"/>
            <w:vAlign w:val="center"/>
            <w:hideMark/>
          </w:tcPr>
          <w:p w14:paraId="68C870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763D55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11EA7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11. A EFPC deve, no prazo de dez dias úteis, contados da data da aprovação de que trata o art. 10: </w:t>
            </w:r>
          </w:p>
        </w:tc>
        <w:tc>
          <w:tcPr>
            <w:tcW w:w="1660" w:type="pct"/>
            <w:tcBorders>
              <w:top w:val="nil"/>
              <w:left w:val="nil"/>
              <w:bottom w:val="single" w:sz="4" w:space="0" w:color="auto"/>
              <w:right w:val="single" w:sz="4" w:space="0" w:color="auto"/>
            </w:tcBorders>
            <w:shd w:val="clear" w:color="auto" w:fill="auto"/>
            <w:vAlign w:val="center"/>
            <w:hideMark/>
          </w:tcPr>
          <w:p w14:paraId="000264D2"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xml:space="preserve">Art. 167.  A EFPC deve, no prazo de dez dias úteis, contados da data da aprovação de que trata o art. 166: </w:t>
            </w:r>
          </w:p>
        </w:tc>
        <w:tc>
          <w:tcPr>
            <w:tcW w:w="1679" w:type="pct"/>
            <w:tcBorders>
              <w:top w:val="nil"/>
              <w:left w:val="nil"/>
              <w:bottom w:val="single" w:sz="4" w:space="0" w:color="auto"/>
              <w:right w:val="single" w:sz="4" w:space="0" w:color="auto"/>
            </w:tcBorders>
            <w:shd w:val="clear" w:color="auto" w:fill="auto"/>
            <w:vAlign w:val="center"/>
            <w:hideMark/>
          </w:tcPr>
          <w:p w14:paraId="76E26C5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0CE31F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FD7DF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ao patrocinador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46D57DF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dar</w:t>
            </w:r>
            <w:proofErr w:type="gramEnd"/>
            <w:r w:rsidRPr="00704883">
              <w:rPr>
                <w:rFonts w:ascii="Calibri" w:eastAsia="Times New Roman" w:hAnsi="Calibri" w:cstheme="minorHAnsi"/>
                <w:color w:val="000000"/>
                <w:sz w:val="24"/>
                <w:szCs w:val="24"/>
                <w:lang w:eastAsia="pt-BR"/>
              </w:rPr>
              <w:t xml:space="preserve"> ciência ao patrocinador do plano de benefícios; </w:t>
            </w:r>
          </w:p>
        </w:tc>
        <w:tc>
          <w:tcPr>
            <w:tcW w:w="1679" w:type="pct"/>
            <w:tcBorders>
              <w:top w:val="nil"/>
              <w:left w:val="nil"/>
              <w:bottom w:val="single" w:sz="4" w:space="0" w:color="auto"/>
              <w:right w:val="single" w:sz="4" w:space="0" w:color="auto"/>
            </w:tcBorders>
            <w:shd w:val="clear" w:color="auto" w:fill="auto"/>
            <w:vAlign w:val="center"/>
            <w:hideMark/>
          </w:tcPr>
          <w:p w14:paraId="074F1B1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478D9F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5ED16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a decisão aos participantes e assistidos vinculados ao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2D952B8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comunicar</w:t>
            </w:r>
            <w:proofErr w:type="gramEnd"/>
            <w:r w:rsidRPr="00704883">
              <w:rPr>
                <w:rFonts w:ascii="Calibri" w:eastAsia="Times New Roman" w:hAnsi="Calibri" w:cstheme="minorHAnsi"/>
                <w:color w:val="000000"/>
                <w:sz w:val="24"/>
                <w:szCs w:val="24"/>
                <w:lang w:eastAsia="pt-BR"/>
              </w:rPr>
              <w:t xml:space="preserve"> a decisão aos participantes e assistidos vinculados ao plano de benefícios; </w:t>
            </w:r>
          </w:p>
        </w:tc>
        <w:tc>
          <w:tcPr>
            <w:tcW w:w="1679" w:type="pct"/>
            <w:tcBorders>
              <w:top w:val="nil"/>
              <w:left w:val="nil"/>
              <w:bottom w:val="single" w:sz="4" w:space="0" w:color="auto"/>
              <w:right w:val="single" w:sz="4" w:space="0" w:color="auto"/>
            </w:tcBorders>
            <w:shd w:val="clear" w:color="auto" w:fill="auto"/>
            <w:vAlign w:val="center"/>
            <w:hideMark/>
          </w:tcPr>
          <w:p w14:paraId="4EB297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80DAE3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B4F488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dar ciência aos patrocinadores remanescentes do plano de benefícios, se houver; e </w:t>
            </w:r>
          </w:p>
        </w:tc>
        <w:tc>
          <w:tcPr>
            <w:tcW w:w="1660" w:type="pct"/>
            <w:tcBorders>
              <w:top w:val="nil"/>
              <w:left w:val="nil"/>
              <w:bottom w:val="single" w:sz="4" w:space="0" w:color="auto"/>
              <w:right w:val="single" w:sz="4" w:space="0" w:color="auto"/>
            </w:tcBorders>
            <w:shd w:val="clear" w:color="auto" w:fill="auto"/>
            <w:vAlign w:val="center"/>
            <w:hideMark/>
          </w:tcPr>
          <w:p w14:paraId="4B9D39E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dar ciência aos patrocinadores remanescentes do plano de benefícios, se houver; e </w:t>
            </w:r>
          </w:p>
        </w:tc>
        <w:tc>
          <w:tcPr>
            <w:tcW w:w="1679" w:type="pct"/>
            <w:tcBorders>
              <w:top w:val="nil"/>
              <w:left w:val="nil"/>
              <w:bottom w:val="single" w:sz="4" w:space="0" w:color="auto"/>
              <w:right w:val="single" w:sz="4" w:space="0" w:color="auto"/>
            </w:tcBorders>
            <w:shd w:val="clear" w:color="auto" w:fill="auto"/>
            <w:vAlign w:val="center"/>
            <w:hideMark/>
          </w:tcPr>
          <w:p w14:paraId="69C43AB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106848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E03F4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iniciar</w:t>
            </w:r>
            <w:proofErr w:type="gramEnd"/>
            <w:r w:rsidRPr="00704883">
              <w:rPr>
                <w:rFonts w:ascii="Calibri" w:eastAsia="Times New Roman" w:hAnsi="Calibri" w:cstheme="minorHAnsi"/>
                <w:color w:val="000000"/>
                <w:sz w:val="24"/>
                <w:szCs w:val="24"/>
                <w:lang w:eastAsia="pt-BR"/>
              </w:rPr>
              <w:t xml:space="preserve"> os procedimentos necessários à realização da operação. </w:t>
            </w:r>
          </w:p>
        </w:tc>
        <w:tc>
          <w:tcPr>
            <w:tcW w:w="1660" w:type="pct"/>
            <w:tcBorders>
              <w:top w:val="nil"/>
              <w:left w:val="nil"/>
              <w:bottom w:val="single" w:sz="4" w:space="0" w:color="auto"/>
              <w:right w:val="single" w:sz="4" w:space="0" w:color="auto"/>
            </w:tcBorders>
            <w:shd w:val="clear" w:color="auto" w:fill="auto"/>
            <w:vAlign w:val="center"/>
            <w:hideMark/>
          </w:tcPr>
          <w:p w14:paraId="48E775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iniciar</w:t>
            </w:r>
            <w:proofErr w:type="gramEnd"/>
            <w:r w:rsidRPr="00704883">
              <w:rPr>
                <w:rFonts w:ascii="Calibri" w:eastAsia="Times New Roman" w:hAnsi="Calibri" w:cstheme="minorHAnsi"/>
                <w:color w:val="000000"/>
                <w:sz w:val="24"/>
                <w:szCs w:val="24"/>
                <w:lang w:eastAsia="pt-BR"/>
              </w:rPr>
              <w:t xml:space="preserve"> os procedimentos necessários à realização da operação. </w:t>
            </w:r>
          </w:p>
        </w:tc>
        <w:tc>
          <w:tcPr>
            <w:tcW w:w="1679" w:type="pct"/>
            <w:tcBorders>
              <w:top w:val="nil"/>
              <w:left w:val="nil"/>
              <w:bottom w:val="single" w:sz="4" w:space="0" w:color="auto"/>
              <w:right w:val="single" w:sz="4" w:space="0" w:color="auto"/>
            </w:tcBorders>
            <w:shd w:val="clear" w:color="auto" w:fill="auto"/>
            <w:vAlign w:val="center"/>
            <w:hideMark/>
          </w:tcPr>
          <w:p w14:paraId="72A50D9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69F848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21673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12. O termo de rescisão unilateral deve tratar, no mínimo: </w:t>
            </w:r>
          </w:p>
        </w:tc>
        <w:tc>
          <w:tcPr>
            <w:tcW w:w="1660" w:type="pct"/>
            <w:tcBorders>
              <w:top w:val="nil"/>
              <w:left w:val="nil"/>
              <w:bottom w:val="single" w:sz="4" w:space="0" w:color="auto"/>
              <w:right w:val="single" w:sz="4" w:space="0" w:color="auto"/>
            </w:tcBorders>
            <w:shd w:val="clear" w:color="auto" w:fill="auto"/>
            <w:vAlign w:val="center"/>
            <w:hideMark/>
          </w:tcPr>
          <w:p w14:paraId="2264592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168.  O termo de rescisão unilateral deve tratar, no mínimo: </w:t>
            </w:r>
          </w:p>
        </w:tc>
        <w:tc>
          <w:tcPr>
            <w:tcW w:w="1679" w:type="pct"/>
            <w:tcBorders>
              <w:top w:val="nil"/>
              <w:left w:val="nil"/>
              <w:bottom w:val="single" w:sz="4" w:space="0" w:color="auto"/>
              <w:right w:val="single" w:sz="4" w:space="0" w:color="auto"/>
            </w:tcBorders>
            <w:shd w:val="clear" w:color="auto" w:fill="auto"/>
            <w:vAlign w:val="center"/>
            <w:hideMark/>
          </w:tcPr>
          <w:p w14:paraId="7EBC3DE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501CD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0AB550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e dos procedimentos relativos à segregação patrimonial do plano de benefícios, no caso de rescisão unilateral parcial; </w:t>
            </w:r>
          </w:p>
        </w:tc>
        <w:tc>
          <w:tcPr>
            <w:tcW w:w="1660" w:type="pct"/>
            <w:tcBorders>
              <w:top w:val="nil"/>
              <w:left w:val="nil"/>
              <w:bottom w:val="single" w:sz="4" w:space="0" w:color="auto"/>
              <w:right w:val="single" w:sz="4" w:space="0" w:color="auto"/>
            </w:tcBorders>
            <w:shd w:val="clear" w:color="auto" w:fill="auto"/>
            <w:vAlign w:val="center"/>
            <w:hideMark/>
          </w:tcPr>
          <w:p w14:paraId="47EACE2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e dos procedimentos relativos à segregação patrimonial do plano de benefícios, no caso de rescisão unilateral parcial; </w:t>
            </w:r>
          </w:p>
        </w:tc>
        <w:tc>
          <w:tcPr>
            <w:tcW w:w="1679" w:type="pct"/>
            <w:tcBorders>
              <w:top w:val="nil"/>
              <w:left w:val="nil"/>
              <w:bottom w:val="single" w:sz="4" w:space="0" w:color="auto"/>
              <w:right w:val="single" w:sz="4" w:space="0" w:color="auto"/>
            </w:tcBorders>
            <w:shd w:val="clear" w:color="auto" w:fill="auto"/>
            <w:vAlign w:val="center"/>
            <w:hideMark/>
          </w:tcPr>
          <w:p w14:paraId="15F3A6B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4F915D2"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6F33D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6824300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4F5402B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050028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2C716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6AB10DE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256E376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190C7F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7E7B1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demais obrigações do plano de benefícios, em face da rescisão unilateral de convênio de adesão, nos termos da legislação aplicável; </w:t>
            </w:r>
          </w:p>
        </w:tc>
        <w:tc>
          <w:tcPr>
            <w:tcW w:w="1660" w:type="pct"/>
            <w:tcBorders>
              <w:top w:val="nil"/>
              <w:left w:val="nil"/>
              <w:bottom w:val="single" w:sz="4" w:space="0" w:color="auto"/>
              <w:right w:val="single" w:sz="4" w:space="0" w:color="auto"/>
            </w:tcBorders>
            <w:shd w:val="clear" w:color="auto" w:fill="auto"/>
            <w:vAlign w:val="center"/>
            <w:hideMark/>
          </w:tcPr>
          <w:p w14:paraId="57441C9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demais obrigações do plano de benefícios, em face da rescisão unilateral de convênio de adesão, nos termos da legislação aplicável; </w:t>
            </w:r>
          </w:p>
        </w:tc>
        <w:tc>
          <w:tcPr>
            <w:tcW w:w="1679" w:type="pct"/>
            <w:tcBorders>
              <w:top w:val="nil"/>
              <w:left w:val="nil"/>
              <w:bottom w:val="single" w:sz="4" w:space="0" w:color="auto"/>
              <w:right w:val="single" w:sz="4" w:space="0" w:color="auto"/>
            </w:tcBorders>
            <w:shd w:val="clear" w:color="auto" w:fill="auto"/>
            <w:vAlign w:val="center"/>
            <w:hideMark/>
          </w:tcPr>
          <w:p w14:paraId="6B095F1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368C5A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54695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da</w:t>
            </w:r>
            <w:proofErr w:type="gramEnd"/>
            <w:r w:rsidRPr="00704883">
              <w:rPr>
                <w:rFonts w:ascii="Calibri" w:eastAsia="Times New Roman" w:hAnsi="Calibri" w:cstheme="minorHAnsi"/>
                <w:color w:val="000000"/>
                <w:sz w:val="24"/>
                <w:szCs w:val="24"/>
                <w:lang w:eastAsia="pt-BR"/>
              </w:rPr>
              <w:t xml:space="preserve"> responsabilidade sobre demandas judiciais ou extrajudiciais relacionadas ao plano de benefícios, ocorridas após 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6358CAF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da</w:t>
            </w:r>
            <w:proofErr w:type="gramEnd"/>
            <w:r w:rsidRPr="00704883">
              <w:rPr>
                <w:rFonts w:ascii="Calibri" w:eastAsia="Times New Roman" w:hAnsi="Calibri" w:cstheme="minorHAnsi"/>
                <w:color w:val="000000"/>
                <w:sz w:val="24"/>
                <w:szCs w:val="24"/>
                <w:lang w:eastAsia="pt-BR"/>
              </w:rPr>
              <w:t xml:space="preserve"> responsabilidade sobre demandas judiciais ou extrajudiciais relacionadas ao plano de benefícios, ocorridas após a data do cálculo; </w:t>
            </w:r>
          </w:p>
        </w:tc>
        <w:tc>
          <w:tcPr>
            <w:tcW w:w="1679" w:type="pct"/>
            <w:tcBorders>
              <w:top w:val="nil"/>
              <w:left w:val="nil"/>
              <w:bottom w:val="single" w:sz="4" w:space="0" w:color="auto"/>
              <w:right w:val="single" w:sz="4" w:space="0" w:color="auto"/>
            </w:tcBorders>
            <w:shd w:val="clear" w:color="auto" w:fill="auto"/>
            <w:vAlign w:val="center"/>
            <w:hideMark/>
          </w:tcPr>
          <w:p w14:paraId="606F930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B442CF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5730AB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prazos, contados a partir da data do cálculo, para: </w:t>
            </w:r>
          </w:p>
        </w:tc>
        <w:tc>
          <w:tcPr>
            <w:tcW w:w="1660" w:type="pct"/>
            <w:tcBorders>
              <w:top w:val="nil"/>
              <w:left w:val="nil"/>
              <w:bottom w:val="single" w:sz="4" w:space="0" w:color="auto"/>
              <w:right w:val="single" w:sz="4" w:space="0" w:color="auto"/>
            </w:tcBorders>
            <w:shd w:val="clear" w:color="auto" w:fill="auto"/>
            <w:vAlign w:val="center"/>
            <w:hideMark/>
          </w:tcPr>
          <w:p w14:paraId="396E8B5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dos</w:t>
            </w:r>
            <w:proofErr w:type="gramEnd"/>
            <w:r w:rsidRPr="00704883">
              <w:rPr>
                <w:rFonts w:ascii="Calibri" w:eastAsia="Times New Roman" w:hAnsi="Calibri" w:cstheme="minorHAnsi"/>
                <w:color w:val="000000"/>
                <w:sz w:val="24"/>
                <w:szCs w:val="24"/>
                <w:lang w:eastAsia="pt-BR"/>
              </w:rPr>
              <w:t xml:space="preserve"> prazos, contados a partir da data do cálculo, para: </w:t>
            </w:r>
          </w:p>
        </w:tc>
        <w:tc>
          <w:tcPr>
            <w:tcW w:w="1679" w:type="pct"/>
            <w:tcBorders>
              <w:top w:val="nil"/>
              <w:left w:val="nil"/>
              <w:bottom w:val="single" w:sz="4" w:space="0" w:color="auto"/>
              <w:right w:val="single" w:sz="4" w:space="0" w:color="auto"/>
            </w:tcBorders>
            <w:shd w:val="clear" w:color="auto" w:fill="auto"/>
            <w:vAlign w:val="center"/>
            <w:hideMark/>
          </w:tcPr>
          <w:p w14:paraId="60E423F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772985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7D099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 a disponibilização dos termos de opção aos participantes e assistidos; </w:t>
            </w:r>
          </w:p>
        </w:tc>
        <w:tc>
          <w:tcPr>
            <w:tcW w:w="1660" w:type="pct"/>
            <w:tcBorders>
              <w:top w:val="nil"/>
              <w:left w:val="nil"/>
              <w:bottom w:val="single" w:sz="4" w:space="0" w:color="auto"/>
              <w:right w:val="single" w:sz="4" w:space="0" w:color="auto"/>
            </w:tcBorders>
            <w:shd w:val="clear" w:color="auto" w:fill="auto"/>
            <w:vAlign w:val="center"/>
            <w:hideMark/>
          </w:tcPr>
          <w:p w14:paraId="64E4EEB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 a disponibilização dos termos de opção aos participantes e assistidos; </w:t>
            </w:r>
          </w:p>
        </w:tc>
        <w:tc>
          <w:tcPr>
            <w:tcW w:w="1679" w:type="pct"/>
            <w:tcBorders>
              <w:top w:val="nil"/>
              <w:left w:val="nil"/>
              <w:bottom w:val="single" w:sz="4" w:space="0" w:color="auto"/>
              <w:right w:val="single" w:sz="4" w:space="0" w:color="auto"/>
            </w:tcBorders>
            <w:shd w:val="clear" w:color="auto" w:fill="auto"/>
            <w:vAlign w:val="center"/>
            <w:hideMark/>
          </w:tcPr>
          <w:p w14:paraId="3DA6EA2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93877A9"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24A185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b) o período de opção; e </w:t>
            </w:r>
          </w:p>
        </w:tc>
        <w:tc>
          <w:tcPr>
            <w:tcW w:w="1660" w:type="pct"/>
            <w:tcBorders>
              <w:top w:val="nil"/>
              <w:left w:val="nil"/>
              <w:bottom w:val="single" w:sz="4" w:space="0" w:color="auto"/>
              <w:right w:val="single" w:sz="4" w:space="0" w:color="auto"/>
            </w:tcBorders>
            <w:shd w:val="clear" w:color="auto" w:fill="auto"/>
            <w:vAlign w:val="center"/>
            <w:hideMark/>
          </w:tcPr>
          <w:p w14:paraId="3F94B5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b) o período de opção; e </w:t>
            </w:r>
          </w:p>
        </w:tc>
        <w:tc>
          <w:tcPr>
            <w:tcW w:w="1679" w:type="pct"/>
            <w:tcBorders>
              <w:top w:val="nil"/>
              <w:left w:val="nil"/>
              <w:bottom w:val="single" w:sz="4" w:space="0" w:color="auto"/>
              <w:right w:val="single" w:sz="4" w:space="0" w:color="auto"/>
            </w:tcBorders>
            <w:shd w:val="clear" w:color="auto" w:fill="auto"/>
            <w:vAlign w:val="center"/>
            <w:hideMark/>
          </w:tcPr>
          <w:p w14:paraId="46FBE978"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8D3CBA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6536AC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 a fixação da data efetiva; </w:t>
            </w:r>
          </w:p>
        </w:tc>
        <w:tc>
          <w:tcPr>
            <w:tcW w:w="1660" w:type="pct"/>
            <w:tcBorders>
              <w:top w:val="nil"/>
              <w:left w:val="nil"/>
              <w:bottom w:val="single" w:sz="4" w:space="0" w:color="auto"/>
              <w:right w:val="single" w:sz="4" w:space="0" w:color="auto"/>
            </w:tcBorders>
            <w:shd w:val="clear" w:color="auto" w:fill="auto"/>
            <w:vAlign w:val="center"/>
            <w:hideMark/>
          </w:tcPr>
          <w:p w14:paraId="1934531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 a fixação da data efetiva; </w:t>
            </w:r>
          </w:p>
        </w:tc>
        <w:tc>
          <w:tcPr>
            <w:tcW w:w="1679" w:type="pct"/>
            <w:tcBorders>
              <w:top w:val="nil"/>
              <w:left w:val="nil"/>
              <w:bottom w:val="single" w:sz="4" w:space="0" w:color="auto"/>
              <w:right w:val="single" w:sz="4" w:space="0" w:color="auto"/>
            </w:tcBorders>
            <w:shd w:val="clear" w:color="auto" w:fill="auto"/>
            <w:vAlign w:val="center"/>
            <w:hideMark/>
          </w:tcPr>
          <w:p w14:paraId="0763C04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E0735C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39263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VII - das opções oferecidas aos participantes e assistidos vinculados ao patrocinador do plano de benefícios objeto da rescisão unilateral de convênio de adesão;</w:t>
            </w:r>
          </w:p>
        </w:tc>
        <w:tc>
          <w:tcPr>
            <w:tcW w:w="1660" w:type="pct"/>
            <w:tcBorders>
              <w:top w:val="nil"/>
              <w:left w:val="nil"/>
              <w:bottom w:val="single" w:sz="4" w:space="0" w:color="auto"/>
              <w:right w:val="single" w:sz="4" w:space="0" w:color="auto"/>
            </w:tcBorders>
            <w:shd w:val="clear" w:color="auto" w:fill="auto"/>
            <w:vAlign w:val="center"/>
            <w:hideMark/>
          </w:tcPr>
          <w:p w14:paraId="7B7C67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VII - das opções oferecidas aos participantes e assistidos vinculados ao patrocinador do plano de benefícios objeto da rescisão unilateral de convênio de adesão;</w:t>
            </w:r>
          </w:p>
        </w:tc>
        <w:tc>
          <w:tcPr>
            <w:tcW w:w="1679" w:type="pct"/>
            <w:tcBorders>
              <w:top w:val="nil"/>
              <w:left w:val="nil"/>
              <w:bottom w:val="single" w:sz="4" w:space="0" w:color="auto"/>
              <w:right w:val="single" w:sz="4" w:space="0" w:color="auto"/>
            </w:tcBorders>
            <w:shd w:val="clear" w:color="auto" w:fill="auto"/>
            <w:vAlign w:val="center"/>
            <w:hideMark/>
          </w:tcPr>
          <w:p w14:paraId="6E967B5B"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4D40C61"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5A7573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1660" w:type="pct"/>
            <w:tcBorders>
              <w:top w:val="nil"/>
              <w:left w:val="nil"/>
              <w:bottom w:val="single" w:sz="4" w:space="0" w:color="auto"/>
              <w:right w:val="single" w:sz="4" w:space="0" w:color="auto"/>
            </w:tcBorders>
            <w:shd w:val="clear" w:color="auto" w:fill="auto"/>
            <w:vAlign w:val="center"/>
            <w:hideMark/>
          </w:tcPr>
          <w:p w14:paraId="4FCA4BE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1679" w:type="pct"/>
            <w:tcBorders>
              <w:top w:val="nil"/>
              <w:left w:val="nil"/>
              <w:bottom w:val="single" w:sz="4" w:space="0" w:color="auto"/>
              <w:right w:val="single" w:sz="4" w:space="0" w:color="auto"/>
            </w:tcBorders>
            <w:shd w:val="clear" w:color="auto" w:fill="auto"/>
            <w:vAlign w:val="center"/>
            <w:hideMark/>
          </w:tcPr>
          <w:p w14:paraId="1ECE8BC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3CA0433"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EBD7F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IX - </w:t>
            </w:r>
            <w:proofErr w:type="gramStart"/>
            <w:r w:rsidRPr="00704883">
              <w:rPr>
                <w:rFonts w:ascii="Calibri" w:eastAsia="Times New Roman" w:hAnsi="Calibri" w:cstheme="minorHAnsi"/>
                <w:color w:val="000000"/>
                <w:sz w:val="24"/>
                <w:szCs w:val="24"/>
                <w:lang w:eastAsia="pt-BR"/>
              </w:rPr>
              <w:t>do</w:t>
            </w:r>
            <w:proofErr w:type="gramEnd"/>
            <w:r w:rsidRPr="00704883">
              <w:rPr>
                <w:rFonts w:ascii="Calibri" w:eastAsia="Times New Roman" w:hAnsi="Calibri" w:cstheme="minorHAns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1660" w:type="pct"/>
            <w:tcBorders>
              <w:top w:val="nil"/>
              <w:left w:val="nil"/>
              <w:bottom w:val="single" w:sz="4" w:space="0" w:color="auto"/>
              <w:right w:val="single" w:sz="4" w:space="0" w:color="auto"/>
            </w:tcBorders>
            <w:shd w:val="clear" w:color="auto" w:fill="auto"/>
            <w:vAlign w:val="center"/>
            <w:hideMark/>
          </w:tcPr>
          <w:p w14:paraId="43C8891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IX - </w:t>
            </w:r>
            <w:proofErr w:type="gramStart"/>
            <w:r w:rsidRPr="00704883">
              <w:rPr>
                <w:rFonts w:ascii="Calibri" w:eastAsia="Times New Roman" w:hAnsi="Calibri" w:cstheme="minorHAnsi"/>
                <w:color w:val="000000"/>
                <w:sz w:val="24"/>
                <w:szCs w:val="24"/>
                <w:lang w:eastAsia="pt-BR"/>
              </w:rPr>
              <w:t>do</w:t>
            </w:r>
            <w:proofErr w:type="gramEnd"/>
            <w:r w:rsidRPr="00704883">
              <w:rPr>
                <w:rFonts w:ascii="Calibri" w:eastAsia="Times New Roman" w:hAnsi="Calibri" w:cstheme="minorHAns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1679" w:type="pct"/>
            <w:tcBorders>
              <w:top w:val="nil"/>
              <w:left w:val="nil"/>
              <w:bottom w:val="single" w:sz="4" w:space="0" w:color="auto"/>
              <w:right w:val="single" w:sz="4" w:space="0" w:color="auto"/>
            </w:tcBorders>
            <w:shd w:val="clear" w:color="auto" w:fill="auto"/>
            <w:vAlign w:val="center"/>
            <w:hideMark/>
          </w:tcPr>
          <w:p w14:paraId="7F3F8B2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AF358E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0FF8D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X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medidas judiciais ou extrajudiciais que a EFPC adotará contra o patrocinador, quando couber. </w:t>
            </w:r>
          </w:p>
        </w:tc>
        <w:tc>
          <w:tcPr>
            <w:tcW w:w="1660" w:type="pct"/>
            <w:tcBorders>
              <w:top w:val="nil"/>
              <w:left w:val="nil"/>
              <w:bottom w:val="single" w:sz="4" w:space="0" w:color="auto"/>
              <w:right w:val="single" w:sz="4" w:space="0" w:color="auto"/>
            </w:tcBorders>
            <w:shd w:val="clear" w:color="auto" w:fill="auto"/>
            <w:vAlign w:val="center"/>
            <w:hideMark/>
          </w:tcPr>
          <w:p w14:paraId="57C906B2"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X - </w:t>
            </w:r>
            <w:proofErr w:type="gramStart"/>
            <w:r w:rsidRPr="00704883">
              <w:rPr>
                <w:rFonts w:ascii="Calibri" w:eastAsia="Times New Roman" w:hAnsi="Calibri" w:cstheme="minorHAnsi"/>
                <w:color w:val="000000"/>
                <w:sz w:val="24"/>
                <w:szCs w:val="24"/>
                <w:lang w:eastAsia="pt-BR"/>
              </w:rPr>
              <w:t>das</w:t>
            </w:r>
            <w:proofErr w:type="gramEnd"/>
            <w:r w:rsidRPr="00704883">
              <w:rPr>
                <w:rFonts w:ascii="Calibri" w:eastAsia="Times New Roman" w:hAnsi="Calibri" w:cstheme="minorHAnsi"/>
                <w:color w:val="000000"/>
                <w:sz w:val="24"/>
                <w:szCs w:val="24"/>
                <w:lang w:eastAsia="pt-BR"/>
              </w:rPr>
              <w:t xml:space="preserve"> medidas judiciais ou extrajudiciais que a EFPC adotará contra o patrocinador, quando couber. </w:t>
            </w:r>
          </w:p>
        </w:tc>
        <w:tc>
          <w:tcPr>
            <w:tcW w:w="1679" w:type="pct"/>
            <w:tcBorders>
              <w:top w:val="nil"/>
              <w:left w:val="nil"/>
              <w:bottom w:val="single" w:sz="4" w:space="0" w:color="auto"/>
              <w:right w:val="single" w:sz="4" w:space="0" w:color="auto"/>
            </w:tcBorders>
            <w:shd w:val="clear" w:color="auto" w:fill="auto"/>
            <w:vAlign w:val="center"/>
            <w:hideMark/>
          </w:tcPr>
          <w:p w14:paraId="5612D14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34E2881"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A5592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13. O disposto nos </w:t>
            </w:r>
            <w:proofErr w:type="spellStart"/>
            <w:r w:rsidRPr="00704883">
              <w:rPr>
                <w:rFonts w:ascii="Calibri" w:eastAsia="Times New Roman" w:hAnsi="Calibri" w:cstheme="minorHAnsi"/>
                <w:color w:val="000000"/>
                <w:sz w:val="24"/>
                <w:szCs w:val="24"/>
                <w:lang w:eastAsia="pt-BR"/>
              </w:rPr>
              <w:t>arts</w:t>
            </w:r>
            <w:proofErr w:type="spellEnd"/>
            <w:r w:rsidRPr="00704883">
              <w:rPr>
                <w:rFonts w:ascii="Calibri" w:eastAsia="Times New Roman" w:hAnsi="Calibri" w:cstheme="minorHAnsi"/>
                <w:color w:val="000000"/>
                <w:sz w:val="24"/>
                <w:szCs w:val="24"/>
                <w:lang w:eastAsia="pt-BR"/>
              </w:rPr>
              <w:t>. 4º e 6º ao 9º aplica-se à rescisão unilateral de convênio de adesão, no que couber.</w:t>
            </w:r>
          </w:p>
        </w:tc>
        <w:tc>
          <w:tcPr>
            <w:tcW w:w="1660" w:type="pct"/>
            <w:tcBorders>
              <w:top w:val="nil"/>
              <w:left w:val="nil"/>
              <w:bottom w:val="single" w:sz="4" w:space="0" w:color="auto"/>
              <w:right w:val="single" w:sz="4" w:space="0" w:color="auto"/>
            </w:tcBorders>
            <w:shd w:val="clear" w:color="auto" w:fill="auto"/>
            <w:vAlign w:val="center"/>
            <w:hideMark/>
          </w:tcPr>
          <w:p w14:paraId="665AD7FB"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xml:space="preserve">Art. 169.  O disposto nos </w:t>
            </w:r>
            <w:proofErr w:type="spellStart"/>
            <w:r w:rsidRPr="00704883">
              <w:rPr>
                <w:rFonts w:ascii="Calibri" w:eastAsia="Times New Roman" w:hAnsi="Calibri" w:cstheme="minorHAnsi"/>
                <w:sz w:val="24"/>
                <w:szCs w:val="24"/>
                <w:lang w:eastAsia="pt-BR"/>
              </w:rPr>
              <w:t>arts</w:t>
            </w:r>
            <w:proofErr w:type="spellEnd"/>
            <w:r w:rsidRPr="00704883">
              <w:rPr>
                <w:rFonts w:ascii="Calibri" w:eastAsia="Times New Roman" w:hAnsi="Calibri" w:cstheme="minorHAnsi"/>
                <w:sz w:val="24"/>
                <w:szCs w:val="24"/>
                <w:lang w:eastAsia="pt-BR"/>
              </w:rPr>
              <w:t>. 160 e 162 ao 165 aplica-se à rescisão unilateral de convênio de adesão, no que couber.</w:t>
            </w:r>
          </w:p>
        </w:tc>
        <w:tc>
          <w:tcPr>
            <w:tcW w:w="1679" w:type="pct"/>
            <w:tcBorders>
              <w:top w:val="nil"/>
              <w:left w:val="nil"/>
              <w:bottom w:val="single" w:sz="4" w:space="0" w:color="auto"/>
              <w:right w:val="single" w:sz="4" w:space="0" w:color="auto"/>
            </w:tcBorders>
            <w:shd w:val="clear" w:color="auto" w:fill="auto"/>
            <w:vAlign w:val="center"/>
            <w:hideMark/>
          </w:tcPr>
          <w:p w14:paraId="461CA0B5"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756AC63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874B42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V </w:t>
            </w:r>
          </w:p>
        </w:tc>
        <w:tc>
          <w:tcPr>
            <w:tcW w:w="1660" w:type="pct"/>
            <w:tcBorders>
              <w:top w:val="nil"/>
              <w:left w:val="nil"/>
              <w:bottom w:val="nil"/>
              <w:right w:val="nil"/>
            </w:tcBorders>
            <w:shd w:val="clear" w:color="auto" w:fill="auto"/>
            <w:noWrap/>
            <w:vAlign w:val="bottom"/>
            <w:hideMark/>
          </w:tcPr>
          <w:p w14:paraId="30302D7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single" w:sz="4" w:space="0" w:color="auto"/>
              <w:bottom w:val="single" w:sz="4" w:space="0" w:color="auto"/>
              <w:right w:val="single" w:sz="4" w:space="0" w:color="auto"/>
            </w:tcBorders>
            <w:shd w:val="clear" w:color="auto" w:fill="auto"/>
            <w:vAlign w:val="center"/>
            <w:hideMark/>
          </w:tcPr>
          <w:p w14:paraId="434CD3EB"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41628AD"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43491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DO TRATAMENTO DO EXIGÍVEL CONTINGENCIAL E DO PASSIVO CONTINGENTE DO PLANO DE BENEFÍCIOS</w:t>
            </w:r>
          </w:p>
        </w:tc>
        <w:tc>
          <w:tcPr>
            <w:tcW w:w="1660" w:type="pct"/>
            <w:tcBorders>
              <w:top w:val="single" w:sz="4" w:space="0" w:color="auto"/>
              <w:left w:val="nil"/>
              <w:bottom w:val="single" w:sz="4" w:space="0" w:color="auto"/>
              <w:right w:val="single" w:sz="4" w:space="0" w:color="auto"/>
            </w:tcBorders>
            <w:shd w:val="clear" w:color="auto" w:fill="auto"/>
            <w:vAlign w:val="center"/>
            <w:hideMark/>
          </w:tcPr>
          <w:p w14:paraId="5C5866E6" w14:textId="77777777"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Seção IX</w:t>
            </w:r>
            <w:r w:rsidRPr="00704883">
              <w:rPr>
                <w:rFonts w:ascii="Calibri" w:eastAsia="Times New Roman" w:hAnsi="Calibri" w:cstheme="minorHAnsi"/>
                <w:b/>
                <w:bCs/>
                <w:color w:val="000000"/>
                <w:sz w:val="24"/>
                <w:szCs w:val="24"/>
                <w:lang w:eastAsia="pt-BR"/>
              </w:rPr>
              <w:br/>
              <w:t>Tratamento do Exigível Contingencial e Passivo Contingente do Plano de Benefícios</w:t>
            </w:r>
          </w:p>
        </w:tc>
        <w:tc>
          <w:tcPr>
            <w:tcW w:w="1679" w:type="pct"/>
            <w:tcBorders>
              <w:top w:val="nil"/>
              <w:left w:val="nil"/>
              <w:bottom w:val="single" w:sz="4" w:space="0" w:color="auto"/>
              <w:right w:val="single" w:sz="4" w:space="0" w:color="auto"/>
            </w:tcBorders>
            <w:shd w:val="clear" w:color="auto" w:fill="auto"/>
            <w:vAlign w:val="center"/>
            <w:hideMark/>
          </w:tcPr>
          <w:p w14:paraId="46707A7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D4CCABC" w14:textId="77777777" w:rsidTr="00704883">
        <w:trPr>
          <w:trHeight w:val="220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2356B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w:t>
            </w:r>
            <w:r w:rsidRPr="00704883">
              <w:rPr>
                <w:rFonts w:ascii="Calibri" w:eastAsia="Times New Roman" w:hAnsi="Calibri" w:cstheme="minorHAnsi"/>
                <w:color w:val="000000"/>
                <w:sz w:val="24"/>
                <w:szCs w:val="24"/>
                <w:lang w:eastAsia="pt-BR"/>
              </w:rPr>
              <w:lastRenderedPageBreak/>
              <w:t xml:space="preserve">anteriores à data do cálculo, a partir das contribuições normais vertidas nesse período. </w:t>
            </w:r>
          </w:p>
        </w:tc>
        <w:tc>
          <w:tcPr>
            <w:tcW w:w="1660" w:type="pct"/>
            <w:tcBorders>
              <w:top w:val="nil"/>
              <w:left w:val="nil"/>
              <w:bottom w:val="single" w:sz="4" w:space="0" w:color="auto"/>
              <w:right w:val="single" w:sz="4" w:space="0" w:color="auto"/>
            </w:tcBorders>
            <w:shd w:val="clear" w:color="auto" w:fill="auto"/>
            <w:vAlign w:val="center"/>
            <w:hideMark/>
          </w:tcPr>
          <w:p w14:paraId="03C219C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170.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w:t>
            </w:r>
            <w:r w:rsidRPr="00704883">
              <w:rPr>
                <w:rFonts w:ascii="Calibri" w:eastAsia="Times New Roman" w:hAnsi="Calibri" w:cstheme="minorHAnsi"/>
                <w:color w:val="000000"/>
                <w:sz w:val="24"/>
                <w:szCs w:val="24"/>
                <w:lang w:eastAsia="pt-BR"/>
              </w:rPr>
              <w:lastRenderedPageBreak/>
              <w:t xml:space="preserve">anteriores à data do cálculo, a partir das contribuições normais vertidas nesse período. </w:t>
            </w:r>
          </w:p>
        </w:tc>
        <w:tc>
          <w:tcPr>
            <w:tcW w:w="1679" w:type="pct"/>
            <w:tcBorders>
              <w:top w:val="nil"/>
              <w:left w:val="nil"/>
              <w:bottom w:val="single" w:sz="4" w:space="0" w:color="auto"/>
              <w:right w:val="single" w:sz="4" w:space="0" w:color="auto"/>
            </w:tcBorders>
            <w:shd w:val="clear" w:color="auto" w:fill="auto"/>
            <w:vAlign w:val="center"/>
            <w:hideMark/>
          </w:tcPr>
          <w:p w14:paraId="4863875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7D78B6" w:rsidRPr="00704883" w14:paraId="7EAE187C"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60A60D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073304E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Alternativamente</w:t>
            </w:r>
            <w:proofErr w:type="gramEnd"/>
            <w:r w:rsidRPr="00704883">
              <w:rPr>
                <w:rFonts w:ascii="Calibri" w:eastAsia="Times New Roman" w:hAnsi="Calibri" w:cstheme="minorHAnsi"/>
                <w:color w:val="000000"/>
                <w:sz w:val="24"/>
                <w:szCs w:val="24"/>
                <w:lang w:eastAsia="pt-BR"/>
              </w:rPr>
              <w:t xml:space="preserve"> ao previsto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1679" w:type="pct"/>
            <w:tcBorders>
              <w:top w:val="nil"/>
              <w:left w:val="nil"/>
              <w:bottom w:val="single" w:sz="4" w:space="0" w:color="auto"/>
              <w:right w:val="single" w:sz="4" w:space="0" w:color="auto"/>
            </w:tcBorders>
            <w:shd w:val="clear" w:color="auto" w:fill="auto"/>
            <w:vAlign w:val="center"/>
            <w:hideMark/>
          </w:tcPr>
          <w:p w14:paraId="4B51080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12C8C6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EE375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2º A responsabilidade assumida na forma do § 1º deve ser registrada no termo de retirada de patrocínio. </w:t>
            </w:r>
          </w:p>
        </w:tc>
        <w:tc>
          <w:tcPr>
            <w:tcW w:w="1660" w:type="pct"/>
            <w:tcBorders>
              <w:top w:val="nil"/>
              <w:left w:val="nil"/>
              <w:bottom w:val="single" w:sz="4" w:space="0" w:color="auto"/>
              <w:right w:val="single" w:sz="4" w:space="0" w:color="auto"/>
            </w:tcBorders>
            <w:shd w:val="clear" w:color="auto" w:fill="auto"/>
            <w:vAlign w:val="center"/>
            <w:hideMark/>
          </w:tcPr>
          <w:p w14:paraId="08CF07C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responsabilidade assumida na forma do § 1º deve ser registrada no termo de retirada de patrocínio. </w:t>
            </w:r>
          </w:p>
        </w:tc>
        <w:tc>
          <w:tcPr>
            <w:tcW w:w="1679" w:type="pct"/>
            <w:tcBorders>
              <w:top w:val="nil"/>
              <w:left w:val="nil"/>
              <w:bottom w:val="single" w:sz="4" w:space="0" w:color="auto"/>
              <w:right w:val="single" w:sz="4" w:space="0" w:color="auto"/>
            </w:tcBorders>
            <w:shd w:val="clear" w:color="auto" w:fill="auto"/>
            <w:vAlign w:val="center"/>
            <w:hideMark/>
          </w:tcPr>
          <w:p w14:paraId="09698C0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FED092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513324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3º Na hipótese prevista no § 1º, os valores registrados no exigível contingencial, na data do cálculo, devem ser integralmente revertidos ao patrimônio de cobertura do plano de benefícios. </w:t>
            </w:r>
          </w:p>
        </w:tc>
        <w:tc>
          <w:tcPr>
            <w:tcW w:w="1660" w:type="pct"/>
            <w:tcBorders>
              <w:top w:val="nil"/>
              <w:left w:val="nil"/>
              <w:bottom w:val="single" w:sz="4" w:space="0" w:color="auto"/>
              <w:right w:val="single" w:sz="4" w:space="0" w:color="auto"/>
            </w:tcBorders>
            <w:shd w:val="clear" w:color="auto" w:fill="auto"/>
            <w:vAlign w:val="center"/>
            <w:hideMark/>
          </w:tcPr>
          <w:p w14:paraId="1C7D5026"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w:t>
            </w:r>
            <w:proofErr w:type="gramStart"/>
            <w:r w:rsidRPr="00704883">
              <w:rPr>
                <w:rFonts w:ascii="Calibri" w:eastAsia="Times New Roman" w:hAnsi="Calibri" w:cstheme="minorHAnsi"/>
                <w:color w:val="000000"/>
                <w:sz w:val="24"/>
                <w:szCs w:val="24"/>
                <w:lang w:eastAsia="pt-BR"/>
              </w:rPr>
              <w:t>º  Na</w:t>
            </w:r>
            <w:proofErr w:type="gramEnd"/>
            <w:r w:rsidRPr="00704883">
              <w:rPr>
                <w:rFonts w:ascii="Calibri" w:eastAsia="Times New Roman" w:hAnsi="Calibri" w:cstheme="minorHAnsi"/>
                <w:color w:val="000000"/>
                <w:sz w:val="24"/>
                <w:szCs w:val="24"/>
                <w:lang w:eastAsia="pt-BR"/>
              </w:rPr>
              <w:t xml:space="preserve"> hipótese prevista no § 1º, os valores registrados no exigível contingencial, na data do cálculo, devem ser integralmente revertidos ao patrimônio de cobertura do plano de benefícios. </w:t>
            </w:r>
          </w:p>
        </w:tc>
        <w:tc>
          <w:tcPr>
            <w:tcW w:w="1679" w:type="pct"/>
            <w:tcBorders>
              <w:top w:val="nil"/>
              <w:left w:val="nil"/>
              <w:bottom w:val="single" w:sz="4" w:space="0" w:color="auto"/>
              <w:right w:val="single" w:sz="4" w:space="0" w:color="auto"/>
            </w:tcBorders>
            <w:shd w:val="clear" w:color="auto" w:fill="auto"/>
            <w:vAlign w:val="center"/>
            <w:hideMark/>
          </w:tcPr>
          <w:p w14:paraId="0E7880AC"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4A9227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385A9C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1660" w:type="pct"/>
            <w:tcBorders>
              <w:top w:val="nil"/>
              <w:left w:val="nil"/>
              <w:bottom w:val="single" w:sz="4" w:space="0" w:color="auto"/>
              <w:right w:val="single" w:sz="4" w:space="0" w:color="auto"/>
            </w:tcBorders>
            <w:shd w:val="clear" w:color="auto" w:fill="auto"/>
            <w:vAlign w:val="center"/>
            <w:hideMark/>
          </w:tcPr>
          <w:p w14:paraId="39CF64D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4</w:t>
            </w:r>
            <w:proofErr w:type="gramStart"/>
            <w:r w:rsidRPr="00704883">
              <w:rPr>
                <w:rFonts w:ascii="Calibri" w:eastAsia="Times New Roman" w:hAnsi="Calibri" w:cstheme="minorHAnsi"/>
                <w:color w:val="000000"/>
                <w:sz w:val="24"/>
                <w:szCs w:val="24"/>
                <w:lang w:eastAsia="pt-BR"/>
              </w:rPr>
              <w:t>º  Na</w:t>
            </w:r>
            <w:proofErr w:type="gramEnd"/>
            <w:r w:rsidRPr="00704883">
              <w:rPr>
                <w:rFonts w:ascii="Calibri" w:eastAsia="Times New Roman" w:hAnsi="Calibri" w:cstheme="minorHAnsi"/>
                <w:color w:val="000000"/>
                <w:sz w:val="24"/>
                <w:szCs w:val="24"/>
                <w:lang w:eastAsia="pt-BR"/>
              </w:rPr>
              <w:t xml:space="preserve"> hipótese de não ter havido contribuição normal no período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 ser considerada a proporção contributiva adotada pelo menos nos trinta e seis meses que antecederam a redução ou a suspensão das contribuições. </w:t>
            </w:r>
          </w:p>
        </w:tc>
        <w:tc>
          <w:tcPr>
            <w:tcW w:w="1679" w:type="pct"/>
            <w:tcBorders>
              <w:top w:val="nil"/>
              <w:left w:val="nil"/>
              <w:bottom w:val="single" w:sz="4" w:space="0" w:color="auto"/>
              <w:right w:val="single" w:sz="4" w:space="0" w:color="auto"/>
            </w:tcBorders>
            <w:shd w:val="clear" w:color="auto" w:fill="auto"/>
            <w:vAlign w:val="center"/>
            <w:hideMark/>
          </w:tcPr>
          <w:p w14:paraId="645BE69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172BC12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79B13C1"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5º Os valores revertidos do exigível contingencial podem ser destinados de forma diversa das previstas neste artigo, desde que mais favorável aos participantes e assistidos. </w:t>
            </w:r>
          </w:p>
        </w:tc>
        <w:tc>
          <w:tcPr>
            <w:tcW w:w="1660" w:type="pct"/>
            <w:tcBorders>
              <w:top w:val="nil"/>
              <w:left w:val="nil"/>
              <w:bottom w:val="single" w:sz="4" w:space="0" w:color="auto"/>
              <w:right w:val="single" w:sz="4" w:space="0" w:color="auto"/>
            </w:tcBorders>
            <w:shd w:val="clear" w:color="auto" w:fill="auto"/>
            <w:vAlign w:val="center"/>
            <w:hideMark/>
          </w:tcPr>
          <w:p w14:paraId="7351B09F"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5</w:t>
            </w:r>
            <w:proofErr w:type="gramStart"/>
            <w:r w:rsidRPr="00704883">
              <w:rPr>
                <w:rFonts w:ascii="Calibri" w:eastAsia="Times New Roman" w:hAnsi="Calibri" w:cstheme="minorHAnsi"/>
                <w:sz w:val="24"/>
                <w:szCs w:val="24"/>
                <w:lang w:eastAsia="pt-BR"/>
              </w:rPr>
              <w:t>º  Os</w:t>
            </w:r>
            <w:proofErr w:type="gramEnd"/>
            <w:r w:rsidRPr="00704883">
              <w:rPr>
                <w:rFonts w:ascii="Calibri" w:eastAsia="Times New Roman" w:hAnsi="Calibri" w:cstheme="minorHAnsi"/>
                <w:sz w:val="24"/>
                <w:szCs w:val="24"/>
                <w:lang w:eastAsia="pt-BR"/>
              </w:rPr>
              <w:t xml:space="preserve"> valores revertidos do exigível contingencial podem ser destinados de forma diversa das previstas no </w:t>
            </w:r>
            <w:r w:rsidRPr="00704883">
              <w:rPr>
                <w:rFonts w:ascii="Calibri" w:eastAsia="Times New Roman" w:hAnsi="Calibri" w:cs="Calibri"/>
                <w:b/>
                <w:bCs/>
                <w:sz w:val="24"/>
                <w:szCs w:val="24"/>
                <w:lang w:eastAsia="pt-BR"/>
              </w:rPr>
              <w:t>caput</w:t>
            </w:r>
            <w:r w:rsidRPr="00704883">
              <w:rPr>
                <w:rFonts w:ascii="Calibri" w:eastAsia="Times New Roman" w:hAnsi="Calibri" w:cs="Calibri"/>
                <w:sz w:val="24"/>
                <w:szCs w:val="24"/>
                <w:lang w:eastAsia="pt-BR"/>
              </w:rPr>
              <w:t xml:space="preserve">, desde que mais favorável aos participantes e assistidos. </w:t>
            </w:r>
          </w:p>
        </w:tc>
        <w:tc>
          <w:tcPr>
            <w:tcW w:w="1679" w:type="pct"/>
            <w:tcBorders>
              <w:top w:val="nil"/>
              <w:left w:val="nil"/>
              <w:bottom w:val="single" w:sz="4" w:space="0" w:color="auto"/>
              <w:right w:val="single" w:sz="4" w:space="0" w:color="auto"/>
            </w:tcBorders>
            <w:shd w:val="clear" w:color="auto" w:fill="auto"/>
            <w:vAlign w:val="center"/>
            <w:hideMark/>
          </w:tcPr>
          <w:p w14:paraId="1FF1B7FA"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2BB0CB03"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9E762D"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 6º A individualização dos valores de que trata o caput, entre participantes e assistidos, relativamente ao montante que lhes couber, deve observar a proporção das respectivas reservas matemáticas individuais finais, posicionadas na data do cálculo. </w:t>
            </w:r>
          </w:p>
        </w:tc>
        <w:tc>
          <w:tcPr>
            <w:tcW w:w="1660" w:type="pct"/>
            <w:tcBorders>
              <w:top w:val="nil"/>
              <w:left w:val="nil"/>
              <w:bottom w:val="single" w:sz="4" w:space="0" w:color="auto"/>
              <w:right w:val="single" w:sz="4" w:space="0" w:color="auto"/>
            </w:tcBorders>
            <w:shd w:val="clear" w:color="auto" w:fill="auto"/>
            <w:vAlign w:val="center"/>
            <w:hideMark/>
          </w:tcPr>
          <w:p w14:paraId="4E2850D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6</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individualização dos valores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entre participantes e assistidos, relativamente ao montante que lhes couber, deve observar a proporção das respectivas reservas matemáticas individuais finais, posicionadas na data do cálculo. </w:t>
            </w:r>
          </w:p>
        </w:tc>
        <w:tc>
          <w:tcPr>
            <w:tcW w:w="1679" w:type="pct"/>
            <w:tcBorders>
              <w:top w:val="nil"/>
              <w:left w:val="nil"/>
              <w:bottom w:val="single" w:sz="4" w:space="0" w:color="auto"/>
              <w:right w:val="single" w:sz="4" w:space="0" w:color="auto"/>
            </w:tcBorders>
            <w:shd w:val="clear" w:color="auto" w:fill="auto"/>
            <w:vAlign w:val="center"/>
            <w:hideMark/>
          </w:tcPr>
          <w:p w14:paraId="7BB361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69AC1637"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6905A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7º Caso o valor da retenção patrimonial referida no caput seja inferior ao da decisão judicial ou administrativa ocorrida após a data do cálculo, caberá ao patrocinador aportar o montante necessário para a sua execução. </w:t>
            </w:r>
          </w:p>
        </w:tc>
        <w:tc>
          <w:tcPr>
            <w:tcW w:w="1660" w:type="pct"/>
            <w:tcBorders>
              <w:top w:val="nil"/>
              <w:left w:val="nil"/>
              <w:bottom w:val="single" w:sz="4" w:space="0" w:color="auto"/>
              <w:right w:val="single" w:sz="4" w:space="0" w:color="auto"/>
            </w:tcBorders>
            <w:shd w:val="clear" w:color="auto" w:fill="auto"/>
            <w:vAlign w:val="center"/>
            <w:hideMark/>
          </w:tcPr>
          <w:p w14:paraId="300A05FF"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7</w:t>
            </w:r>
            <w:proofErr w:type="gramStart"/>
            <w:r w:rsidRPr="00704883">
              <w:rPr>
                <w:rFonts w:ascii="Calibri" w:eastAsia="Times New Roman" w:hAnsi="Calibri" w:cstheme="minorHAnsi"/>
                <w:color w:val="000000"/>
                <w:sz w:val="24"/>
                <w:szCs w:val="24"/>
                <w:lang w:eastAsia="pt-BR"/>
              </w:rPr>
              <w:t>º  Caso</w:t>
            </w:r>
            <w:proofErr w:type="gramEnd"/>
            <w:r w:rsidRPr="00704883">
              <w:rPr>
                <w:rFonts w:ascii="Calibri" w:eastAsia="Times New Roman" w:hAnsi="Calibri" w:cstheme="minorHAnsi"/>
                <w:color w:val="000000"/>
                <w:sz w:val="24"/>
                <w:szCs w:val="24"/>
                <w:lang w:eastAsia="pt-BR"/>
              </w:rPr>
              <w:t xml:space="preserve"> o valor da retenção patrimonial referida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seja inferior ao da decisão judicial ou administrativa ocorrida após a data do cálculo, caberá ao patrocinador aportar o montante necessário para a sua execução. </w:t>
            </w:r>
          </w:p>
        </w:tc>
        <w:tc>
          <w:tcPr>
            <w:tcW w:w="1679" w:type="pct"/>
            <w:tcBorders>
              <w:top w:val="nil"/>
              <w:left w:val="nil"/>
              <w:bottom w:val="single" w:sz="4" w:space="0" w:color="auto"/>
              <w:right w:val="single" w:sz="4" w:space="0" w:color="auto"/>
            </w:tcBorders>
            <w:shd w:val="clear" w:color="auto" w:fill="auto"/>
            <w:vAlign w:val="center"/>
            <w:hideMark/>
          </w:tcPr>
          <w:p w14:paraId="0B94E1E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5917DC63"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DD230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14.</w:t>
            </w:r>
          </w:p>
        </w:tc>
        <w:tc>
          <w:tcPr>
            <w:tcW w:w="1660" w:type="pct"/>
            <w:tcBorders>
              <w:top w:val="nil"/>
              <w:left w:val="nil"/>
              <w:bottom w:val="single" w:sz="4" w:space="0" w:color="auto"/>
              <w:right w:val="single" w:sz="4" w:space="0" w:color="auto"/>
            </w:tcBorders>
            <w:shd w:val="clear" w:color="auto" w:fill="auto"/>
            <w:vAlign w:val="center"/>
            <w:hideMark/>
          </w:tcPr>
          <w:p w14:paraId="0394D434" w14:textId="77777777" w:rsidR="007D78B6" w:rsidRPr="00704883" w:rsidRDefault="007D78B6" w:rsidP="007D78B6">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Art. 171.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170.</w:t>
            </w:r>
          </w:p>
        </w:tc>
        <w:tc>
          <w:tcPr>
            <w:tcW w:w="1679" w:type="pct"/>
            <w:tcBorders>
              <w:top w:val="nil"/>
              <w:left w:val="nil"/>
              <w:bottom w:val="single" w:sz="4" w:space="0" w:color="auto"/>
              <w:right w:val="single" w:sz="4" w:space="0" w:color="auto"/>
            </w:tcBorders>
            <w:shd w:val="clear" w:color="auto" w:fill="auto"/>
            <w:vAlign w:val="center"/>
            <w:hideMark/>
          </w:tcPr>
          <w:p w14:paraId="7F9D8583"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0895A81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36EAE17"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VI </w:t>
            </w:r>
          </w:p>
        </w:tc>
        <w:tc>
          <w:tcPr>
            <w:tcW w:w="1660" w:type="pct"/>
            <w:tcBorders>
              <w:top w:val="nil"/>
              <w:left w:val="nil"/>
              <w:bottom w:val="single" w:sz="4" w:space="0" w:color="auto"/>
              <w:right w:val="single" w:sz="4" w:space="0" w:color="auto"/>
            </w:tcBorders>
            <w:shd w:val="clear" w:color="auto" w:fill="auto"/>
            <w:vAlign w:val="center"/>
            <w:hideMark/>
          </w:tcPr>
          <w:p w14:paraId="48195FF4"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082E4F1"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Excluir.</w:t>
            </w:r>
          </w:p>
        </w:tc>
      </w:tr>
      <w:tr w:rsidR="007D78B6" w:rsidRPr="00704883" w14:paraId="340E185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05EA9E9"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DAS DISPOSIÇÕES FINAIS </w:t>
            </w:r>
          </w:p>
        </w:tc>
        <w:tc>
          <w:tcPr>
            <w:tcW w:w="1660" w:type="pct"/>
            <w:tcBorders>
              <w:top w:val="nil"/>
              <w:left w:val="nil"/>
              <w:bottom w:val="single" w:sz="4" w:space="0" w:color="auto"/>
              <w:right w:val="single" w:sz="4" w:space="0" w:color="auto"/>
            </w:tcBorders>
            <w:shd w:val="clear" w:color="auto" w:fill="auto"/>
            <w:vAlign w:val="center"/>
            <w:hideMark/>
          </w:tcPr>
          <w:p w14:paraId="7AA93FE2"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A04C533"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4E22A0B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BC94B4E"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16. O disposto nesta Resolução aplica-se à retirada de instituidor, observadas a legislação aplicável e as peculiaridades dos respectivos planos de benefícios. </w:t>
            </w:r>
          </w:p>
        </w:tc>
        <w:tc>
          <w:tcPr>
            <w:tcW w:w="1660" w:type="pct"/>
            <w:tcBorders>
              <w:top w:val="nil"/>
              <w:left w:val="nil"/>
              <w:bottom w:val="single" w:sz="4" w:space="0" w:color="auto"/>
              <w:right w:val="single" w:sz="4" w:space="0" w:color="auto"/>
            </w:tcBorders>
            <w:shd w:val="clear" w:color="auto" w:fill="auto"/>
            <w:vAlign w:val="center"/>
            <w:hideMark/>
          </w:tcPr>
          <w:p w14:paraId="145AA690"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172.  O disposto nesta Seção aplica-se à retirada de instituidor, observadas a legislação aplicável e as peculiaridades dos respectivos planos de benefícios. </w:t>
            </w:r>
          </w:p>
        </w:tc>
        <w:tc>
          <w:tcPr>
            <w:tcW w:w="1679" w:type="pct"/>
            <w:tcBorders>
              <w:top w:val="nil"/>
              <w:left w:val="nil"/>
              <w:bottom w:val="single" w:sz="4" w:space="0" w:color="auto"/>
              <w:right w:val="single" w:sz="4" w:space="0" w:color="auto"/>
            </w:tcBorders>
            <w:shd w:val="clear" w:color="auto" w:fill="auto"/>
            <w:vAlign w:val="center"/>
            <w:hideMark/>
          </w:tcPr>
          <w:p w14:paraId="74B490C4" w14:textId="77777777" w:rsidR="007D78B6" w:rsidRPr="00704883" w:rsidRDefault="007D78B6" w:rsidP="007D78B6">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7D78B6" w:rsidRPr="00704883" w14:paraId="305FC67C" w14:textId="77777777" w:rsidTr="00AB7EF0">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7C93E1" w14:textId="1AD72BFA"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 </w:t>
            </w:r>
            <w:bookmarkStart w:id="20" w:name="RANGE!A541"/>
            <w:r w:rsidR="00AB7EF0" w:rsidRPr="00704883">
              <w:rPr>
                <w:rFonts w:ascii="Calibri" w:eastAsia="Times New Roman" w:hAnsi="Calibri" w:cstheme="minorHAnsi"/>
                <w:b/>
                <w:bCs/>
                <w:color w:val="000000"/>
                <w:sz w:val="24"/>
                <w:szCs w:val="24"/>
                <w:lang w:eastAsia="pt-BR"/>
              </w:rPr>
              <w:t>Instrução Previc nº 29, de 21 de julho de 2020.</w:t>
            </w:r>
            <w:bookmarkEnd w:id="20"/>
          </w:p>
        </w:tc>
        <w:tc>
          <w:tcPr>
            <w:tcW w:w="1660" w:type="pct"/>
            <w:tcBorders>
              <w:top w:val="nil"/>
              <w:left w:val="nil"/>
              <w:bottom w:val="single" w:sz="4" w:space="0" w:color="auto"/>
              <w:right w:val="single" w:sz="4" w:space="0" w:color="auto"/>
            </w:tcBorders>
            <w:shd w:val="clear" w:color="auto" w:fill="auto"/>
            <w:vAlign w:val="center"/>
          </w:tcPr>
          <w:p w14:paraId="4341DAD5" w14:textId="59FB6D30" w:rsidR="007D78B6" w:rsidRPr="00704883" w:rsidRDefault="007D78B6" w:rsidP="007D78B6">
            <w:pPr>
              <w:spacing w:after="0" w:line="240" w:lineRule="auto"/>
              <w:jc w:val="center"/>
              <w:rPr>
                <w:rFonts w:ascii="Calibri" w:eastAsia="Times New Roman" w:hAnsi="Calibri" w:cs="Calibri"/>
                <w:b/>
                <w:bCs/>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5074EAC7" w14:textId="77777777" w:rsidR="007D78B6" w:rsidRPr="00704883" w:rsidRDefault="007D78B6" w:rsidP="007D78B6">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53F24E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tcPr>
          <w:p w14:paraId="06978DAB"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p>
        </w:tc>
        <w:tc>
          <w:tcPr>
            <w:tcW w:w="1660" w:type="pct"/>
            <w:tcBorders>
              <w:top w:val="nil"/>
              <w:left w:val="nil"/>
              <w:bottom w:val="single" w:sz="4" w:space="0" w:color="auto"/>
              <w:right w:val="single" w:sz="4" w:space="0" w:color="auto"/>
            </w:tcBorders>
            <w:shd w:val="clear" w:color="auto" w:fill="auto"/>
            <w:vAlign w:val="center"/>
          </w:tcPr>
          <w:p w14:paraId="7F227A29" w14:textId="42974C6B"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Seção X</w:t>
            </w:r>
            <w:r w:rsidRPr="00704883">
              <w:rPr>
                <w:rFonts w:ascii="Calibri" w:eastAsia="Times New Roman" w:hAnsi="Calibri" w:cs="Calibri"/>
                <w:b/>
                <w:bCs/>
                <w:color w:val="000000"/>
                <w:sz w:val="24"/>
                <w:szCs w:val="24"/>
                <w:lang w:eastAsia="pt-BR"/>
              </w:rPr>
              <w:br/>
              <w:t>Certificação e Habilitação</w:t>
            </w:r>
          </w:p>
        </w:tc>
        <w:tc>
          <w:tcPr>
            <w:tcW w:w="1679" w:type="pct"/>
            <w:tcBorders>
              <w:top w:val="nil"/>
              <w:left w:val="nil"/>
              <w:bottom w:val="single" w:sz="4" w:space="0" w:color="auto"/>
              <w:right w:val="single" w:sz="4" w:space="0" w:color="auto"/>
            </w:tcBorders>
            <w:shd w:val="clear" w:color="auto" w:fill="auto"/>
            <w:vAlign w:val="center"/>
          </w:tcPr>
          <w:p w14:paraId="68B57B11"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p>
        </w:tc>
      </w:tr>
      <w:tr w:rsidR="00AB7EF0" w:rsidRPr="00704883" w14:paraId="3477147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tcPr>
          <w:p w14:paraId="443D1D1E" w14:textId="45C32571"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A certificação deve atestar a comprovação de atendimento e a verificação de conformidade dos requisitos técnicos necessários para o exercício de determinado cargo ou função na Entidade Fechada de Previdência Complementar (EFPC). </w:t>
            </w:r>
          </w:p>
        </w:tc>
        <w:tc>
          <w:tcPr>
            <w:tcW w:w="1660" w:type="pct"/>
            <w:tcBorders>
              <w:top w:val="nil"/>
              <w:left w:val="nil"/>
              <w:bottom w:val="single" w:sz="4" w:space="0" w:color="auto"/>
              <w:right w:val="single" w:sz="4" w:space="0" w:color="auto"/>
            </w:tcBorders>
            <w:shd w:val="clear" w:color="auto" w:fill="auto"/>
            <w:vAlign w:val="center"/>
          </w:tcPr>
          <w:p w14:paraId="7792D333" w14:textId="24A48E14"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bookmarkStart w:id="21" w:name="_Hlk133420939"/>
            <w:r w:rsidRPr="00704883">
              <w:rPr>
                <w:rFonts w:ascii="Calibri" w:eastAsia="Times New Roman" w:hAnsi="Calibri" w:cs="Calibri"/>
                <w:color w:val="000000"/>
                <w:sz w:val="24"/>
                <w:szCs w:val="24"/>
                <w:lang w:eastAsia="pt-BR"/>
              </w:rPr>
              <w:t xml:space="preserve">Art. </w:t>
            </w:r>
            <w:r>
              <w:rPr>
                <w:rFonts w:ascii="Calibri" w:eastAsia="Times New Roman" w:hAnsi="Calibri" w:cs="Calibri"/>
                <w:color w:val="000000"/>
                <w:sz w:val="24"/>
                <w:szCs w:val="24"/>
                <w:lang w:eastAsia="pt-BR"/>
              </w:rPr>
              <w:t xml:space="preserve"> 173.</w:t>
            </w:r>
            <w:r w:rsidRPr="00704883">
              <w:rPr>
                <w:rFonts w:ascii="Calibri" w:eastAsia="Times New Roman" w:hAnsi="Calibri" w:cs="Calibri"/>
                <w:color w:val="000000"/>
                <w:sz w:val="24"/>
                <w:szCs w:val="24"/>
                <w:lang w:eastAsia="pt-BR"/>
              </w:rPr>
              <w:t xml:space="preserve"> A certificação deve atestar a comprovação de atendimento e a verificação de conformidade dos requisitos técnicos necessários para o exercício de determinado cargo ou função na EFPC. </w:t>
            </w:r>
            <w:bookmarkEnd w:id="21"/>
          </w:p>
        </w:tc>
        <w:tc>
          <w:tcPr>
            <w:tcW w:w="1679" w:type="pct"/>
            <w:tcBorders>
              <w:top w:val="nil"/>
              <w:left w:val="nil"/>
              <w:bottom w:val="single" w:sz="4" w:space="0" w:color="auto"/>
              <w:right w:val="single" w:sz="4" w:space="0" w:color="auto"/>
            </w:tcBorders>
            <w:shd w:val="clear" w:color="auto" w:fill="auto"/>
            <w:vAlign w:val="center"/>
          </w:tcPr>
          <w:p w14:paraId="56BD3A6C"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p>
        </w:tc>
      </w:tr>
      <w:tr w:rsidR="00AB7EF0" w:rsidRPr="00704883" w14:paraId="591A36D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tcPr>
          <w:p w14:paraId="0F06AE48" w14:textId="1261043C"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Art. 3º Compete à Diretoria de Licenciamento (</w:t>
            </w:r>
            <w:proofErr w:type="spellStart"/>
            <w:r w:rsidRPr="00704883">
              <w:rPr>
                <w:rFonts w:ascii="Calibri" w:eastAsia="Times New Roman" w:hAnsi="Calibri" w:cs="Calibri"/>
                <w:color w:val="000000"/>
                <w:sz w:val="24"/>
                <w:szCs w:val="24"/>
                <w:lang w:eastAsia="pt-BR"/>
              </w:rPr>
              <w:t>Dilic</w:t>
            </w:r>
            <w:proofErr w:type="spellEnd"/>
            <w:r w:rsidRPr="00704883">
              <w:rPr>
                <w:rFonts w:ascii="Calibri" w:eastAsia="Times New Roman" w:hAnsi="Calibri" w:cs="Calibri"/>
                <w:color w:val="000000"/>
                <w:sz w:val="24"/>
                <w:szCs w:val="24"/>
                <w:lang w:eastAsia="pt-BR"/>
              </w:rPr>
              <w:t xml:space="preserve">) analisar os pedidos de reconhecimento das Certificadoras e dos respectivos certificados. </w:t>
            </w:r>
          </w:p>
        </w:tc>
        <w:tc>
          <w:tcPr>
            <w:tcW w:w="1660" w:type="pct"/>
            <w:tcBorders>
              <w:top w:val="nil"/>
              <w:left w:val="nil"/>
              <w:bottom w:val="single" w:sz="4" w:space="0" w:color="auto"/>
              <w:right w:val="single" w:sz="4" w:space="0" w:color="auto"/>
            </w:tcBorders>
            <w:shd w:val="clear" w:color="auto" w:fill="auto"/>
            <w:vAlign w:val="center"/>
          </w:tcPr>
          <w:p w14:paraId="0E58C9BD" w14:textId="121E8409" w:rsidR="00AB7EF0" w:rsidRPr="00704883" w:rsidRDefault="00AB7EF0" w:rsidP="00AB7EF0">
            <w:pPr>
              <w:spacing w:after="0" w:line="240" w:lineRule="auto"/>
              <w:jc w:val="both"/>
              <w:rPr>
                <w:rFonts w:ascii="Calibri" w:eastAsia="Times New Roman" w:hAnsi="Calibri" w:cs="Calibri"/>
                <w:color w:val="000000"/>
                <w:sz w:val="24"/>
                <w:szCs w:val="24"/>
                <w:lang w:eastAsia="pt-BR"/>
              </w:rPr>
            </w:pPr>
            <w:bookmarkStart w:id="22" w:name="_Hlk133420960"/>
            <w:r w:rsidRPr="00704883">
              <w:rPr>
                <w:rFonts w:ascii="Calibri" w:eastAsia="Times New Roman" w:hAnsi="Calibri" w:cs="Calibri"/>
                <w:color w:val="000000"/>
                <w:sz w:val="24"/>
                <w:szCs w:val="24"/>
                <w:lang w:eastAsia="pt-BR"/>
              </w:rPr>
              <w:t xml:space="preserve">Art. </w:t>
            </w:r>
            <w:r>
              <w:rPr>
                <w:rFonts w:ascii="Calibri" w:eastAsia="Times New Roman" w:hAnsi="Calibri" w:cs="Calibri"/>
                <w:color w:val="000000"/>
                <w:sz w:val="24"/>
                <w:szCs w:val="24"/>
                <w:lang w:eastAsia="pt-BR"/>
              </w:rPr>
              <w:t xml:space="preserve"> 174.</w:t>
            </w:r>
            <w:r w:rsidRPr="00704883">
              <w:rPr>
                <w:rFonts w:ascii="Calibri" w:eastAsia="Times New Roman" w:hAnsi="Calibri" w:cs="Calibri"/>
                <w:color w:val="000000"/>
                <w:sz w:val="24"/>
                <w:szCs w:val="24"/>
                <w:lang w:eastAsia="pt-BR"/>
              </w:rPr>
              <w:t xml:space="preserve"> Compete à Diretoria de Licenciamento (</w:t>
            </w:r>
            <w:proofErr w:type="spellStart"/>
            <w:r w:rsidRPr="00704883">
              <w:rPr>
                <w:rFonts w:ascii="Calibri" w:eastAsia="Times New Roman" w:hAnsi="Calibri" w:cs="Calibri"/>
                <w:color w:val="000000"/>
                <w:sz w:val="24"/>
                <w:szCs w:val="24"/>
                <w:lang w:eastAsia="pt-BR"/>
              </w:rPr>
              <w:t>Dilic</w:t>
            </w:r>
            <w:proofErr w:type="spellEnd"/>
            <w:r w:rsidRPr="00704883">
              <w:rPr>
                <w:rFonts w:ascii="Calibri" w:eastAsia="Times New Roman" w:hAnsi="Calibri" w:cs="Calibri"/>
                <w:color w:val="000000"/>
                <w:sz w:val="24"/>
                <w:szCs w:val="24"/>
                <w:lang w:eastAsia="pt-BR"/>
              </w:rPr>
              <w:t>) analisar os pedidos de reconhecimento das Certificadoras e dos respectivos certificados.</w:t>
            </w:r>
            <w:bookmarkEnd w:id="22"/>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tcPr>
          <w:p w14:paraId="7F40195E"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p>
        </w:tc>
      </w:tr>
      <w:tr w:rsidR="00AB7EF0" w:rsidRPr="00704883" w14:paraId="0CF2916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54E55FE"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0945CE0A" w14:textId="77777777"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Subseção I</w:t>
            </w:r>
            <w:r w:rsidRPr="00704883">
              <w:rPr>
                <w:rFonts w:ascii="Calibri" w:eastAsia="Times New Roman" w:hAnsi="Calibri" w:cs="Calibri"/>
                <w:b/>
                <w:bCs/>
                <w:color w:val="000000"/>
                <w:sz w:val="24"/>
                <w:szCs w:val="24"/>
                <w:lang w:eastAsia="pt-BR"/>
              </w:rPr>
              <w:br/>
              <w:t>Reconhecimento de Instituição Certificadora</w:t>
            </w:r>
          </w:p>
        </w:tc>
        <w:tc>
          <w:tcPr>
            <w:tcW w:w="1679" w:type="pct"/>
            <w:tcBorders>
              <w:top w:val="nil"/>
              <w:left w:val="nil"/>
              <w:bottom w:val="single" w:sz="4" w:space="0" w:color="auto"/>
              <w:right w:val="single" w:sz="4" w:space="0" w:color="auto"/>
            </w:tcBorders>
            <w:shd w:val="clear" w:color="auto" w:fill="auto"/>
            <w:vAlign w:val="center"/>
            <w:hideMark/>
          </w:tcPr>
          <w:p w14:paraId="55FE042A"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AE5B42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C01313" w14:textId="028DF406"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bookmarkStart w:id="23" w:name="_Hlk133221649" w:colFirst="1" w:colLast="2"/>
          </w:p>
        </w:tc>
        <w:tc>
          <w:tcPr>
            <w:tcW w:w="1660" w:type="pct"/>
            <w:tcBorders>
              <w:top w:val="nil"/>
              <w:left w:val="nil"/>
              <w:bottom w:val="single" w:sz="4" w:space="0" w:color="auto"/>
              <w:right w:val="single" w:sz="4" w:space="0" w:color="auto"/>
            </w:tcBorders>
            <w:shd w:val="clear" w:color="auto" w:fill="auto"/>
            <w:vAlign w:val="center"/>
            <w:hideMark/>
          </w:tcPr>
          <w:p w14:paraId="73A89BC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66C7C3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DBB877D"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93E01A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1º O procedimento administrativo de reconhecimento de capacidade técnica de instituição autônoma certificadora, doravante denominada Certificadora, bem como dos respectivos certificados, deve obedecer ao disposto nesta Instrução. </w:t>
            </w:r>
          </w:p>
        </w:tc>
        <w:tc>
          <w:tcPr>
            <w:tcW w:w="1660" w:type="pct"/>
            <w:tcBorders>
              <w:top w:val="nil"/>
              <w:left w:val="nil"/>
              <w:bottom w:val="single" w:sz="4" w:space="0" w:color="auto"/>
              <w:right w:val="single" w:sz="4" w:space="0" w:color="auto"/>
            </w:tcBorders>
            <w:shd w:val="clear" w:color="auto" w:fill="auto"/>
            <w:vAlign w:val="center"/>
            <w:hideMark/>
          </w:tcPr>
          <w:p w14:paraId="6AD265A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493309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AB7EF0" w:rsidRPr="00704883" w14:paraId="3992AB7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E49AB9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Para fins de reconhecimento, a Certificadora deve enviar à Previc a seguinte documentação: </w:t>
            </w:r>
          </w:p>
        </w:tc>
        <w:tc>
          <w:tcPr>
            <w:tcW w:w="1660" w:type="pct"/>
            <w:tcBorders>
              <w:top w:val="nil"/>
              <w:left w:val="nil"/>
              <w:bottom w:val="single" w:sz="4" w:space="0" w:color="auto"/>
              <w:right w:val="single" w:sz="4" w:space="0" w:color="auto"/>
            </w:tcBorders>
            <w:shd w:val="clear" w:color="auto" w:fill="auto"/>
            <w:vAlign w:val="center"/>
            <w:hideMark/>
          </w:tcPr>
          <w:p w14:paraId="4B479565" w14:textId="7DC1B419"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w:t>
            </w:r>
            <w:r w:rsidR="00802617">
              <w:rPr>
                <w:rFonts w:ascii="Calibri" w:eastAsia="Times New Roman" w:hAnsi="Calibri" w:cs="Calibri"/>
                <w:color w:val="000000"/>
                <w:sz w:val="24"/>
                <w:szCs w:val="24"/>
                <w:lang w:eastAsia="pt-BR"/>
              </w:rPr>
              <w:t>5</w:t>
            </w:r>
            <w:r w:rsidRPr="00704883">
              <w:rPr>
                <w:rFonts w:ascii="Calibri" w:eastAsia="Times New Roman" w:hAnsi="Calibri" w:cs="Calibri"/>
                <w:color w:val="000000"/>
                <w:sz w:val="24"/>
                <w:szCs w:val="24"/>
                <w:lang w:eastAsia="pt-BR"/>
              </w:rPr>
              <w:t xml:space="preserve">.  Para fins de reconhecimento, a Certificadora deve enviar à Previc a seguinte documentação: </w:t>
            </w:r>
          </w:p>
        </w:tc>
        <w:tc>
          <w:tcPr>
            <w:tcW w:w="1679" w:type="pct"/>
            <w:tcBorders>
              <w:top w:val="nil"/>
              <w:left w:val="nil"/>
              <w:bottom w:val="single" w:sz="4" w:space="0" w:color="auto"/>
              <w:right w:val="single" w:sz="4" w:space="0" w:color="auto"/>
            </w:tcBorders>
            <w:shd w:val="clear" w:color="auto" w:fill="auto"/>
            <w:vAlign w:val="center"/>
            <w:hideMark/>
          </w:tcPr>
          <w:p w14:paraId="143B149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4AD120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C8EBA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estatuto</w:t>
            </w:r>
            <w:proofErr w:type="gramEnd"/>
            <w:r w:rsidRPr="00704883">
              <w:rPr>
                <w:rFonts w:ascii="Calibri" w:eastAsia="Times New Roman" w:hAnsi="Calibri" w:cs="Calibri"/>
                <w:color w:val="000000"/>
                <w:sz w:val="24"/>
                <w:szCs w:val="24"/>
                <w:lang w:eastAsia="pt-BR"/>
              </w:rPr>
              <w:t xml:space="preserve"> ou contrato social; </w:t>
            </w:r>
          </w:p>
        </w:tc>
        <w:tc>
          <w:tcPr>
            <w:tcW w:w="1660" w:type="pct"/>
            <w:tcBorders>
              <w:top w:val="nil"/>
              <w:left w:val="nil"/>
              <w:bottom w:val="single" w:sz="4" w:space="0" w:color="auto"/>
              <w:right w:val="single" w:sz="4" w:space="0" w:color="auto"/>
            </w:tcBorders>
            <w:shd w:val="clear" w:color="auto" w:fill="auto"/>
            <w:vAlign w:val="center"/>
            <w:hideMark/>
          </w:tcPr>
          <w:p w14:paraId="1905C72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estatuto</w:t>
            </w:r>
            <w:proofErr w:type="gramEnd"/>
            <w:r w:rsidRPr="00704883">
              <w:rPr>
                <w:rFonts w:ascii="Calibri" w:eastAsia="Times New Roman" w:hAnsi="Calibri" w:cs="Calibri"/>
                <w:color w:val="000000"/>
                <w:sz w:val="24"/>
                <w:szCs w:val="24"/>
                <w:lang w:eastAsia="pt-BR"/>
              </w:rPr>
              <w:t xml:space="preserve"> ou contrato social; </w:t>
            </w:r>
          </w:p>
        </w:tc>
        <w:tc>
          <w:tcPr>
            <w:tcW w:w="1679" w:type="pct"/>
            <w:tcBorders>
              <w:top w:val="nil"/>
              <w:left w:val="nil"/>
              <w:bottom w:val="single" w:sz="4" w:space="0" w:color="auto"/>
              <w:right w:val="single" w:sz="4" w:space="0" w:color="auto"/>
            </w:tcBorders>
            <w:shd w:val="clear" w:color="auto" w:fill="auto"/>
            <w:vAlign w:val="center"/>
            <w:hideMark/>
          </w:tcPr>
          <w:p w14:paraId="0DB505D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CBD474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9A182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comprovação</w:t>
            </w:r>
            <w:proofErr w:type="gramEnd"/>
            <w:r w:rsidRPr="00704883">
              <w:rPr>
                <w:rFonts w:ascii="Calibri" w:eastAsia="Times New Roman" w:hAnsi="Calibri" w:cs="Calibri"/>
                <w:color w:val="000000"/>
                <w:sz w:val="24"/>
                <w:szCs w:val="24"/>
                <w:lang w:eastAsia="pt-BR"/>
              </w:rPr>
              <w:t xml:space="preserve"> do cumprimento dos requisitos mínimos previstos no artigo 4º desta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689D2FDC" w14:textId="0A5ABD84"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comprovação</w:t>
            </w:r>
            <w:proofErr w:type="gramEnd"/>
            <w:r w:rsidRPr="00704883">
              <w:rPr>
                <w:rFonts w:ascii="Calibri" w:eastAsia="Times New Roman" w:hAnsi="Calibri" w:cs="Calibri"/>
                <w:color w:val="000000"/>
                <w:sz w:val="24"/>
                <w:szCs w:val="24"/>
                <w:lang w:eastAsia="pt-BR"/>
              </w:rPr>
              <w:t xml:space="preserve"> do cumprimento dos requisitos mínimos previstos no art. 17</w:t>
            </w:r>
            <w:r w:rsidR="00802617">
              <w:rPr>
                <w:rFonts w:ascii="Calibri" w:eastAsia="Times New Roman" w:hAnsi="Calibri" w:cs="Calibri"/>
                <w:color w:val="000000"/>
                <w:sz w:val="24"/>
                <w:szCs w:val="24"/>
                <w:lang w:eastAsia="pt-BR"/>
              </w:rPr>
              <w:t>6</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714204C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0C3DAC9"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64C05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declaração de independência e de inexistência de conflito de interesses em relação às EFPC para fins de certificação; e </w:t>
            </w:r>
          </w:p>
        </w:tc>
        <w:tc>
          <w:tcPr>
            <w:tcW w:w="1660" w:type="pct"/>
            <w:tcBorders>
              <w:top w:val="nil"/>
              <w:left w:val="nil"/>
              <w:bottom w:val="single" w:sz="4" w:space="0" w:color="auto"/>
              <w:right w:val="single" w:sz="4" w:space="0" w:color="auto"/>
            </w:tcBorders>
            <w:shd w:val="clear" w:color="auto" w:fill="auto"/>
            <w:vAlign w:val="center"/>
            <w:hideMark/>
          </w:tcPr>
          <w:p w14:paraId="3834B1D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declaração de independência e de inexistência de conflito de interesses em relação às EFPC para fins de certificação; e </w:t>
            </w:r>
          </w:p>
        </w:tc>
        <w:tc>
          <w:tcPr>
            <w:tcW w:w="1679" w:type="pct"/>
            <w:tcBorders>
              <w:top w:val="nil"/>
              <w:left w:val="nil"/>
              <w:bottom w:val="single" w:sz="4" w:space="0" w:color="auto"/>
              <w:right w:val="single" w:sz="4" w:space="0" w:color="auto"/>
            </w:tcBorders>
            <w:shd w:val="clear" w:color="auto" w:fill="auto"/>
            <w:vAlign w:val="center"/>
            <w:hideMark/>
          </w:tcPr>
          <w:p w14:paraId="58982B5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76D8BD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4AD289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outros</w:t>
            </w:r>
            <w:proofErr w:type="gramEnd"/>
            <w:r w:rsidRPr="00704883">
              <w:rPr>
                <w:rFonts w:ascii="Calibri" w:eastAsia="Times New Roman" w:hAnsi="Calibri" w:cs="Calibri"/>
                <w:color w:val="000000"/>
                <w:sz w:val="24"/>
                <w:szCs w:val="24"/>
                <w:lang w:eastAsia="pt-BR"/>
              </w:rPr>
              <w:t xml:space="preserve"> documentos que facilitem a análise de reconhecimento. </w:t>
            </w:r>
          </w:p>
        </w:tc>
        <w:tc>
          <w:tcPr>
            <w:tcW w:w="1660" w:type="pct"/>
            <w:tcBorders>
              <w:top w:val="nil"/>
              <w:left w:val="nil"/>
              <w:bottom w:val="single" w:sz="4" w:space="0" w:color="auto"/>
              <w:right w:val="single" w:sz="4" w:space="0" w:color="auto"/>
            </w:tcBorders>
            <w:shd w:val="clear" w:color="auto" w:fill="auto"/>
            <w:vAlign w:val="center"/>
            <w:hideMark/>
          </w:tcPr>
          <w:p w14:paraId="11FBCF7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outros</w:t>
            </w:r>
            <w:proofErr w:type="gramEnd"/>
            <w:r w:rsidRPr="00704883">
              <w:rPr>
                <w:rFonts w:ascii="Calibri" w:eastAsia="Times New Roman" w:hAnsi="Calibri" w:cs="Calibri"/>
                <w:color w:val="000000"/>
                <w:sz w:val="24"/>
                <w:szCs w:val="24"/>
                <w:lang w:eastAsia="pt-BR"/>
              </w:rPr>
              <w:t xml:space="preserve"> documentos que facilitem a análise de reconhecimento. </w:t>
            </w:r>
          </w:p>
        </w:tc>
        <w:tc>
          <w:tcPr>
            <w:tcW w:w="1679" w:type="pct"/>
            <w:tcBorders>
              <w:top w:val="nil"/>
              <w:left w:val="nil"/>
              <w:bottom w:val="single" w:sz="4" w:space="0" w:color="auto"/>
              <w:right w:val="single" w:sz="4" w:space="0" w:color="auto"/>
            </w:tcBorders>
            <w:shd w:val="clear" w:color="auto" w:fill="auto"/>
            <w:vAlign w:val="center"/>
            <w:hideMark/>
          </w:tcPr>
          <w:p w14:paraId="045336E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A8851D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99933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4º Será reconhecida a capacidade técnica da Certificadora que atender os seguintes requisitos mínimos:</w:t>
            </w:r>
          </w:p>
        </w:tc>
        <w:tc>
          <w:tcPr>
            <w:tcW w:w="1660" w:type="pct"/>
            <w:tcBorders>
              <w:top w:val="nil"/>
              <w:left w:val="nil"/>
              <w:bottom w:val="single" w:sz="4" w:space="0" w:color="auto"/>
              <w:right w:val="single" w:sz="4" w:space="0" w:color="auto"/>
            </w:tcBorders>
            <w:shd w:val="clear" w:color="auto" w:fill="auto"/>
            <w:vAlign w:val="center"/>
            <w:hideMark/>
          </w:tcPr>
          <w:p w14:paraId="6EB25B7B" w14:textId="777BB986"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w:t>
            </w:r>
            <w:r w:rsidR="00802617">
              <w:rPr>
                <w:rFonts w:ascii="Calibri" w:eastAsia="Times New Roman" w:hAnsi="Calibri" w:cs="Calibri"/>
                <w:color w:val="000000"/>
                <w:sz w:val="24"/>
                <w:szCs w:val="24"/>
                <w:lang w:eastAsia="pt-BR"/>
              </w:rPr>
              <w:t>6</w:t>
            </w:r>
            <w:r w:rsidRPr="00704883">
              <w:rPr>
                <w:rFonts w:ascii="Calibri" w:eastAsia="Times New Roman" w:hAnsi="Calibri" w:cs="Calibri"/>
                <w:color w:val="000000"/>
                <w:sz w:val="24"/>
                <w:szCs w:val="24"/>
                <w:lang w:eastAsia="pt-BR"/>
              </w:rPr>
              <w:t>.  Deve ser reconhecida a capacidade técnica da Certificadora que atender os seguintes requisitos mínimos:</w:t>
            </w:r>
          </w:p>
        </w:tc>
        <w:tc>
          <w:tcPr>
            <w:tcW w:w="1679" w:type="pct"/>
            <w:tcBorders>
              <w:top w:val="nil"/>
              <w:left w:val="nil"/>
              <w:bottom w:val="single" w:sz="4" w:space="0" w:color="auto"/>
              <w:right w:val="single" w:sz="4" w:space="0" w:color="auto"/>
            </w:tcBorders>
            <w:shd w:val="clear" w:color="auto" w:fill="auto"/>
            <w:vAlign w:val="center"/>
            <w:hideMark/>
          </w:tcPr>
          <w:p w14:paraId="4B6C731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DA748D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AB84AB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demonstrar</w:t>
            </w:r>
            <w:proofErr w:type="gramEnd"/>
            <w:r w:rsidRPr="00704883">
              <w:rPr>
                <w:rFonts w:ascii="Calibri" w:eastAsia="Times New Roman" w:hAnsi="Calibri" w:cs="Calibri"/>
                <w:color w:val="000000"/>
                <w:sz w:val="24"/>
                <w:szCs w:val="24"/>
                <w:lang w:eastAsia="pt-BR"/>
              </w:rPr>
              <w:t xml:space="preserve"> experiência de, no mínimo, três anos na emissão de certificados ou em atividades de treinamento vinculadas aos conteúdos previstos no anexo desta Instrução; </w:t>
            </w:r>
          </w:p>
        </w:tc>
        <w:tc>
          <w:tcPr>
            <w:tcW w:w="1660" w:type="pct"/>
            <w:tcBorders>
              <w:top w:val="nil"/>
              <w:left w:val="nil"/>
              <w:bottom w:val="single" w:sz="4" w:space="0" w:color="auto"/>
              <w:right w:val="single" w:sz="4" w:space="0" w:color="auto"/>
            </w:tcBorders>
            <w:shd w:val="clear" w:color="auto" w:fill="auto"/>
            <w:vAlign w:val="center"/>
            <w:hideMark/>
          </w:tcPr>
          <w:p w14:paraId="0B1755B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demonstrar</w:t>
            </w:r>
            <w:proofErr w:type="gramEnd"/>
            <w:r w:rsidRPr="00704883">
              <w:rPr>
                <w:rFonts w:ascii="Calibri" w:eastAsia="Times New Roman" w:hAnsi="Calibri" w:cs="Calibri"/>
                <w:color w:val="000000"/>
                <w:sz w:val="24"/>
                <w:szCs w:val="24"/>
                <w:lang w:eastAsia="pt-BR"/>
              </w:rPr>
              <w:t xml:space="preserve"> experiência de, no mínimo, três anos na emissão de certificados ou em atividades de treinamento vinculadas aos conteúdos previstos no Anexo </w:t>
            </w:r>
            <w:r w:rsidRPr="00A17DE6">
              <w:rPr>
                <w:rFonts w:ascii="Calibri" w:eastAsia="Times New Roman" w:hAnsi="Calibri" w:cs="Calibri"/>
                <w:color w:val="000000"/>
                <w:sz w:val="24"/>
                <w:szCs w:val="24"/>
                <w:lang w:eastAsia="pt-BR"/>
              </w:rPr>
              <w:t>XXV</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1940952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Ajuste redacional.</w:t>
            </w:r>
          </w:p>
        </w:tc>
      </w:tr>
      <w:tr w:rsidR="00AB7EF0" w:rsidRPr="00704883" w14:paraId="7FFD788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5A359F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comprovar</w:t>
            </w:r>
            <w:proofErr w:type="gramEnd"/>
            <w:r w:rsidRPr="00704883">
              <w:rPr>
                <w:rFonts w:ascii="Calibri" w:eastAsia="Times New Roman" w:hAnsi="Calibri" w:cs="Calibri"/>
                <w:color w:val="000000"/>
                <w:sz w:val="24"/>
                <w:szCs w:val="24"/>
                <w:lang w:eastAsia="pt-BR"/>
              </w:rPr>
              <w:t xml:space="preserve"> experiência na guarda, controle e renovação de certificados; </w:t>
            </w:r>
          </w:p>
        </w:tc>
        <w:tc>
          <w:tcPr>
            <w:tcW w:w="1660" w:type="pct"/>
            <w:tcBorders>
              <w:top w:val="nil"/>
              <w:left w:val="nil"/>
              <w:bottom w:val="single" w:sz="4" w:space="0" w:color="auto"/>
              <w:right w:val="single" w:sz="4" w:space="0" w:color="auto"/>
            </w:tcBorders>
            <w:shd w:val="clear" w:color="auto" w:fill="auto"/>
            <w:vAlign w:val="center"/>
            <w:hideMark/>
          </w:tcPr>
          <w:p w14:paraId="16BF597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comprovar</w:t>
            </w:r>
            <w:proofErr w:type="gramEnd"/>
            <w:r w:rsidRPr="00704883">
              <w:rPr>
                <w:rFonts w:ascii="Calibri" w:eastAsia="Times New Roman" w:hAnsi="Calibri" w:cs="Calibri"/>
                <w:color w:val="000000"/>
                <w:sz w:val="24"/>
                <w:szCs w:val="24"/>
                <w:lang w:eastAsia="pt-BR"/>
              </w:rPr>
              <w:t xml:space="preserve"> experiência na guarda, controle e renovação de certificados; </w:t>
            </w:r>
          </w:p>
        </w:tc>
        <w:tc>
          <w:tcPr>
            <w:tcW w:w="1679" w:type="pct"/>
            <w:tcBorders>
              <w:top w:val="nil"/>
              <w:left w:val="nil"/>
              <w:bottom w:val="single" w:sz="4" w:space="0" w:color="auto"/>
              <w:right w:val="single" w:sz="4" w:space="0" w:color="auto"/>
            </w:tcBorders>
            <w:shd w:val="clear" w:color="auto" w:fill="auto"/>
            <w:vAlign w:val="center"/>
            <w:hideMark/>
          </w:tcPr>
          <w:p w14:paraId="45D7B9B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194185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A04B57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III - emitir certificado que exija conhecimento, formação e experiência compatíveis com os requisitos técnicos necessários para o exercício de cargo ou função em EFPC; e </w:t>
            </w:r>
          </w:p>
        </w:tc>
        <w:tc>
          <w:tcPr>
            <w:tcW w:w="1660" w:type="pct"/>
            <w:tcBorders>
              <w:top w:val="nil"/>
              <w:left w:val="nil"/>
              <w:bottom w:val="single" w:sz="4" w:space="0" w:color="auto"/>
              <w:right w:val="single" w:sz="4" w:space="0" w:color="auto"/>
            </w:tcBorders>
            <w:shd w:val="clear" w:color="auto" w:fill="auto"/>
            <w:vAlign w:val="center"/>
            <w:hideMark/>
          </w:tcPr>
          <w:p w14:paraId="61B296E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emitir certificado que exija conhecimento, formação e experiência compatíveis com os requisitos técnicos necessários para o exercício de cargo ou função em EFPC; e </w:t>
            </w:r>
          </w:p>
        </w:tc>
        <w:tc>
          <w:tcPr>
            <w:tcW w:w="1679" w:type="pct"/>
            <w:tcBorders>
              <w:top w:val="nil"/>
              <w:left w:val="nil"/>
              <w:bottom w:val="single" w:sz="4" w:space="0" w:color="auto"/>
              <w:right w:val="single" w:sz="4" w:space="0" w:color="auto"/>
            </w:tcBorders>
            <w:shd w:val="clear" w:color="auto" w:fill="auto"/>
            <w:vAlign w:val="center"/>
            <w:hideMark/>
          </w:tcPr>
          <w:p w14:paraId="1B53313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EA56A0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77C4F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compartilhar</w:t>
            </w:r>
            <w:proofErr w:type="gramEnd"/>
            <w:r w:rsidRPr="00704883">
              <w:rPr>
                <w:rFonts w:ascii="Calibri" w:eastAsia="Times New Roman" w:hAnsi="Calibri" w:cs="Calibri"/>
                <w:color w:val="000000"/>
                <w:sz w:val="24"/>
                <w:szCs w:val="24"/>
                <w:lang w:eastAsia="pt-BR"/>
              </w:rPr>
              <w:t>, semestralmente, informações acerca dos certificados emitidos.</w:t>
            </w:r>
          </w:p>
        </w:tc>
        <w:tc>
          <w:tcPr>
            <w:tcW w:w="1660" w:type="pct"/>
            <w:tcBorders>
              <w:top w:val="nil"/>
              <w:left w:val="nil"/>
              <w:bottom w:val="single" w:sz="4" w:space="0" w:color="auto"/>
              <w:right w:val="single" w:sz="4" w:space="0" w:color="auto"/>
            </w:tcBorders>
            <w:shd w:val="clear" w:color="auto" w:fill="auto"/>
            <w:vAlign w:val="center"/>
            <w:hideMark/>
          </w:tcPr>
          <w:p w14:paraId="52CCD48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compartilhar</w:t>
            </w:r>
            <w:proofErr w:type="gramEnd"/>
            <w:r w:rsidRPr="00704883">
              <w:rPr>
                <w:rFonts w:ascii="Calibri" w:eastAsia="Times New Roman" w:hAnsi="Calibri" w:cs="Calibri"/>
                <w:color w:val="000000"/>
                <w:sz w:val="24"/>
                <w:szCs w:val="24"/>
                <w:lang w:eastAsia="pt-BR"/>
              </w:rPr>
              <w:t>, semestralmente, informações acerca dos certificados emitidos.</w:t>
            </w:r>
          </w:p>
        </w:tc>
        <w:tc>
          <w:tcPr>
            <w:tcW w:w="1679" w:type="pct"/>
            <w:tcBorders>
              <w:top w:val="nil"/>
              <w:left w:val="nil"/>
              <w:bottom w:val="single" w:sz="4" w:space="0" w:color="auto"/>
              <w:right w:val="single" w:sz="4" w:space="0" w:color="auto"/>
            </w:tcBorders>
            <w:shd w:val="clear" w:color="auto" w:fill="auto"/>
            <w:vAlign w:val="center"/>
            <w:hideMark/>
          </w:tcPr>
          <w:p w14:paraId="17024F3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bookmarkEnd w:id="23"/>
      <w:tr w:rsidR="00AB7EF0" w:rsidRPr="00704883" w14:paraId="09CA716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AE0D30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2º A certificação deve atestar a comprovação de atendimento e a verificação de conformidade dos requisitos técnicos necessários para o exercício de determinado cargo ou função na Entidade Fechada de Previdência Complementar (EFPC). </w:t>
            </w:r>
          </w:p>
        </w:tc>
        <w:tc>
          <w:tcPr>
            <w:tcW w:w="1660" w:type="pct"/>
            <w:tcBorders>
              <w:top w:val="nil"/>
              <w:left w:val="nil"/>
              <w:bottom w:val="single" w:sz="4" w:space="0" w:color="auto"/>
              <w:right w:val="single" w:sz="4" w:space="0" w:color="auto"/>
            </w:tcBorders>
            <w:shd w:val="clear" w:color="auto" w:fill="auto"/>
            <w:vAlign w:val="center"/>
            <w:hideMark/>
          </w:tcPr>
          <w:p w14:paraId="5E0D6B0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3CF7BBA" w14:textId="1BAB6BA6"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439ABFB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66D464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3º Compete à Diretoria de Licenciamento (</w:t>
            </w:r>
            <w:proofErr w:type="spellStart"/>
            <w:r w:rsidRPr="00704883">
              <w:rPr>
                <w:rFonts w:ascii="Calibri" w:eastAsia="Times New Roman" w:hAnsi="Calibri" w:cs="Calibri"/>
                <w:color w:val="000000"/>
                <w:sz w:val="24"/>
                <w:szCs w:val="24"/>
                <w:lang w:eastAsia="pt-BR"/>
              </w:rPr>
              <w:t>Dilic</w:t>
            </w:r>
            <w:proofErr w:type="spellEnd"/>
            <w:r w:rsidRPr="00704883">
              <w:rPr>
                <w:rFonts w:ascii="Calibri" w:eastAsia="Times New Roman" w:hAnsi="Calibri" w:cs="Calibri"/>
                <w:color w:val="000000"/>
                <w:sz w:val="24"/>
                <w:szCs w:val="24"/>
                <w:lang w:eastAsia="pt-BR"/>
              </w:rPr>
              <w:t xml:space="preserve">) analisar os pedidos de reconhecimento das Certificadoras e dos respectivos certificados. </w:t>
            </w:r>
          </w:p>
        </w:tc>
        <w:tc>
          <w:tcPr>
            <w:tcW w:w="1660" w:type="pct"/>
            <w:tcBorders>
              <w:top w:val="nil"/>
              <w:left w:val="nil"/>
              <w:bottom w:val="single" w:sz="4" w:space="0" w:color="auto"/>
              <w:right w:val="single" w:sz="4" w:space="0" w:color="auto"/>
            </w:tcBorders>
            <w:shd w:val="clear" w:color="auto" w:fill="auto"/>
            <w:vAlign w:val="center"/>
            <w:hideMark/>
          </w:tcPr>
          <w:p w14:paraId="192EAF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F03E5F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D7BBE3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B916F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4º Será reconhecida a capacidade técnica da Certificadora que atender os seguintes requisitos mínimos:</w:t>
            </w:r>
          </w:p>
        </w:tc>
        <w:tc>
          <w:tcPr>
            <w:tcW w:w="1660" w:type="pct"/>
            <w:tcBorders>
              <w:top w:val="nil"/>
              <w:left w:val="nil"/>
              <w:bottom w:val="single" w:sz="4" w:space="0" w:color="auto"/>
              <w:right w:val="single" w:sz="4" w:space="0" w:color="auto"/>
            </w:tcBorders>
            <w:shd w:val="clear" w:color="auto" w:fill="auto"/>
            <w:vAlign w:val="center"/>
            <w:hideMark/>
          </w:tcPr>
          <w:p w14:paraId="31B39D0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29C33CA" w14:textId="73E8BEE0"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26D5285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F3C80F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demonstrar</w:t>
            </w:r>
            <w:proofErr w:type="gramEnd"/>
            <w:r w:rsidRPr="00704883">
              <w:rPr>
                <w:rFonts w:ascii="Calibri" w:eastAsia="Times New Roman" w:hAnsi="Calibri" w:cs="Calibri"/>
                <w:color w:val="000000"/>
                <w:sz w:val="24"/>
                <w:szCs w:val="24"/>
                <w:lang w:eastAsia="pt-BR"/>
              </w:rPr>
              <w:t xml:space="preserve"> experiência de, no mínimo, três anos na emissão de certificados ou em atividades de treinamento vinculadas aos conteúdos previstos no anexo desta Instrução; </w:t>
            </w:r>
          </w:p>
        </w:tc>
        <w:tc>
          <w:tcPr>
            <w:tcW w:w="1660" w:type="pct"/>
            <w:tcBorders>
              <w:top w:val="nil"/>
              <w:left w:val="nil"/>
              <w:bottom w:val="single" w:sz="4" w:space="0" w:color="auto"/>
              <w:right w:val="single" w:sz="4" w:space="0" w:color="auto"/>
            </w:tcBorders>
            <w:shd w:val="clear" w:color="auto" w:fill="auto"/>
            <w:vAlign w:val="center"/>
            <w:hideMark/>
          </w:tcPr>
          <w:p w14:paraId="6F2D81A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FD34399" w14:textId="331FCA19"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21FEA594"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7855D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comprovar</w:t>
            </w:r>
            <w:proofErr w:type="gramEnd"/>
            <w:r w:rsidRPr="00704883">
              <w:rPr>
                <w:rFonts w:ascii="Calibri" w:eastAsia="Times New Roman" w:hAnsi="Calibri" w:cs="Calibri"/>
                <w:color w:val="000000"/>
                <w:sz w:val="24"/>
                <w:szCs w:val="24"/>
                <w:lang w:eastAsia="pt-BR"/>
              </w:rPr>
              <w:t xml:space="preserve"> experiência na guarda, controle e renovação de certificados; </w:t>
            </w:r>
          </w:p>
        </w:tc>
        <w:tc>
          <w:tcPr>
            <w:tcW w:w="1660" w:type="pct"/>
            <w:tcBorders>
              <w:top w:val="nil"/>
              <w:left w:val="nil"/>
              <w:bottom w:val="single" w:sz="4" w:space="0" w:color="auto"/>
              <w:right w:val="single" w:sz="4" w:space="0" w:color="auto"/>
            </w:tcBorders>
            <w:shd w:val="clear" w:color="auto" w:fill="auto"/>
            <w:vAlign w:val="center"/>
            <w:hideMark/>
          </w:tcPr>
          <w:p w14:paraId="5581C53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E788E79" w14:textId="6B37580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667CD3E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22EEB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emitir certificado que exija conhecimento, formação e experiência compatíveis com os requisitos técnicos necessários para o exercício de cargo ou função em EFPC; e </w:t>
            </w:r>
          </w:p>
        </w:tc>
        <w:tc>
          <w:tcPr>
            <w:tcW w:w="1660" w:type="pct"/>
            <w:tcBorders>
              <w:top w:val="nil"/>
              <w:left w:val="nil"/>
              <w:bottom w:val="single" w:sz="4" w:space="0" w:color="auto"/>
              <w:right w:val="single" w:sz="4" w:space="0" w:color="auto"/>
            </w:tcBorders>
            <w:shd w:val="clear" w:color="auto" w:fill="auto"/>
            <w:vAlign w:val="center"/>
            <w:hideMark/>
          </w:tcPr>
          <w:p w14:paraId="742CB50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22A9401" w14:textId="6D0C7C1E"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72DE64D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DDB757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compartilhar</w:t>
            </w:r>
            <w:proofErr w:type="gramEnd"/>
            <w:r w:rsidRPr="00704883">
              <w:rPr>
                <w:rFonts w:ascii="Calibri" w:eastAsia="Times New Roman" w:hAnsi="Calibri" w:cs="Calibri"/>
                <w:color w:val="000000"/>
                <w:sz w:val="24"/>
                <w:szCs w:val="24"/>
                <w:lang w:eastAsia="pt-BR"/>
              </w:rPr>
              <w:t>, semestralmente, informações acerca dos certificados emitidos.</w:t>
            </w:r>
          </w:p>
        </w:tc>
        <w:tc>
          <w:tcPr>
            <w:tcW w:w="1660" w:type="pct"/>
            <w:tcBorders>
              <w:top w:val="nil"/>
              <w:left w:val="nil"/>
              <w:bottom w:val="single" w:sz="4" w:space="0" w:color="auto"/>
              <w:right w:val="single" w:sz="4" w:space="0" w:color="auto"/>
            </w:tcBorders>
            <w:shd w:val="clear" w:color="auto" w:fill="auto"/>
            <w:vAlign w:val="center"/>
            <w:hideMark/>
          </w:tcPr>
          <w:p w14:paraId="4736BA9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9A1E517" w14:textId="6EBE7373"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5FACA17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CF82D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5º Para fins de reconhecimento, a Certificadora deve enviar à Previc a seguinte documentação: </w:t>
            </w:r>
          </w:p>
        </w:tc>
        <w:tc>
          <w:tcPr>
            <w:tcW w:w="1660" w:type="pct"/>
            <w:tcBorders>
              <w:top w:val="nil"/>
              <w:left w:val="nil"/>
              <w:bottom w:val="single" w:sz="4" w:space="0" w:color="auto"/>
              <w:right w:val="single" w:sz="4" w:space="0" w:color="auto"/>
            </w:tcBorders>
            <w:shd w:val="clear" w:color="auto" w:fill="auto"/>
            <w:vAlign w:val="center"/>
            <w:hideMark/>
          </w:tcPr>
          <w:p w14:paraId="2BDC54B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EABCB8C" w14:textId="599C097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0723949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CBBF3E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I - </w:t>
            </w:r>
            <w:proofErr w:type="gramStart"/>
            <w:r w:rsidRPr="00704883">
              <w:rPr>
                <w:rFonts w:ascii="Calibri" w:eastAsia="Times New Roman" w:hAnsi="Calibri" w:cs="Calibri"/>
                <w:color w:val="000000"/>
                <w:sz w:val="24"/>
                <w:szCs w:val="24"/>
                <w:lang w:eastAsia="pt-BR"/>
              </w:rPr>
              <w:t>estatuto</w:t>
            </w:r>
            <w:proofErr w:type="gramEnd"/>
            <w:r w:rsidRPr="00704883">
              <w:rPr>
                <w:rFonts w:ascii="Calibri" w:eastAsia="Times New Roman" w:hAnsi="Calibri" w:cs="Calibri"/>
                <w:color w:val="000000"/>
                <w:sz w:val="24"/>
                <w:szCs w:val="24"/>
                <w:lang w:eastAsia="pt-BR"/>
              </w:rPr>
              <w:t xml:space="preserve"> ou contrato social; </w:t>
            </w:r>
          </w:p>
        </w:tc>
        <w:tc>
          <w:tcPr>
            <w:tcW w:w="1660" w:type="pct"/>
            <w:tcBorders>
              <w:top w:val="nil"/>
              <w:left w:val="nil"/>
              <w:bottom w:val="single" w:sz="4" w:space="0" w:color="auto"/>
              <w:right w:val="single" w:sz="4" w:space="0" w:color="auto"/>
            </w:tcBorders>
            <w:shd w:val="clear" w:color="auto" w:fill="auto"/>
            <w:vAlign w:val="center"/>
            <w:hideMark/>
          </w:tcPr>
          <w:p w14:paraId="5188C74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07529B7C" w14:textId="7964AAD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079EDD7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08A66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comprovação</w:t>
            </w:r>
            <w:proofErr w:type="gramEnd"/>
            <w:r w:rsidRPr="00704883">
              <w:rPr>
                <w:rFonts w:ascii="Calibri" w:eastAsia="Times New Roman" w:hAnsi="Calibri" w:cs="Calibri"/>
                <w:color w:val="000000"/>
                <w:sz w:val="24"/>
                <w:szCs w:val="24"/>
                <w:lang w:eastAsia="pt-BR"/>
              </w:rPr>
              <w:t xml:space="preserve"> do cumprimento dos requisitos mínimos previstos no artigo 4º desta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15E4515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311A975" w14:textId="42F9873E"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3C20038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A246A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declaração de independência e de inexistência de conflito de interesses em relação às EFPC para fins de certificação; e </w:t>
            </w:r>
          </w:p>
        </w:tc>
        <w:tc>
          <w:tcPr>
            <w:tcW w:w="1660" w:type="pct"/>
            <w:tcBorders>
              <w:top w:val="nil"/>
              <w:left w:val="nil"/>
              <w:bottom w:val="single" w:sz="4" w:space="0" w:color="auto"/>
              <w:right w:val="single" w:sz="4" w:space="0" w:color="auto"/>
            </w:tcBorders>
            <w:shd w:val="clear" w:color="auto" w:fill="auto"/>
            <w:vAlign w:val="center"/>
            <w:hideMark/>
          </w:tcPr>
          <w:p w14:paraId="107CCE7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F092012" w14:textId="6ADA12DB"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60A910C9"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334BD6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outros</w:t>
            </w:r>
            <w:proofErr w:type="gramEnd"/>
            <w:r w:rsidRPr="00704883">
              <w:rPr>
                <w:rFonts w:ascii="Calibri" w:eastAsia="Times New Roman" w:hAnsi="Calibri" w:cs="Calibri"/>
                <w:color w:val="000000"/>
                <w:sz w:val="24"/>
                <w:szCs w:val="24"/>
                <w:lang w:eastAsia="pt-BR"/>
              </w:rPr>
              <w:t xml:space="preserve"> documentos que facilitem a análise de reconhecimento. </w:t>
            </w:r>
          </w:p>
        </w:tc>
        <w:tc>
          <w:tcPr>
            <w:tcW w:w="1660" w:type="pct"/>
            <w:tcBorders>
              <w:top w:val="nil"/>
              <w:left w:val="nil"/>
              <w:bottom w:val="single" w:sz="4" w:space="0" w:color="auto"/>
              <w:right w:val="single" w:sz="4" w:space="0" w:color="auto"/>
            </w:tcBorders>
            <w:shd w:val="clear" w:color="auto" w:fill="auto"/>
            <w:vAlign w:val="center"/>
            <w:hideMark/>
          </w:tcPr>
          <w:p w14:paraId="095293A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FF622FD" w14:textId="21D7AB9A"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Deslo</w:t>
            </w:r>
            <w:r>
              <w:rPr>
                <w:rFonts w:ascii="Calibri" w:eastAsia="Times New Roman" w:hAnsi="Calibri" w:cs="Calibri"/>
                <w:color w:val="000000"/>
                <w:sz w:val="24"/>
                <w:szCs w:val="24"/>
                <w:lang w:eastAsia="pt-BR"/>
              </w:rPr>
              <w:t>c</w:t>
            </w:r>
            <w:r w:rsidRPr="00704883">
              <w:rPr>
                <w:rFonts w:ascii="Calibri" w:eastAsia="Times New Roman" w:hAnsi="Calibri" w:cs="Calibri"/>
                <w:color w:val="000000"/>
                <w:sz w:val="24"/>
                <w:szCs w:val="24"/>
                <w:lang w:eastAsia="pt-BR"/>
              </w:rPr>
              <w:t>ado para o início da Subseção.</w:t>
            </w:r>
          </w:p>
        </w:tc>
      </w:tr>
      <w:tr w:rsidR="00AB7EF0" w:rsidRPr="00704883" w14:paraId="32AC4D9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F5D6CB"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023E198B" w14:textId="77777777"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II</w:t>
            </w:r>
            <w:r w:rsidRPr="00704883">
              <w:rPr>
                <w:rFonts w:ascii="Calibri" w:eastAsia="Times New Roman" w:hAnsi="Calibri" w:cstheme="minorHAnsi"/>
                <w:b/>
                <w:bCs/>
                <w:color w:val="000000"/>
                <w:sz w:val="24"/>
                <w:szCs w:val="24"/>
                <w:lang w:eastAsia="pt-BR"/>
              </w:rPr>
              <w:br/>
              <w:t>Emissão de Certificado</w:t>
            </w:r>
          </w:p>
        </w:tc>
        <w:tc>
          <w:tcPr>
            <w:tcW w:w="1679" w:type="pct"/>
            <w:tcBorders>
              <w:top w:val="nil"/>
              <w:left w:val="nil"/>
              <w:bottom w:val="single" w:sz="4" w:space="0" w:color="auto"/>
              <w:right w:val="single" w:sz="4" w:space="0" w:color="auto"/>
            </w:tcBorders>
            <w:shd w:val="clear" w:color="auto" w:fill="auto"/>
            <w:vAlign w:val="center"/>
            <w:hideMark/>
          </w:tcPr>
          <w:p w14:paraId="23669D46"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EFD5D6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72A5FF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6º Para fins de reconhecimento dos certificados, a Certificadora deve encaminhar requerimento com a seguinte documentação: </w:t>
            </w:r>
          </w:p>
        </w:tc>
        <w:tc>
          <w:tcPr>
            <w:tcW w:w="1660" w:type="pct"/>
            <w:tcBorders>
              <w:top w:val="nil"/>
              <w:left w:val="nil"/>
              <w:bottom w:val="single" w:sz="4" w:space="0" w:color="auto"/>
              <w:right w:val="single" w:sz="4" w:space="0" w:color="auto"/>
            </w:tcBorders>
            <w:shd w:val="clear" w:color="auto" w:fill="auto"/>
            <w:vAlign w:val="center"/>
            <w:hideMark/>
          </w:tcPr>
          <w:p w14:paraId="4FAF8D92" w14:textId="68F38D24"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w:t>
            </w:r>
            <w:r w:rsidR="00802617">
              <w:rPr>
                <w:rFonts w:ascii="Calibri" w:eastAsia="Times New Roman" w:hAnsi="Calibri" w:cs="Calibri"/>
                <w:color w:val="000000"/>
                <w:sz w:val="24"/>
                <w:szCs w:val="24"/>
                <w:lang w:eastAsia="pt-BR"/>
              </w:rPr>
              <w:t>7</w:t>
            </w:r>
            <w:r w:rsidRPr="00704883">
              <w:rPr>
                <w:rFonts w:ascii="Calibri" w:eastAsia="Times New Roman" w:hAnsi="Calibri" w:cs="Calibri"/>
                <w:color w:val="000000"/>
                <w:sz w:val="24"/>
                <w:szCs w:val="24"/>
                <w:lang w:eastAsia="pt-BR"/>
              </w:rPr>
              <w:t xml:space="preserve">.  Para fins de reconhecimento dos certificados, a Certificadora deve encaminhar requerimento com a seguinte documentação: </w:t>
            </w:r>
          </w:p>
        </w:tc>
        <w:tc>
          <w:tcPr>
            <w:tcW w:w="1679" w:type="pct"/>
            <w:tcBorders>
              <w:top w:val="nil"/>
              <w:left w:val="nil"/>
              <w:bottom w:val="single" w:sz="4" w:space="0" w:color="auto"/>
              <w:right w:val="single" w:sz="4" w:space="0" w:color="auto"/>
            </w:tcBorders>
            <w:shd w:val="clear" w:color="auto" w:fill="auto"/>
            <w:vAlign w:val="center"/>
            <w:hideMark/>
          </w:tcPr>
          <w:p w14:paraId="1CD6FEE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21B638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F4F37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identificação</w:t>
            </w:r>
            <w:proofErr w:type="gramEnd"/>
            <w:r w:rsidRPr="00704883">
              <w:rPr>
                <w:rFonts w:ascii="Calibri" w:eastAsia="Times New Roman" w:hAnsi="Calibri" w:cs="Calibri"/>
                <w:color w:val="000000"/>
                <w:sz w:val="24"/>
                <w:szCs w:val="24"/>
                <w:lang w:eastAsia="pt-BR"/>
              </w:rPr>
              <w:t xml:space="preserve"> do certificado a ser reconhecido; </w:t>
            </w:r>
          </w:p>
        </w:tc>
        <w:tc>
          <w:tcPr>
            <w:tcW w:w="1660" w:type="pct"/>
            <w:tcBorders>
              <w:top w:val="nil"/>
              <w:left w:val="nil"/>
              <w:bottom w:val="single" w:sz="4" w:space="0" w:color="auto"/>
              <w:right w:val="single" w:sz="4" w:space="0" w:color="auto"/>
            </w:tcBorders>
            <w:shd w:val="clear" w:color="auto" w:fill="auto"/>
            <w:vAlign w:val="center"/>
            <w:hideMark/>
          </w:tcPr>
          <w:p w14:paraId="482CD4C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identificação</w:t>
            </w:r>
            <w:proofErr w:type="gramEnd"/>
            <w:r w:rsidRPr="00704883">
              <w:rPr>
                <w:rFonts w:ascii="Calibri" w:eastAsia="Times New Roman" w:hAnsi="Calibri" w:cs="Calibri"/>
                <w:color w:val="000000"/>
                <w:sz w:val="24"/>
                <w:szCs w:val="24"/>
                <w:lang w:eastAsia="pt-BR"/>
              </w:rPr>
              <w:t xml:space="preserve"> do certificado a ser reconhecido; </w:t>
            </w:r>
          </w:p>
        </w:tc>
        <w:tc>
          <w:tcPr>
            <w:tcW w:w="1679" w:type="pct"/>
            <w:tcBorders>
              <w:top w:val="nil"/>
              <w:left w:val="nil"/>
              <w:bottom w:val="single" w:sz="4" w:space="0" w:color="auto"/>
              <w:right w:val="single" w:sz="4" w:space="0" w:color="auto"/>
            </w:tcBorders>
            <w:shd w:val="clear" w:color="auto" w:fill="auto"/>
            <w:vAlign w:val="center"/>
            <w:hideMark/>
          </w:tcPr>
          <w:p w14:paraId="7AEC9BA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ACEBBA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FC6FFF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edital</w:t>
            </w:r>
            <w:proofErr w:type="gramEnd"/>
            <w:r w:rsidRPr="00704883">
              <w:rPr>
                <w:rFonts w:ascii="Calibri" w:eastAsia="Times New Roman" w:hAnsi="Calibri" w:cs="Calibri"/>
                <w:color w:val="000000"/>
                <w:sz w:val="24"/>
                <w:szCs w:val="24"/>
                <w:lang w:eastAsia="pt-BR"/>
              </w:rPr>
              <w:t xml:space="preserve"> ou regulamento do exame de certificação; </w:t>
            </w:r>
          </w:p>
        </w:tc>
        <w:tc>
          <w:tcPr>
            <w:tcW w:w="1660" w:type="pct"/>
            <w:tcBorders>
              <w:top w:val="nil"/>
              <w:left w:val="nil"/>
              <w:bottom w:val="single" w:sz="4" w:space="0" w:color="auto"/>
              <w:right w:val="single" w:sz="4" w:space="0" w:color="auto"/>
            </w:tcBorders>
            <w:shd w:val="clear" w:color="auto" w:fill="auto"/>
            <w:vAlign w:val="center"/>
            <w:hideMark/>
          </w:tcPr>
          <w:p w14:paraId="2057C96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edital</w:t>
            </w:r>
            <w:proofErr w:type="gramEnd"/>
            <w:r w:rsidRPr="00704883">
              <w:rPr>
                <w:rFonts w:ascii="Calibri" w:eastAsia="Times New Roman" w:hAnsi="Calibri" w:cs="Calibri"/>
                <w:color w:val="000000"/>
                <w:sz w:val="24"/>
                <w:szCs w:val="24"/>
                <w:lang w:eastAsia="pt-BR"/>
              </w:rPr>
              <w:t xml:space="preserve"> ou regulamento do exame de certificação; </w:t>
            </w:r>
          </w:p>
        </w:tc>
        <w:tc>
          <w:tcPr>
            <w:tcW w:w="1679" w:type="pct"/>
            <w:tcBorders>
              <w:top w:val="nil"/>
              <w:left w:val="nil"/>
              <w:bottom w:val="single" w:sz="4" w:space="0" w:color="auto"/>
              <w:right w:val="single" w:sz="4" w:space="0" w:color="auto"/>
            </w:tcBorders>
            <w:shd w:val="clear" w:color="auto" w:fill="auto"/>
            <w:vAlign w:val="center"/>
            <w:hideMark/>
          </w:tcPr>
          <w:p w14:paraId="62D75B1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99F064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00D86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conteúdo programático exigido para a prova de conhecimentos; </w:t>
            </w:r>
          </w:p>
        </w:tc>
        <w:tc>
          <w:tcPr>
            <w:tcW w:w="1660" w:type="pct"/>
            <w:tcBorders>
              <w:top w:val="nil"/>
              <w:left w:val="nil"/>
              <w:bottom w:val="single" w:sz="4" w:space="0" w:color="auto"/>
              <w:right w:val="single" w:sz="4" w:space="0" w:color="auto"/>
            </w:tcBorders>
            <w:shd w:val="clear" w:color="auto" w:fill="auto"/>
            <w:vAlign w:val="center"/>
            <w:hideMark/>
          </w:tcPr>
          <w:p w14:paraId="037A6A7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conteúdo programático exigido para a prova de conhecimentos; </w:t>
            </w:r>
          </w:p>
        </w:tc>
        <w:tc>
          <w:tcPr>
            <w:tcW w:w="1679" w:type="pct"/>
            <w:tcBorders>
              <w:top w:val="nil"/>
              <w:left w:val="nil"/>
              <w:bottom w:val="single" w:sz="4" w:space="0" w:color="auto"/>
              <w:right w:val="single" w:sz="4" w:space="0" w:color="auto"/>
            </w:tcBorders>
            <w:shd w:val="clear" w:color="auto" w:fill="auto"/>
            <w:vAlign w:val="center"/>
            <w:hideMark/>
          </w:tcPr>
          <w:p w14:paraId="0A54286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F4254D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C1C71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comprovação</w:t>
            </w:r>
            <w:proofErr w:type="gramEnd"/>
            <w:r w:rsidRPr="00704883">
              <w:rPr>
                <w:rFonts w:ascii="Calibri" w:eastAsia="Times New Roman" w:hAnsi="Calibri" w:cs="Calibri"/>
                <w:color w:val="000000"/>
                <w:sz w:val="24"/>
                <w:szCs w:val="24"/>
                <w:lang w:eastAsia="pt-BR"/>
              </w:rPr>
              <w:t xml:space="preserve"> do prazo de validade máximo de quatro anos; e</w:t>
            </w:r>
          </w:p>
        </w:tc>
        <w:tc>
          <w:tcPr>
            <w:tcW w:w="1660" w:type="pct"/>
            <w:tcBorders>
              <w:top w:val="nil"/>
              <w:left w:val="nil"/>
              <w:bottom w:val="single" w:sz="4" w:space="0" w:color="auto"/>
              <w:right w:val="single" w:sz="4" w:space="0" w:color="auto"/>
            </w:tcBorders>
            <w:shd w:val="clear" w:color="auto" w:fill="auto"/>
            <w:vAlign w:val="center"/>
            <w:hideMark/>
          </w:tcPr>
          <w:p w14:paraId="58FF6E4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comprovação</w:t>
            </w:r>
            <w:proofErr w:type="gramEnd"/>
            <w:r w:rsidRPr="00704883">
              <w:rPr>
                <w:rFonts w:ascii="Calibri" w:eastAsia="Times New Roman" w:hAnsi="Calibri" w:cs="Calibri"/>
                <w:color w:val="000000"/>
                <w:sz w:val="24"/>
                <w:szCs w:val="24"/>
                <w:lang w:eastAsia="pt-BR"/>
              </w:rPr>
              <w:t xml:space="preserve"> do prazo de validade máximo de quatro anos; e</w:t>
            </w:r>
          </w:p>
        </w:tc>
        <w:tc>
          <w:tcPr>
            <w:tcW w:w="1679" w:type="pct"/>
            <w:tcBorders>
              <w:top w:val="nil"/>
              <w:left w:val="nil"/>
              <w:bottom w:val="single" w:sz="4" w:space="0" w:color="auto"/>
              <w:right w:val="single" w:sz="4" w:space="0" w:color="auto"/>
            </w:tcBorders>
            <w:shd w:val="clear" w:color="auto" w:fill="auto"/>
            <w:vAlign w:val="center"/>
            <w:hideMark/>
          </w:tcPr>
          <w:p w14:paraId="5A36B17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6E66B9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BD30D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outros</w:t>
            </w:r>
            <w:proofErr w:type="gramEnd"/>
            <w:r w:rsidRPr="00704883">
              <w:rPr>
                <w:rFonts w:ascii="Calibri" w:eastAsia="Times New Roman" w:hAnsi="Calibri" w:cs="Calibri"/>
                <w:color w:val="000000"/>
                <w:sz w:val="24"/>
                <w:szCs w:val="24"/>
                <w:lang w:eastAsia="pt-BR"/>
              </w:rPr>
              <w:t xml:space="preserve"> documentos que facilitem a análise de reconhecimento. </w:t>
            </w:r>
          </w:p>
        </w:tc>
        <w:tc>
          <w:tcPr>
            <w:tcW w:w="1660" w:type="pct"/>
            <w:tcBorders>
              <w:top w:val="nil"/>
              <w:left w:val="nil"/>
              <w:bottom w:val="single" w:sz="4" w:space="0" w:color="auto"/>
              <w:right w:val="single" w:sz="4" w:space="0" w:color="auto"/>
            </w:tcBorders>
            <w:shd w:val="clear" w:color="auto" w:fill="auto"/>
            <w:vAlign w:val="center"/>
            <w:hideMark/>
          </w:tcPr>
          <w:p w14:paraId="2B0885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outros</w:t>
            </w:r>
            <w:proofErr w:type="gramEnd"/>
            <w:r w:rsidRPr="00704883">
              <w:rPr>
                <w:rFonts w:ascii="Calibri" w:eastAsia="Times New Roman" w:hAnsi="Calibri" w:cs="Calibri"/>
                <w:color w:val="000000"/>
                <w:sz w:val="24"/>
                <w:szCs w:val="24"/>
                <w:lang w:eastAsia="pt-BR"/>
              </w:rPr>
              <w:t xml:space="preserve"> documentos que facilitem a análise de reconhecimento. </w:t>
            </w:r>
          </w:p>
        </w:tc>
        <w:tc>
          <w:tcPr>
            <w:tcW w:w="1679" w:type="pct"/>
            <w:tcBorders>
              <w:top w:val="nil"/>
              <w:left w:val="nil"/>
              <w:bottom w:val="single" w:sz="4" w:space="0" w:color="auto"/>
              <w:right w:val="single" w:sz="4" w:space="0" w:color="auto"/>
            </w:tcBorders>
            <w:shd w:val="clear" w:color="auto" w:fill="auto"/>
            <w:vAlign w:val="center"/>
            <w:hideMark/>
          </w:tcPr>
          <w:p w14:paraId="00EAB31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067B89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B9D2E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§1º A análise do reconhecimento do certificado deverá considerar a abrangência, a profundidade e a aplicabilidade do conteúdo para fins do exercício do cargo ou função na EFPC. </w:t>
            </w:r>
          </w:p>
        </w:tc>
        <w:tc>
          <w:tcPr>
            <w:tcW w:w="1660" w:type="pct"/>
            <w:tcBorders>
              <w:top w:val="nil"/>
              <w:left w:val="nil"/>
              <w:bottom w:val="single" w:sz="4" w:space="0" w:color="auto"/>
              <w:right w:val="single" w:sz="4" w:space="0" w:color="auto"/>
            </w:tcBorders>
            <w:shd w:val="clear" w:color="auto" w:fill="auto"/>
            <w:vAlign w:val="center"/>
            <w:hideMark/>
          </w:tcPr>
          <w:p w14:paraId="43DCA77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1</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análise do reconhecimento do certificado deve considerar a abrangência, a profundidade e a aplicabilidade do conteúdo para fins do exercício do cargo ou função na EFPC. </w:t>
            </w:r>
          </w:p>
        </w:tc>
        <w:tc>
          <w:tcPr>
            <w:tcW w:w="1679" w:type="pct"/>
            <w:tcBorders>
              <w:top w:val="nil"/>
              <w:left w:val="nil"/>
              <w:bottom w:val="single" w:sz="4" w:space="0" w:color="auto"/>
              <w:right w:val="single" w:sz="4" w:space="0" w:color="auto"/>
            </w:tcBorders>
            <w:shd w:val="clear" w:color="auto" w:fill="auto"/>
            <w:vAlign w:val="center"/>
            <w:hideMark/>
          </w:tcPr>
          <w:p w14:paraId="03110E8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8971A68"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209D3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§2º Caso o certificado emitido não contenha prazo de validade ou registre prazo indeterminado, a Certificadora deve exigir a renovação da certificação dentro do prazo máximo de quatro anos, a contar da sua emissão. </w:t>
            </w:r>
          </w:p>
        </w:tc>
        <w:tc>
          <w:tcPr>
            <w:tcW w:w="1660" w:type="pct"/>
            <w:tcBorders>
              <w:top w:val="nil"/>
              <w:left w:val="nil"/>
              <w:bottom w:val="single" w:sz="4" w:space="0" w:color="auto"/>
              <w:right w:val="single" w:sz="4" w:space="0" w:color="auto"/>
            </w:tcBorders>
            <w:shd w:val="clear" w:color="auto" w:fill="auto"/>
            <w:vAlign w:val="center"/>
            <w:hideMark/>
          </w:tcPr>
          <w:p w14:paraId="0C3C58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2</w:t>
            </w:r>
            <w:proofErr w:type="gramStart"/>
            <w:r w:rsidRPr="00704883">
              <w:rPr>
                <w:rFonts w:ascii="Calibri" w:eastAsia="Times New Roman" w:hAnsi="Calibri" w:cs="Calibri"/>
                <w:color w:val="000000"/>
                <w:sz w:val="24"/>
                <w:szCs w:val="24"/>
                <w:lang w:eastAsia="pt-BR"/>
              </w:rPr>
              <w:t>º  Caso</w:t>
            </w:r>
            <w:proofErr w:type="gramEnd"/>
            <w:r w:rsidRPr="00704883">
              <w:rPr>
                <w:rFonts w:ascii="Calibri" w:eastAsia="Times New Roman" w:hAnsi="Calibri" w:cs="Calibri"/>
                <w:color w:val="000000"/>
                <w:sz w:val="24"/>
                <w:szCs w:val="24"/>
                <w:lang w:eastAsia="pt-BR"/>
              </w:rPr>
              <w:t xml:space="preserve"> o certificado emitido não contenha prazo de validade ou registre prazo indeterminado, a Certificadora deve exigir a renovação da certificação dentro do prazo máximo de quatro anos, a contar da sua emissão. </w:t>
            </w:r>
          </w:p>
        </w:tc>
        <w:tc>
          <w:tcPr>
            <w:tcW w:w="1679" w:type="pct"/>
            <w:tcBorders>
              <w:top w:val="nil"/>
              <w:left w:val="nil"/>
              <w:bottom w:val="single" w:sz="4" w:space="0" w:color="auto"/>
              <w:right w:val="single" w:sz="4" w:space="0" w:color="auto"/>
            </w:tcBorders>
            <w:shd w:val="clear" w:color="auto" w:fill="auto"/>
            <w:vAlign w:val="center"/>
            <w:hideMark/>
          </w:tcPr>
          <w:p w14:paraId="021E89B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0364C1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DD069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§3º A Previc poderá, a qualquer momento, rever os certificados reconhecidos para fins de habilitação. </w:t>
            </w:r>
          </w:p>
        </w:tc>
        <w:tc>
          <w:tcPr>
            <w:tcW w:w="1660" w:type="pct"/>
            <w:tcBorders>
              <w:top w:val="nil"/>
              <w:left w:val="nil"/>
              <w:bottom w:val="single" w:sz="4" w:space="0" w:color="auto"/>
              <w:right w:val="single" w:sz="4" w:space="0" w:color="auto"/>
            </w:tcBorders>
            <w:shd w:val="clear" w:color="auto" w:fill="auto"/>
            <w:vAlign w:val="center"/>
            <w:hideMark/>
          </w:tcPr>
          <w:p w14:paraId="455199A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3</w:t>
            </w:r>
            <w:proofErr w:type="gramStart"/>
            <w:r w:rsidRPr="00704883">
              <w:rPr>
                <w:rFonts w:ascii="Calibri" w:eastAsia="Times New Roman" w:hAnsi="Calibri" w:cs="Calibri"/>
                <w:color w:val="000000"/>
                <w:sz w:val="24"/>
                <w:szCs w:val="24"/>
                <w:lang w:eastAsia="pt-BR"/>
              </w:rPr>
              <w:t>º  A</w:t>
            </w:r>
            <w:proofErr w:type="gramEnd"/>
            <w:r w:rsidRPr="00704883">
              <w:rPr>
                <w:rFonts w:ascii="Calibri" w:eastAsia="Times New Roman" w:hAnsi="Calibri" w:cs="Calibri"/>
                <w:color w:val="000000"/>
                <w:sz w:val="24"/>
                <w:szCs w:val="24"/>
                <w:lang w:eastAsia="pt-BR"/>
              </w:rPr>
              <w:t xml:space="preserve"> Previc pode, a qualquer momento, rever os certificados reconhecidos para fins de habilitação. </w:t>
            </w:r>
          </w:p>
        </w:tc>
        <w:tc>
          <w:tcPr>
            <w:tcW w:w="1679" w:type="pct"/>
            <w:tcBorders>
              <w:top w:val="nil"/>
              <w:left w:val="nil"/>
              <w:bottom w:val="single" w:sz="4" w:space="0" w:color="auto"/>
              <w:right w:val="single" w:sz="4" w:space="0" w:color="auto"/>
            </w:tcBorders>
            <w:shd w:val="clear" w:color="auto" w:fill="auto"/>
            <w:vAlign w:val="center"/>
            <w:hideMark/>
          </w:tcPr>
          <w:p w14:paraId="66817A1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641330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E1269A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7º A Certificadora deve manter registro com informações dos profissionais certificados e respectivos certificados emitidos, especificando, no mínimo: </w:t>
            </w:r>
          </w:p>
        </w:tc>
        <w:tc>
          <w:tcPr>
            <w:tcW w:w="1660" w:type="pct"/>
            <w:tcBorders>
              <w:top w:val="nil"/>
              <w:left w:val="nil"/>
              <w:bottom w:val="single" w:sz="4" w:space="0" w:color="auto"/>
              <w:right w:val="single" w:sz="4" w:space="0" w:color="auto"/>
            </w:tcBorders>
            <w:shd w:val="clear" w:color="auto" w:fill="auto"/>
            <w:vAlign w:val="center"/>
            <w:hideMark/>
          </w:tcPr>
          <w:p w14:paraId="736CB85C" w14:textId="127EFFB5"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w:t>
            </w:r>
            <w:r w:rsidR="00802617">
              <w:rPr>
                <w:rFonts w:ascii="Calibri" w:eastAsia="Times New Roman" w:hAnsi="Calibri" w:cs="Calibri"/>
                <w:color w:val="000000"/>
                <w:sz w:val="24"/>
                <w:szCs w:val="24"/>
                <w:lang w:eastAsia="pt-BR"/>
              </w:rPr>
              <w:t>8</w:t>
            </w:r>
            <w:r w:rsidRPr="00704883">
              <w:rPr>
                <w:rFonts w:ascii="Calibri" w:eastAsia="Times New Roman" w:hAnsi="Calibri" w:cs="Calibri"/>
                <w:color w:val="000000"/>
                <w:sz w:val="24"/>
                <w:szCs w:val="24"/>
                <w:lang w:eastAsia="pt-BR"/>
              </w:rPr>
              <w:t xml:space="preserve">.  A Certificadora deve manter registro com informações dos profissionais certificados e respectivos certificados emitidos, especificando, no mínimo: </w:t>
            </w:r>
          </w:p>
        </w:tc>
        <w:tc>
          <w:tcPr>
            <w:tcW w:w="1679" w:type="pct"/>
            <w:tcBorders>
              <w:top w:val="nil"/>
              <w:left w:val="nil"/>
              <w:bottom w:val="single" w:sz="4" w:space="0" w:color="auto"/>
              <w:right w:val="single" w:sz="4" w:space="0" w:color="auto"/>
            </w:tcBorders>
            <w:shd w:val="clear" w:color="auto" w:fill="auto"/>
            <w:vAlign w:val="center"/>
            <w:hideMark/>
          </w:tcPr>
          <w:p w14:paraId="2CE989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37FBA0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E4F9B0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dados</w:t>
            </w:r>
            <w:proofErr w:type="gramEnd"/>
            <w:r w:rsidRPr="00704883">
              <w:rPr>
                <w:rFonts w:ascii="Calibri" w:eastAsia="Times New Roman" w:hAnsi="Calibri" w:cs="Calibri"/>
                <w:color w:val="000000"/>
                <w:sz w:val="24"/>
                <w:szCs w:val="24"/>
                <w:lang w:eastAsia="pt-BR"/>
              </w:rPr>
              <w:t xml:space="preserve"> pessoais do profissional certificado; </w:t>
            </w:r>
          </w:p>
        </w:tc>
        <w:tc>
          <w:tcPr>
            <w:tcW w:w="1660" w:type="pct"/>
            <w:tcBorders>
              <w:top w:val="nil"/>
              <w:left w:val="nil"/>
              <w:bottom w:val="single" w:sz="4" w:space="0" w:color="auto"/>
              <w:right w:val="single" w:sz="4" w:space="0" w:color="auto"/>
            </w:tcBorders>
            <w:shd w:val="clear" w:color="auto" w:fill="auto"/>
            <w:vAlign w:val="center"/>
            <w:hideMark/>
          </w:tcPr>
          <w:p w14:paraId="2EFAAB8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 - </w:t>
            </w:r>
            <w:proofErr w:type="gramStart"/>
            <w:r w:rsidRPr="00704883">
              <w:rPr>
                <w:rFonts w:ascii="Calibri" w:eastAsia="Times New Roman" w:hAnsi="Calibri" w:cs="Calibri"/>
                <w:color w:val="000000"/>
                <w:sz w:val="24"/>
                <w:szCs w:val="24"/>
                <w:lang w:eastAsia="pt-BR"/>
              </w:rPr>
              <w:t>dados</w:t>
            </w:r>
            <w:proofErr w:type="gramEnd"/>
            <w:r w:rsidRPr="00704883">
              <w:rPr>
                <w:rFonts w:ascii="Calibri" w:eastAsia="Times New Roman" w:hAnsi="Calibri" w:cs="Calibri"/>
                <w:color w:val="000000"/>
                <w:sz w:val="24"/>
                <w:szCs w:val="24"/>
                <w:lang w:eastAsia="pt-BR"/>
              </w:rPr>
              <w:t xml:space="preserve"> pessoais do profissional certificado; </w:t>
            </w:r>
          </w:p>
        </w:tc>
        <w:tc>
          <w:tcPr>
            <w:tcW w:w="1679" w:type="pct"/>
            <w:tcBorders>
              <w:top w:val="nil"/>
              <w:left w:val="nil"/>
              <w:bottom w:val="single" w:sz="4" w:space="0" w:color="auto"/>
              <w:right w:val="single" w:sz="4" w:space="0" w:color="auto"/>
            </w:tcBorders>
            <w:shd w:val="clear" w:color="auto" w:fill="auto"/>
            <w:vAlign w:val="center"/>
            <w:hideMark/>
          </w:tcPr>
          <w:p w14:paraId="6192B03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C7FC2C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60F616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denominação</w:t>
            </w:r>
            <w:proofErr w:type="gramEnd"/>
            <w:r w:rsidRPr="00704883">
              <w:rPr>
                <w:rFonts w:ascii="Calibri" w:eastAsia="Times New Roman" w:hAnsi="Calibri" w:cs="Calibri"/>
                <w:color w:val="000000"/>
                <w:sz w:val="24"/>
                <w:szCs w:val="24"/>
                <w:lang w:eastAsia="pt-BR"/>
              </w:rPr>
              <w:t xml:space="preserve"> do certificado; </w:t>
            </w:r>
          </w:p>
        </w:tc>
        <w:tc>
          <w:tcPr>
            <w:tcW w:w="1660" w:type="pct"/>
            <w:tcBorders>
              <w:top w:val="nil"/>
              <w:left w:val="nil"/>
              <w:bottom w:val="single" w:sz="4" w:space="0" w:color="auto"/>
              <w:right w:val="single" w:sz="4" w:space="0" w:color="auto"/>
            </w:tcBorders>
            <w:shd w:val="clear" w:color="auto" w:fill="auto"/>
            <w:vAlign w:val="center"/>
            <w:hideMark/>
          </w:tcPr>
          <w:p w14:paraId="77195AC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 - </w:t>
            </w:r>
            <w:proofErr w:type="gramStart"/>
            <w:r w:rsidRPr="00704883">
              <w:rPr>
                <w:rFonts w:ascii="Calibri" w:eastAsia="Times New Roman" w:hAnsi="Calibri" w:cs="Calibri"/>
                <w:color w:val="000000"/>
                <w:sz w:val="24"/>
                <w:szCs w:val="24"/>
                <w:lang w:eastAsia="pt-BR"/>
              </w:rPr>
              <w:t>denominação</w:t>
            </w:r>
            <w:proofErr w:type="gramEnd"/>
            <w:r w:rsidRPr="00704883">
              <w:rPr>
                <w:rFonts w:ascii="Calibri" w:eastAsia="Times New Roman" w:hAnsi="Calibri" w:cs="Calibri"/>
                <w:color w:val="000000"/>
                <w:sz w:val="24"/>
                <w:szCs w:val="24"/>
                <w:lang w:eastAsia="pt-BR"/>
              </w:rPr>
              <w:t xml:space="preserve"> do certificado; </w:t>
            </w:r>
          </w:p>
        </w:tc>
        <w:tc>
          <w:tcPr>
            <w:tcW w:w="1679" w:type="pct"/>
            <w:tcBorders>
              <w:top w:val="nil"/>
              <w:left w:val="nil"/>
              <w:bottom w:val="single" w:sz="4" w:space="0" w:color="auto"/>
              <w:right w:val="single" w:sz="4" w:space="0" w:color="auto"/>
            </w:tcBorders>
            <w:shd w:val="clear" w:color="auto" w:fill="auto"/>
            <w:vAlign w:val="center"/>
            <w:hideMark/>
          </w:tcPr>
          <w:p w14:paraId="22BB74E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1BA2979"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5FA9A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forma de avaliação; </w:t>
            </w:r>
          </w:p>
        </w:tc>
        <w:tc>
          <w:tcPr>
            <w:tcW w:w="1660" w:type="pct"/>
            <w:tcBorders>
              <w:top w:val="nil"/>
              <w:left w:val="nil"/>
              <w:bottom w:val="single" w:sz="4" w:space="0" w:color="auto"/>
              <w:right w:val="single" w:sz="4" w:space="0" w:color="auto"/>
            </w:tcBorders>
            <w:shd w:val="clear" w:color="auto" w:fill="auto"/>
            <w:vAlign w:val="center"/>
            <w:hideMark/>
          </w:tcPr>
          <w:p w14:paraId="1CFD2ED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III - forma de avaliação; </w:t>
            </w:r>
          </w:p>
        </w:tc>
        <w:tc>
          <w:tcPr>
            <w:tcW w:w="1679" w:type="pct"/>
            <w:tcBorders>
              <w:top w:val="nil"/>
              <w:left w:val="nil"/>
              <w:bottom w:val="single" w:sz="4" w:space="0" w:color="auto"/>
              <w:right w:val="single" w:sz="4" w:space="0" w:color="auto"/>
            </w:tcBorders>
            <w:shd w:val="clear" w:color="auto" w:fill="auto"/>
            <w:vAlign w:val="center"/>
            <w:hideMark/>
          </w:tcPr>
          <w:p w14:paraId="37FA8B2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7E5B2CA"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DD5BE8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aproveitamento</w:t>
            </w:r>
            <w:proofErr w:type="gramEnd"/>
            <w:r w:rsidRPr="00704883">
              <w:rPr>
                <w:rFonts w:ascii="Calibri" w:eastAsia="Times New Roman" w:hAnsi="Calibri" w:cs="Calibri"/>
                <w:color w:val="000000"/>
                <w:sz w:val="24"/>
                <w:szCs w:val="24"/>
                <w:lang w:eastAsia="pt-BR"/>
              </w:rPr>
              <w:t xml:space="preserve">; </w:t>
            </w:r>
          </w:p>
        </w:tc>
        <w:tc>
          <w:tcPr>
            <w:tcW w:w="1660" w:type="pct"/>
            <w:tcBorders>
              <w:top w:val="nil"/>
              <w:left w:val="nil"/>
              <w:bottom w:val="single" w:sz="4" w:space="0" w:color="auto"/>
              <w:right w:val="single" w:sz="4" w:space="0" w:color="auto"/>
            </w:tcBorders>
            <w:shd w:val="clear" w:color="auto" w:fill="auto"/>
            <w:vAlign w:val="center"/>
            <w:hideMark/>
          </w:tcPr>
          <w:p w14:paraId="0BFC1EE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IV - </w:t>
            </w:r>
            <w:proofErr w:type="gramStart"/>
            <w:r w:rsidRPr="00704883">
              <w:rPr>
                <w:rFonts w:ascii="Calibri" w:eastAsia="Times New Roman" w:hAnsi="Calibri" w:cs="Calibri"/>
                <w:color w:val="000000"/>
                <w:sz w:val="24"/>
                <w:szCs w:val="24"/>
                <w:lang w:eastAsia="pt-BR"/>
              </w:rPr>
              <w:t>aproveitamento</w:t>
            </w:r>
            <w:proofErr w:type="gramEnd"/>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6239A11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845233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08DB8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emissão; e </w:t>
            </w:r>
          </w:p>
        </w:tc>
        <w:tc>
          <w:tcPr>
            <w:tcW w:w="1660" w:type="pct"/>
            <w:tcBorders>
              <w:top w:val="nil"/>
              <w:left w:val="nil"/>
              <w:bottom w:val="single" w:sz="4" w:space="0" w:color="auto"/>
              <w:right w:val="single" w:sz="4" w:space="0" w:color="auto"/>
            </w:tcBorders>
            <w:shd w:val="clear" w:color="auto" w:fill="auto"/>
            <w:vAlign w:val="center"/>
            <w:hideMark/>
          </w:tcPr>
          <w:p w14:paraId="48D9C1D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 - </w:t>
            </w:r>
            <w:proofErr w:type="gramStart"/>
            <w:r w:rsidRPr="00704883">
              <w:rPr>
                <w:rFonts w:ascii="Calibri" w:eastAsia="Times New Roman" w:hAnsi="Calibri" w:cs="Calibri"/>
                <w:color w:val="000000"/>
                <w:sz w:val="24"/>
                <w:szCs w:val="24"/>
                <w:lang w:eastAsia="pt-BR"/>
              </w:rPr>
              <w:t>data</w:t>
            </w:r>
            <w:proofErr w:type="gramEnd"/>
            <w:r w:rsidRPr="00704883">
              <w:rPr>
                <w:rFonts w:ascii="Calibri" w:eastAsia="Times New Roman" w:hAnsi="Calibri" w:cs="Calibri"/>
                <w:color w:val="000000"/>
                <w:sz w:val="24"/>
                <w:szCs w:val="24"/>
                <w:lang w:eastAsia="pt-BR"/>
              </w:rPr>
              <w:t xml:space="preserve"> de emissão; e </w:t>
            </w:r>
          </w:p>
        </w:tc>
        <w:tc>
          <w:tcPr>
            <w:tcW w:w="1679" w:type="pct"/>
            <w:tcBorders>
              <w:top w:val="nil"/>
              <w:left w:val="nil"/>
              <w:bottom w:val="single" w:sz="4" w:space="0" w:color="auto"/>
              <w:right w:val="single" w:sz="4" w:space="0" w:color="auto"/>
            </w:tcBorders>
            <w:shd w:val="clear" w:color="auto" w:fill="auto"/>
            <w:vAlign w:val="center"/>
            <w:hideMark/>
          </w:tcPr>
          <w:p w14:paraId="64ED8CF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332175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F63CB4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prazo</w:t>
            </w:r>
            <w:proofErr w:type="gramEnd"/>
            <w:r w:rsidRPr="00704883">
              <w:rPr>
                <w:rFonts w:ascii="Calibri" w:eastAsia="Times New Roman" w:hAnsi="Calibri" w:cs="Calibri"/>
                <w:color w:val="000000"/>
                <w:sz w:val="24"/>
                <w:szCs w:val="24"/>
                <w:lang w:eastAsia="pt-BR"/>
              </w:rPr>
              <w:t xml:space="preserve"> de validade. </w:t>
            </w:r>
          </w:p>
        </w:tc>
        <w:tc>
          <w:tcPr>
            <w:tcW w:w="1660" w:type="pct"/>
            <w:tcBorders>
              <w:top w:val="nil"/>
              <w:left w:val="nil"/>
              <w:bottom w:val="single" w:sz="4" w:space="0" w:color="auto"/>
              <w:right w:val="single" w:sz="4" w:space="0" w:color="auto"/>
            </w:tcBorders>
            <w:shd w:val="clear" w:color="auto" w:fill="auto"/>
            <w:vAlign w:val="center"/>
            <w:hideMark/>
          </w:tcPr>
          <w:p w14:paraId="1279DFF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VI - </w:t>
            </w:r>
            <w:proofErr w:type="gramStart"/>
            <w:r w:rsidRPr="00704883">
              <w:rPr>
                <w:rFonts w:ascii="Calibri" w:eastAsia="Times New Roman" w:hAnsi="Calibri" w:cs="Calibri"/>
                <w:color w:val="000000"/>
                <w:sz w:val="24"/>
                <w:szCs w:val="24"/>
                <w:lang w:eastAsia="pt-BR"/>
              </w:rPr>
              <w:t>prazo</w:t>
            </w:r>
            <w:proofErr w:type="gramEnd"/>
            <w:r w:rsidRPr="00704883">
              <w:rPr>
                <w:rFonts w:ascii="Calibri" w:eastAsia="Times New Roman" w:hAnsi="Calibri" w:cs="Calibri"/>
                <w:color w:val="000000"/>
                <w:sz w:val="24"/>
                <w:szCs w:val="24"/>
                <w:lang w:eastAsia="pt-BR"/>
              </w:rPr>
              <w:t xml:space="preserve"> de validade. </w:t>
            </w:r>
          </w:p>
        </w:tc>
        <w:tc>
          <w:tcPr>
            <w:tcW w:w="1679" w:type="pct"/>
            <w:tcBorders>
              <w:top w:val="nil"/>
              <w:left w:val="nil"/>
              <w:bottom w:val="single" w:sz="4" w:space="0" w:color="auto"/>
              <w:right w:val="single" w:sz="4" w:space="0" w:color="auto"/>
            </w:tcBorders>
            <w:shd w:val="clear" w:color="auto" w:fill="auto"/>
            <w:vAlign w:val="center"/>
            <w:hideMark/>
          </w:tcPr>
          <w:p w14:paraId="6891247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7EC1514"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3B56FF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 Previc pode solicitar, quando necessário, informações que permitam o controle da verificação dos requisitos e condições exigidas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7294518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 Previc pode solicitar, quando necessário, informações que permitam o controle da verificação dos requisitos e condições exigidas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3F07C3B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207B20D"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F172B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8º Somente será reconhecida a certificação obtida mediante aprovação em exames por provas ou por provas e títulos. </w:t>
            </w:r>
          </w:p>
        </w:tc>
        <w:tc>
          <w:tcPr>
            <w:tcW w:w="1660" w:type="pct"/>
            <w:tcBorders>
              <w:top w:val="nil"/>
              <w:left w:val="nil"/>
              <w:bottom w:val="single" w:sz="4" w:space="0" w:color="auto"/>
              <w:right w:val="single" w:sz="4" w:space="0" w:color="auto"/>
            </w:tcBorders>
            <w:shd w:val="clear" w:color="auto" w:fill="auto"/>
            <w:vAlign w:val="center"/>
            <w:hideMark/>
          </w:tcPr>
          <w:p w14:paraId="17C99C49" w14:textId="69B6342A"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17</w:t>
            </w:r>
            <w:r w:rsidR="00802617">
              <w:rPr>
                <w:rFonts w:ascii="Calibri" w:eastAsia="Times New Roman" w:hAnsi="Calibri" w:cs="Calibri"/>
                <w:color w:val="000000"/>
                <w:sz w:val="24"/>
                <w:szCs w:val="24"/>
                <w:lang w:eastAsia="pt-BR"/>
              </w:rPr>
              <w:t>9</w:t>
            </w:r>
            <w:r w:rsidRPr="00704883">
              <w:rPr>
                <w:rFonts w:ascii="Calibri" w:eastAsia="Times New Roman" w:hAnsi="Calibri" w:cs="Calibri"/>
                <w:color w:val="000000"/>
                <w:sz w:val="24"/>
                <w:szCs w:val="24"/>
                <w:lang w:eastAsia="pt-BR"/>
              </w:rPr>
              <w:t xml:space="preserve">.  Somente deve ser reconhecida a certificação obtida mediante aprovação em exames por provas ou por provas e títulos. </w:t>
            </w:r>
          </w:p>
        </w:tc>
        <w:tc>
          <w:tcPr>
            <w:tcW w:w="1679" w:type="pct"/>
            <w:tcBorders>
              <w:top w:val="nil"/>
              <w:left w:val="nil"/>
              <w:bottom w:val="single" w:sz="4" w:space="0" w:color="auto"/>
              <w:right w:val="single" w:sz="4" w:space="0" w:color="auto"/>
            </w:tcBorders>
            <w:shd w:val="clear" w:color="auto" w:fill="auto"/>
            <w:vAlign w:val="center"/>
            <w:hideMark/>
          </w:tcPr>
          <w:p w14:paraId="2C7D67E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9DDA73B"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C46923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Parágrafo único. O disposto no caput não se aplica ao processo de renovação da certificação, que poderá ser obtida por meio de outras Certificadoras reconhecidas pela Previc, desde que exista convênio entre as instituições.</w:t>
            </w:r>
          </w:p>
        </w:tc>
        <w:tc>
          <w:tcPr>
            <w:tcW w:w="1660" w:type="pct"/>
            <w:tcBorders>
              <w:top w:val="nil"/>
              <w:left w:val="nil"/>
              <w:bottom w:val="single" w:sz="4" w:space="0" w:color="auto"/>
              <w:right w:val="single" w:sz="4" w:space="0" w:color="auto"/>
            </w:tcBorders>
            <w:shd w:val="clear" w:color="auto" w:fill="auto"/>
            <w:vAlign w:val="center"/>
            <w:hideMark/>
          </w:tcPr>
          <w:p w14:paraId="1A63F44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disposto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não se aplica ao processo de renovação da certificação, que pode ser obtida por meio de outras Certificadoras reconhecidas pela Previc, desde que exista convênio entre as instituições.</w:t>
            </w:r>
          </w:p>
        </w:tc>
        <w:tc>
          <w:tcPr>
            <w:tcW w:w="1679" w:type="pct"/>
            <w:tcBorders>
              <w:top w:val="nil"/>
              <w:left w:val="nil"/>
              <w:bottom w:val="single" w:sz="4" w:space="0" w:color="auto"/>
              <w:right w:val="single" w:sz="4" w:space="0" w:color="auto"/>
            </w:tcBorders>
            <w:shd w:val="clear" w:color="auto" w:fill="auto"/>
            <w:vAlign w:val="center"/>
            <w:hideMark/>
          </w:tcPr>
          <w:p w14:paraId="079E959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3E977B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65796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9º As Certificadoras devem contemplar na prova de conhecimentos, integral ou parcialmente, o conteúdo previsto no Anexo a esta Instrução.</w:t>
            </w:r>
          </w:p>
        </w:tc>
        <w:tc>
          <w:tcPr>
            <w:tcW w:w="1660" w:type="pct"/>
            <w:tcBorders>
              <w:top w:val="nil"/>
              <w:left w:val="nil"/>
              <w:bottom w:val="single" w:sz="4" w:space="0" w:color="auto"/>
              <w:right w:val="single" w:sz="4" w:space="0" w:color="auto"/>
            </w:tcBorders>
            <w:shd w:val="clear" w:color="auto" w:fill="auto"/>
            <w:vAlign w:val="center"/>
            <w:hideMark/>
          </w:tcPr>
          <w:p w14:paraId="0AEFE8CC" w14:textId="37687CDB"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18</w:t>
            </w:r>
            <w:r w:rsidR="00802617">
              <w:rPr>
                <w:rFonts w:ascii="Calibri" w:eastAsia="Times New Roman" w:hAnsi="Calibri" w:cs="Calibri"/>
                <w:color w:val="000000"/>
                <w:sz w:val="24"/>
                <w:szCs w:val="24"/>
                <w:lang w:eastAsia="pt-BR"/>
              </w:rPr>
              <w:t>0</w:t>
            </w:r>
            <w:r w:rsidRPr="00704883">
              <w:rPr>
                <w:rFonts w:ascii="Calibri" w:eastAsia="Times New Roman" w:hAnsi="Calibri" w:cs="Calibri"/>
                <w:color w:val="000000"/>
                <w:sz w:val="24"/>
                <w:szCs w:val="24"/>
                <w:lang w:eastAsia="pt-BR"/>
              </w:rPr>
              <w:t xml:space="preserve">.  As Certificadoras devem contemplar na prova de conhecimentos, integral ou parcialmente, o conteúdo previsto no Anexo </w:t>
            </w:r>
            <w:r w:rsidRPr="00A17DE6">
              <w:rPr>
                <w:rFonts w:ascii="Calibri" w:eastAsia="Times New Roman" w:hAnsi="Calibri" w:cs="Calibri"/>
                <w:color w:val="000000"/>
                <w:sz w:val="24"/>
                <w:szCs w:val="24"/>
                <w:lang w:eastAsia="pt-BR"/>
              </w:rPr>
              <w:t>XXV.</w:t>
            </w:r>
          </w:p>
        </w:tc>
        <w:tc>
          <w:tcPr>
            <w:tcW w:w="1679" w:type="pct"/>
            <w:tcBorders>
              <w:top w:val="nil"/>
              <w:left w:val="nil"/>
              <w:bottom w:val="single" w:sz="4" w:space="0" w:color="auto"/>
              <w:right w:val="single" w:sz="4" w:space="0" w:color="auto"/>
            </w:tcBorders>
            <w:shd w:val="clear" w:color="auto" w:fill="auto"/>
            <w:vAlign w:val="center"/>
            <w:hideMark/>
          </w:tcPr>
          <w:p w14:paraId="30C2956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Ajuste redacional.</w:t>
            </w:r>
          </w:p>
        </w:tc>
      </w:tr>
      <w:tr w:rsidR="00AB7EF0" w:rsidRPr="00704883" w14:paraId="1CF25F25"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EA27A4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10. A Certificadora pode interpor recurso, no prazo de dez dias contados da ciência da decisão que indeferir o reconhecimento de sua capacidade técnica ou de seu certificado. </w:t>
            </w:r>
          </w:p>
        </w:tc>
        <w:tc>
          <w:tcPr>
            <w:tcW w:w="1660" w:type="pct"/>
            <w:tcBorders>
              <w:top w:val="nil"/>
              <w:left w:val="nil"/>
              <w:bottom w:val="single" w:sz="4" w:space="0" w:color="auto"/>
              <w:right w:val="single" w:sz="4" w:space="0" w:color="auto"/>
            </w:tcBorders>
            <w:shd w:val="clear" w:color="auto" w:fill="auto"/>
            <w:vAlign w:val="center"/>
            <w:hideMark/>
          </w:tcPr>
          <w:p w14:paraId="5A39C49E" w14:textId="41BDBBE2"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Art. 1</w:t>
            </w:r>
            <w:r w:rsidR="00802617">
              <w:rPr>
                <w:rFonts w:ascii="Calibri" w:eastAsia="Times New Roman" w:hAnsi="Calibri" w:cs="Calibri"/>
                <w:color w:val="000000"/>
                <w:sz w:val="24"/>
                <w:szCs w:val="24"/>
                <w:lang w:eastAsia="pt-BR"/>
              </w:rPr>
              <w:t>81</w:t>
            </w:r>
            <w:r w:rsidRPr="00704883">
              <w:rPr>
                <w:rFonts w:ascii="Calibri" w:eastAsia="Times New Roman" w:hAnsi="Calibri" w:cs="Calibri"/>
                <w:color w:val="000000"/>
                <w:sz w:val="24"/>
                <w:szCs w:val="24"/>
                <w:lang w:eastAsia="pt-BR"/>
              </w:rPr>
              <w:t xml:space="preserve">.  A Certificadora pode interpor recurso, no prazo de dez dias contados da ciência da decisão que indeferir o reconhecimento de sua capacidade técnica ou de seu certificado. </w:t>
            </w:r>
          </w:p>
        </w:tc>
        <w:tc>
          <w:tcPr>
            <w:tcW w:w="1679" w:type="pct"/>
            <w:tcBorders>
              <w:top w:val="nil"/>
              <w:left w:val="nil"/>
              <w:bottom w:val="single" w:sz="4" w:space="0" w:color="auto"/>
              <w:right w:val="single" w:sz="4" w:space="0" w:color="auto"/>
            </w:tcBorders>
            <w:shd w:val="clear" w:color="auto" w:fill="auto"/>
            <w:vAlign w:val="center"/>
            <w:hideMark/>
          </w:tcPr>
          <w:p w14:paraId="7538BE8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50438C4"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38CC1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xml:space="preserve">Parágrafo único. O recurso será dirigido à autoridade que proferiu a decisão, instruído com os documentos que justifiquem a reconsideração, o qual deverá ser avaliado no prazo de cinco dias e, caso mantido o indeferimento, submetido à instância superior. </w:t>
            </w:r>
          </w:p>
        </w:tc>
        <w:tc>
          <w:tcPr>
            <w:tcW w:w="1660" w:type="pct"/>
            <w:tcBorders>
              <w:top w:val="nil"/>
              <w:left w:val="nil"/>
              <w:bottom w:val="single" w:sz="4" w:space="0" w:color="auto"/>
              <w:right w:val="single" w:sz="4" w:space="0" w:color="auto"/>
            </w:tcBorders>
            <w:shd w:val="clear" w:color="auto" w:fill="auto"/>
            <w:vAlign w:val="center"/>
            <w:hideMark/>
          </w:tcPr>
          <w:p w14:paraId="32FB147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O recurso deve ser dirigido à autoridade que proferiu a decisão, instruído com os documentos que justifiquem a reconsideração, o qual deve ser avaliado no prazo de cinco dias e, caso mantido o indeferimento, submetido à instância superior. </w:t>
            </w:r>
          </w:p>
        </w:tc>
        <w:tc>
          <w:tcPr>
            <w:tcW w:w="1679" w:type="pct"/>
            <w:tcBorders>
              <w:top w:val="nil"/>
              <w:left w:val="nil"/>
              <w:bottom w:val="single" w:sz="4" w:space="0" w:color="auto"/>
              <w:right w:val="single" w:sz="4" w:space="0" w:color="auto"/>
            </w:tcBorders>
            <w:shd w:val="clear" w:color="auto" w:fill="auto"/>
            <w:vAlign w:val="center"/>
            <w:hideMark/>
          </w:tcPr>
          <w:p w14:paraId="654C8E8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8437839"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E0296B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11. As notificações decorrentes das análises realizadas no âmbito dos requerimentos previstos nos artigos 5º e 6º desta Instrução devem ser encaminhadas para o endereço eletrônico informado pela Certificadora, que estará notificada na data do envio da mensagem eletrônica. </w:t>
            </w:r>
          </w:p>
        </w:tc>
        <w:tc>
          <w:tcPr>
            <w:tcW w:w="1660" w:type="pct"/>
            <w:tcBorders>
              <w:top w:val="nil"/>
              <w:left w:val="nil"/>
              <w:bottom w:val="single" w:sz="4" w:space="0" w:color="auto"/>
              <w:right w:val="single" w:sz="4" w:space="0" w:color="auto"/>
            </w:tcBorders>
            <w:shd w:val="clear" w:color="auto" w:fill="auto"/>
            <w:vAlign w:val="center"/>
            <w:hideMark/>
          </w:tcPr>
          <w:p w14:paraId="545D9AD7" w14:textId="1736C58F"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18</w:t>
            </w:r>
            <w:r w:rsidR="00802617">
              <w:rPr>
                <w:rFonts w:ascii="Calibri" w:eastAsia="Times New Roman" w:hAnsi="Calibri" w:cs="Calibri"/>
                <w:sz w:val="24"/>
                <w:szCs w:val="24"/>
                <w:lang w:eastAsia="pt-BR"/>
              </w:rPr>
              <w:t>2</w:t>
            </w:r>
            <w:r w:rsidRPr="00704883">
              <w:rPr>
                <w:rFonts w:ascii="Calibri" w:eastAsia="Times New Roman" w:hAnsi="Calibri" w:cs="Calibri"/>
                <w:sz w:val="24"/>
                <w:szCs w:val="24"/>
                <w:lang w:eastAsia="pt-BR"/>
              </w:rPr>
              <w:t xml:space="preserve">.  As notificações decorrentes das análises realizadas no âmbito dos requerimentos previstos nos </w:t>
            </w:r>
            <w:proofErr w:type="spellStart"/>
            <w:r w:rsidRPr="00704883">
              <w:rPr>
                <w:rFonts w:ascii="Calibri" w:eastAsia="Times New Roman" w:hAnsi="Calibri" w:cs="Calibri"/>
                <w:sz w:val="24"/>
                <w:szCs w:val="24"/>
                <w:lang w:eastAsia="pt-BR"/>
              </w:rPr>
              <w:t>arts</w:t>
            </w:r>
            <w:proofErr w:type="spellEnd"/>
            <w:r w:rsidRPr="00704883">
              <w:rPr>
                <w:rFonts w:ascii="Calibri" w:eastAsia="Times New Roman" w:hAnsi="Calibri" w:cs="Calibri"/>
                <w:sz w:val="24"/>
                <w:szCs w:val="24"/>
                <w:lang w:eastAsia="pt-BR"/>
              </w:rPr>
              <w:t>. 17</w:t>
            </w:r>
            <w:r w:rsidR="001F4583">
              <w:rPr>
                <w:rFonts w:ascii="Calibri" w:eastAsia="Times New Roman" w:hAnsi="Calibri" w:cs="Calibri"/>
                <w:sz w:val="24"/>
                <w:szCs w:val="24"/>
                <w:lang w:eastAsia="pt-BR"/>
              </w:rPr>
              <w:t>5</w:t>
            </w:r>
            <w:r w:rsidRPr="00704883">
              <w:rPr>
                <w:rFonts w:ascii="Calibri" w:eastAsia="Times New Roman" w:hAnsi="Calibri" w:cs="Calibri"/>
                <w:sz w:val="24"/>
                <w:szCs w:val="24"/>
                <w:lang w:eastAsia="pt-BR"/>
              </w:rPr>
              <w:t xml:space="preserve"> e 17</w:t>
            </w:r>
            <w:r w:rsidR="001F4583">
              <w:rPr>
                <w:rFonts w:ascii="Calibri" w:eastAsia="Times New Roman" w:hAnsi="Calibri" w:cs="Calibri"/>
                <w:sz w:val="24"/>
                <w:szCs w:val="24"/>
                <w:lang w:eastAsia="pt-BR"/>
              </w:rPr>
              <w:t>7</w:t>
            </w:r>
            <w:r w:rsidRPr="00704883">
              <w:rPr>
                <w:rFonts w:ascii="Calibri" w:eastAsia="Times New Roman" w:hAnsi="Calibri" w:cs="Calibri"/>
                <w:sz w:val="24"/>
                <w:szCs w:val="24"/>
                <w:lang w:eastAsia="pt-BR"/>
              </w:rPr>
              <w:t xml:space="preserve"> devem ser encaminhadas para o endereço eletrônico informado pela Certificadora, que deve ser notificada na data do envio da mensagem eletrônica. </w:t>
            </w:r>
          </w:p>
        </w:tc>
        <w:tc>
          <w:tcPr>
            <w:tcW w:w="1679" w:type="pct"/>
            <w:tcBorders>
              <w:top w:val="nil"/>
              <w:left w:val="nil"/>
              <w:bottom w:val="single" w:sz="4" w:space="0" w:color="auto"/>
              <w:right w:val="single" w:sz="4" w:space="0" w:color="auto"/>
            </w:tcBorders>
            <w:shd w:val="clear" w:color="auto" w:fill="auto"/>
            <w:vAlign w:val="center"/>
            <w:hideMark/>
          </w:tcPr>
          <w:p w14:paraId="2609FD3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C158E3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6815B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12. As Certificadoras devem adaptar seus certificados ao disposto nos </w:t>
            </w:r>
            <w:proofErr w:type="spellStart"/>
            <w:r w:rsidRPr="00704883">
              <w:rPr>
                <w:rFonts w:ascii="Calibri" w:eastAsia="Times New Roman" w:hAnsi="Calibri" w:cs="Calibri"/>
                <w:color w:val="000000"/>
                <w:sz w:val="24"/>
                <w:szCs w:val="24"/>
                <w:lang w:eastAsia="pt-BR"/>
              </w:rPr>
              <w:t>arts</w:t>
            </w:r>
            <w:proofErr w:type="spellEnd"/>
            <w:r w:rsidRPr="00704883">
              <w:rPr>
                <w:rFonts w:ascii="Calibri" w:eastAsia="Times New Roman" w:hAnsi="Calibri" w:cs="Calibri"/>
                <w:color w:val="000000"/>
                <w:sz w:val="24"/>
                <w:szCs w:val="24"/>
                <w:lang w:eastAsia="pt-BR"/>
              </w:rPr>
              <w:t xml:space="preserve">. 8º e 9º até 1º de janeiro de 2021. </w:t>
            </w:r>
          </w:p>
        </w:tc>
        <w:tc>
          <w:tcPr>
            <w:tcW w:w="1660" w:type="pct"/>
            <w:tcBorders>
              <w:top w:val="nil"/>
              <w:left w:val="nil"/>
              <w:bottom w:val="single" w:sz="4" w:space="0" w:color="auto"/>
              <w:right w:val="single" w:sz="4" w:space="0" w:color="auto"/>
            </w:tcBorders>
            <w:shd w:val="clear" w:color="auto" w:fill="auto"/>
            <w:vAlign w:val="center"/>
            <w:hideMark/>
          </w:tcPr>
          <w:p w14:paraId="57162D14" w14:textId="1ADA7989"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Calibri"/>
                <w:sz w:val="24"/>
                <w:szCs w:val="24"/>
                <w:lang w:eastAsia="pt-BR"/>
              </w:rPr>
              <w:t>Art. 18</w:t>
            </w:r>
            <w:r w:rsidR="00802617">
              <w:rPr>
                <w:rFonts w:ascii="Calibri" w:eastAsia="Times New Roman" w:hAnsi="Calibri" w:cs="Calibri"/>
                <w:sz w:val="24"/>
                <w:szCs w:val="24"/>
                <w:lang w:eastAsia="pt-BR"/>
              </w:rPr>
              <w:t>3</w:t>
            </w:r>
            <w:r w:rsidRPr="00704883">
              <w:rPr>
                <w:rFonts w:ascii="Calibri" w:eastAsia="Times New Roman" w:hAnsi="Calibri" w:cs="Calibri"/>
                <w:sz w:val="24"/>
                <w:szCs w:val="24"/>
                <w:lang w:eastAsia="pt-BR"/>
              </w:rPr>
              <w:t xml:space="preserve">.  As Certificadoras devem adaptar seus certificados ao disposto nos </w:t>
            </w:r>
            <w:proofErr w:type="spellStart"/>
            <w:r w:rsidRPr="00704883">
              <w:rPr>
                <w:rFonts w:ascii="Calibri" w:eastAsia="Times New Roman" w:hAnsi="Calibri" w:cs="Calibri"/>
                <w:sz w:val="24"/>
                <w:szCs w:val="24"/>
                <w:lang w:eastAsia="pt-BR"/>
              </w:rPr>
              <w:t>arts</w:t>
            </w:r>
            <w:proofErr w:type="spellEnd"/>
            <w:r w:rsidRPr="00704883">
              <w:rPr>
                <w:rFonts w:ascii="Calibri" w:eastAsia="Times New Roman" w:hAnsi="Calibri" w:cs="Calibri"/>
                <w:sz w:val="24"/>
                <w:szCs w:val="24"/>
                <w:lang w:eastAsia="pt-BR"/>
              </w:rPr>
              <w:t>. 17</w:t>
            </w:r>
            <w:r w:rsidR="00D41901">
              <w:rPr>
                <w:rFonts w:ascii="Calibri" w:eastAsia="Times New Roman" w:hAnsi="Calibri" w:cs="Calibri"/>
                <w:sz w:val="24"/>
                <w:szCs w:val="24"/>
                <w:lang w:eastAsia="pt-BR"/>
              </w:rPr>
              <w:t>9</w:t>
            </w:r>
            <w:r w:rsidRPr="00704883">
              <w:rPr>
                <w:rFonts w:ascii="Calibri" w:eastAsia="Times New Roman" w:hAnsi="Calibri" w:cs="Calibri"/>
                <w:sz w:val="24"/>
                <w:szCs w:val="24"/>
                <w:lang w:eastAsia="pt-BR"/>
              </w:rPr>
              <w:t xml:space="preserve"> e 18</w:t>
            </w:r>
            <w:r w:rsidR="00D41901">
              <w:rPr>
                <w:rFonts w:ascii="Calibri" w:eastAsia="Times New Roman" w:hAnsi="Calibri" w:cs="Calibri"/>
                <w:sz w:val="24"/>
                <w:szCs w:val="24"/>
                <w:lang w:eastAsia="pt-BR"/>
              </w:rPr>
              <w:t>0</w:t>
            </w:r>
            <w:r w:rsidRPr="00704883">
              <w:rPr>
                <w:rFonts w:ascii="Calibri" w:eastAsia="Times New Roman" w:hAnsi="Calibri" w:cs="Calibri"/>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08CC2E3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BC6ABDF"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FD50C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13. Esta Instrução entra em vigor no dia 1º de agosto de 2020. </w:t>
            </w:r>
          </w:p>
        </w:tc>
        <w:tc>
          <w:tcPr>
            <w:tcW w:w="1660" w:type="pct"/>
            <w:tcBorders>
              <w:top w:val="nil"/>
              <w:left w:val="nil"/>
              <w:bottom w:val="single" w:sz="4" w:space="0" w:color="auto"/>
              <w:right w:val="single" w:sz="4" w:space="0" w:color="auto"/>
            </w:tcBorders>
            <w:shd w:val="clear" w:color="auto" w:fill="auto"/>
            <w:vAlign w:val="center"/>
            <w:hideMark/>
          </w:tcPr>
          <w:p w14:paraId="6E10039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766548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Exclusão.</w:t>
            </w:r>
          </w:p>
        </w:tc>
      </w:tr>
      <w:tr w:rsidR="00AB7EF0" w:rsidRPr="00704883" w14:paraId="2384E1B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BC4D3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ANEXO CONTEÚDO PROGRAMÁTICO PARA A PROVA DE CONHECIMENTOS</w:t>
            </w:r>
          </w:p>
        </w:tc>
        <w:tc>
          <w:tcPr>
            <w:tcW w:w="1660" w:type="pct"/>
            <w:tcBorders>
              <w:top w:val="nil"/>
              <w:left w:val="nil"/>
              <w:bottom w:val="single" w:sz="4" w:space="0" w:color="auto"/>
              <w:right w:val="single" w:sz="4" w:space="0" w:color="auto"/>
            </w:tcBorders>
            <w:shd w:val="clear" w:color="auto" w:fill="auto"/>
            <w:vAlign w:val="center"/>
            <w:hideMark/>
          </w:tcPr>
          <w:p w14:paraId="75EB5AE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610BFA0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Exclusão.</w:t>
            </w:r>
          </w:p>
        </w:tc>
      </w:tr>
      <w:tr w:rsidR="00AB7EF0" w:rsidRPr="00704883" w14:paraId="48577CE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BD3581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60" w:type="pct"/>
            <w:tcBorders>
              <w:top w:val="nil"/>
              <w:left w:val="nil"/>
              <w:bottom w:val="single" w:sz="4" w:space="0" w:color="auto"/>
              <w:right w:val="single" w:sz="4" w:space="0" w:color="auto"/>
            </w:tcBorders>
            <w:shd w:val="clear" w:color="auto" w:fill="auto"/>
            <w:vAlign w:val="center"/>
            <w:hideMark/>
          </w:tcPr>
          <w:p w14:paraId="35E7F9F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1F6D8A1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F7047D6"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F5EAC7D" w14:textId="77777777"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41, de 3 de agosto de 2021.</w:t>
            </w:r>
          </w:p>
        </w:tc>
        <w:tc>
          <w:tcPr>
            <w:tcW w:w="1660" w:type="pct"/>
            <w:tcBorders>
              <w:top w:val="nil"/>
              <w:left w:val="nil"/>
              <w:bottom w:val="single" w:sz="4" w:space="0" w:color="auto"/>
              <w:right w:val="single" w:sz="4" w:space="0" w:color="auto"/>
            </w:tcBorders>
            <w:shd w:val="clear" w:color="auto" w:fill="auto"/>
            <w:vAlign w:val="center"/>
            <w:hideMark/>
          </w:tcPr>
          <w:p w14:paraId="4E0C0EB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F9CDA5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3100607"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80EAF6"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 </w:t>
            </w:r>
          </w:p>
        </w:tc>
        <w:tc>
          <w:tcPr>
            <w:tcW w:w="1660" w:type="pct"/>
            <w:tcBorders>
              <w:top w:val="nil"/>
              <w:left w:val="nil"/>
              <w:bottom w:val="single" w:sz="4" w:space="0" w:color="auto"/>
              <w:right w:val="single" w:sz="4" w:space="0" w:color="auto"/>
            </w:tcBorders>
            <w:shd w:val="clear" w:color="auto" w:fill="auto"/>
            <w:vAlign w:val="center"/>
            <w:hideMark/>
          </w:tcPr>
          <w:p w14:paraId="19C2898E"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723CA2D"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AB7EF0" w:rsidRPr="00704883" w14:paraId="134DCC3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8C400A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DO ÂMBITO E DA FINALIDADE</w:t>
            </w:r>
          </w:p>
        </w:tc>
        <w:tc>
          <w:tcPr>
            <w:tcW w:w="1660" w:type="pct"/>
            <w:tcBorders>
              <w:top w:val="nil"/>
              <w:left w:val="nil"/>
              <w:bottom w:val="single" w:sz="4" w:space="0" w:color="auto"/>
              <w:right w:val="single" w:sz="4" w:space="0" w:color="auto"/>
            </w:tcBorders>
            <w:shd w:val="clear" w:color="auto" w:fill="auto"/>
            <w:vAlign w:val="center"/>
            <w:hideMark/>
          </w:tcPr>
          <w:p w14:paraId="425AC749"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2F9C1E93"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A3570AB"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A9F1EA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 Os procedimentos para habilitação de membros da diretoria-executiva, do conselho deliberativo e do conselho fiscal das entidades fechadas de previdência complementar (EFPC) deverão observar o disposto nesta Instrução.</w:t>
            </w:r>
          </w:p>
        </w:tc>
        <w:tc>
          <w:tcPr>
            <w:tcW w:w="1660" w:type="pct"/>
            <w:tcBorders>
              <w:top w:val="nil"/>
              <w:left w:val="nil"/>
              <w:bottom w:val="single" w:sz="4" w:space="0" w:color="auto"/>
              <w:right w:val="single" w:sz="4" w:space="0" w:color="auto"/>
            </w:tcBorders>
            <w:shd w:val="clear" w:color="auto" w:fill="auto"/>
            <w:vAlign w:val="center"/>
            <w:hideMark/>
          </w:tcPr>
          <w:p w14:paraId="35680F5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4213D3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AB7EF0" w:rsidRPr="00704883" w14:paraId="43DEF147"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30314E"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CAPÍTULO II </w:t>
            </w:r>
          </w:p>
        </w:tc>
        <w:tc>
          <w:tcPr>
            <w:tcW w:w="1660" w:type="pct"/>
            <w:tcBorders>
              <w:top w:val="nil"/>
              <w:left w:val="nil"/>
              <w:bottom w:val="single" w:sz="4" w:space="0" w:color="auto"/>
              <w:right w:val="single" w:sz="4" w:space="0" w:color="auto"/>
            </w:tcBorders>
            <w:shd w:val="clear" w:color="auto" w:fill="auto"/>
            <w:vAlign w:val="center"/>
            <w:hideMark/>
          </w:tcPr>
          <w:p w14:paraId="66E0475D" w14:textId="77777777"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III</w:t>
            </w:r>
            <w:r w:rsidRPr="00704883">
              <w:rPr>
                <w:rFonts w:ascii="Calibri" w:eastAsia="Times New Roman" w:hAnsi="Calibri" w:cstheme="minorHAnsi"/>
                <w:b/>
                <w:bCs/>
                <w:color w:val="000000"/>
                <w:sz w:val="24"/>
                <w:szCs w:val="24"/>
                <w:lang w:eastAsia="pt-BR"/>
              </w:rPr>
              <w:br/>
              <w:t>Habilitação de Dirigentes</w:t>
            </w:r>
          </w:p>
        </w:tc>
        <w:tc>
          <w:tcPr>
            <w:tcW w:w="1679" w:type="pct"/>
            <w:tcBorders>
              <w:top w:val="nil"/>
              <w:left w:val="nil"/>
              <w:bottom w:val="single" w:sz="4" w:space="0" w:color="auto"/>
              <w:right w:val="single" w:sz="4" w:space="0" w:color="auto"/>
            </w:tcBorders>
            <w:shd w:val="clear" w:color="auto" w:fill="auto"/>
            <w:vAlign w:val="center"/>
            <w:hideMark/>
          </w:tcPr>
          <w:p w14:paraId="451EA64F"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2D6BB0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DAFCB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DA HABILITAÇÃO</w:t>
            </w:r>
          </w:p>
        </w:tc>
        <w:tc>
          <w:tcPr>
            <w:tcW w:w="1660" w:type="pct"/>
            <w:tcBorders>
              <w:top w:val="nil"/>
              <w:left w:val="nil"/>
              <w:bottom w:val="single" w:sz="4" w:space="0" w:color="auto"/>
              <w:right w:val="single" w:sz="4" w:space="0" w:color="auto"/>
            </w:tcBorders>
            <w:shd w:val="clear" w:color="auto" w:fill="auto"/>
            <w:vAlign w:val="center"/>
            <w:hideMark/>
          </w:tcPr>
          <w:p w14:paraId="1E1D1295" w14:textId="77777777"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C5E9068"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FCC6700"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2D2B05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2° A EFPC deverá enviar à Superintendência Nacional de Previdência Complementar (Previc), para fins de habilitação, a documentação comprobatória de atendimento aos requisitos exigidos para o exercício dos seguintes cargos: </w:t>
            </w:r>
          </w:p>
        </w:tc>
        <w:tc>
          <w:tcPr>
            <w:tcW w:w="1660" w:type="pct"/>
            <w:tcBorders>
              <w:top w:val="nil"/>
              <w:left w:val="nil"/>
              <w:bottom w:val="single" w:sz="4" w:space="0" w:color="auto"/>
              <w:right w:val="single" w:sz="4" w:space="0" w:color="auto"/>
            </w:tcBorders>
            <w:shd w:val="clear" w:color="auto" w:fill="auto"/>
            <w:vAlign w:val="center"/>
            <w:hideMark/>
          </w:tcPr>
          <w:p w14:paraId="17C32863" w14:textId="2CC1A0F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18</w:t>
            </w:r>
            <w:r w:rsidR="00802617">
              <w:rPr>
                <w:rFonts w:ascii="Calibri" w:eastAsia="Times New Roman" w:hAnsi="Calibri" w:cstheme="minorHAnsi"/>
                <w:color w:val="000000"/>
                <w:sz w:val="24"/>
                <w:szCs w:val="24"/>
                <w:lang w:eastAsia="pt-BR"/>
              </w:rPr>
              <w:t>4</w:t>
            </w:r>
            <w:r w:rsidRPr="00704883">
              <w:rPr>
                <w:rFonts w:ascii="Calibri" w:eastAsia="Times New Roman" w:hAnsi="Calibri" w:cstheme="minorHAnsi"/>
                <w:color w:val="000000"/>
                <w:sz w:val="24"/>
                <w:szCs w:val="24"/>
                <w:lang w:eastAsia="pt-BR"/>
              </w:rPr>
              <w:t xml:space="preserve">.  A EFPC deve enviar à Previc, para fins de habilitação, a documentação comprobatória de atendimento aos requisitos exigidos para o exercício dos seguintes cargos: </w:t>
            </w:r>
          </w:p>
        </w:tc>
        <w:tc>
          <w:tcPr>
            <w:tcW w:w="1679" w:type="pct"/>
            <w:tcBorders>
              <w:top w:val="nil"/>
              <w:left w:val="nil"/>
              <w:bottom w:val="single" w:sz="4" w:space="0" w:color="auto"/>
              <w:right w:val="single" w:sz="4" w:space="0" w:color="auto"/>
            </w:tcBorders>
            <w:shd w:val="clear" w:color="auto" w:fill="auto"/>
            <w:vAlign w:val="center"/>
            <w:hideMark/>
          </w:tcPr>
          <w:p w14:paraId="34F1155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9EBADC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982DE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Membro da diretoria-executiva de todas as EFPC; e </w:t>
            </w:r>
          </w:p>
        </w:tc>
        <w:tc>
          <w:tcPr>
            <w:tcW w:w="1660" w:type="pct"/>
            <w:tcBorders>
              <w:top w:val="nil"/>
              <w:left w:val="nil"/>
              <w:bottom w:val="single" w:sz="4" w:space="0" w:color="auto"/>
              <w:right w:val="single" w:sz="4" w:space="0" w:color="auto"/>
            </w:tcBorders>
            <w:shd w:val="clear" w:color="auto" w:fill="auto"/>
            <w:vAlign w:val="center"/>
            <w:hideMark/>
          </w:tcPr>
          <w:p w14:paraId="0C26255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membro</w:t>
            </w:r>
            <w:proofErr w:type="gramEnd"/>
            <w:r w:rsidRPr="00704883">
              <w:rPr>
                <w:rFonts w:ascii="Calibri" w:eastAsia="Times New Roman" w:hAnsi="Calibri" w:cstheme="minorHAnsi"/>
                <w:color w:val="000000"/>
                <w:sz w:val="24"/>
                <w:szCs w:val="24"/>
                <w:lang w:eastAsia="pt-BR"/>
              </w:rPr>
              <w:t xml:space="preserve"> da diretoria-executiva de todas as EFPC; e </w:t>
            </w:r>
          </w:p>
        </w:tc>
        <w:tc>
          <w:tcPr>
            <w:tcW w:w="1679" w:type="pct"/>
            <w:tcBorders>
              <w:top w:val="nil"/>
              <w:left w:val="nil"/>
              <w:bottom w:val="single" w:sz="4" w:space="0" w:color="auto"/>
              <w:right w:val="single" w:sz="4" w:space="0" w:color="auto"/>
            </w:tcBorders>
            <w:shd w:val="clear" w:color="auto" w:fill="auto"/>
            <w:vAlign w:val="center"/>
            <w:hideMark/>
          </w:tcPr>
          <w:p w14:paraId="2E73C2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06F7992"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175945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Membro do conselho deliberativo e do conselho fiscal das EFPC enquadradas como entidades sistemicamente importantes. </w:t>
            </w:r>
          </w:p>
        </w:tc>
        <w:tc>
          <w:tcPr>
            <w:tcW w:w="1660" w:type="pct"/>
            <w:tcBorders>
              <w:top w:val="nil"/>
              <w:left w:val="nil"/>
              <w:bottom w:val="single" w:sz="4" w:space="0" w:color="auto"/>
              <w:right w:val="single" w:sz="4" w:space="0" w:color="auto"/>
            </w:tcBorders>
            <w:shd w:val="clear" w:color="auto" w:fill="auto"/>
            <w:vAlign w:val="center"/>
            <w:hideMark/>
          </w:tcPr>
          <w:p w14:paraId="26C79AA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membro</w:t>
            </w:r>
            <w:proofErr w:type="gramEnd"/>
            <w:r w:rsidRPr="00704883">
              <w:rPr>
                <w:rFonts w:ascii="Calibri" w:eastAsia="Times New Roman" w:hAnsi="Calibri" w:cstheme="minorHAnsi"/>
                <w:color w:val="000000"/>
                <w:sz w:val="24"/>
                <w:szCs w:val="24"/>
                <w:lang w:eastAsia="pt-BR"/>
              </w:rPr>
              <w:t xml:space="preserve"> do conselho deliberativo e do conselho fiscal das EFPC enquadradas como entidades sistemicamente importantes. </w:t>
            </w:r>
          </w:p>
        </w:tc>
        <w:tc>
          <w:tcPr>
            <w:tcW w:w="1679" w:type="pct"/>
            <w:tcBorders>
              <w:top w:val="nil"/>
              <w:left w:val="nil"/>
              <w:bottom w:val="single" w:sz="4" w:space="0" w:color="auto"/>
              <w:right w:val="single" w:sz="4" w:space="0" w:color="auto"/>
            </w:tcBorders>
            <w:shd w:val="clear" w:color="auto" w:fill="auto"/>
            <w:vAlign w:val="center"/>
            <w:hideMark/>
          </w:tcPr>
          <w:p w14:paraId="5285C1F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E3AE22E"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97C98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 regular exercício dos cargos relacionados nos incisos I e li do caput depende de prévia emissão de Atestado de Habilitação de Dirigente. </w:t>
            </w:r>
          </w:p>
        </w:tc>
        <w:tc>
          <w:tcPr>
            <w:tcW w:w="1660" w:type="pct"/>
            <w:tcBorders>
              <w:top w:val="nil"/>
              <w:left w:val="nil"/>
              <w:bottom w:val="single" w:sz="4" w:space="0" w:color="auto"/>
              <w:right w:val="single" w:sz="4" w:space="0" w:color="auto"/>
            </w:tcBorders>
            <w:shd w:val="clear" w:color="auto" w:fill="auto"/>
            <w:vAlign w:val="center"/>
            <w:hideMark/>
          </w:tcPr>
          <w:p w14:paraId="7D1A304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regular exercício dos cargos relacionados nos incisos I e 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depende de prévia emissão de Atestado de Habilitação de Dirigente. </w:t>
            </w:r>
          </w:p>
        </w:tc>
        <w:tc>
          <w:tcPr>
            <w:tcW w:w="1679" w:type="pct"/>
            <w:tcBorders>
              <w:top w:val="nil"/>
              <w:left w:val="nil"/>
              <w:bottom w:val="single" w:sz="4" w:space="0" w:color="auto"/>
              <w:right w:val="single" w:sz="4" w:space="0" w:color="auto"/>
            </w:tcBorders>
            <w:shd w:val="clear" w:color="auto" w:fill="auto"/>
            <w:vAlign w:val="center"/>
            <w:hideMark/>
          </w:tcPr>
          <w:p w14:paraId="70BA181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E81383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03BEA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§2º Eventual substituição temporária de membro da diretoria-executiva, quando superior a trinta dias, deverá ser exercida por profissional habilitado nos termos dessa Instrução Normativa. </w:t>
            </w:r>
          </w:p>
        </w:tc>
        <w:tc>
          <w:tcPr>
            <w:tcW w:w="1660" w:type="pct"/>
            <w:tcBorders>
              <w:top w:val="nil"/>
              <w:left w:val="nil"/>
              <w:bottom w:val="single" w:sz="4" w:space="0" w:color="auto"/>
              <w:right w:val="single" w:sz="4" w:space="0" w:color="auto"/>
            </w:tcBorders>
            <w:shd w:val="clear" w:color="auto" w:fill="auto"/>
            <w:vAlign w:val="center"/>
            <w:hideMark/>
          </w:tcPr>
          <w:p w14:paraId="3EB4D7A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Eventual</w:t>
            </w:r>
            <w:proofErr w:type="gramEnd"/>
            <w:r w:rsidRPr="00704883">
              <w:rPr>
                <w:rFonts w:ascii="Calibri" w:eastAsia="Times New Roman" w:hAnsi="Calibri" w:cstheme="minorHAnsi"/>
                <w:color w:val="000000"/>
                <w:sz w:val="24"/>
                <w:szCs w:val="24"/>
                <w:lang w:eastAsia="pt-BR"/>
              </w:rPr>
              <w:t xml:space="preserve"> substituição temporária de membro da diretoria-executiva, quando superior a trinta dias, deve ser exercida por profissional habilitado nos termos dessa Instrução Normativa. </w:t>
            </w:r>
          </w:p>
        </w:tc>
        <w:tc>
          <w:tcPr>
            <w:tcW w:w="1679" w:type="pct"/>
            <w:tcBorders>
              <w:top w:val="nil"/>
              <w:left w:val="nil"/>
              <w:bottom w:val="single" w:sz="4" w:space="0" w:color="auto"/>
              <w:right w:val="single" w:sz="4" w:space="0" w:color="auto"/>
            </w:tcBorders>
            <w:shd w:val="clear" w:color="auto" w:fill="auto"/>
            <w:vAlign w:val="center"/>
            <w:hideMark/>
          </w:tcPr>
          <w:p w14:paraId="3AC18E6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664BC94"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55BF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§3° A EFPC não classificada como entidade sistemicamente importante deverá enviar a documentação relativa aos membros do conselho fiscal e do conselho deliberativo somente quando solicitada pela Previc, o que não exime o cumprimento de todos os requisitos previstos nos artigos 3° e 4°. </w:t>
            </w:r>
          </w:p>
        </w:tc>
        <w:tc>
          <w:tcPr>
            <w:tcW w:w="1660" w:type="pct"/>
            <w:tcBorders>
              <w:top w:val="nil"/>
              <w:left w:val="nil"/>
              <w:bottom w:val="single" w:sz="4" w:space="0" w:color="auto"/>
              <w:right w:val="single" w:sz="4" w:space="0" w:color="auto"/>
            </w:tcBorders>
            <w:shd w:val="clear" w:color="auto" w:fill="auto"/>
            <w:vAlign w:val="center"/>
            <w:hideMark/>
          </w:tcPr>
          <w:p w14:paraId="2A928DEA" w14:textId="0545579B"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3</w:t>
            </w:r>
            <w:proofErr w:type="gramStart"/>
            <w:r w:rsidRPr="00704883">
              <w:rPr>
                <w:rFonts w:ascii="Calibri" w:eastAsia="Times New Roman" w:hAnsi="Calibri" w:cstheme="minorHAnsi"/>
                <w:sz w:val="24"/>
                <w:szCs w:val="24"/>
                <w:lang w:eastAsia="pt-BR"/>
              </w:rPr>
              <w:t>º  A</w:t>
            </w:r>
            <w:proofErr w:type="gramEnd"/>
            <w:r w:rsidRPr="00704883">
              <w:rPr>
                <w:rFonts w:ascii="Calibri" w:eastAsia="Times New Roman" w:hAnsi="Calibri" w:cstheme="minorHAnsi"/>
                <w:sz w:val="24"/>
                <w:szCs w:val="24"/>
                <w:lang w:eastAsia="pt-BR"/>
              </w:rPr>
              <w:t xml:space="preserve"> EFPC não classificada como entidade sistemicamente importante deve enviar a documentação relativa aos membros do conselho fiscal e do conselho deliberativo somente quando solicitada pela Previc, o que não a exime do cumprimento de todos os requisitos previstos nos </w:t>
            </w:r>
            <w:proofErr w:type="spellStart"/>
            <w:r w:rsidRPr="00704883">
              <w:rPr>
                <w:rFonts w:ascii="Calibri" w:eastAsia="Times New Roman" w:hAnsi="Calibri" w:cstheme="minorHAnsi"/>
                <w:sz w:val="24"/>
                <w:szCs w:val="24"/>
                <w:lang w:eastAsia="pt-BR"/>
              </w:rPr>
              <w:t>arts</w:t>
            </w:r>
            <w:proofErr w:type="spellEnd"/>
            <w:r w:rsidRPr="00704883">
              <w:rPr>
                <w:rFonts w:ascii="Calibri" w:eastAsia="Times New Roman" w:hAnsi="Calibri" w:cstheme="minorHAnsi"/>
                <w:sz w:val="24"/>
                <w:szCs w:val="24"/>
                <w:lang w:eastAsia="pt-BR"/>
              </w:rPr>
              <w:t>. 18</w:t>
            </w:r>
            <w:r w:rsidR="004949A9">
              <w:rPr>
                <w:rFonts w:ascii="Calibri" w:eastAsia="Times New Roman" w:hAnsi="Calibri" w:cstheme="minorHAnsi"/>
                <w:sz w:val="24"/>
                <w:szCs w:val="24"/>
                <w:lang w:eastAsia="pt-BR"/>
              </w:rPr>
              <w:t>5</w:t>
            </w:r>
            <w:r w:rsidRPr="00704883">
              <w:rPr>
                <w:rFonts w:ascii="Calibri" w:eastAsia="Times New Roman" w:hAnsi="Calibri" w:cstheme="minorHAnsi"/>
                <w:sz w:val="24"/>
                <w:szCs w:val="24"/>
                <w:lang w:eastAsia="pt-BR"/>
              </w:rPr>
              <w:t xml:space="preserve"> e 18</w:t>
            </w:r>
            <w:r w:rsidR="004949A9">
              <w:rPr>
                <w:rFonts w:ascii="Calibri" w:eastAsia="Times New Roman" w:hAnsi="Calibri" w:cstheme="minorHAnsi"/>
                <w:sz w:val="24"/>
                <w:szCs w:val="24"/>
                <w:lang w:eastAsia="pt-BR"/>
              </w:rPr>
              <w:t>6</w:t>
            </w:r>
            <w:r w:rsidRPr="00704883">
              <w:rPr>
                <w:rFonts w:ascii="Calibri" w:eastAsia="Times New Roman" w:hAnsi="Calibri" w:cstheme="minorHAnsi"/>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535B08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C265EF4"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A3570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§4° Cabe ao presidente ou ao ocupante de cargo equivalente da diretoria-executiva da EFPC garantir o fiel e permanente cumprimento dos requisitos de todos os dirigentes e a guarda da documentação comprobatória. </w:t>
            </w:r>
          </w:p>
        </w:tc>
        <w:tc>
          <w:tcPr>
            <w:tcW w:w="1660" w:type="pct"/>
            <w:tcBorders>
              <w:top w:val="nil"/>
              <w:left w:val="nil"/>
              <w:bottom w:val="single" w:sz="4" w:space="0" w:color="auto"/>
              <w:right w:val="single" w:sz="4" w:space="0" w:color="auto"/>
            </w:tcBorders>
            <w:shd w:val="clear" w:color="auto" w:fill="auto"/>
            <w:vAlign w:val="center"/>
            <w:hideMark/>
          </w:tcPr>
          <w:p w14:paraId="324F6D0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4</w:t>
            </w:r>
            <w:proofErr w:type="gramStart"/>
            <w:r w:rsidRPr="00704883">
              <w:rPr>
                <w:rFonts w:ascii="Calibri" w:eastAsia="Times New Roman" w:hAnsi="Calibri" w:cstheme="minorHAnsi"/>
                <w:color w:val="000000"/>
                <w:sz w:val="24"/>
                <w:szCs w:val="24"/>
                <w:lang w:eastAsia="pt-BR"/>
              </w:rPr>
              <w:t>º  Cabe</w:t>
            </w:r>
            <w:proofErr w:type="gramEnd"/>
            <w:r w:rsidRPr="00704883">
              <w:rPr>
                <w:rFonts w:ascii="Calibri" w:eastAsia="Times New Roman" w:hAnsi="Calibri" w:cstheme="minorHAnsi"/>
                <w:color w:val="000000"/>
                <w:sz w:val="24"/>
                <w:szCs w:val="24"/>
                <w:lang w:eastAsia="pt-BR"/>
              </w:rPr>
              <w:t xml:space="preserve"> ao presidente ou ao ocupante de cargo equivalente da diretoria-executiva da EFPC garantir o fiel e permanente cumprimento dos requisitos de todos os dirigentes e a guarda da documentação comprobatória. </w:t>
            </w:r>
          </w:p>
        </w:tc>
        <w:tc>
          <w:tcPr>
            <w:tcW w:w="1679" w:type="pct"/>
            <w:tcBorders>
              <w:top w:val="nil"/>
              <w:left w:val="nil"/>
              <w:bottom w:val="single" w:sz="4" w:space="0" w:color="auto"/>
              <w:right w:val="single" w:sz="4" w:space="0" w:color="auto"/>
            </w:tcBorders>
            <w:shd w:val="clear" w:color="auto" w:fill="auto"/>
            <w:vAlign w:val="center"/>
            <w:hideMark/>
          </w:tcPr>
          <w:p w14:paraId="2C16A78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EBA5A7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715A03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§5° Na hipótese de requerimento de habilitação do presidente ou ocupante de cargo equivalente da diretoria-executiva, as obrigações referidas no caput e no §4° deste artigo deverão ser </w:t>
            </w:r>
            <w:r w:rsidRPr="00704883">
              <w:rPr>
                <w:rFonts w:ascii="Calibri" w:eastAsia="Times New Roman" w:hAnsi="Calibri" w:cstheme="minorHAnsi"/>
                <w:color w:val="000000"/>
                <w:sz w:val="24"/>
                <w:szCs w:val="24"/>
                <w:lang w:eastAsia="pt-BR"/>
              </w:rPr>
              <w:lastRenderedPageBreak/>
              <w:t>observadas pelo presidente do Conselho Deliberativo, ou nos termos do estatuto.</w:t>
            </w:r>
          </w:p>
        </w:tc>
        <w:tc>
          <w:tcPr>
            <w:tcW w:w="1660" w:type="pct"/>
            <w:tcBorders>
              <w:top w:val="nil"/>
              <w:left w:val="nil"/>
              <w:bottom w:val="single" w:sz="4" w:space="0" w:color="auto"/>
              <w:right w:val="single" w:sz="4" w:space="0" w:color="auto"/>
            </w:tcBorders>
            <w:shd w:val="clear" w:color="auto" w:fill="auto"/>
            <w:vAlign w:val="center"/>
            <w:hideMark/>
          </w:tcPr>
          <w:p w14:paraId="43B0354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5</w:t>
            </w:r>
            <w:proofErr w:type="gramStart"/>
            <w:r w:rsidRPr="00704883">
              <w:rPr>
                <w:rFonts w:ascii="Calibri" w:eastAsia="Times New Roman" w:hAnsi="Calibri" w:cstheme="minorHAnsi"/>
                <w:color w:val="000000"/>
                <w:sz w:val="24"/>
                <w:szCs w:val="24"/>
                <w:lang w:eastAsia="pt-BR"/>
              </w:rPr>
              <w:t>º  Na</w:t>
            </w:r>
            <w:proofErr w:type="gramEnd"/>
            <w:r w:rsidRPr="00704883">
              <w:rPr>
                <w:rFonts w:ascii="Calibri" w:eastAsia="Times New Roman" w:hAnsi="Calibri" w:cstheme="minorHAnsi"/>
                <w:color w:val="000000"/>
                <w:sz w:val="24"/>
                <w:szCs w:val="24"/>
                <w:lang w:eastAsia="pt-BR"/>
              </w:rPr>
              <w:t xml:space="preserve"> hipótese de requerimento de habilitação do presidente ou ocupante de cargo equivalente da diretoria-executiva, as obrigações referidas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e no § 4º devem ser observadas pelo </w:t>
            </w:r>
            <w:r w:rsidRPr="00704883">
              <w:rPr>
                <w:rFonts w:ascii="Calibri" w:eastAsia="Times New Roman" w:hAnsi="Calibri" w:cs="Calibri"/>
                <w:color w:val="000000"/>
                <w:sz w:val="24"/>
                <w:szCs w:val="24"/>
                <w:lang w:eastAsia="pt-BR"/>
              </w:rPr>
              <w:lastRenderedPageBreak/>
              <w:t>presidente do Conselho Deliberativo, ou nos termos do estatuto.</w:t>
            </w:r>
          </w:p>
        </w:tc>
        <w:tc>
          <w:tcPr>
            <w:tcW w:w="1679" w:type="pct"/>
            <w:tcBorders>
              <w:top w:val="nil"/>
              <w:left w:val="nil"/>
              <w:bottom w:val="single" w:sz="4" w:space="0" w:color="auto"/>
              <w:right w:val="single" w:sz="4" w:space="0" w:color="auto"/>
            </w:tcBorders>
            <w:shd w:val="clear" w:color="auto" w:fill="auto"/>
            <w:vAlign w:val="center"/>
            <w:hideMark/>
          </w:tcPr>
          <w:p w14:paraId="59F8895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AB7EF0" w:rsidRPr="00704883" w14:paraId="74BB968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E2DBBC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3° São considerados requisitos mínimos para habilitação: </w:t>
            </w:r>
          </w:p>
        </w:tc>
        <w:tc>
          <w:tcPr>
            <w:tcW w:w="1660" w:type="pct"/>
            <w:tcBorders>
              <w:top w:val="nil"/>
              <w:left w:val="nil"/>
              <w:bottom w:val="single" w:sz="4" w:space="0" w:color="auto"/>
              <w:right w:val="single" w:sz="4" w:space="0" w:color="auto"/>
            </w:tcBorders>
            <w:shd w:val="clear" w:color="auto" w:fill="auto"/>
            <w:vAlign w:val="center"/>
            <w:hideMark/>
          </w:tcPr>
          <w:p w14:paraId="7B8AC498" w14:textId="06DF5942"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18</w:t>
            </w:r>
            <w:r w:rsidR="00802617">
              <w:rPr>
                <w:rFonts w:ascii="Calibri" w:eastAsia="Times New Roman" w:hAnsi="Calibri" w:cstheme="minorHAnsi"/>
                <w:color w:val="000000"/>
                <w:sz w:val="24"/>
                <w:szCs w:val="24"/>
                <w:lang w:eastAsia="pt-BR"/>
              </w:rPr>
              <w:t>5</w:t>
            </w:r>
            <w:r w:rsidRPr="00704883">
              <w:rPr>
                <w:rFonts w:ascii="Calibri" w:eastAsia="Times New Roman" w:hAnsi="Calibri" w:cstheme="minorHAnsi"/>
                <w:color w:val="000000"/>
                <w:sz w:val="24"/>
                <w:szCs w:val="24"/>
                <w:lang w:eastAsia="pt-BR"/>
              </w:rPr>
              <w:t xml:space="preserve">.  São considerados requisitos mínimos para habilitação: </w:t>
            </w:r>
          </w:p>
        </w:tc>
        <w:tc>
          <w:tcPr>
            <w:tcW w:w="1679" w:type="pct"/>
            <w:tcBorders>
              <w:top w:val="nil"/>
              <w:left w:val="nil"/>
              <w:bottom w:val="single" w:sz="4" w:space="0" w:color="auto"/>
              <w:right w:val="single" w:sz="4" w:space="0" w:color="auto"/>
            </w:tcBorders>
            <w:shd w:val="clear" w:color="auto" w:fill="auto"/>
            <w:vAlign w:val="center"/>
            <w:hideMark/>
          </w:tcPr>
          <w:p w14:paraId="15A4F79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F51878B"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B89983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 - Ter comprovada experiência de, no mínimo, três anos no exercício de atividades nas áreas financeira, administrativa, contábil. jurídica, de fiscalização, de atuária, de previdência ou de auditoria, nos termos da legislação aplicável;</w:t>
            </w:r>
          </w:p>
        </w:tc>
        <w:tc>
          <w:tcPr>
            <w:tcW w:w="1660" w:type="pct"/>
            <w:tcBorders>
              <w:top w:val="nil"/>
              <w:left w:val="nil"/>
              <w:bottom w:val="single" w:sz="4" w:space="0" w:color="auto"/>
              <w:right w:val="single" w:sz="4" w:space="0" w:color="auto"/>
            </w:tcBorders>
            <w:shd w:val="clear" w:color="auto" w:fill="auto"/>
            <w:vAlign w:val="center"/>
            <w:hideMark/>
          </w:tcPr>
          <w:p w14:paraId="48A28A8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ter</w:t>
            </w:r>
            <w:proofErr w:type="gramEnd"/>
            <w:r w:rsidRPr="00704883">
              <w:rPr>
                <w:rFonts w:ascii="Calibri" w:eastAsia="Times New Roman" w:hAnsi="Calibri" w:cstheme="minorHAnsi"/>
                <w:color w:val="000000"/>
                <w:sz w:val="24"/>
                <w:szCs w:val="24"/>
                <w:lang w:eastAsia="pt-BR"/>
              </w:rPr>
              <w:t xml:space="preserve"> comprovada experiência de, no mínimo, três anos no exercício de atividades nas áreas financeira, administrativa, contábil, jurídica, de fiscalização, de atuária, de previdência ou de auditoria, nos termos da legislação aplicável;</w:t>
            </w:r>
          </w:p>
        </w:tc>
        <w:tc>
          <w:tcPr>
            <w:tcW w:w="1679" w:type="pct"/>
            <w:tcBorders>
              <w:top w:val="nil"/>
              <w:left w:val="nil"/>
              <w:bottom w:val="single" w:sz="4" w:space="0" w:color="auto"/>
              <w:right w:val="single" w:sz="4" w:space="0" w:color="auto"/>
            </w:tcBorders>
            <w:shd w:val="clear" w:color="auto" w:fill="auto"/>
            <w:vAlign w:val="center"/>
            <w:hideMark/>
          </w:tcPr>
          <w:p w14:paraId="1EA8DDC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0F8FC7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C9AE5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Não ter sofrido penalidade administrativa por infração da legislação da seguridade social. inclusive da previdência complementar, ou como servidor público; </w:t>
            </w:r>
          </w:p>
        </w:tc>
        <w:tc>
          <w:tcPr>
            <w:tcW w:w="1660" w:type="pct"/>
            <w:tcBorders>
              <w:top w:val="nil"/>
              <w:left w:val="nil"/>
              <w:bottom w:val="single" w:sz="4" w:space="0" w:color="auto"/>
              <w:right w:val="single" w:sz="4" w:space="0" w:color="auto"/>
            </w:tcBorders>
            <w:shd w:val="clear" w:color="auto" w:fill="auto"/>
            <w:vAlign w:val="center"/>
            <w:hideMark/>
          </w:tcPr>
          <w:p w14:paraId="25315CE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não</w:t>
            </w:r>
            <w:proofErr w:type="gramEnd"/>
            <w:r w:rsidRPr="00704883">
              <w:rPr>
                <w:rFonts w:ascii="Calibri" w:eastAsia="Times New Roman" w:hAnsi="Calibri" w:cstheme="minorHAnsi"/>
                <w:color w:val="000000"/>
                <w:sz w:val="24"/>
                <w:szCs w:val="24"/>
                <w:lang w:eastAsia="pt-BR"/>
              </w:rPr>
              <w:t xml:space="preserve"> ter sofrido penalidade administrativa por infração da legislação da seguridade social, inclusive da previdência complementar, ou como servidor público; </w:t>
            </w:r>
          </w:p>
        </w:tc>
        <w:tc>
          <w:tcPr>
            <w:tcW w:w="1679" w:type="pct"/>
            <w:tcBorders>
              <w:top w:val="nil"/>
              <w:left w:val="nil"/>
              <w:bottom w:val="single" w:sz="4" w:space="0" w:color="auto"/>
              <w:right w:val="single" w:sz="4" w:space="0" w:color="auto"/>
            </w:tcBorders>
            <w:shd w:val="clear" w:color="auto" w:fill="auto"/>
            <w:vAlign w:val="center"/>
            <w:hideMark/>
          </w:tcPr>
          <w:p w14:paraId="71C6C17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C4059DB"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FA8CB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não ter sofrido condenação criminal transitada em julgado; </w:t>
            </w:r>
          </w:p>
        </w:tc>
        <w:tc>
          <w:tcPr>
            <w:tcW w:w="1660" w:type="pct"/>
            <w:tcBorders>
              <w:top w:val="nil"/>
              <w:left w:val="nil"/>
              <w:bottom w:val="single" w:sz="4" w:space="0" w:color="auto"/>
              <w:right w:val="single" w:sz="4" w:space="0" w:color="auto"/>
            </w:tcBorders>
            <w:shd w:val="clear" w:color="auto" w:fill="auto"/>
            <w:vAlign w:val="center"/>
            <w:hideMark/>
          </w:tcPr>
          <w:p w14:paraId="18F6265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não ter sofrido condenação criminal transitada em julgado; </w:t>
            </w:r>
          </w:p>
        </w:tc>
        <w:tc>
          <w:tcPr>
            <w:tcW w:w="1679" w:type="pct"/>
            <w:tcBorders>
              <w:top w:val="nil"/>
              <w:left w:val="nil"/>
              <w:bottom w:val="single" w:sz="4" w:space="0" w:color="auto"/>
              <w:right w:val="single" w:sz="4" w:space="0" w:color="auto"/>
            </w:tcBorders>
            <w:shd w:val="clear" w:color="auto" w:fill="auto"/>
            <w:vAlign w:val="center"/>
            <w:hideMark/>
          </w:tcPr>
          <w:p w14:paraId="3628F4B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7849A38"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C416C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ter</w:t>
            </w:r>
            <w:proofErr w:type="gramEnd"/>
            <w:r w:rsidRPr="00704883">
              <w:rPr>
                <w:rFonts w:ascii="Calibri" w:eastAsia="Times New Roman" w:hAnsi="Calibri" w:cstheme="minorHAnsi"/>
                <w:color w:val="000000"/>
                <w:sz w:val="24"/>
                <w:szCs w:val="24"/>
                <w:lang w:eastAsia="pt-BR"/>
              </w:rPr>
              <w:t xml:space="preserve"> reputação ilibada; e </w:t>
            </w:r>
          </w:p>
        </w:tc>
        <w:tc>
          <w:tcPr>
            <w:tcW w:w="1660" w:type="pct"/>
            <w:tcBorders>
              <w:top w:val="nil"/>
              <w:left w:val="nil"/>
              <w:bottom w:val="single" w:sz="4" w:space="0" w:color="auto"/>
              <w:right w:val="single" w:sz="4" w:space="0" w:color="auto"/>
            </w:tcBorders>
            <w:shd w:val="clear" w:color="auto" w:fill="auto"/>
            <w:vAlign w:val="center"/>
            <w:hideMark/>
          </w:tcPr>
          <w:p w14:paraId="1CAB941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ter</w:t>
            </w:r>
            <w:proofErr w:type="gramEnd"/>
            <w:r w:rsidRPr="00704883">
              <w:rPr>
                <w:rFonts w:ascii="Calibri" w:eastAsia="Times New Roman" w:hAnsi="Calibri" w:cstheme="minorHAnsi"/>
                <w:color w:val="000000"/>
                <w:sz w:val="24"/>
                <w:szCs w:val="24"/>
                <w:lang w:eastAsia="pt-BR"/>
              </w:rPr>
              <w:t xml:space="preserve"> reputação ilibada; e </w:t>
            </w:r>
          </w:p>
        </w:tc>
        <w:tc>
          <w:tcPr>
            <w:tcW w:w="1679" w:type="pct"/>
            <w:tcBorders>
              <w:top w:val="nil"/>
              <w:left w:val="nil"/>
              <w:bottom w:val="single" w:sz="4" w:space="0" w:color="auto"/>
              <w:right w:val="single" w:sz="4" w:space="0" w:color="auto"/>
            </w:tcBorders>
            <w:shd w:val="clear" w:color="auto" w:fill="auto"/>
            <w:vAlign w:val="center"/>
            <w:hideMark/>
          </w:tcPr>
          <w:p w14:paraId="7D5BD84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4BEF7F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51D376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Possuir certificado emitido por instituição certificadora reconhecida pela Previc. </w:t>
            </w:r>
          </w:p>
        </w:tc>
        <w:tc>
          <w:tcPr>
            <w:tcW w:w="1660" w:type="pct"/>
            <w:tcBorders>
              <w:top w:val="nil"/>
              <w:left w:val="nil"/>
              <w:bottom w:val="single" w:sz="4" w:space="0" w:color="auto"/>
              <w:right w:val="single" w:sz="4" w:space="0" w:color="auto"/>
            </w:tcBorders>
            <w:shd w:val="clear" w:color="auto" w:fill="auto"/>
            <w:vAlign w:val="center"/>
            <w:hideMark/>
          </w:tcPr>
          <w:p w14:paraId="0CE2405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possuir</w:t>
            </w:r>
            <w:proofErr w:type="gramEnd"/>
            <w:r w:rsidRPr="00704883">
              <w:rPr>
                <w:rFonts w:ascii="Calibri" w:eastAsia="Times New Roman" w:hAnsi="Calibri" w:cstheme="minorHAnsi"/>
                <w:color w:val="000000"/>
                <w:sz w:val="24"/>
                <w:szCs w:val="24"/>
                <w:lang w:eastAsia="pt-BR"/>
              </w:rPr>
              <w:t xml:space="preserve"> certificado emitido por instituição certificadora reconhecida pela Previc. </w:t>
            </w:r>
          </w:p>
        </w:tc>
        <w:tc>
          <w:tcPr>
            <w:tcW w:w="1679" w:type="pct"/>
            <w:tcBorders>
              <w:top w:val="nil"/>
              <w:left w:val="nil"/>
              <w:bottom w:val="single" w:sz="4" w:space="0" w:color="auto"/>
              <w:right w:val="single" w:sz="4" w:space="0" w:color="auto"/>
            </w:tcBorders>
            <w:shd w:val="clear" w:color="auto" w:fill="auto"/>
            <w:vAlign w:val="center"/>
            <w:hideMark/>
          </w:tcPr>
          <w:p w14:paraId="5ECACA4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B947AE1"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D3C517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Os membros da diretoria-executiva, além de atender aos requisitos previstos nos incisos do caput, deverão residir no Brasil e ter formação de nível superior, ressalvando-se, neste último caso, o disposto no §8° do art. 35 da Lei Complementar nº 109, de 29 de maio de 2001. </w:t>
            </w:r>
          </w:p>
        </w:tc>
        <w:tc>
          <w:tcPr>
            <w:tcW w:w="1660" w:type="pct"/>
            <w:tcBorders>
              <w:top w:val="nil"/>
              <w:left w:val="nil"/>
              <w:bottom w:val="single" w:sz="4" w:space="0" w:color="auto"/>
              <w:right w:val="single" w:sz="4" w:space="0" w:color="auto"/>
            </w:tcBorders>
            <w:shd w:val="clear" w:color="auto" w:fill="auto"/>
            <w:vAlign w:val="center"/>
            <w:hideMark/>
          </w:tcPr>
          <w:p w14:paraId="1E0F2B89" w14:textId="77777777"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1</w:t>
            </w:r>
            <w:proofErr w:type="gramStart"/>
            <w:r w:rsidRPr="00704883">
              <w:rPr>
                <w:rFonts w:ascii="Calibri" w:eastAsia="Times New Roman" w:hAnsi="Calibri" w:cstheme="minorHAnsi"/>
                <w:sz w:val="24"/>
                <w:szCs w:val="24"/>
                <w:lang w:eastAsia="pt-BR"/>
              </w:rPr>
              <w:t>º  Os</w:t>
            </w:r>
            <w:proofErr w:type="gramEnd"/>
            <w:r w:rsidRPr="00704883">
              <w:rPr>
                <w:rFonts w:ascii="Calibri" w:eastAsia="Times New Roman" w:hAnsi="Calibri" w:cstheme="minorHAnsi"/>
                <w:sz w:val="24"/>
                <w:szCs w:val="24"/>
                <w:lang w:eastAsia="pt-BR"/>
              </w:rPr>
              <w:t xml:space="preserve"> membros da diretoria-executiva, além de atender aos requisitos previstos nos incisos do caput, devem residir no Brasil e ter formação de nível superior, ressalvando-se, neste último caso, o disposto no § 8º do art. 35 da Lei Complementar nº 109, de 29 de maio de 2001. </w:t>
            </w:r>
          </w:p>
        </w:tc>
        <w:tc>
          <w:tcPr>
            <w:tcW w:w="1679" w:type="pct"/>
            <w:tcBorders>
              <w:top w:val="nil"/>
              <w:left w:val="nil"/>
              <w:bottom w:val="single" w:sz="4" w:space="0" w:color="auto"/>
              <w:right w:val="single" w:sz="4" w:space="0" w:color="auto"/>
            </w:tcBorders>
            <w:shd w:val="clear" w:color="auto" w:fill="auto"/>
            <w:vAlign w:val="center"/>
            <w:hideMark/>
          </w:tcPr>
          <w:p w14:paraId="4705FBA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207D59A"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3AE69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§2° O membro da diretoria-executiva indicado para a função de administrador estatutário tecnicamente qualificado deverá possuir certificado específico para profissionais de investimentos e experiência mínima de três anos de exercício de atividades na área de investimentos. </w:t>
            </w:r>
          </w:p>
        </w:tc>
        <w:tc>
          <w:tcPr>
            <w:tcW w:w="1660" w:type="pct"/>
            <w:tcBorders>
              <w:top w:val="nil"/>
              <w:left w:val="nil"/>
              <w:bottom w:val="single" w:sz="4" w:space="0" w:color="auto"/>
              <w:right w:val="single" w:sz="4" w:space="0" w:color="auto"/>
            </w:tcBorders>
            <w:shd w:val="clear" w:color="auto" w:fill="auto"/>
            <w:vAlign w:val="center"/>
            <w:hideMark/>
          </w:tcPr>
          <w:p w14:paraId="60AC7143" w14:textId="356FF2A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membro da diretoria-executiva indicado para a função de administrador estatutário tecnicamente qualificado</w:t>
            </w:r>
            <w:r w:rsidR="005C5FD8">
              <w:rPr>
                <w:rFonts w:ascii="Calibri" w:eastAsia="Times New Roman" w:hAnsi="Calibri" w:cstheme="minorHAnsi"/>
                <w:color w:val="000000"/>
                <w:sz w:val="24"/>
                <w:szCs w:val="24"/>
                <w:lang w:eastAsia="pt-BR"/>
              </w:rPr>
              <w:t xml:space="preserve"> (AETQ)</w:t>
            </w:r>
            <w:r w:rsidRPr="00704883">
              <w:rPr>
                <w:rFonts w:ascii="Calibri" w:eastAsia="Times New Roman" w:hAnsi="Calibri" w:cstheme="minorHAnsi"/>
                <w:color w:val="000000"/>
                <w:sz w:val="24"/>
                <w:szCs w:val="24"/>
                <w:lang w:eastAsia="pt-BR"/>
              </w:rPr>
              <w:t xml:space="preserve"> deve possuir certificado específico para profissionais de investimentos e experiência mínima de três anos de exercício de atividades na área de investimentos. </w:t>
            </w:r>
          </w:p>
        </w:tc>
        <w:tc>
          <w:tcPr>
            <w:tcW w:w="1679" w:type="pct"/>
            <w:tcBorders>
              <w:top w:val="nil"/>
              <w:left w:val="nil"/>
              <w:bottom w:val="single" w:sz="4" w:space="0" w:color="auto"/>
              <w:right w:val="single" w:sz="4" w:space="0" w:color="auto"/>
            </w:tcBorders>
            <w:shd w:val="clear" w:color="auto" w:fill="auto"/>
            <w:vAlign w:val="center"/>
            <w:hideMark/>
          </w:tcPr>
          <w:p w14:paraId="52820BB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572898B"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19A4D4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§3° De acordo com o porte da EFPC, a maturidade e a modalidade dos planos de benefícios, bem como o montante financeiro gerido, a Previc poderá considerar para fins de experiência profissional do administrador estatutário tecnicamente qualificado atividades correlatas a de investimentos que supram os requisitos para o desempenho do cargo. </w:t>
            </w:r>
          </w:p>
        </w:tc>
        <w:tc>
          <w:tcPr>
            <w:tcW w:w="1660" w:type="pct"/>
            <w:tcBorders>
              <w:top w:val="nil"/>
              <w:left w:val="nil"/>
              <w:bottom w:val="single" w:sz="4" w:space="0" w:color="auto"/>
              <w:right w:val="single" w:sz="4" w:space="0" w:color="auto"/>
            </w:tcBorders>
            <w:shd w:val="clear" w:color="auto" w:fill="auto"/>
            <w:vAlign w:val="center"/>
            <w:hideMark/>
          </w:tcPr>
          <w:p w14:paraId="7793C94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w:t>
            </w:r>
            <w:proofErr w:type="gramStart"/>
            <w:r w:rsidRPr="00704883">
              <w:rPr>
                <w:rFonts w:ascii="Calibri" w:eastAsia="Times New Roman" w:hAnsi="Calibri" w:cstheme="minorHAnsi"/>
                <w:color w:val="000000"/>
                <w:sz w:val="24"/>
                <w:szCs w:val="24"/>
                <w:lang w:eastAsia="pt-BR"/>
              </w:rPr>
              <w:t>º  De</w:t>
            </w:r>
            <w:proofErr w:type="gramEnd"/>
            <w:r w:rsidRPr="00704883">
              <w:rPr>
                <w:rFonts w:ascii="Calibri" w:eastAsia="Times New Roman" w:hAnsi="Calibri" w:cstheme="minorHAnsi"/>
                <w:color w:val="000000"/>
                <w:sz w:val="24"/>
                <w:szCs w:val="24"/>
                <w:lang w:eastAsia="pt-BR"/>
              </w:rPr>
              <w:t xml:space="preserve"> acordo com o porte da EFPC, a maturidade e a modalidade dos planos de benefícios, bem como o montante financeiro gerido, a Previc pode considerar para fins de experiência profissional do administrador estatutário tecnicamente qualificado atividades correlatas a de investimentos que suprem os requisitos para o desempenho do cargo. </w:t>
            </w:r>
          </w:p>
        </w:tc>
        <w:tc>
          <w:tcPr>
            <w:tcW w:w="1679" w:type="pct"/>
            <w:tcBorders>
              <w:top w:val="nil"/>
              <w:left w:val="nil"/>
              <w:bottom w:val="single" w:sz="4" w:space="0" w:color="auto"/>
              <w:right w:val="single" w:sz="4" w:space="0" w:color="auto"/>
            </w:tcBorders>
            <w:shd w:val="clear" w:color="auto" w:fill="auto"/>
            <w:vAlign w:val="center"/>
            <w:hideMark/>
          </w:tcPr>
          <w:p w14:paraId="7B9D87E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C1C500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6138C5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§4° São considerados para fins de comprovação da experiência profissional, de que tratam os §2° e §3°, os cargos, empregos e funções regularmente ocupados nos dez anos que antecederam o pedido de habilitação. </w:t>
            </w:r>
          </w:p>
        </w:tc>
        <w:tc>
          <w:tcPr>
            <w:tcW w:w="1660" w:type="pct"/>
            <w:tcBorders>
              <w:top w:val="nil"/>
              <w:left w:val="nil"/>
              <w:bottom w:val="single" w:sz="4" w:space="0" w:color="auto"/>
              <w:right w:val="single" w:sz="4" w:space="0" w:color="auto"/>
            </w:tcBorders>
            <w:shd w:val="clear" w:color="auto" w:fill="auto"/>
            <w:vAlign w:val="center"/>
            <w:hideMark/>
          </w:tcPr>
          <w:p w14:paraId="66FC90B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4</w:t>
            </w:r>
            <w:proofErr w:type="gramStart"/>
            <w:r w:rsidRPr="00704883">
              <w:rPr>
                <w:rFonts w:ascii="Calibri" w:eastAsia="Times New Roman" w:hAnsi="Calibri" w:cstheme="minorHAnsi"/>
                <w:color w:val="000000"/>
                <w:sz w:val="24"/>
                <w:szCs w:val="24"/>
                <w:lang w:eastAsia="pt-BR"/>
              </w:rPr>
              <w:t>º  São</w:t>
            </w:r>
            <w:proofErr w:type="gramEnd"/>
            <w:r w:rsidRPr="00704883">
              <w:rPr>
                <w:rFonts w:ascii="Calibri" w:eastAsia="Times New Roman" w:hAnsi="Calibri" w:cstheme="minorHAnsi"/>
                <w:color w:val="000000"/>
                <w:sz w:val="24"/>
                <w:szCs w:val="24"/>
                <w:lang w:eastAsia="pt-BR"/>
              </w:rPr>
              <w:t xml:space="preserve"> considerados para fins de comprovação da experiência profissional, de que tratam os § 2º e § 3º, os cargos, empregos e funções regularmente ocupados nos dez anos que antecedem o pedido de habilitação. </w:t>
            </w:r>
          </w:p>
        </w:tc>
        <w:tc>
          <w:tcPr>
            <w:tcW w:w="1679" w:type="pct"/>
            <w:tcBorders>
              <w:top w:val="nil"/>
              <w:left w:val="nil"/>
              <w:bottom w:val="single" w:sz="4" w:space="0" w:color="auto"/>
              <w:right w:val="single" w:sz="4" w:space="0" w:color="auto"/>
            </w:tcBorders>
            <w:shd w:val="clear" w:color="auto" w:fill="auto"/>
            <w:vAlign w:val="center"/>
            <w:hideMark/>
          </w:tcPr>
          <w:p w14:paraId="0248C0E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804C636"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5360F2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§5° Para fins de avaliação do cumprimento do requisito mencionado no inciso II do caput, não serão consideradas as penalidades administrativas aplicadas pela Previc cumpridas há mais de cinco anos, bem como a pena de multa, quando não reincidente, ou de advertência. </w:t>
            </w:r>
          </w:p>
        </w:tc>
        <w:tc>
          <w:tcPr>
            <w:tcW w:w="1660" w:type="pct"/>
            <w:tcBorders>
              <w:top w:val="nil"/>
              <w:left w:val="nil"/>
              <w:bottom w:val="single" w:sz="4" w:space="0" w:color="auto"/>
              <w:right w:val="single" w:sz="4" w:space="0" w:color="auto"/>
            </w:tcBorders>
            <w:shd w:val="clear" w:color="auto" w:fill="auto"/>
            <w:vAlign w:val="center"/>
            <w:hideMark/>
          </w:tcPr>
          <w:p w14:paraId="25F0456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5</w:t>
            </w:r>
            <w:proofErr w:type="gramStart"/>
            <w:r w:rsidRPr="00704883">
              <w:rPr>
                <w:rFonts w:ascii="Calibri" w:eastAsia="Times New Roman" w:hAnsi="Calibri" w:cstheme="minorHAnsi"/>
                <w:color w:val="000000"/>
                <w:sz w:val="24"/>
                <w:szCs w:val="24"/>
                <w:lang w:eastAsia="pt-BR"/>
              </w:rPr>
              <w:t>º  Para</w:t>
            </w:r>
            <w:proofErr w:type="gramEnd"/>
            <w:r w:rsidRPr="00704883">
              <w:rPr>
                <w:rFonts w:ascii="Calibri" w:eastAsia="Times New Roman" w:hAnsi="Calibri" w:cstheme="minorHAnsi"/>
                <w:color w:val="000000"/>
                <w:sz w:val="24"/>
                <w:szCs w:val="24"/>
                <w:lang w:eastAsia="pt-BR"/>
              </w:rPr>
              <w:t xml:space="preserve"> fins de avaliação do cumprimento do requisito mencionado no inciso 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não são consideradas as penalidades administrativas aplicadas pela Previc cumpridas há mais de cinco anos, bem como a pena de multa, quando não reincidente, ou de advertência. </w:t>
            </w:r>
          </w:p>
        </w:tc>
        <w:tc>
          <w:tcPr>
            <w:tcW w:w="1679" w:type="pct"/>
            <w:tcBorders>
              <w:top w:val="nil"/>
              <w:left w:val="nil"/>
              <w:bottom w:val="single" w:sz="4" w:space="0" w:color="auto"/>
              <w:right w:val="single" w:sz="4" w:space="0" w:color="auto"/>
            </w:tcBorders>
            <w:shd w:val="clear" w:color="auto" w:fill="auto"/>
            <w:vAlign w:val="center"/>
            <w:hideMark/>
          </w:tcPr>
          <w:p w14:paraId="0DA2578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366882C"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34DC3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§6° As condenações criminais não relacionadas com as responsabilidades de dirigente de EFPC ou com as funções inerentes ao cargo pretendido não serão consideradas para fins de avaliação do requisito previsto no inciso III do caput. </w:t>
            </w:r>
          </w:p>
        </w:tc>
        <w:tc>
          <w:tcPr>
            <w:tcW w:w="1660" w:type="pct"/>
            <w:tcBorders>
              <w:top w:val="nil"/>
              <w:left w:val="nil"/>
              <w:bottom w:val="single" w:sz="4" w:space="0" w:color="auto"/>
              <w:right w:val="single" w:sz="4" w:space="0" w:color="auto"/>
            </w:tcBorders>
            <w:shd w:val="clear" w:color="auto" w:fill="auto"/>
            <w:vAlign w:val="center"/>
            <w:hideMark/>
          </w:tcPr>
          <w:p w14:paraId="38F1C2B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6</w:t>
            </w:r>
            <w:proofErr w:type="gramStart"/>
            <w:r w:rsidRPr="00704883">
              <w:rPr>
                <w:rFonts w:ascii="Calibri" w:eastAsia="Times New Roman" w:hAnsi="Calibri" w:cstheme="minorHAnsi"/>
                <w:color w:val="000000"/>
                <w:sz w:val="24"/>
                <w:szCs w:val="24"/>
                <w:lang w:eastAsia="pt-BR"/>
              </w:rPr>
              <w:t>º  As</w:t>
            </w:r>
            <w:proofErr w:type="gramEnd"/>
            <w:r w:rsidRPr="00704883">
              <w:rPr>
                <w:rFonts w:ascii="Calibri" w:eastAsia="Times New Roman" w:hAnsi="Calibri" w:cstheme="minorHAnsi"/>
                <w:color w:val="000000"/>
                <w:sz w:val="24"/>
                <w:szCs w:val="24"/>
                <w:lang w:eastAsia="pt-BR"/>
              </w:rPr>
              <w:t xml:space="preserve"> condenações criminais não relacionadas com as responsabilidades de dirigente de EFPC ou com as funções inerentes ao cargo pretendido não são consideradas para fins de avaliação do requisito previsto no inciso III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2DC8977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D19914F"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82A35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§7° Os requisitos relacionados nos incisos III a IV do caput deverão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tc>
        <w:tc>
          <w:tcPr>
            <w:tcW w:w="1660" w:type="pct"/>
            <w:tcBorders>
              <w:top w:val="nil"/>
              <w:left w:val="nil"/>
              <w:bottom w:val="single" w:sz="4" w:space="0" w:color="auto"/>
              <w:right w:val="single" w:sz="4" w:space="0" w:color="auto"/>
            </w:tcBorders>
            <w:shd w:val="clear" w:color="auto" w:fill="auto"/>
            <w:vAlign w:val="center"/>
            <w:hideMark/>
          </w:tcPr>
          <w:p w14:paraId="21C1835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7</w:t>
            </w:r>
            <w:proofErr w:type="gramStart"/>
            <w:r w:rsidRPr="00704883">
              <w:rPr>
                <w:rFonts w:ascii="Calibri" w:eastAsia="Times New Roman" w:hAnsi="Calibri" w:cstheme="minorHAnsi"/>
                <w:color w:val="000000"/>
                <w:sz w:val="24"/>
                <w:szCs w:val="24"/>
                <w:lang w:eastAsia="pt-BR"/>
              </w:rPr>
              <w:t>º  Os</w:t>
            </w:r>
            <w:proofErr w:type="gramEnd"/>
            <w:r w:rsidRPr="00704883">
              <w:rPr>
                <w:rFonts w:ascii="Calibri" w:eastAsia="Times New Roman" w:hAnsi="Calibri" w:cstheme="minorHAnsi"/>
                <w:color w:val="000000"/>
                <w:sz w:val="24"/>
                <w:szCs w:val="24"/>
                <w:lang w:eastAsia="pt-BR"/>
              </w:rPr>
              <w:t xml:space="preserve"> requisitos relacionados nos incisos III a IV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tc>
        <w:tc>
          <w:tcPr>
            <w:tcW w:w="1679" w:type="pct"/>
            <w:tcBorders>
              <w:top w:val="nil"/>
              <w:left w:val="nil"/>
              <w:bottom w:val="single" w:sz="4" w:space="0" w:color="auto"/>
              <w:right w:val="single" w:sz="4" w:space="0" w:color="auto"/>
            </w:tcBorders>
            <w:shd w:val="clear" w:color="auto" w:fill="auto"/>
            <w:vAlign w:val="center"/>
            <w:hideMark/>
          </w:tcPr>
          <w:p w14:paraId="17D8A40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BE0159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8E86BB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§8° O certificado previsto no inciso V do caput poderá ser dispensado para dirigentes de EFPC em fase de encerramento.</w:t>
            </w:r>
          </w:p>
        </w:tc>
        <w:tc>
          <w:tcPr>
            <w:tcW w:w="1660" w:type="pct"/>
            <w:tcBorders>
              <w:top w:val="nil"/>
              <w:left w:val="nil"/>
              <w:bottom w:val="single" w:sz="4" w:space="0" w:color="auto"/>
              <w:right w:val="single" w:sz="4" w:space="0" w:color="auto"/>
            </w:tcBorders>
            <w:shd w:val="clear" w:color="auto" w:fill="auto"/>
            <w:vAlign w:val="center"/>
            <w:hideMark/>
          </w:tcPr>
          <w:p w14:paraId="5778905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8</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certificado previsto no inciso V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pode ser dispensado para dirigentes de EFPC em fase de encerramento.</w:t>
            </w:r>
          </w:p>
        </w:tc>
        <w:tc>
          <w:tcPr>
            <w:tcW w:w="1679" w:type="pct"/>
            <w:tcBorders>
              <w:top w:val="nil"/>
              <w:left w:val="nil"/>
              <w:bottom w:val="single" w:sz="4" w:space="0" w:color="auto"/>
              <w:right w:val="single" w:sz="4" w:space="0" w:color="auto"/>
            </w:tcBorders>
            <w:shd w:val="clear" w:color="auto" w:fill="auto"/>
            <w:vAlign w:val="center"/>
            <w:hideMark/>
          </w:tcPr>
          <w:p w14:paraId="47470D9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3701A32"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AA331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4° Para análise do requisito de reputação ilibada deverão ser considerados atos, situações ou circunstâncias incompatíveis com a natureza do cargo ou função a ser exercida, entre estes a existência de: </w:t>
            </w:r>
          </w:p>
        </w:tc>
        <w:tc>
          <w:tcPr>
            <w:tcW w:w="1660" w:type="pct"/>
            <w:tcBorders>
              <w:top w:val="nil"/>
              <w:left w:val="nil"/>
              <w:bottom w:val="single" w:sz="4" w:space="0" w:color="auto"/>
              <w:right w:val="single" w:sz="4" w:space="0" w:color="auto"/>
            </w:tcBorders>
            <w:shd w:val="clear" w:color="auto" w:fill="auto"/>
            <w:vAlign w:val="center"/>
            <w:hideMark/>
          </w:tcPr>
          <w:p w14:paraId="52774B14" w14:textId="7BE0860E"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18</w:t>
            </w:r>
            <w:r w:rsidR="00802617">
              <w:rPr>
                <w:rFonts w:ascii="Calibri" w:eastAsia="Times New Roman" w:hAnsi="Calibri" w:cstheme="minorHAnsi"/>
                <w:color w:val="000000"/>
                <w:sz w:val="24"/>
                <w:szCs w:val="24"/>
                <w:lang w:eastAsia="pt-BR"/>
              </w:rPr>
              <w:t>6</w:t>
            </w:r>
            <w:r w:rsidRPr="00704883">
              <w:rPr>
                <w:rFonts w:ascii="Calibri" w:eastAsia="Times New Roman" w:hAnsi="Calibri" w:cstheme="minorHAnsi"/>
                <w:color w:val="000000"/>
                <w:sz w:val="24"/>
                <w:szCs w:val="24"/>
                <w:lang w:eastAsia="pt-BR"/>
              </w:rPr>
              <w:t xml:space="preserve">.  Para análise do requisito de reputação ilibada devem ser considerados atos, situações ou circunstâncias incompatíveis com a natureza do cargo ou função a ser exercida, entre estes a existência de: </w:t>
            </w:r>
          </w:p>
        </w:tc>
        <w:tc>
          <w:tcPr>
            <w:tcW w:w="1679" w:type="pct"/>
            <w:tcBorders>
              <w:top w:val="nil"/>
              <w:left w:val="nil"/>
              <w:bottom w:val="single" w:sz="4" w:space="0" w:color="auto"/>
              <w:right w:val="single" w:sz="4" w:space="0" w:color="auto"/>
            </w:tcBorders>
            <w:shd w:val="clear" w:color="auto" w:fill="auto"/>
            <w:vAlign w:val="center"/>
            <w:hideMark/>
          </w:tcPr>
          <w:p w14:paraId="458827E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7B13F4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EA9B00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Processo criminal a que esteja respondendo relacionado com as responsabilidades de dirigente de EFPC ou com as funções inerentes ao cargo pretendido; </w:t>
            </w:r>
          </w:p>
        </w:tc>
        <w:tc>
          <w:tcPr>
            <w:tcW w:w="1660" w:type="pct"/>
            <w:tcBorders>
              <w:top w:val="nil"/>
              <w:left w:val="nil"/>
              <w:bottom w:val="single" w:sz="4" w:space="0" w:color="auto"/>
              <w:right w:val="single" w:sz="4" w:space="0" w:color="auto"/>
            </w:tcBorders>
            <w:shd w:val="clear" w:color="auto" w:fill="auto"/>
            <w:vAlign w:val="center"/>
            <w:hideMark/>
          </w:tcPr>
          <w:p w14:paraId="5ED1E6E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processo</w:t>
            </w:r>
            <w:proofErr w:type="gramEnd"/>
            <w:r w:rsidRPr="00704883">
              <w:rPr>
                <w:rFonts w:ascii="Calibri" w:eastAsia="Times New Roman" w:hAnsi="Calibri" w:cstheme="minorHAnsi"/>
                <w:color w:val="000000"/>
                <w:sz w:val="24"/>
                <w:szCs w:val="24"/>
                <w:lang w:eastAsia="pt-BR"/>
              </w:rPr>
              <w:t xml:space="preserve"> criminal a que esteja respondendo relacionado com as responsabilidades de dirigente de EFPC ou com as funções inerentes ao cargo pretendido; </w:t>
            </w:r>
          </w:p>
        </w:tc>
        <w:tc>
          <w:tcPr>
            <w:tcW w:w="1679" w:type="pct"/>
            <w:tcBorders>
              <w:top w:val="nil"/>
              <w:left w:val="nil"/>
              <w:bottom w:val="single" w:sz="4" w:space="0" w:color="auto"/>
              <w:right w:val="single" w:sz="4" w:space="0" w:color="auto"/>
            </w:tcBorders>
            <w:shd w:val="clear" w:color="auto" w:fill="auto"/>
            <w:vAlign w:val="center"/>
            <w:hideMark/>
          </w:tcPr>
          <w:p w14:paraId="35945C9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E74AA2C"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5D4B37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Processo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 </w:t>
            </w:r>
          </w:p>
        </w:tc>
        <w:tc>
          <w:tcPr>
            <w:tcW w:w="1660" w:type="pct"/>
            <w:tcBorders>
              <w:top w:val="nil"/>
              <w:left w:val="nil"/>
              <w:bottom w:val="single" w:sz="4" w:space="0" w:color="auto"/>
              <w:right w:val="single" w:sz="4" w:space="0" w:color="auto"/>
            </w:tcBorders>
            <w:shd w:val="clear" w:color="auto" w:fill="auto"/>
            <w:vAlign w:val="center"/>
            <w:hideMark/>
          </w:tcPr>
          <w:p w14:paraId="4BF6036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processo</w:t>
            </w:r>
            <w:proofErr w:type="gramEnd"/>
            <w:r w:rsidRPr="00704883">
              <w:rPr>
                <w:rFonts w:ascii="Calibri" w:eastAsia="Times New Roman" w:hAnsi="Calibri" w:cstheme="minorHAnsi"/>
                <w:color w:val="000000"/>
                <w:sz w:val="24"/>
                <w:szCs w:val="24"/>
                <w:lang w:eastAsia="pt-BR"/>
              </w:rPr>
              <w:t xml:space="preserve">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 </w:t>
            </w:r>
          </w:p>
        </w:tc>
        <w:tc>
          <w:tcPr>
            <w:tcW w:w="1679" w:type="pct"/>
            <w:tcBorders>
              <w:top w:val="nil"/>
              <w:left w:val="nil"/>
              <w:bottom w:val="single" w:sz="4" w:space="0" w:color="auto"/>
              <w:right w:val="single" w:sz="4" w:space="0" w:color="auto"/>
            </w:tcBorders>
            <w:shd w:val="clear" w:color="auto" w:fill="auto"/>
            <w:vAlign w:val="center"/>
            <w:hideMark/>
          </w:tcPr>
          <w:p w14:paraId="37ED1CB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5C3EF4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CB12B3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processo judicial de natureza não criminal ou processo administrativo a que esteja respondendo por sua atuação como dirigente em EFPC; </w:t>
            </w:r>
          </w:p>
        </w:tc>
        <w:tc>
          <w:tcPr>
            <w:tcW w:w="1660" w:type="pct"/>
            <w:tcBorders>
              <w:top w:val="nil"/>
              <w:left w:val="nil"/>
              <w:bottom w:val="single" w:sz="4" w:space="0" w:color="auto"/>
              <w:right w:val="single" w:sz="4" w:space="0" w:color="auto"/>
            </w:tcBorders>
            <w:shd w:val="clear" w:color="auto" w:fill="auto"/>
            <w:vAlign w:val="center"/>
            <w:hideMark/>
          </w:tcPr>
          <w:p w14:paraId="33D366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processo judicial de natureza não criminal ou processo administrativo a que esteja respondendo por sua atuação como dirigente em EFPC; </w:t>
            </w:r>
          </w:p>
        </w:tc>
        <w:tc>
          <w:tcPr>
            <w:tcW w:w="1679" w:type="pct"/>
            <w:tcBorders>
              <w:top w:val="nil"/>
              <w:left w:val="nil"/>
              <w:bottom w:val="single" w:sz="4" w:space="0" w:color="auto"/>
              <w:right w:val="single" w:sz="4" w:space="0" w:color="auto"/>
            </w:tcBorders>
            <w:shd w:val="clear" w:color="auto" w:fill="auto"/>
            <w:vAlign w:val="center"/>
            <w:hideMark/>
          </w:tcPr>
          <w:p w14:paraId="5004733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8531F7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BF2D6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IV - Processo a que esteja respondendo por improbidade administrativa;</w:t>
            </w:r>
          </w:p>
        </w:tc>
        <w:tc>
          <w:tcPr>
            <w:tcW w:w="1660" w:type="pct"/>
            <w:tcBorders>
              <w:top w:val="nil"/>
              <w:left w:val="nil"/>
              <w:bottom w:val="single" w:sz="4" w:space="0" w:color="auto"/>
              <w:right w:val="single" w:sz="4" w:space="0" w:color="auto"/>
            </w:tcBorders>
            <w:shd w:val="clear" w:color="auto" w:fill="auto"/>
            <w:vAlign w:val="center"/>
            <w:hideMark/>
          </w:tcPr>
          <w:p w14:paraId="393E254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processo</w:t>
            </w:r>
            <w:proofErr w:type="gramEnd"/>
            <w:r w:rsidRPr="00704883">
              <w:rPr>
                <w:rFonts w:ascii="Calibri" w:eastAsia="Times New Roman" w:hAnsi="Calibri" w:cstheme="minorHAnsi"/>
                <w:color w:val="000000"/>
                <w:sz w:val="24"/>
                <w:szCs w:val="24"/>
                <w:lang w:eastAsia="pt-BR"/>
              </w:rPr>
              <w:t xml:space="preserve"> a que esteja respondendo por improbidade administrativa; </w:t>
            </w:r>
          </w:p>
        </w:tc>
        <w:tc>
          <w:tcPr>
            <w:tcW w:w="1679" w:type="pct"/>
            <w:tcBorders>
              <w:top w:val="nil"/>
              <w:left w:val="nil"/>
              <w:bottom w:val="single" w:sz="4" w:space="0" w:color="auto"/>
              <w:right w:val="single" w:sz="4" w:space="0" w:color="auto"/>
            </w:tcBorders>
            <w:shd w:val="clear" w:color="auto" w:fill="auto"/>
            <w:vAlign w:val="center"/>
            <w:hideMark/>
          </w:tcPr>
          <w:p w14:paraId="202A0D7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FBC4ED7"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7EAE98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 </w:t>
            </w:r>
          </w:p>
        </w:tc>
        <w:tc>
          <w:tcPr>
            <w:tcW w:w="1660" w:type="pct"/>
            <w:tcBorders>
              <w:top w:val="nil"/>
              <w:left w:val="nil"/>
              <w:bottom w:val="single" w:sz="4" w:space="0" w:color="auto"/>
              <w:right w:val="single" w:sz="4" w:space="0" w:color="auto"/>
            </w:tcBorders>
            <w:shd w:val="clear" w:color="auto" w:fill="auto"/>
            <w:vAlign w:val="center"/>
            <w:hideMark/>
          </w:tcPr>
          <w:p w14:paraId="0A0DBCF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inabilitação ou suspensão</w:t>
            </w:r>
            <w:proofErr w:type="gramEnd"/>
            <w:r w:rsidRPr="00704883">
              <w:rPr>
                <w:rFonts w:ascii="Calibri" w:eastAsia="Times New Roman" w:hAnsi="Calibri" w:cstheme="minorHAnsi"/>
                <w:color w:val="000000"/>
                <w:sz w:val="24"/>
                <w:szCs w:val="24"/>
                <w:lang w:eastAsia="pt-BR"/>
              </w:rPr>
              <w:t xml:space="preserve"> para o exercício de cargos em órgãos estatutários ou contratuais de instituições financeiras e demais entidades supervisionadas pelo Banco Central do Brasil, Comissão de Valores Mobiliários, Superintendência Nacional de Seguros Privados e Previc; e </w:t>
            </w:r>
          </w:p>
        </w:tc>
        <w:tc>
          <w:tcPr>
            <w:tcW w:w="1679" w:type="pct"/>
            <w:tcBorders>
              <w:top w:val="nil"/>
              <w:left w:val="nil"/>
              <w:bottom w:val="single" w:sz="4" w:space="0" w:color="auto"/>
              <w:right w:val="single" w:sz="4" w:space="0" w:color="auto"/>
            </w:tcBorders>
            <w:shd w:val="clear" w:color="auto" w:fill="auto"/>
            <w:vAlign w:val="center"/>
            <w:hideMark/>
          </w:tcPr>
          <w:p w14:paraId="4C16BF7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EEE95A6"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629455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Outras situações, ocorrências ou circunstâncias julgadas relevantes pela Previc. </w:t>
            </w:r>
          </w:p>
        </w:tc>
        <w:tc>
          <w:tcPr>
            <w:tcW w:w="1660" w:type="pct"/>
            <w:tcBorders>
              <w:top w:val="nil"/>
              <w:left w:val="nil"/>
              <w:bottom w:val="single" w:sz="4" w:space="0" w:color="auto"/>
              <w:right w:val="single" w:sz="4" w:space="0" w:color="auto"/>
            </w:tcBorders>
            <w:shd w:val="clear" w:color="auto" w:fill="auto"/>
            <w:vAlign w:val="center"/>
            <w:hideMark/>
          </w:tcPr>
          <w:p w14:paraId="48557C5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outras</w:t>
            </w:r>
            <w:proofErr w:type="gramEnd"/>
            <w:r w:rsidRPr="00704883">
              <w:rPr>
                <w:rFonts w:ascii="Calibri" w:eastAsia="Times New Roman" w:hAnsi="Calibri" w:cstheme="minorHAnsi"/>
                <w:color w:val="000000"/>
                <w:sz w:val="24"/>
                <w:szCs w:val="24"/>
                <w:lang w:eastAsia="pt-BR"/>
              </w:rPr>
              <w:t xml:space="preserve"> situações, ocorrências ou circunstâncias julgadas relevantes pela Previc. </w:t>
            </w:r>
          </w:p>
        </w:tc>
        <w:tc>
          <w:tcPr>
            <w:tcW w:w="1679" w:type="pct"/>
            <w:tcBorders>
              <w:top w:val="nil"/>
              <w:left w:val="nil"/>
              <w:bottom w:val="single" w:sz="4" w:space="0" w:color="auto"/>
              <w:right w:val="single" w:sz="4" w:space="0" w:color="auto"/>
            </w:tcBorders>
            <w:shd w:val="clear" w:color="auto" w:fill="auto"/>
            <w:vAlign w:val="center"/>
            <w:hideMark/>
          </w:tcPr>
          <w:p w14:paraId="128FBA6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71F4FC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EFDCC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§1° Somente serão considerados, para efeito de análise de reputação ilibada, os processos administrativos com decisão proferida em primeira instância. </w:t>
            </w:r>
          </w:p>
        </w:tc>
        <w:tc>
          <w:tcPr>
            <w:tcW w:w="1660" w:type="pct"/>
            <w:tcBorders>
              <w:top w:val="nil"/>
              <w:left w:val="nil"/>
              <w:bottom w:val="single" w:sz="4" w:space="0" w:color="auto"/>
              <w:right w:val="single" w:sz="4" w:space="0" w:color="auto"/>
            </w:tcBorders>
            <w:shd w:val="clear" w:color="auto" w:fill="auto"/>
            <w:vAlign w:val="center"/>
            <w:hideMark/>
          </w:tcPr>
          <w:p w14:paraId="39F6294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Somente</w:t>
            </w:r>
            <w:proofErr w:type="gramEnd"/>
            <w:r w:rsidRPr="00704883">
              <w:rPr>
                <w:rFonts w:ascii="Calibri" w:eastAsia="Times New Roman" w:hAnsi="Calibri" w:cstheme="minorHAnsi"/>
                <w:color w:val="000000"/>
                <w:sz w:val="24"/>
                <w:szCs w:val="24"/>
                <w:lang w:eastAsia="pt-BR"/>
              </w:rPr>
              <w:t xml:space="preserve"> são considerados, para efeito de análise de reputação ilibada, os processos administrativos com decisão proferida em primeira instância. </w:t>
            </w:r>
          </w:p>
        </w:tc>
        <w:tc>
          <w:tcPr>
            <w:tcW w:w="1679" w:type="pct"/>
            <w:tcBorders>
              <w:top w:val="nil"/>
              <w:left w:val="nil"/>
              <w:bottom w:val="single" w:sz="4" w:space="0" w:color="auto"/>
              <w:right w:val="single" w:sz="4" w:space="0" w:color="auto"/>
            </w:tcBorders>
            <w:shd w:val="clear" w:color="auto" w:fill="auto"/>
            <w:vAlign w:val="center"/>
            <w:hideMark/>
          </w:tcPr>
          <w:p w14:paraId="339A078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A166EC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7449D0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§2° A existência de penalidade administrativa de advertência ou multa quando não reincidente não impede o deferimento da habilitação. </w:t>
            </w:r>
          </w:p>
        </w:tc>
        <w:tc>
          <w:tcPr>
            <w:tcW w:w="1660" w:type="pct"/>
            <w:tcBorders>
              <w:top w:val="nil"/>
              <w:left w:val="nil"/>
              <w:bottom w:val="single" w:sz="4" w:space="0" w:color="auto"/>
              <w:right w:val="single" w:sz="4" w:space="0" w:color="auto"/>
            </w:tcBorders>
            <w:shd w:val="clear" w:color="auto" w:fill="auto"/>
            <w:vAlign w:val="center"/>
            <w:hideMark/>
          </w:tcPr>
          <w:p w14:paraId="2E48C23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existência de penalidade administrativa de advertência ou multa quando não reincidente não impede o deferimento da habilitação. </w:t>
            </w:r>
          </w:p>
        </w:tc>
        <w:tc>
          <w:tcPr>
            <w:tcW w:w="1679" w:type="pct"/>
            <w:tcBorders>
              <w:top w:val="nil"/>
              <w:left w:val="nil"/>
              <w:bottom w:val="single" w:sz="4" w:space="0" w:color="auto"/>
              <w:right w:val="single" w:sz="4" w:space="0" w:color="auto"/>
            </w:tcBorders>
            <w:shd w:val="clear" w:color="auto" w:fill="auto"/>
            <w:vAlign w:val="center"/>
            <w:hideMark/>
          </w:tcPr>
          <w:p w14:paraId="384F024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F7B6BC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9A38E3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§3° Não serão considerados, para efeito de análise de reputação ilibada, os processos administrativos cujas penas foram cumpridas há mais de cinco anos. </w:t>
            </w:r>
          </w:p>
        </w:tc>
        <w:tc>
          <w:tcPr>
            <w:tcW w:w="1660" w:type="pct"/>
            <w:tcBorders>
              <w:top w:val="nil"/>
              <w:left w:val="nil"/>
              <w:bottom w:val="single" w:sz="4" w:space="0" w:color="auto"/>
              <w:right w:val="single" w:sz="4" w:space="0" w:color="auto"/>
            </w:tcBorders>
            <w:shd w:val="clear" w:color="auto" w:fill="auto"/>
            <w:vAlign w:val="center"/>
            <w:hideMark/>
          </w:tcPr>
          <w:p w14:paraId="7294E0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w:t>
            </w:r>
            <w:proofErr w:type="gramStart"/>
            <w:r w:rsidRPr="00704883">
              <w:rPr>
                <w:rFonts w:ascii="Calibri" w:eastAsia="Times New Roman" w:hAnsi="Calibri" w:cstheme="minorHAnsi"/>
                <w:color w:val="000000"/>
                <w:sz w:val="24"/>
                <w:szCs w:val="24"/>
                <w:lang w:eastAsia="pt-BR"/>
              </w:rPr>
              <w:t>º  Não</w:t>
            </w:r>
            <w:proofErr w:type="gramEnd"/>
            <w:r w:rsidRPr="00704883">
              <w:rPr>
                <w:rFonts w:ascii="Calibri" w:eastAsia="Times New Roman" w:hAnsi="Calibri" w:cstheme="minorHAnsi"/>
                <w:color w:val="000000"/>
                <w:sz w:val="24"/>
                <w:szCs w:val="24"/>
                <w:lang w:eastAsia="pt-BR"/>
              </w:rPr>
              <w:t xml:space="preserve"> são considerados, para efeito de análise de reputação ilibada, os processos administrativos cujas penas foram cumpridas há mais de cinco anos. </w:t>
            </w:r>
          </w:p>
        </w:tc>
        <w:tc>
          <w:tcPr>
            <w:tcW w:w="1679" w:type="pct"/>
            <w:tcBorders>
              <w:top w:val="nil"/>
              <w:left w:val="nil"/>
              <w:bottom w:val="single" w:sz="4" w:space="0" w:color="auto"/>
              <w:right w:val="single" w:sz="4" w:space="0" w:color="auto"/>
            </w:tcBorders>
            <w:shd w:val="clear" w:color="auto" w:fill="auto"/>
            <w:vAlign w:val="center"/>
            <w:hideMark/>
          </w:tcPr>
          <w:p w14:paraId="5469F22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132847A"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CE19DA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§4° Na hipótese prevista no inciso VI do caput, a Previc considerará as circunstâncias do caso concreto, a extensão e a gravidade dos fatos, visando sempre o interesse público, a proteção do patrimônio dos planos de benefícios e a preservação do dever fiduciário em relação aos participantes e assistidos.</w:t>
            </w:r>
          </w:p>
        </w:tc>
        <w:tc>
          <w:tcPr>
            <w:tcW w:w="1660" w:type="pct"/>
            <w:tcBorders>
              <w:top w:val="nil"/>
              <w:left w:val="nil"/>
              <w:bottom w:val="single" w:sz="4" w:space="0" w:color="auto"/>
              <w:right w:val="single" w:sz="4" w:space="0" w:color="auto"/>
            </w:tcBorders>
            <w:shd w:val="clear" w:color="auto" w:fill="auto"/>
            <w:vAlign w:val="center"/>
            <w:hideMark/>
          </w:tcPr>
          <w:p w14:paraId="366B230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4</w:t>
            </w:r>
            <w:proofErr w:type="gramStart"/>
            <w:r w:rsidRPr="00704883">
              <w:rPr>
                <w:rFonts w:ascii="Calibri" w:eastAsia="Times New Roman" w:hAnsi="Calibri" w:cstheme="minorHAnsi"/>
                <w:color w:val="000000"/>
                <w:sz w:val="24"/>
                <w:szCs w:val="24"/>
                <w:lang w:eastAsia="pt-BR"/>
              </w:rPr>
              <w:t>º  Na</w:t>
            </w:r>
            <w:proofErr w:type="gramEnd"/>
            <w:r w:rsidRPr="00704883">
              <w:rPr>
                <w:rFonts w:ascii="Calibri" w:eastAsia="Times New Roman" w:hAnsi="Calibri" w:cstheme="minorHAnsi"/>
                <w:color w:val="000000"/>
                <w:sz w:val="24"/>
                <w:szCs w:val="24"/>
                <w:lang w:eastAsia="pt-BR"/>
              </w:rPr>
              <w:t xml:space="preserve"> hipótese prevista no inciso VI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a Previc considera as circunstâncias do caso concreto, a extensão e a gravidade dos fatos, visando sempre o interesse público, a proteção do patrimônio dos planos de benefícios e a preservação do dever fiduciário em relação aos participantes e assistidos.</w:t>
            </w:r>
          </w:p>
        </w:tc>
        <w:tc>
          <w:tcPr>
            <w:tcW w:w="1679" w:type="pct"/>
            <w:tcBorders>
              <w:top w:val="nil"/>
              <w:left w:val="nil"/>
              <w:bottom w:val="single" w:sz="4" w:space="0" w:color="auto"/>
              <w:right w:val="single" w:sz="4" w:space="0" w:color="auto"/>
            </w:tcBorders>
            <w:shd w:val="clear" w:color="auto" w:fill="auto"/>
            <w:vAlign w:val="center"/>
            <w:hideMark/>
          </w:tcPr>
          <w:p w14:paraId="472AD4C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D92FC31"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A112B8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5° O membro da diretoria-executiva indicado para a função de administrador estatutário tecnicamente qualificado de EFPC enquadrada como entidade sistemicamente importante será submetido a entrevista, previamente à emissão do Atestado de Habilitação, a fim de confirmar o cumprimento dos requisitos técnicos exigidos e verificar a sua efetiva aptidão técnica. </w:t>
            </w:r>
          </w:p>
        </w:tc>
        <w:tc>
          <w:tcPr>
            <w:tcW w:w="1660" w:type="pct"/>
            <w:tcBorders>
              <w:top w:val="nil"/>
              <w:left w:val="nil"/>
              <w:bottom w:val="single" w:sz="4" w:space="0" w:color="auto"/>
              <w:right w:val="single" w:sz="4" w:space="0" w:color="auto"/>
            </w:tcBorders>
            <w:shd w:val="clear" w:color="auto" w:fill="auto"/>
            <w:vAlign w:val="center"/>
            <w:hideMark/>
          </w:tcPr>
          <w:p w14:paraId="1FBF2FB6" w14:textId="66983536"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18</w:t>
            </w:r>
            <w:r w:rsidR="00802617">
              <w:rPr>
                <w:rFonts w:ascii="Calibri" w:eastAsia="Times New Roman" w:hAnsi="Calibri" w:cstheme="minorHAnsi"/>
                <w:color w:val="000000"/>
                <w:sz w:val="24"/>
                <w:szCs w:val="24"/>
                <w:lang w:eastAsia="pt-BR"/>
              </w:rPr>
              <w:t>7</w:t>
            </w:r>
            <w:r w:rsidRPr="00704883">
              <w:rPr>
                <w:rFonts w:ascii="Calibri" w:eastAsia="Times New Roman" w:hAnsi="Calibri" w:cstheme="minorHAnsi"/>
                <w:color w:val="000000"/>
                <w:sz w:val="24"/>
                <w:szCs w:val="24"/>
                <w:lang w:eastAsia="pt-BR"/>
              </w:rPr>
              <w:t xml:space="preserve">.  O membro da diretoria-executiva indicado para a função de </w:t>
            </w:r>
            <w:r w:rsidR="006D43B2">
              <w:rPr>
                <w:rFonts w:ascii="Calibri" w:eastAsia="Times New Roman" w:hAnsi="Calibri" w:cstheme="minorHAnsi"/>
                <w:color w:val="000000"/>
                <w:sz w:val="24"/>
                <w:szCs w:val="24"/>
                <w:lang w:eastAsia="pt-BR"/>
              </w:rPr>
              <w:t>AETQ</w:t>
            </w:r>
            <w:r w:rsidRPr="00704883">
              <w:rPr>
                <w:rFonts w:ascii="Calibri" w:eastAsia="Times New Roman" w:hAnsi="Calibri" w:cstheme="minorHAnsi"/>
                <w:color w:val="000000"/>
                <w:sz w:val="24"/>
                <w:szCs w:val="24"/>
                <w:lang w:eastAsia="pt-BR"/>
              </w:rPr>
              <w:t xml:space="preserve"> de EFPC enquadrada como entidade sistemicamente importante deve ser submetido à entrevista, previamente à emissão do Atestado de Habilitação, a fim de confirmar o cumprimento dos requisitos técnicos exigidos e verificar a sua efetiva aptidão técnica. </w:t>
            </w:r>
          </w:p>
        </w:tc>
        <w:tc>
          <w:tcPr>
            <w:tcW w:w="1679" w:type="pct"/>
            <w:tcBorders>
              <w:top w:val="nil"/>
              <w:left w:val="nil"/>
              <w:bottom w:val="single" w:sz="4" w:space="0" w:color="auto"/>
              <w:right w:val="single" w:sz="4" w:space="0" w:color="auto"/>
            </w:tcBorders>
            <w:shd w:val="clear" w:color="auto" w:fill="auto"/>
            <w:vAlign w:val="center"/>
            <w:hideMark/>
          </w:tcPr>
          <w:p w14:paraId="04961AE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92128DA"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E1A95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Parágrafo único. A critério da Diretoria de Licenciamento, considerando o porte e a relevância da EFPC, o indicado para o cargo de administrador estatutário tecnicamente qualificado de EFPC não classificada como entidade sistemicamente importante poderá ser convocado para a entrevista de que trata o caput. </w:t>
            </w:r>
          </w:p>
        </w:tc>
        <w:tc>
          <w:tcPr>
            <w:tcW w:w="1660" w:type="pct"/>
            <w:tcBorders>
              <w:top w:val="nil"/>
              <w:left w:val="nil"/>
              <w:bottom w:val="single" w:sz="4" w:space="0" w:color="auto"/>
              <w:right w:val="single" w:sz="4" w:space="0" w:color="auto"/>
            </w:tcBorders>
            <w:shd w:val="clear" w:color="auto" w:fill="auto"/>
            <w:vAlign w:val="center"/>
            <w:hideMark/>
          </w:tcPr>
          <w:p w14:paraId="1E2A114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Parágrafo único.  A critério da Diretoria de Licenciamento, considerando o porte e a relevância da EFPC, o indicado para o cargo de administrador estatutário tecnicamente qualificado de EFPC não classificada como entidade sistemicamente importante pode ser convocado para a entrevista de que trata 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4EE66E4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86249B3"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829209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6° A entrevista de que trata o art. 5° tem como objetivo apurar a efetiva aptidão técnica para o exercício do cargo pleiteado pelo habilitando, considerando: </w:t>
            </w:r>
          </w:p>
        </w:tc>
        <w:tc>
          <w:tcPr>
            <w:tcW w:w="1660" w:type="pct"/>
            <w:tcBorders>
              <w:top w:val="nil"/>
              <w:left w:val="nil"/>
              <w:bottom w:val="single" w:sz="4" w:space="0" w:color="auto"/>
              <w:right w:val="single" w:sz="4" w:space="0" w:color="auto"/>
            </w:tcBorders>
            <w:shd w:val="clear" w:color="auto" w:fill="auto"/>
            <w:vAlign w:val="center"/>
            <w:hideMark/>
          </w:tcPr>
          <w:p w14:paraId="2CD42230" w14:textId="054222C2"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Art. 18</w:t>
            </w:r>
            <w:r w:rsidR="00802617">
              <w:rPr>
                <w:rFonts w:ascii="Calibri" w:eastAsia="Times New Roman" w:hAnsi="Calibri" w:cstheme="minorHAnsi"/>
                <w:sz w:val="24"/>
                <w:szCs w:val="24"/>
                <w:lang w:eastAsia="pt-BR"/>
              </w:rPr>
              <w:t>8</w:t>
            </w:r>
            <w:r w:rsidRPr="00704883">
              <w:rPr>
                <w:rFonts w:ascii="Calibri" w:eastAsia="Times New Roman" w:hAnsi="Calibri" w:cstheme="minorHAnsi"/>
                <w:sz w:val="24"/>
                <w:szCs w:val="24"/>
                <w:lang w:eastAsia="pt-BR"/>
              </w:rPr>
              <w:t>.  A entrevista de que trata o art. 18</w:t>
            </w:r>
            <w:r w:rsidR="006D43B2">
              <w:rPr>
                <w:rFonts w:ascii="Calibri" w:eastAsia="Times New Roman" w:hAnsi="Calibri" w:cstheme="minorHAnsi"/>
                <w:sz w:val="24"/>
                <w:szCs w:val="24"/>
                <w:lang w:eastAsia="pt-BR"/>
              </w:rPr>
              <w:t>7</w:t>
            </w:r>
            <w:r w:rsidRPr="00704883">
              <w:rPr>
                <w:rFonts w:ascii="Calibri" w:eastAsia="Times New Roman" w:hAnsi="Calibri" w:cstheme="minorHAnsi"/>
                <w:sz w:val="24"/>
                <w:szCs w:val="24"/>
                <w:lang w:eastAsia="pt-BR"/>
              </w:rPr>
              <w:t xml:space="preserve"> tem como objetivo apurar a efetiva aptidão técnica para o exercício do cargo pleiteado pelo habilitando, considerando: </w:t>
            </w:r>
          </w:p>
        </w:tc>
        <w:tc>
          <w:tcPr>
            <w:tcW w:w="1679" w:type="pct"/>
            <w:tcBorders>
              <w:top w:val="nil"/>
              <w:left w:val="nil"/>
              <w:bottom w:val="single" w:sz="4" w:space="0" w:color="auto"/>
              <w:right w:val="single" w:sz="4" w:space="0" w:color="auto"/>
            </w:tcBorders>
            <w:shd w:val="clear" w:color="auto" w:fill="auto"/>
            <w:vAlign w:val="center"/>
            <w:hideMark/>
          </w:tcPr>
          <w:p w14:paraId="6130636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CCF531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B2255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porte da EFPC, a maturidade e a modalidade dos planos de benefícios e o montante financeiro sob gestão;</w:t>
            </w:r>
          </w:p>
        </w:tc>
        <w:tc>
          <w:tcPr>
            <w:tcW w:w="1660" w:type="pct"/>
            <w:tcBorders>
              <w:top w:val="nil"/>
              <w:left w:val="nil"/>
              <w:bottom w:val="single" w:sz="4" w:space="0" w:color="auto"/>
              <w:right w:val="single" w:sz="4" w:space="0" w:color="auto"/>
            </w:tcBorders>
            <w:shd w:val="clear" w:color="auto" w:fill="auto"/>
            <w:vAlign w:val="center"/>
            <w:hideMark/>
          </w:tcPr>
          <w:p w14:paraId="064FD8E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porte da EFPC, a maturidade e a modalidade dos planos de benefícios e o montante financeiro sob gestão;</w:t>
            </w:r>
          </w:p>
        </w:tc>
        <w:tc>
          <w:tcPr>
            <w:tcW w:w="1679" w:type="pct"/>
            <w:tcBorders>
              <w:top w:val="nil"/>
              <w:left w:val="nil"/>
              <w:bottom w:val="single" w:sz="4" w:space="0" w:color="auto"/>
              <w:right w:val="single" w:sz="4" w:space="0" w:color="auto"/>
            </w:tcBorders>
            <w:shd w:val="clear" w:color="auto" w:fill="auto"/>
            <w:vAlign w:val="center"/>
            <w:hideMark/>
          </w:tcPr>
          <w:p w14:paraId="4041867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CB7F89B"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8B2D85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conhecimento em matéria de previdência, observado o conteúdo programático previsto no Anexo da Instrução Normativa nº 29, de 21 de julho de 2020;</w:t>
            </w:r>
          </w:p>
        </w:tc>
        <w:tc>
          <w:tcPr>
            <w:tcW w:w="1660" w:type="pct"/>
            <w:tcBorders>
              <w:top w:val="nil"/>
              <w:left w:val="nil"/>
              <w:bottom w:val="single" w:sz="4" w:space="0" w:color="auto"/>
              <w:right w:val="single" w:sz="4" w:space="0" w:color="auto"/>
            </w:tcBorders>
            <w:shd w:val="clear" w:color="auto" w:fill="auto"/>
            <w:vAlign w:val="center"/>
            <w:hideMark/>
          </w:tcPr>
          <w:p w14:paraId="70218226" w14:textId="7857CDAE"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o</w:t>
            </w:r>
            <w:proofErr w:type="gramEnd"/>
            <w:r w:rsidRPr="00704883">
              <w:rPr>
                <w:rFonts w:ascii="Calibri" w:eastAsia="Times New Roman" w:hAnsi="Calibri" w:cstheme="minorHAnsi"/>
                <w:color w:val="000000"/>
                <w:sz w:val="24"/>
                <w:szCs w:val="24"/>
                <w:lang w:eastAsia="pt-BR"/>
              </w:rPr>
              <w:t xml:space="preserve"> conhecimento em matéria de previdência, observado o conteúdo programático previsto no Anexo </w:t>
            </w:r>
            <w:r w:rsidR="00BF1162" w:rsidRPr="00A17DE6">
              <w:rPr>
                <w:rFonts w:ascii="Calibri" w:eastAsia="Times New Roman" w:hAnsi="Calibri" w:cstheme="minorHAnsi"/>
                <w:color w:val="000000"/>
                <w:sz w:val="24"/>
                <w:szCs w:val="24"/>
                <w:lang w:eastAsia="pt-BR"/>
              </w:rPr>
              <w:t>X</w:t>
            </w:r>
            <w:r w:rsidRPr="00A17DE6">
              <w:rPr>
                <w:rFonts w:ascii="Calibri" w:eastAsia="Times New Roman" w:hAnsi="Calibri" w:cstheme="minorHAnsi"/>
                <w:color w:val="000000"/>
                <w:sz w:val="24"/>
                <w:szCs w:val="24"/>
                <w:lang w:eastAsia="pt-BR"/>
              </w:rPr>
              <w:t>XV</w:t>
            </w:r>
            <w:r w:rsidRPr="00704883">
              <w:rPr>
                <w:rFonts w:ascii="Calibri" w:eastAsia="Times New Roman" w:hAnsi="Calibri" w:cstheme="minorHAns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508AED2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67258F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C9488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o conhecimento das diretrizes para aplicação de recursos garantidores, nos termos da Resolução CMN nº 4.661, de 25 de maio de 2018; e </w:t>
            </w:r>
          </w:p>
        </w:tc>
        <w:tc>
          <w:tcPr>
            <w:tcW w:w="1660" w:type="pct"/>
            <w:tcBorders>
              <w:top w:val="nil"/>
              <w:left w:val="nil"/>
              <w:bottom w:val="single" w:sz="4" w:space="0" w:color="auto"/>
              <w:right w:val="single" w:sz="4" w:space="0" w:color="auto"/>
            </w:tcBorders>
            <w:shd w:val="clear" w:color="auto" w:fill="auto"/>
            <w:vAlign w:val="center"/>
            <w:hideMark/>
          </w:tcPr>
          <w:p w14:paraId="1CF0EE9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o conhecimento das diretrizes para aplicação de recursos garantidores, nos termos da Resolução CMN nº 4.994, de 24 de março de 2022; e </w:t>
            </w:r>
          </w:p>
        </w:tc>
        <w:tc>
          <w:tcPr>
            <w:tcW w:w="1679" w:type="pct"/>
            <w:tcBorders>
              <w:top w:val="nil"/>
              <w:left w:val="nil"/>
              <w:bottom w:val="single" w:sz="4" w:space="0" w:color="auto"/>
              <w:right w:val="single" w:sz="4" w:space="0" w:color="auto"/>
            </w:tcBorders>
            <w:shd w:val="clear" w:color="auto" w:fill="auto"/>
            <w:vAlign w:val="center"/>
            <w:hideMark/>
          </w:tcPr>
          <w:p w14:paraId="61FEC90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671E88F"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CC1CF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w:t>
            </w:r>
            <w:proofErr w:type="gramStart"/>
            <w:r w:rsidRPr="00704883">
              <w:rPr>
                <w:rFonts w:ascii="Calibri" w:eastAsia="Times New Roman" w:hAnsi="Calibri" w:cstheme="minorHAnsi"/>
                <w:color w:val="000000"/>
                <w:sz w:val="24"/>
                <w:szCs w:val="24"/>
                <w:lang w:eastAsia="pt-BR"/>
              </w:rPr>
              <w:t>a</w:t>
            </w:r>
            <w:proofErr w:type="gramEnd"/>
            <w:r w:rsidRPr="00704883">
              <w:rPr>
                <w:rFonts w:ascii="Calibri" w:eastAsia="Times New Roman" w:hAnsi="Calibri" w:cstheme="minorHAnsi"/>
                <w:color w:val="000000"/>
                <w:sz w:val="24"/>
                <w:szCs w:val="24"/>
                <w:lang w:eastAsia="pt-BR"/>
              </w:rPr>
              <w:t xml:space="preserve"> experiência na área de investimentos, relacionada à aplicação de recursos, ou equivalente, conforme o exigido nos §2° a§ 4° do art. 3°. </w:t>
            </w:r>
          </w:p>
        </w:tc>
        <w:tc>
          <w:tcPr>
            <w:tcW w:w="1660" w:type="pct"/>
            <w:tcBorders>
              <w:top w:val="nil"/>
              <w:left w:val="nil"/>
              <w:bottom w:val="single" w:sz="4" w:space="0" w:color="auto"/>
              <w:right w:val="single" w:sz="4" w:space="0" w:color="auto"/>
            </w:tcBorders>
            <w:shd w:val="clear" w:color="auto" w:fill="auto"/>
            <w:vAlign w:val="center"/>
            <w:hideMark/>
          </w:tcPr>
          <w:p w14:paraId="10807877" w14:textId="11A2C92B"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xml:space="preserve">IV - </w:t>
            </w:r>
            <w:proofErr w:type="gramStart"/>
            <w:r w:rsidRPr="00704883">
              <w:rPr>
                <w:rFonts w:ascii="Calibri" w:eastAsia="Times New Roman" w:hAnsi="Calibri" w:cstheme="minorHAnsi"/>
                <w:sz w:val="24"/>
                <w:szCs w:val="24"/>
                <w:lang w:eastAsia="pt-BR"/>
              </w:rPr>
              <w:t>a</w:t>
            </w:r>
            <w:proofErr w:type="gramEnd"/>
            <w:r w:rsidRPr="00704883">
              <w:rPr>
                <w:rFonts w:ascii="Calibri" w:eastAsia="Times New Roman" w:hAnsi="Calibri" w:cstheme="minorHAnsi"/>
                <w:sz w:val="24"/>
                <w:szCs w:val="24"/>
                <w:lang w:eastAsia="pt-BR"/>
              </w:rPr>
              <w:t xml:space="preserve"> experiência na área de investimentos, relacionada à aplicação de recursos, ou equivalente, conforme o exigido nos § 2º a § 4º do art. 18</w:t>
            </w:r>
            <w:r w:rsidR="006528D9">
              <w:rPr>
                <w:rFonts w:ascii="Calibri" w:eastAsia="Times New Roman" w:hAnsi="Calibri" w:cstheme="minorHAnsi"/>
                <w:sz w:val="24"/>
                <w:szCs w:val="24"/>
                <w:lang w:eastAsia="pt-BR"/>
              </w:rPr>
              <w:t>5</w:t>
            </w:r>
            <w:r w:rsidRPr="00704883">
              <w:rPr>
                <w:rFonts w:ascii="Calibri" w:eastAsia="Times New Roman" w:hAnsi="Calibri" w:cstheme="minorHAnsi"/>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2B9A386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951BF0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AF3916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As entrevistas, que podem ser gravadas pelo habilitando e pela Previc, serão utilizadas como subsídio técnico à habilitação pleiteada.</w:t>
            </w:r>
          </w:p>
        </w:tc>
        <w:tc>
          <w:tcPr>
            <w:tcW w:w="1660" w:type="pct"/>
            <w:tcBorders>
              <w:top w:val="nil"/>
              <w:left w:val="nil"/>
              <w:bottom w:val="single" w:sz="4" w:space="0" w:color="auto"/>
              <w:right w:val="single" w:sz="4" w:space="0" w:color="auto"/>
            </w:tcBorders>
            <w:shd w:val="clear" w:color="auto" w:fill="auto"/>
            <w:vAlign w:val="center"/>
            <w:hideMark/>
          </w:tcPr>
          <w:p w14:paraId="1D1F473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As entrevistas, que podem ser gravadas pelo habilitando e pela Previc, devem ser utilizadas como subsídio técnico à habilitação pleiteada.</w:t>
            </w:r>
          </w:p>
        </w:tc>
        <w:tc>
          <w:tcPr>
            <w:tcW w:w="1679" w:type="pct"/>
            <w:tcBorders>
              <w:top w:val="nil"/>
              <w:left w:val="nil"/>
              <w:bottom w:val="single" w:sz="4" w:space="0" w:color="auto"/>
              <w:right w:val="single" w:sz="4" w:space="0" w:color="auto"/>
            </w:tcBorders>
            <w:shd w:val="clear" w:color="auto" w:fill="auto"/>
            <w:vAlign w:val="center"/>
            <w:hideMark/>
          </w:tcPr>
          <w:p w14:paraId="53FBAE1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9E9952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0197ABB"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CAPÍTULO III</w:t>
            </w:r>
          </w:p>
        </w:tc>
        <w:tc>
          <w:tcPr>
            <w:tcW w:w="1660" w:type="pct"/>
            <w:tcBorders>
              <w:top w:val="nil"/>
              <w:left w:val="nil"/>
              <w:bottom w:val="single" w:sz="4" w:space="0" w:color="auto"/>
              <w:right w:val="single" w:sz="4" w:space="0" w:color="auto"/>
            </w:tcBorders>
            <w:shd w:val="clear" w:color="auto" w:fill="auto"/>
            <w:vAlign w:val="center"/>
            <w:hideMark/>
          </w:tcPr>
          <w:p w14:paraId="7C862B07" w14:textId="77777777" w:rsidR="00AB7EF0" w:rsidRPr="00704883" w:rsidRDefault="00AB7EF0" w:rsidP="00AB7EF0">
            <w:pPr>
              <w:spacing w:after="0" w:line="240" w:lineRule="auto"/>
              <w:jc w:val="center"/>
              <w:rPr>
                <w:rFonts w:ascii="Calibri" w:eastAsia="Times New Roman" w:hAnsi="Calibri" w:cs="Calibri"/>
                <w:b/>
                <w:bCs/>
                <w:color w:val="000000"/>
                <w:sz w:val="24"/>
                <w:szCs w:val="24"/>
                <w:lang w:eastAsia="pt-BR"/>
              </w:rPr>
            </w:pPr>
            <w:r w:rsidRPr="00704883">
              <w:rPr>
                <w:rFonts w:ascii="Calibri" w:eastAsia="Times New Roman" w:hAnsi="Calibri" w:cstheme="minorHAnsi"/>
                <w:b/>
                <w:bCs/>
                <w:color w:val="000000"/>
                <w:sz w:val="24"/>
                <w:szCs w:val="24"/>
                <w:lang w:eastAsia="pt-BR"/>
              </w:rPr>
              <w:t>Subseção IV</w:t>
            </w:r>
            <w:r w:rsidRPr="00704883">
              <w:rPr>
                <w:rFonts w:ascii="Calibri" w:eastAsia="Times New Roman" w:hAnsi="Calibri" w:cstheme="minorHAnsi"/>
                <w:b/>
                <w:bCs/>
                <w:color w:val="000000"/>
                <w:sz w:val="24"/>
                <w:szCs w:val="24"/>
                <w:lang w:eastAsia="pt-BR"/>
              </w:rPr>
              <w:br/>
              <w:t>Atestado de Habilitação</w:t>
            </w:r>
          </w:p>
        </w:tc>
        <w:tc>
          <w:tcPr>
            <w:tcW w:w="1679" w:type="pct"/>
            <w:tcBorders>
              <w:top w:val="nil"/>
              <w:left w:val="nil"/>
              <w:bottom w:val="single" w:sz="4" w:space="0" w:color="auto"/>
              <w:right w:val="single" w:sz="4" w:space="0" w:color="auto"/>
            </w:tcBorders>
            <w:shd w:val="clear" w:color="auto" w:fill="auto"/>
            <w:vAlign w:val="center"/>
            <w:hideMark/>
          </w:tcPr>
          <w:p w14:paraId="422D963E"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BF136A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10CB23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DO ATESTADO DE HABILITAÇÃO</w:t>
            </w:r>
          </w:p>
        </w:tc>
        <w:tc>
          <w:tcPr>
            <w:tcW w:w="1660" w:type="pct"/>
            <w:tcBorders>
              <w:top w:val="nil"/>
              <w:left w:val="nil"/>
              <w:bottom w:val="single" w:sz="4" w:space="0" w:color="auto"/>
              <w:right w:val="single" w:sz="4" w:space="0" w:color="auto"/>
            </w:tcBorders>
            <w:shd w:val="clear" w:color="auto" w:fill="auto"/>
            <w:vAlign w:val="center"/>
            <w:hideMark/>
          </w:tcPr>
          <w:p w14:paraId="1F1DE424" w14:textId="77777777"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58C5EBBA"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06F5C7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CB91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7° A validade do Atestado de Habilitação será de quatro anos. </w:t>
            </w:r>
          </w:p>
        </w:tc>
        <w:tc>
          <w:tcPr>
            <w:tcW w:w="1660" w:type="pct"/>
            <w:tcBorders>
              <w:top w:val="nil"/>
              <w:left w:val="nil"/>
              <w:bottom w:val="single" w:sz="4" w:space="0" w:color="auto"/>
              <w:right w:val="single" w:sz="4" w:space="0" w:color="auto"/>
            </w:tcBorders>
            <w:shd w:val="clear" w:color="auto" w:fill="auto"/>
            <w:vAlign w:val="center"/>
            <w:hideMark/>
          </w:tcPr>
          <w:p w14:paraId="2F9C5825" w14:textId="2B7B57B9"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18</w:t>
            </w:r>
            <w:r w:rsidR="00802617">
              <w:rPr>
                <w:rFonts w:ascii="Calibri" w:eastAsia="Times New Roman" w:hAnsi="Calibri" w:cstheme="minorHAnsi"/>
                <w:color w:val="000000"/>
                <w:sz w:val="24"/>
                <w:szCs w:val="24"/>
                <w:lang w:eastAsia="pt-BR"/>
              </w:rPr>
              <w:t>9</w:t>
            </w:r>
            <w:r w:rsidRPr="00704883">
              <w:rPr>
                <w:rFonts w:ascii="Calibri" w:eastAsia="Times New Roman" w:hAnsi="Calibri" w:cstheme="minorHAnsi"/>
                <w:color w:val="000000"/>
                <w:sz w:val="24"/>
                <w:szCs w:val="24"/>
                <w:lang w:eastAsia="pt-BR"/>
              </w:rPr>
              <w:t xml:space="preserve">.  A validade do Atestado de Habilitação deve ser de quatro anos. </w:t>
            </w:r>
          </w:p>
        </w:tc>
        <w:tc>
          <w:tcPr>
            <w:tcW w:w="1679" w:type="pct"/>
            <w:tcBorders>
              <w:top w:val="nil"/>
              <w:left w:val="nil"/>
              <w:bottom w:val="single" w:sz="4" w:space="0" w:color="auto"/>
              <w:right w:val="single" w:sz="4" w:space="0" w:color="auto"/>
            </w:tcBorders>
            <w:shd w:val="clear" w:color="auto" w:fill="auto"/>
            <w:vAlign w:val="center"/>
            <w:hideMark/>
          </w:tcPr>
          <w:p w14:paraId="1BEE4F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3623CA8"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B3C406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1° A validade do Atestado de Habilitação expirará ao final do prazo do mandato do dirigente, se </w:t>
            </w:r>
            <w:proofErr w:type="spellStart"/>
            <w:r w:rsidRPr="00704883">
              <w:rPr>
                <w:rFonts w:ascii="Calibri" w:eastAsia="Times New Roman" w:hAnsi="Calibri" w:cstheme="minorHAnsi"/>
                <w:color w:val="000000"/>
                <w:sz w:val="24"/>
                <w:szCs w:val="24"/>
                <w:lang w:eastAsia="pt-BR"/>
              </w:rPr>
              <w:t>este</w:t>
            </w:r>
            <w:proofErr w:type="spellEnd"/>
            <w:r w:rsidRPr="00704883">
              <w:rPr>
                <w:rFonts w:ascii="Calibri" w:eastAsia="Times New Roman" w:hAnsi="Calibri" w:cstheme="minorHAnsi"/>
                <w:color w:val="000000"/>
                <w:sz w:val="24"/>
                <w:szCs w:val="24"/>
                <w:lang w:eastAsia="pt-BR"/>
              </w:rPr>
              <w:t xml:space="preserve"> ocorrer antes do prazo mencionado no caput. </w:t>
            </w:r>
          </w:p>
        </w:tc>
        <w:tc>
          <w:tcPr>
            <w:tcW w:w="1660" w:type="pct"/>
            <w:tcBorders>
              <w:top w:val="nil"/>
              <w:left w:val="nil"/>
              <w:bottom w:val="single" w:sz="4" w:space="0" w:color="auto"/>
              <w:right w:val="single" w:sz="4" w:space="0" w:color="auto"/>
            </w:tcBorders>
            <w:shd w:val="clear" w:color="auto" w:fill="auto"/>
            <w:vAlign w:val="center"/>
            <w:hideMark/>
          </w:tcPr>
          <w:p w14:paraId="017FF8E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validade do Atestado de Habilitação expira ao final do prazo do mandato do dirigente, se </w:t>
            </w:r>
            <w:proofErr w:type="spellStart"/>
            <w:r w:rsidRPr="00704883">
              <w:rPr>
                <w:rFonts w:ascii="Calibri" w:eastAsia="Times New Roman" w:hAnsi="Calibri" w:cstheme="minorHAnsi"/>
                <w:color w:val="000000"/>
                <w:sz w:val="24"/>
                <w:szCs w:val="24"/>
                <w:lang w:eastAsia="pt-BR"/>
              </w:rPr>
              <w:t>este</w:t>
            </w:r>
            <w:proofErr w:type="spellEnd"/>
            <w:r w:rsidRPr="00704883">
              <w:rPr>
                <w:rFonts w:ascii="Calibri" w:eastAsia="Times New Roman" w:hAnsi="Calibri" w:cstheme="minorHAnsi"/>
                <w:color w:val="000000"/>
                <w:sz w:val="24"/>
                <w:szCs w:val="24"/>
                <w:lang w:eastAsia="pt-BR"/>
              </w:rPr>
              <w:t xml:space="preserve"> ocorrer antes do prazo mencionado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257C7A0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9845FEE"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ABDBD6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2° No caso de administrador estatutário tecnicamente qualificado, a validade do Atestado de Habilitação expirará na data de vencimento da certificação em investimentos, se esta ocorrer antes dos prazos mencionados no caput e no§ 1°.</w:t>
            </w:r>
          </w:p>
        </w:tc>
        <w:tc>
          <w:tcPr>
            <w:tcW w:w="1660" w:type="pct"/>
            <w:tcBorders>
              <w:top w:val="nil"/>
              <w:left w:val="nil"/>
              <w:bottom w:val="single" w:sz="4" w:space="0" w:color="auto"/>
              <w:right w:val="single" w:sz="4" w:space="0" w:color="auto"/>
            </w:tcBorders>
            <w:shd w:val="clear" w:color="auto" w:fill="auto"/>
            <w:vAlign w:val="center"/>
            <w:hideMark/>
          </w:tcPr>
          <w:p w14:paraId="3C17FBBC" w14:textId="552E766D"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No</w:t>
            </w:r>
            <w:proofErr w:type="gramEnd"/>
            <w:r w:rsidRPr="00704883">
              <w:rPr>
                <w:rFonts w:ascii="Calibri" w:eastAsia="Times New Roman" w:hAnsi="Calibri" w:cstheme="minorHAnsi"/>
                <w:color w:val="000000"/>
                <w:sz w:val="24"/>
                <w:szCs w:val="24"/>
                <w:lang w:eastAsia="pt-BR"/>
              </w:rPr>
              <w:t xml:space="preserve"> caso de </w:t>
            </w:r>
            <w:r w:rsidR="00F13CD2">
              <w:rPr>
                <w:rFonts w:ascii="Calibri" w:eastAsia="Times New Roman" w:hAnsi="Calibri" w:cstheme="minorHAnsi"/>
                <w:color w:val="000000"/>
                <w:sz w:val="24"/>
                <w:szCs w:val="24"/>
                <w:lang w:eastAsia="pt-BR"/>
              </w:rPr>
              <w:t>AETQ</w:t>
            </w:r>
            <w:r w:rsidRPr="00704883">
              <w:rPr>
                <w:rFonts w:ascii="Calibri" w:eastAsia="Times New Roman" w:hAnsi="Calibri" w:cstheme="minorHAnsi"/>
                <w:color w:val="000000"/>
                <w:sz w:val="24"/>
                <w:szCs w:val="24"/>
                <w:lang w:eastAsia="pt-BR"/>
              </w:rPr>
              <w:t xml:space="preserve">, a validade do Atestado de Habilitação expira na data de vencimento da certificação em investimentos, se esta ocorrer antes dos prazos mencionados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e no § 1º.</w:t>
            </w:r>
          </w:p>
        </w:tc>
        <w:tc>
          <w:tcPr>
            <w:tcW w:w="1679" w:type="pct"/>
            <w:tcBorders>
              <w:top w:val="nil"/>
              <w:left w:val="nil"/>
              <w:bottom w:val="single" w:sz="4" w:space="0" w:color="auto"/>
              <w:right w:val="single" w:sz="4" w:space="0" w:color="auto"/>
            </w:tcBorders>
            <w:shd w:val="clear" w:color="auto" w:fill="auto"/>
            <w:vAlign w:val="center"/>
            <w:hideMark/>
          </w:tcPr>
          <w:p w14:paraId="7F213F3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423730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60F3A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8° Será prorrogada automaticamente, por noventa dias, a validade do Atestado de Habilitação: </w:t>
            </w:r>
          </w:p>
        </w:tc>
        <w:tc>
          <w:tcPr>
            <w:tcW w:w="1660" w:type="pct"/>
            <w:tcBorders>
              <w:top w:val="nil"/>
              <w:left w:val="nil"/>
              <w:bottom w:val="single" w:sz="4" w:space="0" w:color="auto"/>
              <w:right w:val="single" w:sz="4" w:space="0" w:color="auto"/>
            </w:tcBorders>
            <w:shd w:val="clear" w:color="auto" w:fill="auto"/>
            <w:vAlign w:val="center"/>
            <w:hideMark/>
          </w:tcPr>
          <w:p w14:paraId="7070C886" w14:textId="31820270"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w:t>
            </w:r>
            <w:r w:rsidR="00802617">
              <w:rPr>
                <w:rFonts w:ascii="Calibri" w:eastAsia="Times New Roman" w:hAnsi="Calibri" w:cstheme="minorHAnsi"/>
                <w:color w:val="000000"/>
                <w:sz w:val="24"/>
                <w:szCs w:val="24"/>
                <w:lang w:eastAsia="pt-BR"/>
              </w:rPr>
              <w:t>90</w:t>
            </w:r>
            <w:r w:rsidRPr="00704883">
              <w:rPr>
                <w:rFonts w:ascii="Calibri" w:eastAsia="Times New Roman" w:hAnsi="Calibri" w:cstheme="minorHAnsi"/>
                <w:color w:val="000000"/>
                <w:sz w:val="24"/>
                <w:szCs w:val="24"/>
                <w:lang w:eastAsia="pt-BR"/>
              </w:rPr>
              <w:t xml:space="preserve">.  Deve ser prorrogada automaticamente, por noventa dias, a validade do Atestado de Habilitação: </w:t>
            </w:r>
          </w:p>
        </w:tc>
        <w:tc>
          <w:tcPr>
            <w:tcW w:w="1679" w:type="pct"/>
            <w:tcBorders>
              <w:top w:val="nil"/>
              <w:left w:val="nil"/>
              <w:bottom w:val="single" w:sz="4" w:space="0" w:color="auto"/>
              <w:right w:val="single" w:sz="4" w:space="0" w:color="auto"/>
            </w:tcBorders>
            <w:shd w:val="clear" w:color="auto" w:fill="auto"/>
            <w:vAlign w:val="center"/>
            <w:hideMark/>
          </w:tcPr>
          <w:p w14:paraId="31C9C1F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13F4730"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01B4C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Para os dirigentes que forem reconduzidos ou permanecerem no cargo, período no qual deverão solicitar a renovação da habilitação; e </w:t>
            </w:r>
          </w:p>
        </w:tc>
        <w:tc>
          <w:tcPr>
            <w:tcW w:w="1660" w:type="pct"/>
            <w:tcBorders>
              <w:top w:val="nil"/>
              <w:left w:val="nil"/>
              <w:bottom w:val="single" w:sz="4" w:space="0" w:color="auto"/>
              <w:right w:val="single" w:sz="4" w:space="0" w:color="auto"/>
            </w:tcBorders>
            <w:shd w:val="clear" w:color="auto" w:fill="auto"/>
            <w:vAlign w:val="center"/>
            <w:hideMark/>
          </w:tcPr>
          <w:p w14:paraId="7F8033B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para</w:t>
            </w:r>
            <w:proofErr w:type="gramEnd"/>
            <w:r w:rsidRPr="00704883">
              <w:rPr>
                <w:rFonts w:ascii="Calibri" w:eastAsia="Times New Roman" w:hAnsi="Calibri" w:cstheme="minorHAnsi"/>
                <w:color w:val="000000"/>
                <w:sz w:val="24"/>
                <w:szCs w:val="24"/>
                <w:lang w:eastAsia="pt-BR"/>
              </w:rPr>
              <w:t xml:space="preserve"> os dirigentes que são reconduzidos ou permanecem no cargo, período no qual devem solicitar a renovação da habilitação; e </w:t>
            </w:r>
          </w:p>
        </w:tc>
        <w:tc>
          <w:tcPr>
            <w:tcW w:w="1679" w:type="pct"/>
            <w:tcBorders>
              <w:top w:val="nil"/>
              <w:left w:val="nil"/>
              <w:bottom w:val="single" w:sz="4" w:space="0" w:color="auto"/>
              <w:right w:val="single" w:sz="4" w:space="0" w:color="auto"/>
            </w:tcBorders>
            <w:shd w:val="clear" w:color="auto" w:fill="auto"/>
            <w:vAlign w:val="center"/>
            <w:hideMark/>
          </w:tcPr>
          <w:p w14:paraId="744BF6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00E5FA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9AB19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Para os dirigentes que tiverem seus mandatos prorrogados, desde que fundamentado em expressa previsão estatutária ou por ato do conselho deliberativo, devendo o fato ser comunicado à Previc no prazo de dez dias. </w:t>
            </w:r>
          </w:p>
        </w:tc>
        <w:tc>
          <w:tcPr>
            <w:tcW w:w="1660" w:type="pct"/>
            <w:tcBorders>
              <w:top w:val="nil"/>
              <w:left w:val="nil"/>
              <w:bottom w:val="single" w:sz="4" w:space="0" w:color="auto"/>
              <w:right w:val="single" w:sz="4" w:space="0" w:color="auto"/>
            </w:tcBorders>
            <w:shd w:val="clear" w:color="auto" w:fill="auto"/>
            <w:vAlign w:val="center"/>
            <w:hideMark/>
          </w:tcPr>
          <w:p w14:paraId="309AB2D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para</w:t>
            </w:r>
            <w:proofErr w:type="gramEnd"/>
            <w:r w:rsidRPr="00704883">
              <w:rPr>
                <w:rFonts w:ascii="Calibri" w:eastAsia="Times New Roman" w:hAnsi="Calibri" w:cstheme="minorHAnsi"/>
                <w:color w:val="000000"/>
                <w:sz w:val="24"/>
                <w:szCs w:val="24"/>
                <w:lang w:eastAsia="pt-BR"/>
              </w:rPr>
              <w:t xml:space="preserve"> os dirigentes que têm seus mandatos prorrogados, desde que fundamentado em expressa previsão estatutária ou por ato do conselho deliberativo, devendo o fato ser comunicado à Previc no prazo de dez dias. </w:t>
            </w:r>
          </w:p>
        </w:tc>
        <w:tc>
          <w:tcPr>
            <w:tcW w:w="1679" w:type="pct"/>
            <w:tcBorders>
              <w:top w:val="nil"/>
              <w:left w:val="nil"/>
              <w:bottom w:val="single" w:sz="4" w:space="0" w:color="auto"/>
              <w:right w:val="single" w:sz="4" w:space="0" w:color="auto"/>
            </w:tcBorders>
            <w:shd w:val="clear" w:color="auto" w:fill="auto"/>
            <w:vAlign w:val="center"/>
            <w:hideMark/>
          </w:tcPr>
          <w:p w14:paraId="39CB873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442ADE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27794D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 disposto neste artigo é aplicável somente ao administrador estatutário tecnicamente qualificado, na hipótese em que </w:t>
            </w:r>
            <w:proofErr w:type="gramStart"/>
            <w:r w:rsidRPr="00704883">
              <w:rPr>
                <w:rFonts w:ascii="Calibri" w:eastAsia="Times New Roman" w:hAnsi="Calibri" w:cstheme="minorHAnsi"/>
                <w:color w:val="000000"/>
                <w:sz w:val="24"/>
                <w:szCs w:val="24"/>
                <w:lang w:eastAsia="pt-BR"/>
              </w:rPr>
              <w:t>o mesmo</w:t>
            </w:r>
            <w:proofErr w:type="gramEnd"/>
            <w:r w:rsidRPr="00704883">
              <w:rPr>
                <w:rFonts w:ascii="Calibri" w:eastAsia="Times New Roman" w:hAnsi="Calibri" w:cstheme="minorHAnsi"/>
                <w:color w:val="000000"/>
                <w:sz w:val="24"/>
                <w:szCs w:val="24"/>
                <w:lang w:eastAsia="pt-BR"/>
              </w:rPr>
              <w:t xml:space="preserve"> possua certificado válido para todo o período da prorrogação. </w:t>
            </w:r>
          </w:p>
        </w:tc>
        <w:tc>
          <w:tcPr>
            <w:tcW w:w="1660" w:type="pct"/>
            <w:tcBorders>
              <w:top w:val="nil"/>
              <w:left w:val="nil"/>
              <w:bottom w:val="single" w:sz="4" w:space="0" w:color="auto"/>
              <w:right w:val="single" w:sz="4" w:space="0" w:color="auto"/>
            </w:tcBorders>
            <w:shd w:val="clear" w:color="auto" w:fill="auto"/>
            <w:vAlign w:val="center"/>
            <w:hideMark/>
          </w:tcPr>
          <w:p w14:paraId="50966894" w14:textId="35BFA51A"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1</w:t>
            </w:r>
            <w:proofErr w:type="gramStart"/>
            <w:r w:rsidRPr="00704883">
              <w:rPr>
                <w:rFonts w:ascii="Calibri" w:eastAsia="Times New Roman" w:hAnsi="Calibri" w:cstheme="minorHAnsi"/>
                <w:sz w:val="24"/>
                <w:szCs w:val="24"/>
                <w:lang w:eastAsia="pt-BR"/>
              </w:rPr>
              <w:t>º  O</w:t>
            </w:r>
            <w:proofErr w:type="gramEnd"/>
            <w:r w:rsidRPr="00704883">
              <w:rPr>
                <w:rFonts w:ascii="Calibri" w:eastAsia="Times New Roman" w:hAnsi="Calibri" w:cstheme="minorHAnsi"/>
                <w:sz w:val="24"/>
                <w:szCs w:val="24"/>
                <w:lang w:eastAsia="pt-BR"/>
              </w:rPr>
              <w:t xml:space="preserve"> disposto no </w:t>
            </w:r>
            <w:r w:rsidRPr="00704883">
              <w:rPr>
                <w:rFonts w:ascii="Calibri" w:eastAsia="Times New Roman" w:hAnsi="Calibri" w:cs="Calibri"/>
                <w:b/>
                <w:bCs/>
                <w:sz w:val="24"/>
                <w:szCs w:val="24"/>
                <w:lang w:eastAsia="pt-BR"/>
              </w:rPr>
              <w:t>caput</w:t>
            </w:r>
            <w:r w:rsidRPr="00704883">
              <w:rPr>
                <w:rFonts w:ascii="Calibri" w:eastAsia="Times New Roman" w:hAnsi="Calibri" w:cs="Calibri"/>
                <w:sz w:val="24"/>
                <w:szCs w:val="24"/>
                <w:lang w:eastAsia="pt-BR"/>
              </w:rPr>
              <w:t xml:space="preserve"> é aplicável somente ao </w:t>
            </w:r>
            <w:r w:rsidR="00F13CD2">
              <w:rPr>
                <w:rFonts w:ascii="Calibri" w:eastAsia="Times New Roman" w:hAnsi="Calibri" w:cs="Calibri"/>
                <w:sz w:val="24"/>
                <w:szCs w:val="24"/>
                <w:lang w:eastAsia="pt-BR"/>
              </w:rPr>
              <w:t>AETQ</w:t>
            </w:r>
            <w:r w:rsidRPr="00704883">
              <w:rPr>
                <w:rFonts w:ascii="Calibri" w:eastAsia="Times New Roman" w:hAnsi="Calibri" w:cs="Calibri"/>
                <w:sz w:val="24"/>
                <w:szCs w:val="24"/>
                <w:lang w:eastAsia="pt-BR"/>
              </w:rPr>
              <w:t xml:space="preserve">, na hipótese em que o mesmo possua certificado válido para todo o período da prorrogação. </w:t>
            </w:r>
          </w:p>
        </w:tc>
        <w:tc>
          <w:tcPr>
            <w:tcW w:w="1679" w:type="pct"/>
            <w:tcBorders>
              <w:top w:val="nil"/>
              <w:left w:val="nil"/>
              <w:bottom w:val="single" w:sz="4" w:space="0" w:color="auto"/>
              <w:right w:val="single" w:sz="4" w:space="0" w:color="auto"/>
            </w:tcBorders>
            <w:shd w:val="clear" w:color="auto" w:fill="auto"/>
            <w:vAlign w:val="center"/>
            <w:hideMark/>
          </w:tcPr>
          <w:p w14:paraId="3536D97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CA47B2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D1696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§2° Caso a prorrogação do mandato seja realizada por prazo superior a noventa dias, a EFPC deverá solicitar a renovação da habilitação antes de finalizado esse período.</w:t>
            </w:r>
          </w:p>
        </w:tc>
        <w:tc>
          <w:tcPr>
            <w:tcW w:w="1660" w:type="pct"/>
            <w:tcBorders>
              <w:top w:val="nil"/>
              <w:left w:val="nil"/>
              <w:bottom w:val="single" w:sz="4" w:space="0" w:color="auto"/>
              <w:right w:val="single" w:sz="4" w:space="0" w:color="auto"/>
            </w:tcBorders>
            <w:shd w:val="clear" w:color="auto" w:fill="auto"/>
            <w:vAlign w:val="center"/>
            <w:hideMark/>
          </w:tcPr>
          <w:p w14:paraId="468ABC6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Caso</w:t>
            </w:r>
            <w:proofErr w:type="gramEnd"/>
            <w:r w:rsidRPr="00704883">
              <w:rPr>
                <w:rFonts w:ascii="Calibri" w:eastAsia="Times New Roman" w:hAnsi="Calibri" w:cstheme="minorHAnsi"/>
                <w:color w:val="000000"/>
                <w:sz w:val="24"/>
                <w:szCs w:val="24"/>
                <w:lang w:eastAsia="pt-BR"/>
              </w:rPr>
              <w:t xml:space="preserve"> a prorrogação do mandato seja realizada por prazo superior a noventa dias, a EFPC deve solicitar a renovação da habilitação antes de finalizado esse período.</w:t>
            </w:r>
          </w:p>
        </w:tc>
        <w:tc>
          <w:tcPr>
            <w:tcW w:w="1679" w:type="pct"/>
            <w:tcBorders>
              <w:top w:val="nil"/>
              <w:left w:val="nil"/>
              <w:bottom w:val="single" w:sz="4" w:space="0" w:color="auto"/>
              <w:right w:val="single" w:sz="4" w:space="0" w:color="auto"/>
            </w:tcBorders>
            <w:shd w:val="clear" w:color="auto" w:fill="auto"/>
            <w:vAlign w:val="center"/>
            <w:hideMark/>
          </w:tcPr>
          <w:p w14:paraId="536A35F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5642A30"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D1552C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9° Ficará suspensa a habilitação do dirigente: </w:t>
            </w:r>
          </w:p>
        </w:tc>
        <w:tc>
          <w:tcPr>
            <w:tcW w:w="1660" w:type="pct"/>
            <w:tcBorders>
              <w:top w:val="nil"/>
              <w:left w:val="nil"/>
              <w:bottom w:val="single" w:sz="4" w:space="0" w:color="auto"/>
              <w:right w:val="single" w:sz="4" w:space="0" w:color="auto"/>
            </w:tcBorders>
            <w:shd w:val="clear" w:color="auto" w:fill="auto"/>
            <w:vAlign w:val="center"/>
            <w:hideMark/>
          </w:tcPr>
          <w:p w14:paraId="761533F8" w14:textId="310EB4C8"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1</w:t>
            </w:r>
            <w:r w:rsidRPr="00704883">
              <w:rPr>
                <w:rFonts w:ascii="Calibri" w:eastAsia="Times New Roman" w:hAnsi="Calibri" w:cstheme="minorHAnsi"/>
                <w:color w:val="000000"/>
                <w:sz w:val="24"/>
                <w:szCs w:val="24"/>
                <w:lang w:eastAsia="pt-BR"/>
              </w:rPr>
              <w:t xml:space="preserve">.  Fica suspensa a habilitação do dirigente: </w:t>
            </w:r>
          </w:p>
        </w:tc>
        <w:tc>
          <w:tcPr>
            <w:tcW w:w="1679" w:type="pct"/>
            <w:tcBorders>
              <w:top w:val="nil"/>
              <w:left w:val="nil"/>
              <w:bottom w:val="single" w:sz="4" w:space="0" w:color="auto"/>
              <w:right w:val="single" w:sz="4" w:space="0" w:color="auto"/>
            </w:tcBorders>
            <w:shd w:val="clear" w:color="auto" w:fill="auto"/>
            <w:vAlign w:val="center"/>
            <w:hideMark/>
          </w:tcPr>
          <w:p w14:paraId="26779A3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9A2206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B3571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Durante o cumprimento de penalidade administrativa de suspensão; </w:t>
            </w:r>
          </w:p>
        </w:tc>
        <w:tc>
          <w:tcPr>
            <w:tcW w:w="1660" w:type="pct"/>
            <w:tcBorders>
              <w:top w:val="nil"/>
              <w:left w:val="nil"/>
              <w:bottom w:val="single" w:sz="4" w:space="0" w:color="auto"/>
              <w:right w:val="single" w:sz="4" w:space="0" w:color="auto"/>
            </w:tcBorders>
            <w:shd w:val="clear" w:color="auto" w:fill="auto"/>
            <w:vAlign w:val="center"/>
            <w:hideMark/>
          </w:tcPr>
          <w:p w14:paraId="4120FD8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durante</w:t>
            </w:r>
            <w:proofErr w:type="gramEnd"/>
            <w:r w:rsidRPr="00704883">
              <w:rPr>
                <w:rFonts w:ascii="Calibri" w:eastAsia="Times New Roman" w:hAnsi="Calibri" w:cstheme="minorHAnsi"/>
                <w:color w:val="000000"/>
                <w:sz w:val="24"/>
                <w:szCs w:val="24"/>
                <w:lang w:eastAsia="pt-BR"/>
              </w:rPr>
              <w:t xml:space="preserve"> o cumprimento de penalidade administrativa de suspensão; </w:t>
            </w:r>
          </w:p>
        </w:tc>
        <w:tc>
          <w:tcPr>
            <w:tcW w:w="1679" w:type="pct"/>
            <w:tcBorders>
              <w:top w:val="nil"/>
              <w:left w:val="nil"/>
              <w:bottom w:val="single" w:sz="4" w:space="0" w:color="auto"/>
              <w:right w:val="single" w:sz="4" w:space="0" w:color="auto"/>
            </w:tcBorders>
            <w:shd w:val="clear" w:color="auto" w:fill="auto"/>
            <w:vAlign w:val="center"/>
            <w:hideMark/>
          </w:tcPr>
          <w:p w14:paraId="29AAD46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76FECE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C295E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por</w:t>
            </w:r>
            <w:proofErr w:type="gramEnd"/>
            <w:r w:rsidRPr="00704883">
              <w:rPr>
                <w:rFonts w:ascii="Calibri" w:eastAsia="Times New Roman" w:hAnsi="Calibri" w:cstheme="minorHAnsi"/>
                <w:color w:val="000000"/>
                <w:sz w:val="24"/>
                <w:szCs w:val="24"/>
                <w:lang w:eastAsia="pt-BR"/>
              </w:rPr>
              <w:t xml:space="preserve"> até noventa dias, enquanto não apresentado o certificado exigido para o exercício do cargo ou função, na hipótese de não encaminhamento no prazo regulamentar; ou </w:t>
            </w:r>
          </w:p>
        </w:tc>
        <w:tc>
          <w:tcPr>
            <w:tcW w:w="1660" w:type="pct"/>
            <w:tcBorders>
              <w:top w:val="nil"/>
              <w:left w:val="nil"/>
              <w:bottom w:val="single" w:sz="4" w:space="0" w:color="auto"/>
              <w:right w:val="single" w:sz="4" w:space="0" w:color="auto"/>
            </w:tcBorders>
            <w:shd w:val="clear" w:color="auto" w:fill="auto"/>
            <w:vAlign w:val="center"/>
            <w:hideMark/>
          </w:tcPr>
          <w:p w14:paraId="72FD30A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por</w:t>
            </w:r>
            <w:proofErr w:type="gramEnd"/>
            <w:r w:rsidRPr="00704883">
              <w:rPr>
                <w:rFonts w:ascii="Calibri" w:eastAsia="Times New Roman" w:hAnsi="Calibri" w:cstheme="minorHAnsi"/>
                <w:color w:val="000000"/>
                <w:sz w:val="24"/>
                <w:szCs w:val="24"/>
                <w:lang w:eastAsia="pt-BR"/>
              </w:rPr>
              <w:t xml:space="preserve"> até noventa dias, enquanto não apresentado o certificado exigido para o exercício do cargo ou função, na hipótese de não encaminhamento no prazo regulamentar; ou </w:t>
            </w:r>
          </w:p>
        </w:tc>
        <w:tc>
          <w:tcPr>
            <w:tcW w:w="1679" w:type="pct"/>
            <w:tcBorders>
              <w:top w:val="nil"/>
              <w:left w:val="nil"/>
              <w:bottom w:val="single" w:sz="4" w:space="0" w:color="auto"/>
              <w:right w:val="single" w:sz="4" w:space="0" w:color="auto"/>
            </w:tcBorders>
            <w:shd w:val="clear" w:color="auto" w:fill="auto"/>
            <w:vAlign w:val="center"/>
            <w:hideMark/>
          </w:tcPr>
          <w:p w14:paraId="76416FE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2A1AA09"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BDF517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III - durante a aplicação das medidas prudenciais preventivas previstas nos incisos VI e VII do artigo 3° da Instrução Previc nº 15, de 8 de dezembro de 2017. </w:t>
            </w:r>
          </w:p>
        </w:tc>
        <w:tc>
          <w:tcPr>
            <w:tcW w:w="1660" w:type="pct"/>
            <w:tcBorders>
              <w:top w:val="nil"/>
              <w:left w:val="nil"/>
              <w:bottom w:val="single" w:sz="4" w:space="0" w:color="auto"/>
              <w:right w:val="single" w:sz="4" w:space="0" w:color="auto"/>
            </w:tcBorders>
            <w:shd w:val="clear" w:color="auto" w:fill="auto"/>
            <w:vAlign w:val="center"/>
            <w:hideMark/>
          </w:tcPr>
          <w:p w14:paraId="314571B7" w14:textId="497061FE"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III - durante a aplicação das medidas prudenciais preventivas previstas nos incisos VI e VII do artigo 18</w:t>
            </w:r>
            <w:r w:rsidR="000708F1">
              <w:rPr>
                <w:rFonts w:ascii="Calibri" w:eastAsia="Times New Roman" w:hAnsi="Calibri" w:cstheme="minorHAnsi"/>
                <w:sz w:val="24"/>
                <w:szCs w:val="24"/>
                <w:lang w:eastAsia="pt-BR"/>
              </w:rPr>
              <w:t>5</w:t>
            </w:r>
            <w:r w:rsidRPr="00704883">
              <w:rPr>
                <w:rFonts w:ascii="Calibri" w:eastAsia="Times New Roman" w:hAnsi="Calibri" w:cstheme="minorHAnsi"/>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50283C6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967165E"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F04EFB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 disposto neste artigo independe de notificação específica da Diretoria de Licenciamento. </w:t>
            </w:r>
          </w:p>
        </w:tc>
        <w:tc>
          <w:tcPr>
            <w:tcW w:w="1660" w:type="pct"/>
            <w:tcBorders>
              <w:top w:val="nil"/>
              <w:left w:val="nil"/>
              <w:bottom w:val="single" w:sz="4" w:space="0" w:color="auto"/>
              <w:right w:val="single" w:sz="4" w:space="0" w:color="auto"/>
            </w:tcBorders>
            <w:shd w:val="clear" w:color="auto" w:fill="auto"/>
            <w:vAlign w:val="center"/>
            <w:hideMark/>
          </w:tcPr>
          <w:p w14:paraId="7B6D0E27" w14:textId="77777777"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1</w:t>
            </w:r>
            <w:proofErr w:type="gramStart"/>
            <w:r w:rsidRPr="00704883">
              <w:rPr>
                <w:rFonts w:ascii="Calibri" w:eastAsia="Times New Roman" w:hAnsi="Calibri" w:cstheme="minorHAnsi"/>
                <w:sz w:val="24"/>
                <w:szCs w:val="24"/>
                <w:lang w:eastAsia="pt-BR"/>
              </w:rPr>
              <w:t>º  O</w:t>
            </w:r>
            <w:proofErr w:type="gramEnd"/>
            <w:r w:rsidRPr="00704883">
              <w:rPr>
                <w:rFonts w:ascii="Calibri" w:eastAsia="Times New Roman" w:hAnsi="Calibri" w:cstheme="minorHAnsi"/>
                <w:sz w:val="24"/>
                <w:szCs w:val="24"/>
                <w:lang w:eastAsia="pt-BR"/>
              </w:rPr>
              <w:t xml:space="preserve"> disposto neste artigo independe de notificação específica da Diretoria de Licenciamento. </w:t>
            </w:r>
          </w:p>
        </w:tc>
        <w:tc>
          <w:tcPr>
            <w:tcW w:w="1679" w:type="pct"/>
            <w:tcBorders>
              <w:top w:val="nil"/>
              <w:left w:val="nil"/>
              <w:bottom w:val="single" w:sz="4" w:space="0" w:color="auto"/>
              <w:right w:val="single" w:sz="4" w:space="0" w:color="auto"/>
            </w:tcBorders>
            <w:shd w:val="clear" w:color="auto" w:fill="auto"/>
            <w:vAlign w:val="center"/>
            <w:hideMark/>
          </w:tcPr>
          <w:p w14:paraId="21C4E3E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200A76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2D1CFA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§2° É vedado ao dirigente exercer as atribuições do cargo ou função na EFPC durante a suspensão da habilitação.</w:t>
            </w:r>
          </w:p>
        </w:tc>
        <w:tc>
          <w:tcPr>
            <w:tcW w:w="1660" w:type="pct"/>
            <w:tcBorders>
              <w:top w:val="nil"/>
              <w:left w:val="nil"/>
              <w:bottom w:val="single" w:sz="4" w:space="0" w:color="auto"/>
              <w:right w:val="single" w:sz="4" w:space="0" w:color="auto"/>
            </w:tcBorders>
            <w:shd w:val="clear" w:color="auto" w:fill="auto"/>
            <w:vAlign w:val="center"/>
            <w:hideMark/>
          </w:tcPr>
          <w:p w14:paraId="6617A8F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É</w:t>
            </w:r>
            <w:proofErr w:type="gramEnd"/>
            <w:r w:rsidRPr="00704883">
              <w:rPr>
                <w:rFonts w:ascii="Calibri" w:eastAsia="Times New Roman" w:hAnsi="Calibri" w:cstheme="minorHAnsi"/>
                <w:color w:val="000000"/>
                <w:sz w:val="24"/>
                <w:szCs w:val="24"/>
                <w:lang w:eastAsia="pt-BR"/>
              </w:rPr>
              <w:t xml:space="preserve"> vedado ao dirigente exercer as atribuições do cargo ou função na EFPC durante a suspensão da habilitação.</w:t>
            </w:r>
          </w:p>
        </w:tc>
        <w:tc>
          <w:tcPr>
            <w:tcW w:w="1679" w:type="pct"/>
            <w:tcBorders>
              <w:top w:val="nil"/>
              <w:left w:val="nil"/>
              <w:bottom w:val="single" w:sz="4" w:space="0" w:color="auto"/>
              <w:right w:val="single" w:sz="4" w:space="0" w:color="auto"/>
            </w:tcBorders>
            <w:shd w:val="clear" w:color="auto" w:fill="auto"/>
            <w:vAlign w:val="center"/>
            <w:hideMark/>
          </w:tcPr>
          <w:p w14:paraId="34B9ABC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150142C"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E23ACC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10. Será cancelada a habilitação do dirigente: </w:t>
            </w:r>
          </w:p>
        </w:tc>
        <w:tc>
          <w:tcPr>
            <w:tcW w:w="1660" w:type="pct"/>
            <w:tcBorders>
              <w:top w:val="nil"/>
              <w:left w:val="nil"/>
              <w:bottom w:val="single" w:sz="4" w:space="0" w:color="auto"/>
              <w:right w:val="single" w:sz="4" w:space="0" w:color="auto"/>
            </w:tcBorders>
            <w:shd w:val="clear" w:color="auto" w:fill="auto"/>
            <w:vAlign w:val="center"/>
            <w:hideMark/>
          </w:tcPr>
          <w:p w14:paraId="39A93B1F" w14:textId="7C41863C"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2</w:t>
            </w:r>
            <w:r w:rsidRPr="00704883">
              <w:rPr>
                <w:rFonts w:ascii="Calibri" w:eastAsia="Times New Roman" w:hAnsi="Calibri" w:cstheme="minorHAnsi"/>
                <w:color w:val="000000"/>
                <w:sz w:val="24"/>
                <w:szCs w:val="24"/>
                <w:lang w:eastAsia="pt-BR"/>
              </w:rPr>
              <w:t xml:space="preserve">.  Deve ser cancelada a habilitação do dirigente: </w:t>
            </w:r>
          </w:p>
        </w:tc>
        <w:tc>
          <w:tcPr>
            <w:tcW w:w="1679" w:type="pct"/>
            <w:tcBorders>
              <w:top w:val="nil"/>
              <w:left w:val="nil"/>
              <w:bottom w:val="single" w:sz="4" w:space="0" w:color="auto"/>
              <w:right w:val="single" w:sz="4" w:space="0" w:color="auto"/>
            </w:tcBorders>
            <w:shd w:val="clear" w:color="auto" w:fill="auto"/>
            <w:vAlign w:val="center"/>
            <w:hideMark/>
          </w:tcPr>
          <w:p w14:paraId="2C4DD77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3658D5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22C64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Com o afastamento definitivo do cargo ou função; </w:t>
            </w:r>
          </w:p>
        </w:tc>
        <w:tc>
          <w:tcPr>
            <w:tcW w:w="1660" w:type="pct"/>
            <w:tcBorders>
              <w:top w:val="nil"/>
              <w:left w:val="nil"/>
              <w:bottom w:val="single" w:sz="4" w:space="0" w:color="auto"/>
              <w:right w:val="single" w:sz="4" w:space="0" w:color="auto"/>
            </w:tcBorders>
            <w:shd w:val="clear" w:color="auto" w:fill="auto"/>
            <w:vAlign w:val="center"/>
            <w:hideMark/>
          </w:tcPr>
          <w:p w14:paraId="291E94E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com</w:t>
            </w:r>
            <w:proofErr w:type="gramEnd"/>
            <w:r w:rsidRPr="00704883">
              <w:rPr>
                <w:rFonts w:ascii="Calibri" w:eastAsia="Times New Roman" w:hAnsi="Calibri" w:cstheme="minorHAnsi"/>
                <w:color w:val="000000"/>
                <w:sz w:val="24"/>
                <w:szCs w:val="24"/>
                <w:lang w:eastAsia="pt-BR"/>
              </w:rPr>
              <w:t xml:space="preserve"> o afastamento definitivo do cargo ou função; </w:t>
            </w:r>
          </w:p>
        </w:tc>
        <w:tc>
          <w:tcPr>
            <w:tcW w:w="1679" w:type="pct"/>
            <w:tcBorders>
              <w:top w:val="nil"/>
              <w:left w:val="nil"/>
              <w:bottom w:val="single" w:sz="4" w:space="0" w:color="auto"/>
              <w:right w:val="single" w:sz="4" w:space="0" w:color="auto"/>
            </w:tcBorders>
            <w:shd w:val="clear" w:color="auto" w:fill="auto"/>
            <w:vAlign w:val="center"/>
            <w:hideMark/>
          </w:tcPr>
          <w:p w14:paraId="1542167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0DDCFC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EBBA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II - Em virtude de condenação judicial transitada em julgado ou em processo administrativo disciplinar que determine a perda do mandato;</w:t>
            </w:r>
          </w:p>
        </w:tc>
        <w:tc>
          <w:tcPr>
            <w:tcW w:w="1660" w:type="pct"/>
            <w:tcBorders>
              <w:top w:val="nil"/>
              <w:left w:val="nil"/>
              <w:bottom w:val="single" w:sz="4" w:space="0" w:color="auto"/>
              <w:right w:val="single" w:sz="4" w:space="0" w:color="auto"/>
            </w:tcBorders>
            <w:shd w:val="clear" w:color="auto" w:fill="auto"/>
            <w:vAlign w:val="center"/>
            <w:hideMark/>
          </w:tcPr>
          <w:p w14:paraId="3350BCC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em</w:t>
            </w:r>
            <w:proofErr w:type="gramEnd"/>
            <w:r w:rsidRPr="00704883">
              <w:rPr>
                <w:rFonts w:ascii="Calibri" w:eastAsia="Times New Roman" w:hAnsi="Calibri" w:cstheme="minorHAnsi"/>
                <w:color w:val="000000"/>
                <w:sz w:val="24"/>
                <w:szCs w:val="24"/>
                <w:lang w:eastAsia="pt-BR"/>
              </w:rPr>
              <w:t xml:space="preserve"> virtude de condenação judicial transitada em julgado ou em processo administrativo disciplinar que determina a perda do mandato; </w:t>
            </w:r>
          </w:p>
        </w:tc>
        <w:tc>
          <w:tcPr>
            <w:tcW w:w="1679" w:type="pct"/>
            <w:tcBorders>
              <w:top w:val="nil"/>
              <w:left w:val="nil"/>
              <w:bottom w:val="single" w:sz="4" w:space="0" w:color="auto"/>
              <w:right w:val="single" w:sz="4" w:space="0" w:color="auto"/>
            </w:tcBorders>
            <w:shd w:val="clear" w:color="auto" w:fill="auto"/>
            <w:vAlign w:val="center"/>
            <w:hideMark/>
          </w:tcPr>
          <w:p w14:paraId="3B665BD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1BF75A5"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879A1A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em decorrência de penalidade de inabilitação confirmada em segunda instância administrativa; </w:t>
            </w:r>
          </w:p>
        </w:tc>
        <w:tc>
          <w:tcPr>
            <w:tcW w:w="1660" w:type="pct"/>
            <w:tcBorders>
              <w:top w:val="nil"/>
              <w:left w:val="nil"/>
              <w:bottom w:val="single" w:sz="4" w:space="0" w:color="auto"/>
              <w:right w:val="single" w:sz="4" w:space="0" w:color="auto"/>
            </w:tcBorders>
            <w:shd w:val="clear" w:color="auto" w:fill="auto"/>
            <w:vAlign w:val="center"/>
            <w:hideMark/>
          </w:tcPr>
          <w:p w14:paraId="2D3B1D4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em decorrência de penalidade de inabilitação confirmada em segunda instância administrativa; </w:t>
            </w:r>
          </w:p>
        </w:tc>
        <w:tc>
          <w:tcPr>
            <w:tcW w:w="1679" w:type="pct"/>
            <w:tcBorders>
              <w:top w:val="nil"/>
              <w:left w:val="nil"/>
              <w:bottom w:val="single" w:sz="4" w:space="0" w:color="auto"/>
              <w:right w:val="single" w:sz="4" w:space="0" w:color="auto"/>
            </w:tcBorders>
            <w:shd w:val="clear" w:color="auto" w:fill="auto"/>
            <w:vAlign w:val="center"/>
            <w:hideMark/>
          </w:tcPr>
          <w:p w14:paraId="4FDFA4B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6AB859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911215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Quando não apresentado o certificado exigido para o exercício do cargo ou função após o transcurso do prazo de noventa dias de suspensão da habilitação previsto no inciso II do artigo 9° desta Instrução; </w:t>
            </w:r>
          </w:p>
        </w:tc>
        <w:tc>
          <w:tcPr>
            <w:tcW w:w="1660" w:type="pct"/>
            <w:tcBorders>
              <w:top w:val="nil"/>
              <w:left w:val="nil"/>
              <w:bottom w:val="single" w:sz="4" w:space="0" w:color="auto"/>
              <w:right w:val="single" w:sz="4" w:space="0" w:color="auto"/>
            </w:tcBorders>
            <w:shd w:val="clear" w:color="auto" w:fill="auto"/>
            <w:vAlign w:val="center"/>
            <w:hideMark/>
          </w:tcPr>
          <w:p w14:paraId="6139F89A" w14:textId="23CC18B3" w:rsidR="00AB7EF0" w:rsidRPr="00704883" w:rsidRDefault="00AB7EF0" w:rsidP="00AB7EF0">
            <w:pPr>
              <w:spacing w:after="0" w:line="240" w:lineRule="auto"/>
              <w:jc w:val="both"/>
              <w:rPr>
                <w:rFonts w:ascii="Calibri" w:eastAsia="Times New Roman" w:hAnsi="Calibri" w:cs="Calibri"/>
                <w:sz w:val="24"/>
                <w:szCs w:val="24"/>
                <w:lang w:eastAsia="pt-BR"/>
              </w:rPr>
            </w:pPr>
            <w:r w:rsidRPr="00704883">
              <w:rPr>
                <w:rFonts w:ascii="Calibri" w:eastAsia="Times New Roman" w:hAnsi="Calibri" w:cstheme="minorHAnsi"/>
                <w:sz w:val="24"/>
                <w:szCs w:val="24"/>
                <w:lang w:eastAsia="pt-BR"/>
              </w:rPr>
              <w:t xml:space="preserve">IV - </w:t>
            </w:r>
            <w:proofErr w:type="gramStart"/>
            <w:r w:rsidRPr="00704883">
              <w:rPr>
                <w:rFonts w:ascii="Calibri" w:eastAsia="Times New Roman" w:hAnsi="Calibri" w:cstheme="minorHAnsi"/>
                <w:sz w:val="24"/>
                <w:szCs w:val="24"/>
                <w:lang w:eastAsia="pt-BR"/>
              </w:rPr>
              <w:t>quando</w:t>
            </w:r>
            <w:proofErr w:type="gramEnd"/>
            <w:r w:rsidRPr="00704883">
              <w:rPr>
                <w:rFonts w:ascii="Calibri" w:eastAsia="Times New Roman" w:hAnsi="Calibri" w:cstheme="minorHAnsi"/>
                <w:sz w:val="24"/>
                <w:szCs w:val="24"/>
                <w:lang w:eastAsia="pt-BR"/>
              </w:rPr>
              <w:t xml:space="preserve"> não apresentado o certificado exigido para o exercício do cargo ou função após o transcurso do prazo de noventa dias de suspensão da habilitação previsto no inciso II do art. 19</w:t>
            </w:r>
            <w:r w:rsidR="00A254E2">
              <w:rPr>
                <w:rFonts w:ascii="Calibri" w:eastAsia="Times New Roman" w:hAnsi="Calibri" w:cstheme="minorHAnsi"/>
                <w:sz w:val="24"/>
                <w:szCs w:val="24"/>
                <w:lang w:eastAsia="pt-BR"/>
              </w:rPr>
              <w:t>1</w:t>
            </w:r>
            <w:r w:rsidRPr="00704883">
              <w:rPr>
                <w:rFonts w:ascii="Calibri" w:eastAsia="Times New Roman" w:hAnsi="Calibri" w:cstheme="minorHAnsi"/>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0803038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A507EC8"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D3013F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Quando ficar evidenciada a perda de reputação ilibada para fins do exercício de cargo ou função em EFPC; </w:t>
            </w:r>
          </w:p>
        </w:tc>
        <w:tc>
          <w:tcPr>
            <w:tcW w:w="1660" w:type="pct"/>
            <w:tcBorders>
              <w:top w:val="nil"/>
              <w:left w:val="nil"/>
              <w:bottom w:val="single" w:sz="4" w:space="0" w:color="auto"/>
              <w:right w:val="single" w:sz="4" w:space="0" w:color="auto"/>
            </w:tcBorders>
            <w:shd w:val="clear" w:color="auto" w:fill="auto"/>
            <w:vAlign w:val="center"/>
            <w:hideMark/>
          </w:tcPr>
          <w:p w14:paraId="287AFA8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w:t>
            </w:r>
            <w:proofErr w:type="gramStart"/>
            <w:r w:rsidRPr="00704883">
              <w:rPr>
                <w:rFonts w:ascii="Calibri" w:eastAsia="Times New Roman" w:hAnsi="Calibri" w:cstheme="minorHAnsi"/>
                <w:color w:val="000000"/>
                <w:sz w:val="24"/>
                <w:szCs w:val="24"/>
                <w:lang w:eastAsia="pt-BR"/>
              </w:rPr>
              <w:t>quando</w:t>
            </w:r>
            <w:proofErr w:type="gramEnd"/>
            <w:r w:rsidRPr="00704883">
              <w:rPr>
                <w:rFonts w:ascii="Calibri" w:eastAsia="Times New Roman" w:hAnsi="Calibri" w:cstheme="minorHAnsi"/>
                <w:color w:val="000000"/>
                <w:sz w:val="24"/>
                <w:szCs w:val="24"/>
                <w:lang w:eastAsia="pt-BR"/>
              </w:rPr>
              <w:t xml:space="preserve"> ficar evidenciada a perda de reputação ilibada para fins do exercício de cargo ou função em EFPC; </w:t>
            </w:r>
          </w:p>
        </w:tc>
        <w:tc>
          <w:tcPr>
            <w:tcW w:w="1679" w:type="pct"/>
            <w:tcBorders>
              <w:top w:val="nil"/>
              <w:left w:val="nil"/>
              <w:bottom w:val="single" w:sz="4" w:space="0" w:color="auto"/>
              <w:right w:val="single" w:sz="4" w:space="0" w:color="auto"/>
            </w:tcBorders>
            <w:shd w:val="clear" w:color="auto" w:fill="auto"/>
            <w:vAlign w:val="center"/>
            <w:hideMark/>
          </w:tcPr>
          <w:p w14:paraId="10E9899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1BD49B7"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D1CB47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em</w:t>
            </w:r>
            <w:proofErr w:type="gramEnd"/>
            <w:r w:rsidRPr="00704883">
              <w:rPr>
                <w:rFonts w:ascii="Calibri" w:eastAsia="Times New Roman" w:hAnsi="Calibri" w:cstheme="minorHAnsi"/>
                <w:color w:val="000000"/>
                <w:sz w:val="24"/>
                <w:szCs w:val="24"/>
                <w:lang w:eastAsia="pt-BR"/>
              </w:rPr>
              <w:t xml:space="preserve"> razão da ocorrência de fatos ou situações graves que impeçam ou que sejam incompatíveis com a continuidade do exercício do cargo ou função; ou </w:t>
            </w:r>
          </w:p>
        </w:tc>
        <w:tc>
          <w:tcPr>
            <w:tcW w:w="1660" w:type="pct"/>
            <w:tcBorders>
              <w:top w:val="nil"/>
              <w:left w:val="nil"/>
              <w:bottom w:val="single" w:sz="4" w:space="0" w:color="auto"/>
              <w:right w:val="single" w:sz="4" w:space="0" w:color="auto"/>
            </w:tcBorders>
            <w:shd w:val="clear" w:color="auto" w:fill="auto"/>
            <w:vAlign w:val="center"/>
            <w:hideMark/>
          </w:tcPr>
          <w:p w14:paraId="4143419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 - </w:t>
            </w:r>
            <w:proofErr w:type="gramStart"/>
            <w:r w:rsidRPr="00704883">
              <w:rPr>
                <w:rFonts w:ascii="Calibri" w:eastAsia="Times New Roman" w:hAnsi="Calibri" w:cstheme="minorHAnsi"/>
                <w:color w:val="000000"/>
                <w:sz w:val="24"/>
                <w:szCs w:val="24"/>
                <w:lang w:eastAsia="pt-BR"/>
              </w:rPr>
              <w:t>em</w:t>
            </w:r>
            <w:proofErr w:type="gramEnd"/>
            <w:r w:rsidRPr="00704883">
              <w:rPr>
                <w:rFonts w:ascii="Calibri" w:eastAsia="Times New Roman" w:hAnsi="Calibri" w:cstheme="minorHAnsi"/>
                <w:color w:val="000000"/>
                <w:sz w:val="24"/>
                <w:szCs w:val="24"/>
                <w:lang w:eastAsia="pt-BR"/>
              </w:rPr>
              <w:t xml:space="preserve"> razão da ocorrência de fatos ou situações graves que impeçam ou que sejam incompatíveis com a continuidade do exercício do cargo ou função; ou</w:t>
            </w:r>
          </w:p>
        </w:tc>
        <w:tc>
          <w:tcPr>
            <w:tcW w:w="1679" w:type="pct"/>
            <w:tcBorders>
              <w:top w:val="nil"/>
              <w:left w:val="nil"/>
              <w:bottom w:val="single" w:sz="4" w:space="0" w:color="auto"/>
              <w:right w:val="single" w:sz="4" w:space="0" w:color="auto"/>
            </w:tcBorders>
            <w:shd w:val="clear" w:color="auto" w:fill="auto"/>
            <w:vAlign w:val="center"/>
            <w:hideMark/>
          </w:tcPr>
          <w:p w14:paraId="4C3754C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8214D71"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5C1B40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VII - quando constatada falsidade de declaração ou de quaisquer outros documentos apresentados pelo requerente ou, ainda, a ocorrência de vício insanável a que deu causa no processo de habilitação. </w:t>
            </w:r>
          </w:p>
        </w:tc>
        <w:tc>
          <w:tcPr>
            <w:tcW w:w="1660" w:type="pct"/>
            <w:tcBorders>
              <w:top w:val="nil"/>
              <w:left w:val="nil"/>
              <w:bottom w:val="single" w:sz="4" w:space="0" w:color="auto"/>
              <w:right w:val="single" w:sz="4" w:space="0" w:color="auto"/>
            </w:tcBorders>
            <w:shd w:val="clear" w:color="auto" w:fill="auto"/>
            <w:vAlign w:val="center"/>
            <w:hideMark/>
          </w:tcPr>
          <w:p w14:paraId="0323E2B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 - quando constatada falsidade de declaração ou de quaisquer outros documentos apresentados pelo requerente ou, ainda, a ocorrência de vício insanável a que deu causa no processo de habilitação. </w:t>
            </w:r>
          </w:p>
        </w:tc>
        <w:tc>
          <w:tcPr>
            <w:tcW w:w="1679" w:type="pct"/>
            <w:tcBorders>
              <w:top w:val="nil"/>
              <w:left w:val="nil"/>
              <w:bottom w:val="single" w:sz="4" w:space="0" w:color="auto"/>
              <w:right w:val="single" w:sz="4" w:space="0" w:color="auto"/>
            </w:tcBorders>
            <w:shd w:val="clear" w:color="auto" w:fill="auto"/>
            <w:vAlign w:val="center"/>
            <w:hideMark/>
          </w:tcPr>
          <w:p w14:paraId="12BC2D4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2AF8094"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0A4BA5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§1° Nas hipóteses previstas nos incisos V, VI e VII do caput, o cancelamento da habilitação dependerá de procedimento administrativo prévio e específico, assegurados o contraditório e a ampla defesa.</w:t>
            </w:r>
          </w:p>
        </w:tc>
        <w:tc>
          <w:tcPr>
            <w:tcW w:w="1660" w:type="pct"/>
            <w:tcBorders>
              <w:top w:val="nil"/>
              <w:left w:val="nil"/>
              <w:bottom w:val="single" w:sz="4" w:space="0" w:color="auto"/>
              <w:right w:val="single" w:sz="4" w:space="0" w:color="auto"/>
            </w:tcBorders>
            <w:shd w:val="clear" w:color="auto" w:fill="auto"/>
            <w:vAlign w:val="center"/>
            <w:hideMark/>
          </w:tcPr>
          <w:p w14:paraId="1A8CC69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Nas</w:t>
            </w:r>
            <w:proofErr w:type="gramEnd"/>
            <w:r w:rsidRPr="00704883">
              <w:rPr>
                <w:rFonts w:ascii="Calibri" w:eastAsia="Times New Roman" w:hAnsi="Calibri" w:cstheme="minorHAnsi"/>
                <w:color w:val="000000"/>
                <w:sz w:val="24"/>
                <w:szCs w:val="24"/>
                <w:lang w:eastAsia="pt-BR"/>
              </w:rPr>
              <w:t xml:space="preserve"> hipóteses previstas nos incisos V, VI e VII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o cancelamento da habilitação depende de procedimento administrativo prévio e específico, assegurados o contraditório e a ampla defesa.</w:t>
            </w:r>
          </w:p>
        </w:tc>
        <w:tc>
          <w:tcPr>
            <w:tcW w:w="1679" w:type="pct"/>
            <w:tcBorders>
              <w:top w:val="nil"/>
              <w:left w:val="nil"/>
              <w:bottom w:val="single" w:sz="4" w:space="0" w:color="auto"/>
              <w:right w:val="single" w:sz="4" w:space="0" w:color="auto"/>
            </w:tcBorders>
            <w:shd w:val="clear" w:color="auto" w:fill="auto"/>
            <w:vAlign w:val="center"/>
            <w:hideMark/>
          </w:tcPr>
          <w:p w14:paraId="25AA55E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81D17BE" w14:textId="77777777" w:rsidTr="00704883">
        <w:trPr>
          <w:trHeight w:val="189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E45D9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§2° Nas hipóteses previstas no inciso VI do caput deverão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tc>
        <w:tc>
          <w:tcPr>
            <w:tcW w:w="1660" w:type="pct"/>
            <w:tcBorders>
              <w:top w:val="nil"/>
              <w:left w:val="nil"/>
              <w:bottom w:val="single" w:sz="4" w:space="0" w:color="auto"/>
              <w:right w:val="single" w:sz="4" w:space="0" w:color="auto"/>
            </w:tcBorders>
            <w:shd w:val="clear" w:color="auto" w:fill="auto"/>
            <w:vAlign w:val="center"/>
            <w:hideMark/>
          </w:tcPr>
          <w:p w14:paraId="60E67F8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Nas</w:t>
            </w:r>
            <w:proofErr w:type="gramEnd"/>
            <w:r w:rsidRPr="00704883">
              <w:rPr>
                <w:rFonts w:ascii="Calibri" w:eastAsia="Times New Roman" w:hAnsi="Calibri" w:cstheme="minorHAnsi"/>
                <w:color w:val="000000"/>
                <w:sz w:val="24"/>
                <w:szCs w:val="24"/>
                <w:lang w:eastAsia="pt-BR"/>
              </w:rPr>
              <w:t xml:space="preserve"> hipóteses previstas no inciso VI do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tc>
        <w:tc>
          <w:tcPr>
            <w:tcW w:w="1679" w:type="pct"/>
            <w:tcBorders>
              <w:top w:val="nil"/>
              <w:left w:val="nil"/>
              <w:bottom w:val="single" w:sz="4" w:space="0" w:color="auto"/>
              <w:right w:val="single" w:sz="4" w:space="0" w:color="auto"/>
            </w:tcBorders>
            <w:shd w:val="clear" w:color="auto" w:fill="auto"/>
            <w:vAlign w:val="center"/>
            <w:hideMark/>
          </w:tcPr>
          <w:p w14:paraId="05B767FD"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314732C"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F24D52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§3° É vedado ao dirigente exercer as atribuições do cargo ou função na EFPC após o cancelamento da habilitação.</w:t>
            </w:r>
          </w:p>
        </w:tc>
        <w:tc>
          <w:tcPr>
            <w:tcW w:w="1660" w:type="pct"/>
            <w:tcBorders>
              <w:top w:val="nil"/>
              <w:left w:val="nil"/>
              <w:bottom w:val="single" w:sz="4" w:space="0" w:color="auto"/>
              <w:right w:val="single" w:sz="4" w:space="0" w:color="auto"/>
            </w:tcBorders>
            <w:shd w:val="clear" w:color="auto" w:fill="auto"/>
            <w:vAlign w:val="center"/>
            <w:hideMark/>
          </w:tcPr>
          <w:p w14:paraId="0311053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w:t>
            </w:r>
            <w:proofErr w:type="gramStart"/>
            <w:r w:rsidRPr="00704883">
              <w:rPr>
                <w:rFonts w:ascii="Calibri" w:eastAsia="Times New Roman" w:hAnsi="Calibri" w:cstheme="minorHAnsi"/>
                <w:color w:val="000000"/>
                <w:sz w:val="24"/>
                <w:szCs w:val="24"/>
                <w:lang w:eastAsia="pt-BR"/>
              </w:rPr>
              <w:t>º  É</w:t>
            </w:r>
            <w:proofErr w:type="gramEnd"/>
            <w:r w:rsidRPr="00704883">
              <w:rPr>
                <w:rFonts w:ascii="Calibri" w:eastAsia="Times New Roman" w:hAnsi="Calibri" w:cstheme="minorHAnsi"/>
                <w:color w:val="000000"/>
                <w:sz w:val="24"/>
                <w:szCs w:val="24"/>
                <w:lang w:eastAsia="pt-BR"/>
              </w:rPr>
              <w:t xml:space="preserve"> vedado ao dirigente exercer as atribuições do cargo ou função na EFPC após o cancelamento da habilitação.</w:t>
            </w:r>
          </w:p>
        </w:tc>
        <w:tc>
          <w:tcPr>
            <w:tcW w:w="1679" w:type="pct"/>
            <w:tcBorders>
              <w:top w:val="nil"/>
              <w:left w:val="nil"/>
              <w:bottom w:val="single" w:sz="4" w:space="0" w:color="auto"/>
              <w:right w:val="single" w:sz="4" w:space="0" w:color="auto"/>
            </w:tcBorders>
            <w:shd w:val="clear" w:color="auto" w:fill="auto"/>
            <w:vAlign w:val="center"/>
            <w:hideMark/>
          </w:tcPr>
          <w:p w14:paraId="3F00F71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5B3C57D"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293177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11. O órgão estatutário competente da EFPC deverá instaurar regular procedimento interno para apurar eventual descumprimento, ou não, pelos dirigentes, dos requisitos exigidos nesta Instrução para o exercício de cargo ou função. </w:t>
            </w:r>
          </w:p>
        </w:tc>
        <w:tc>
          <w:tcPr>
            <w:tcW w:w="1660" w:type="pct"/>
            <w:tcBorders>
              <w:top w:val="nil"/>
              <w:left w:val="nil"/>
              <w:bottom w:val="single" w:sz="4" w:space="0" w:color="auto"/>
              <w:right w:val="single" w:sz="4" w:space="0" w:color="auto"/>
            </w:tcBorders>
            <w:shd w:val="clear" w:color="auto" w:fill="auto"/>
            <w:vAlign w:val="center"/>
            <w:hideMark/>
          </w:tcPr>
          <w:p w14:paraId="3FF8A1E0" w14:textId="1C8C0B71"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3</w:t>
            </w:r>
            <w:r w:rsidRPr="00704883">
              <w:rPr>
                <w:rFonts w:ascii="Calibri" w:eastAsia="Times New Roman" w:hAnsi="Calibri" w:cstheme="minorHAnsi"/>
                <w:color w:val="000000"/>
                <w:sz w:val="24"/>
                <w:szCs w:val="24"/>
                <w:lang w:eastAsia="pt-BR"/>
              </w:rPr>
              <w:t xml:space="preserve">.  O órgão estatutário competente da EFPC deve instaurar regular procedimento interno para apurar eventual descumprimento, ou não, pelos dirigentes, dos requisitos exigidos nesta Instrução para o exercício de cargo ou função. </w:t>
            </w:r>
          </w:p>
        </w:tc>
        <w:tc>
          <w:tcPr>
            <w:tcW w:w="1679" w:type="pct"/>
            <w:tcBorders>
              <w:top w:val="nil"/>
              <w:left w:val="nil"/>
              <w:bottom w:val="single" w:sz="4" w:space="0" w:color="auto"/>
              <w:right w:val="single" w:sz="4" w:space="0" w:color="auto"/>
            </w:tcBorders>
            <w:shd w:val="clear" w:color="auto" w:fill="auto"/>
            <w:vAlign w:val="center"/>
            <w:hideMark/>
          </w:tcPr>
          <w:p w14:paraId="4066E03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8CD5CF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CAC38C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 disposto no caput aplica-se a todos os dirigentes da EFPC, habilitados ou não pela Previc. </w:t>
            </w:r>
          </w:p>
        </w:tc>
        <w:tc>
          <w:tcPr>
            <w:tcW w:w="1660" w:type="pct"/>
            <w:tcBorders>
              <w:top w:val="nil"/>
              <w:left w:val="nil"/>
              <w:bottom w:val="single" w:sz="4" w:space="0" w:color="auto"/>
              <w:right w:val="single" w:sz="4" w:space="0" w:color="auto"/>
            </w:tcBorders>
            <w:shd w:val="clear" w:color="auto" w:fill="auto"/>
            <w:vAlign w:val="center"/>
            <w:hideMark/>
          </w:tcPr>
          <w:p w14:paraId="160A36F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disposto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aplica-se a todos os dirigentes da EFPC, habilitados ou não pela Previc. </w:t>
            </w:r>
          </w:p>
        </w:tc>
        <w:tc>
          <w:tcPr>
            <w:tcW w:w="1679" w:type="pct"/>
            <w:tcBorders>
              <w:top w:val="nil"/>
              <w:left w:val="nil"/>
              <w:bottom w:val="single" w:sz="4" w:space="0" w:color="auto"/>
              <w:right w:val="single" w:sz="4" w:space="0" w:color="auto"/>
            </w:tcBorders>
            <w:shd w:val="clear" w:color="auto" w:fill="auto"/>
            <w:vAlign w:val="center"/>
            <w:hideMark/>
          </w:tcPr>
          <w:p w14:paraId="20EC001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FFCE8A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73151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§2° O procedimento referido no caput deverá ser instaurado no prazo de sessenta dias após evidenciada a situação que possa configurar o descumprimento dos requisitos exigidos nesta Instrução para o exercício de cargo ou função. </w:t>
            </w:r>
          </w:p>
        </w:tc>
        <w:tc>
          <w:tcPr>
            <w:tcW w:w="1660" w:type="pct"/>
            <w:tcBorders>
              <w:top w:val="nil"/>
              <w:left w:val="nil"/>
              <w:bottom w:val="single" w:sz="4" w:space="0" w:color="auto"/>
              <w:right w:val="single" w:sz="4" w:space="0" w:color="auto"/>
            </w:tcBorders>
            <w:shd w:val="clear" w:color="auto" w:fill="auto"/>
            <w:vAlign w:val="center"/>
            <w:hideMark/>
          </w:tcPr>
          <w:p w14:paraId="6EFCEC2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procedimento referido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deve ser instaurado no prazo de sessenta dias após evidenciada a situação que possa configurar o descumprimento dos requisitos exigidos nesta Seção para o exercício de cargo ou função. </w:t>
            </w:r>
          </w:p>
        </w:tc>
        <w:tc>
          <w:tcPr>
            <w:tcW w:w="1679" w:type="pct"/>
            <w:tcBorders>
              <w:top w:val="nil"/>
              <w:left w:val="nil"/>
              <w:bottom w:val="single" w:sz="4" w:space="0" w:color="auto"/>
              <w:right w:val="single" w:sz="4" w:space="0" w:color="auto"/>
            </w:tcBorders>
            <w:shd w:val="clear" w:color="auto" w:fill="auto"/>
            <w:vAlign w:val="center"/>
            <w:hideMark/>
          </w:tcPr>
          <w:p w14:paraId="77FC2AA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E62A02B"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4768AD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§3° O prazo para a conclusão do procedimento referido no caput é de noventa dias, prorrogável por igual período apenas uma vez. </w:t>
            </w:r>
          </w:p>
        </w:tc>
        <w:tc>
          <w:tcPr>
            <w:tcW w:w="1660" w:type="pct"/>
            <w:tcBorders>
              <w:top w:val="nil"/>
              <w:left w:val="nil"/>
              <w:bottom w:val="single" w:sz="4" w:space="0" w:color="auto"/>
              <w:right w:val="single" w:sz="4" w:space="0" w:color="auto"/>
            </w:tcBorders>
            <w:shd w:val="clear" w:color="auto" w:fill="auto"/>
            <w:vAlign w:val="center"/>
            <w:hideMark/>
          </w:tcPr>
          <w:p w14:paraId="12B82B3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prazo para a conclusão do procedimento referido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é de noventa dias, prorrogável por igual período apenas uma vez. </w:t>
            </w:r>
          </w:p>
        </w:tc>
        <w:tc>
          <w:tcPr>
            <w:tcW w:w="1679" w:type="pct"/>
            <w:tcBorders>
              <w:top w:val="nil"/>
              <w:left w:val="nil"/>
              <w:bottom w:val="single" w:sz="4" w:space="0" w:color="auto"/>
              <w:right w:val="single" w:sz="4" w:space="0" w:color="auto"/>
            </w:tcBorders>
            <w:shd w:val="clear" w:color="auto" w:fill="auto"/>
            <w:vAlign w:val="center"/>
            <w:hideMark/>
          </w:tcPr>
          <w:p w14:paraId="3E5F057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177D92F"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8A772F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§4° A EFPC deverá comunicar à Previc. no prazo de dez dias após a sua conclusão, o </w:t>
            </w:r>
            <w:proofErr w:type="gramStart"/>
            <w:r w:rsidRPr="00704883">
              <w:rPr>
                <w:rFonts w:ascii="Calibri" w:eastAsia="Times New Roman" w:hAnsi="Calibri" w:cstheme="minorHAnsi"/>
                <w:color w:val="000000"/>
                <w:sz w:val="24"/>
                <w:szCs w:val="24"/>
                <w:lang w:eastAsia="pt-BR"/>
              </w:rPr>
              <w:t>resultado final</w:t>
            </w:r>
            <w:proofErr w:type="gramEnd"/>
            <w:r w:rsidRPr="00704883">
              <w:rPr>
                <w:rFonts w:ascii="Calibri" w:eastAsia="Times New Roman" w:hAnsi="Calibri" w:cstheme="minorHAnsi"/>
                <w:color w:val="000000"/>
                <w:sz w:val="24"/>
                <w:szCs w:val="24"/>
                <w:lang w:eastAsia="pt-BR"/>
              </w:rPr>
              <w:t xml:space="preserve"> do procedimento referido no caput. </w:t>
            </w:r>
          </w:p>
        </w:tc>
        <w:tc>
          <w:tcPr>
            <w:tcW w:w="1660" w:type="pct"/>
            <w:tcBorders>
              <w:top w:val="nil"/>
              <w:left w:val="nil"/>
              <w:bottom w:val="single" w:sz="4" w:space="0" w:color="auto"/>
              <w:right w:val="single" w:sz="4" w:space="0" w:color="auto"/>
            </w:tcBorders>
            <w:shd w:val="clear" w:color="auto" w:fill="auto"/>
            <w:vAlign w:val="center"/>
            <w:hideMark/>
          </w:tcPr>
          <w:p w14:paraId="1AF1D29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4</w:t>
            </w:r>
            <w:proofErr w:type="gramStart"/>
            <w:r w:rsidRPr="00704883">
              <w:rPr>
                <w:rFonts w:ascii="Calibri" w:eastAsia="Times New Roman" w:hAnsi="Calibri" w:cstheme="minorHAnsi"/>
                <w:color w:val="000000"/>
                <w:sz w:val="24"/>
                <w:szCs w:val="24"/>
                <w:lang w:eastAsia="pt-BR"/>
              </w:rPr>
              <w:t>º  A</w:t>
            </w:r>
            <w:proofErr w:type="gramEnd"/>
            <w:r w:rsidRPr="00704883">
              <w:rPr>
                <w:rFonts w:ascii="Calibri" w:eastAsia="Times New Roman" w:hAnsi="Calibri" w:cstheme="minorHAnsi"/>
                <w:color w:val="000000"/>
                <w:sz w:val="24"/>
                <w:szCs w:val="24"/>
                <w:lang w:eastAsia="pt-BR"/>
              </w:rPr>
              <w:t xml:space="preserve"> EFPC deve comunicar à Previc, no prazo de dez dias após a sua conclusão, o resultado final do procedimento referido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w:t>
            </w:r>
          </w:p>
        </w:tc>
        <w:tc>
          <w:tcPr>
            <w:tcW w:w="1679" w:type="pct"/>
            <w:tcBorders>
              <w:top w:val="nil"/>
              <w:left w:val="nil"/>
              <w:bottom w:val="single" w:sz="4" w:space="0" w:color="auto"/>
              <w:right w:val="single" w:sz="4" w:space="0" w:color="auto"/>
            </w:tcBorders>
            <w:shd w:val="clear" w:color="auto" w:fill="auto"/>
            <w:vAlign w:val="center"/>
            <w:hideMark/>
          </w:tcPr>
          <w:p w14:paraId="4A29679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CF4F46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DD3A4E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12. O interessado poderá interpor recurso, no prazo de dez dias, contados da ciência da decisão que indeferir o requerimento ou que cancelar a habilitação concedida. </w:t>
            </w:r>
          </w:p>
        </w:tc>
        <w:tc>
          <w:tcPr>
            <w:tcW w:w="1660" w:type="pct"/>
            <w:tcBorders>
              <w:top w:val="nil"/>
              <w:left w:val="nil"/>
              <w:bottom w:val="single" w:sz="4" w:space="0" w:color="auto"/>
              <w:right w:val="single" w:sz="4" w:space="0" w:color="auto"/>
            </w:tcBorders>
            <w:shd w:val="clear" w:color="auto" w:fill="auto"/>
            <w:vAlign w:val="center"/>
            <w:hideMark/>
          </w:tcPr>
          <w:p w14:paraId="1B6B3BE5" w14:textId="5DBF8CD1"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4</w:t>
            </w:r>
            <w:r w:rsidRPr="00704883">
              <w:rPr>
                <w:rFonts w:ascii="Calibri" w:eastAsia="Times New Roman" w:hAnsi="Calibri" w:cstheme="minorHAnsi"/>
                <w:color w:val="000000"/>
                <w:sz w:val="24"/>
                <w:szCs w:val="24"/>
                <w:lang w:eastAsia="pt-BR"/>
              </w:rPr>
              <w:t xml:space="preserve">.  O interessado pode interpor recurso, no prazo de dez dias, contados da ciência da decisão que indeferir o requerimento ou que cancelar a habilitação concedida. </w:t>
            </w:r>
          </w:p>
        </w:tc>
        <w:tc>
          <w:tcPr>
            <w:tcW w:w="1679" w:type="pct"/>
            <w:tcBorders>
              <w:top w:val="nil"/>
              <w:left w:val="nil"/>
              <w:bottom w:val="single" w:sz="4" w:space="0" w:color="auto"/>
              <w:right w:val="single" w:sz="4" w:space="0" w:color="auto"/>
            </w:tcBorders>
            <w:shd w:val="clear" w:color="auto" w:fill="auto"/>
            <w:vAlign w:val="center"/>
            <w:hideMark/>
          </w:tcPr>
          <w:p w14:paraId="7BE5763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888812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C50AD6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§1° O recurso deverá ser dirigido à autoridade que proferiu a decisão, com os documentos que justifiquem a reconsideração do indeferimento ou do cancelamento da habilitação </w:t>
            </w:r>
          </w:p>
        </w:tc>
        <w:tc>
          <w:tcPr>
            <w:tcW w:w="1660" w:type="pct"/>
            <w:tcBorders>
              <w:top w:val="nil"/>
              <w:left w:val="nil"/>
              <w:bottom w:val="single" w:sz="4" w:space="0" w:color="auto"/>
              <w:right w:val="single" w:sz="4" w:space="0" w:color="auto"/>
            </w:tcBorders>
            <w:shd w:val="clear" w:color="auto" w:fill="auto"/>
            <w:vAlign w:val="center"/>
            <w:hideMark/>
          </w:tcPr>
          <w:p w14:paraId="4E19BCD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w:t>
            </w:r>
            <w:proofErr w:type="gramStart"/>
            <w:r w:rsidRPr="00704883">
              <w:rPr>
                <w:rFonts w:ascii="Calibri" w:eastAsia="Times New Roman" w:hAnsi="Calibri" w:cstheme="minorHAnsi"/>
                <w:color w:val="000000"/>
                <w:sz w:val="24"/>
                <w:szCs w:val="24"/>
                <w:lang w:eastAsia="pt-BR"/>
              </w:rPr>
              <w:t>º  O</w:t>
            </w:r>
            <w:proofErr w:type="gramEnd"/>
            <w:r w:rsidRPr="00704883">
              <w:rPr>
                <w:rFonts w:ascii="Calibri" w:eastAsia="Times New Roman" w:hAnsi="Calibri" w:cstheme="minorHAnsi"/>
                <w:color w:val="000000"/>
                <w:sz w:val="24"/>
                <w:szCs w:val="24"/>
                <w:lang w:eastAsia="pt-BR"/>
              </w:rPr>
              <w:t xml:space="preserve"> recurso deve ser dirigido à autoridade que proferiu a decisão, com os documentos que justifiquem a reconsideração do indeferimento ou do cancelamento da habilitação.</w:t>
            </w:r>
          </w:p>
        </w:tc>
        <w:tc>
          <w:tcPr>
            <w:tcW w:w="1679" w:type="pct"/>
            <w:tcBorders>
              <w:top w:val="nil"/>
              <w:left w:val="nil"/>
              <w:bottom w:val="single" w:sz="4" w:space="0" w:color="auto"/>
              <w:right w:val="single" w:sz="4" w:space="0" w:color="auto"/>
            </w:tcBorders>
            <w:shd w:val="clear" w:color="auto" w:fill="auto"/>
            <w:vAlign w:val="center"/>
            <w:hideMark/>
          </w:tcPr>
          <w:p w14:paraId="4C6E24D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89F7F5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7CEC93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§2° Caso a autoridade que proferiu a decisão não a reconsiderar no prazo de cinco dias, o recurso deverá ser encaminhado à Diretoria Colegiada da Previc para julgamento.</w:t>
            </w:r>
          </w:p>
        </w:tc>
        <w:tc>
          <w:tcPr>
            <w:tcW w:w="1660" w:type="pct"/>
            <w:tcBorders>
              <w:top w:val="nil"/>
              <w:left w:val="nil"/>
              <w:bottom w:val="single" w:sz="4" w:space="0" w:color="auto"/>
              <w:right w:val="single" w:sz="4" w:space="0" w:color="auto"/>
            </w:tcBorders>
            <w:shd w:val="clear" w:color="auto" w:fill="auto"/>
            <w:vAlign w:val="center"/>
            <w:hideMark/>
          </w:tcPr>
          <w:p w14:paraId="030966D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2</w:t>
            </w:r>
            <w:proofErr w:type="gramStart"/>
            <w:r w:rsidRPr="00704883">
              <w:rPr>
                <w:rFonts w:ascii="Calibri" w:eastAsia="Times New Roman" w:hAnsi="Calibri" w:cstheme="minorHAnsi"/>
                <w:color w:val="000000"/>
                <w:sz w:val="24"/>
                <w:szCs w:val="24"/>
                <w:lang w:eastAsia="pt-BR"/>
              </w:rPr>
              <w:t>º  Caso</w:t>
            </w:r>
            <w:proofErr w:type="gramEnd"/>
            <w:r w:rsidRPr="00704883">
              <w:rPr>
                <w:rFonts w:ascii="Calibri" w:eastAsia="Times New Roman" w:hAnsi="Calibri" w:cstheme="minorHAnsi"/>
                <w:color w:val="000000"/>
                <w:sz w:val="24"/>
                <w:szCs w:val="24"/>
                <w:lang w:eastAsia="pt-BR"/>
              </w:rPr>
              <w:t xml:space="preserve"> a autoridade que proferiu a decisão não a reconsiderar no prazo de cinco dias, o recurso deve ser encaminhado à Diretoria Colegiada da Previc para julgamento.</w:t>
            </w:r>
          </w:p>
        </w:tc>
        <w:tc>
          <w:tcPr>
            <w:tcW w:w="1679" w:type="pct"/>
            <w:tcBorders>
              <w:top w:val="nil"/>
              <w:left w:val="nil"/>
              <w:bottom w:val="single" w:sz="4" w:space="0" w:color="auto"/>
              <w:right w:val="single" w:sz="4" w:space="0" w:color="auto"/>
            </w:tcBorders>
            <w:shd w:val="clear" w:color="auto" w:fill="auto"/>
            <w:vAlign w:val="center"/>
            <w:hideMark/>
          </w:tcPr>
          <w:p w14:paraId="1ABA501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D8243C1"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9E4F630"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CAPÍTULO IV</w:t>
            </w:r>
          </w:p>
        </w:tc>
        <w:tc>
          <w:tcPr>
            <w:tcW w:w="1660" w:type="pct"/>
            <w:tcBorders>
              <w:top w:val="nil"/>
              <w:left w:val="nil"/>
              <w:bottom w:val="single" w:sz="4" w:space="0" w:color="auto"/>
              <w:right w:val="single" w:sz="4" w:space="0" w:color="auto"/>
            </w:tcBorders>
            <w:shd w:val="clear" w:color="auto" w:fill="auto"/>
            <w:vAlign w:val="center"/>
            <w:hideMark/>
          </w:tcPr>
          <w:p w14:paraId="7FC5514C"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4FCCC3D9"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Excluir.</w:t>
            </w:r>
          </w:p>
        </w:tc>
      </w:tr>
      <w:tr w:rsidR="00AB7EF0" w:rsidRPr="00704883" w14:paraId="6165514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96E40D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DISPOSIÇÕES TRANSITÓRIAS E FINAIS</w:t>
            </w:r>
          </w:p>
        </w:tc>
        <w:tc>
          <w:tcPr>
            <w:tcW w:w="1660" w:type="pct"/>
            <w:tcBorders>
              <w:top w:val="nil"/>
              <w:left w:val="nil"/>
              <w:bottom w:val="single" w:sz="4" w:space="0" w:color="auto"/>
              <w:right w:val="single" w:sz="4" w:space="0" w:color="auto"/>
            </w:tcBorders>
            <w:shd w:val="clear" w:color="auto" w:fill="auto"/>
            <w:vAlign w:val="center"/>
            <w:hideMark/>
          </w:tcPr>
          <w:p w14:paraId="65BA7083"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3C7B4DD2" w14:textId="77777777" w:rsidR="00AB7EF0" w:rsidRPr="00704883" w:rsidRDefault="00AB7EF0" w:rsidP="00AB7EF0">
            <w:pPr>
              <w:spacing w:after="0" w:line="240" w:lineRule="auto"/>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165E7E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6EBB80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13. As intimações decorrentes das análises realizadas no âmbito dos processos referidos nesta Instrução serão encaminhadas para o endereço eletrônico cadastrado pela EFPC e para o habilitando. </w:t>
            </w:r>
          </w:p>
        </w:tc>
        <w:tc>
          <w:tcPr>
            <w:tcW w:w="1660" w:type="pct"/>
            <w:tcBorders>
              <w:top w:val="nil"/>
              <w:left w:val="nil"/>
              <w:bottom w:val="single" w:sz="4" w:space="0" w:color="auto"/>
              <w:right w:val="single" w:sz="4" w:space="0" w:color="auto"/>
            </w:tcBorders>
            <w:shd w:val="clear" w:color="auto" w:fill="auto"/>
            <w:vAlign w:val="center"/>
            <w:hideMark/>
          </w:tcPr>
          <w:p w14:paraId="1C00D1D2" w14:textId="059A5660"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5</w:t>
            </w:r>
            <w:r w:rsidRPr="00704883">
              <w:rPr>
                <w:rFonts w:ascii="Calibri" w:eastAsia="Times New Roman" w:hAnsi="Calibri" w:cstheme="minorHAnsi"/>
                <w:color w:val="000000"/>
                <w:sz w:val="24"/>
                <w:szCs w:val="24"/>
                <w:lang w:eastAsia="pt-BR"/>
              </w:rPr>
              <w:t xml:space="preserve">.  As intimações decorrentes das análises realizadas no âmbito dos processos referidos nesta Seção devem ser encaminhadas para o endereço eletrônico cadastrado pela EFPC e para o habilitando. </w:t>
            </w:r>
          </w:p>
        </w:tc>
        <w:tc>
          <w:tcPr>
            <w:tcW w:w="1679" w:type="pct"/>
            <w:tcBorders>
              <w:top w:val="nil"/>
              <w:left w:val="nil"/>
              <w:bottom w:val="single" w:sz="4" w:space="0" w:color="auto"/>
              <w:right w:val="single" w:sz="4" w:space="0" w:color="auto"/>
            </w:tcBorders>
            <w:shd w:val="clear" w:color="auto" w:fill="auto"/>
            <w:vAlign w:val="center"/>
            <w:hideMark/>
          </w:tcPr>
          <w:p w14:paraId="667E2BD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15D779A"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D7E2CE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14. Os documentos requeridos para a instrução do processo de habilitação serão definidos por meio de portaria expedida pela Diretoria de Licenciamento. </w:t>
            </w:r>
          </w:p>
        </w:tc>
        <w:tc>
          <w:tcPr>
            <w:tcW w:w="1660" w:type="pct"/>
            <w:tcBorders>
              <w:top w:val="nil"/>
              <w:left w:val="nil"/>
              <w:bottom w:val="single" w:sz="4" w:space="0" w:color="auto"/>
              <w:right w:val="single" w:sz="4" w:space="0" w:color="auto"/>
            </w:tcBorders>
            <w:shd w:val="clear" w:color="auto" w:fill="auto"/>
            <w:vAlign w:val="center"/>
            <w:hideMark/>
          </w:tcPr>
          <w:p w14:paraId="3C8CBB22" w14:textId="79EF5D3A"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6</w:t>
            </w:r>
            <w:r w:rsidRPr="00704883">
              <w:rPr>
                <w:rFonts w:ascii="Calibri" w:eastAsia="Times New Roman" w:hAnsi="Calibri" w:cstheme="minorHAnsi"/>
                <w:color w:val="000000"/>
                <w:sz w:val="24"/>
                <w:szCs w:val="24"/>
                <w:lang w:eastAsia="pt-BR"/>
              </w:rPr>
              <w:t xml:space="preserve">.  Os documentos requeridos para a instrução do processo de habilitação devem ser definidos por meio de portaria. </w:t>
            </w:r>
          </w:p>
        </w:tc>
        <w:tc>
          <w:tcPr>
            <w:tcW w:w="1679" w:type="pct"/>
            <w:tcBorders>
              <w:top w:val="nil"/>
              <w:left w:val="nil"/>
              <w:bottom w:val="single" w:sz="4" w:space="0" w:color="auto"/>
              <w:right w:val="single" w:sz="4" w:space="0" w:color="auto"/>
            </w:tcBorders>
            <w:shd w:val="clear" w:color="auto" w:fill="auto"/>
            <w:vAlign w:val="center"/>
            <w:hideMark/>
          </w:tcPr>
          <w:p w14:paraId="7DF3E9C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B0DC9D0"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9C21AD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15. Os nomes dos dirigentes habilitados serão divulgados no sítio eletrônico da Previc. </w:t>
            </w:r>
          </w:p>
        </w:tc>
        <w:tc>
          <w:tcPr>
            <w:tcW w:w="1660" w:type="pct"/>
            <w:tcBorders>
              <w:top w:val="nil"/>
              <w:left w:val="nil"/>
              <w:bottom w:val="single" w:sz="4" w:space="0" w:color="auto"/>
              <w:right w:val="single" w:sz="4" w:space="0" w:color="auto"/>
            </w:tcBorders>
            <w:shd w:val="clear" w:color="auto" w:fill="auto"/>
            <w:vAlign w:val="center"/>
            <w:hideMark/>
          </w:tcPr>
          <w:p w14:paraId="368CD0BF" w14:textId="01E8E068"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7</w:t>
            </w:r>
            <w:r w:rsidRPr="00704883">
              <w:rPr>
                <w:rFonts w:ascii="Calibri" w:eastAsia="Times New Roman" w:hAnsi="Calibri" w:cstheme="minorHAnsi"/>
                <w:color w:val="000000"/>
                <w:sz w:val="24"/>
                <w:szCs w:val="24"/>
                <w:lang w:eastAsia="pt-BR"/>
              </w:rPr>
              <w:t xml:space="preserve">.  Os nomes dos dirigentes habilitados devem ser divulgados no sítio eletrônico da Previc. </w:t>
            </w:r>
          </w:p>
        </w:tc>
        <w:tc>
          <w:tcPr>
            <w:tcW w:w="1679" w:type="pct"/>
            <w:tcBorders>
              <w:top w:val="nil"/>
              <w:left w:val="nil"/>
              <w:bottom w:val="single" w:sz="4" w:space="0" w:color="auto"/>
              <w:right w:val="single" w:sz="4" w:space="0" w:color="auto"/>
            </w:tcBorders>
            <w:shd w:val="clear" w:color="auto" w:fill="auto"/>
            <w:vAlign w:val="center"/>
            <w:hideMark/>
          </w:tcPr>
          <w:p w14:paraId="5331080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D8FE932"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B03FF2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Art. 16. A EFPC deverá manter permanentemente atualizado os dados cadastrais dos ocupantes de cargos na diretoria-executiva, no conselho deliberativo e no conselho fiscal. </w:t>
            </w:r>
          </w:p>
        </w:tc>
        <w:tc>
          <w:tcPr>
            <w:tcW w:w="1660" w:type="pct"/>
            <w:tcBorders>
              <w:top w:val="nil"/>
              <w:left w:val="nil"/>
              <w:bottom w:val="single" w:sz="4" w:space="0" w:color="auto"/>
              <w:right w:val="single" w:sz="4" w:space="0" w:color="auto"/>
            </w:tcBorders>
            <w:shd w:val="clear" w:color="auto" w:fill="auto"/>
            <w:vAlign w:val="center"/>
            <w:hideMark/>
          </w:tcPr>
          <w:p w14:paraId="6360B67D" w14:textId="31B379F3"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8</w:t>
            </w:r>
            <w:r w:rsidRPr="00704883">
              <w:rPr>
                <w:rFonts w:ascii="Calibri" w:eastAsia="Times New Roman" w:hAnsi="Calibri" w:cstheme="minorHAnsi"/>
                <w:color w:val="000000"/>
                <w:sz w:val="24"/>
                <w:szCs w:val="24"/>
                <w:lang w:eastAsia="pt-BR"/>
              </w:rPr>
              <w:t xml:space="preserve">.  A EFPC deve manter permanentemente atualizado os dados cadastrais dos ocupantes de cargos na diretoria-executiva, no conselho deliberativo e no conselho fiscal. </w:t>
            </w:r>
          </w:p>
        </w:tc>
        <w:tc>
          <w:tcPr>
            <w:tcW w:w="1679" w:type="pct"/>
            <w:tcBorders>
              <w:top w:val="nil"/>
              <w:left w:val="nil"/>
              <w:bottom w:val="single" w:sz="4" w:space="0" w:color="auto"/>
              <w:right w:val="single" w:sz="4" w:space="0" w:color="auto"/>
            </w:tcBorders>
            <w:shd w:val="clear" w:color="auto" w:fill="auto"/>
            <w:vAlign w:val="center"/>
            <w:hideMark/>
          </w:tcPr>
          <w:p w14:paraId="1045B72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7CB7E63" w14:textId="77777777" w:rsidTr="00704883">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4F20C6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A atualização dos dados dos dirigentes deverá ser feita mediante:</w:t>
            </w:r>
          </w:p>
        </w:tc>
        <w:tc>
          <w:tcPr>
            <w:tcW w:w="1660" w:type="pct"/>
            <w:tcBorders>
              <w:top w:val="nil"/>
              <w:left w:val="nil"/>
              <w:bottom w:val="single" w:sz="4" w:space="0" w:color="auto"/>
              <w:right w:val="single" w:sz="4" w:space="0" w:color="auto"/>
            </w:tcBorders>
            <w:shd w:val="clear" w:color="auto" w:fill="auto"/>
            <w:vAlign w:val="center"/>
            <w:hideMark/>
          </w:tcPr>
          <w:p w14:paraId="04D4066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Parágrafo único.  A atualização dos dados dos dirigentes deve ser feita mediante:</w:t>
            </w:r>
          </w:p>
        </w:tc>
        <w:tc>
          <w:tcPr>
            <w:tcW w:w="1679" w:type="pct"/>
            <w:tcBorders>
              <w:top w:val="nil"/>
              <w:left w:val="nil"/>
              <w:bottom w:val="single" w:sz="4" w:space="0" w:color="auto"/>
              <w:right w:val="single" w:sz="4" w:space="0" w:color="auto"/>
            </w:tcBorders>
            <w:shd w:val="clear" w:color="auto" w:fill="auto"/>
            <w:vAlign w:val="center"/>
            <w:hideMark/>
          </w:tcPr>
          <w:p w14:paraId="5506252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EFA63A6"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BC918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Comunicação eletrônica à Previc, no prazo de cinco dias a contar do fato que motivou a alteração dos dados cadastrais dos membros habilitados; e </w:t>
            </w:r>
          </w:p>
        </w:tc>
        <w:tc>
          <w:tcPr>
            <w:tcW w:w="1660" w:type="pct"/>
            <w:tcBorders>
              <w:top w:val="nil"/>
              <w:left w:val="nil"/>
              <w:bottom w:val="single" w:sz="4" w:space="0" w:color="auto"/>
              <w:right w:val="single" w:sz="4" w:space="0" w:color="auto"/>
            </w:tcBorders>
            <w:shd w:val="clear" w:color="auto" w:fill="auto"/>
            <w:vAlign w:val="center"/>
            <w:hideMark/>
          </w:tcPr>
          <w:p w14:paraId="5127C1A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comunicação</w:t>
            </w:r>
            <w:proofErr w:type="gramEnd"/>
            <w:r w:rsidRPr="00704883">
              <w:rPr>
                <w:rFonts w:ascii="Calibri" w:eastAsia="Times New Roman" w:hAnsi="Calibri" w:cstheme="minorHAnsi"/>
                <w:color w:val="000000"/>
                <w:sz w:val="24"/>
                <w:szCs w:val="24"/>
                <w:lang w:eastAsia="pt-BR"/>
              </w:rPr>
              <w:t xml:space="preserve"> eletrônica à Previc, no prazo de cinco dias a contar do fato que motivou a alteração dos dados cadastrais dos membros habilitados; e </w:t>
            </w:r>
          </w:p>
        </w:tc>
        <w:tc>
          <w:tcPr>
            <w:tcW w:w="1679" w:type="pct"/>
            <w:tcBorders>
              <w:top w:val="nil"/>
              <w:left w:val="nil"/>
              <w:bottom w:val="single" w:sz="4" w:space="0" w:color="auto"/>
              <w:right w:val="single" w:sz="4" w:space="0" w:color="auto"/>
            </w:tcBorders>
            <w:shd w:val="clear" w:color="auto" w:fill="auto"/>
            <w:vAlign w:val="center"/>
            <w:hideMark/>
          </w:tcPr>
          <w:p w14:paraId="7D3D2D28"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4E00F742"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6CDA48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Atualização dos dados referentes aos mandatos, no Portal de Sistemas da Previc, dos membros dos conselhos deliberativo e fiscal da EFPC não classificada como entidade sistemicamente importante, no prazo de cinco dias a contar do fato que motivou a alteração. </w:t>
            </w:r>
          </w:p>
        </w:tc>
        <w:tc>
          <w:tcPr>
            <w:tcW w:w="1660" w:type="pct"/>
            <w:tcBorders>
              <w:top w:val="nil"/>
              <w:left w:val="nil"/>
              <w:bottom w:val="single" w:sz="4" w:space="0" w:color="auto"/>
              <w:right w:val="single" w:sz="4" w:space="0" w:color="auto"/>
            </w:tcBorders>
            <w:shd w:val="clear" w:color="auto" w:fill="auto"/>
            <w:vAlign w:val="center"/>
            <w:hideMark/>
          </w:tcPr>
          <w:p w14:paraId="2A2EBFD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w:t>
            </w:r>
            <w:proofErr w:type="gramStart"/>
            <w:r w:rsidRPr="00704883">
              <w:rPr>
                <w:rFonts w:ascii="Calibri" w:eastAsia="Times New Roman" w:hAnsi="Calibri" w:cstheme="minorHAnsi"/>
                <w:color w:val="000000"/>
                <w:sz w:val="24"/>
                <w:szCs w:val="24"/>
                <w:lang w:eastAsia="pt-BR"/>
              </w:rPr>
              <w:t>atualização</w:t>
            </w:r>
            <w:proofErr w:type="gramEnd"/>
            <w:r w:rsidRPr="00704883">
              <w:rPr>
                <w:rFonts w:ascii="Calibri" w:eastAsia="Times New Roman" w:hAnsi="Calibri" w:cstheme="minorHAnsi"/>
                <w:color w:val="000000"/>
                <w:sz w:val="24"/>
                <w:szCs w:val="24"/>
                <w:lang w:eastAsia="pt-BR"/>
              </w:rPr>
              <w:t xml:space="preserve"> dos dados referentes aos mandatos, no Portal de Sistemas da Previc, dos membros dos conselhos deliberativo e fiscal da EFPC não classificada como entidade sistemicamente importante, no prazo de cinco dias a contar do fato que motivou a alteração. </w:t>
            </w:r>
          </w:p>
        </w:tc>
        <w:tc>
          <w:tcPr>
            <w:tcW w:w="1679" w:type="pct"/>
            <w:tcBorders>
              <w:top w:val="nil"/>
              <w:left w:val="nil"/>
              <w:bottom w:val="single" w:sz="4" w:space="0" w:color="auto"/>
              <w:right w:val="single" w:sz="4" w:space="0" w:color="auto"/>
            </w:tcBorders>
            <w:shd w:val="clear" w:color="auto" w:fill="auto"/>
            <w:vAlign w:val="center"/>
            <w:hideMark/>
          </w:tcPr>
          <w:p w14:paraId="5E82764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2FB0A55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61A7AE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17. A EFPC deverá observar o disposto nesta Instrução no curso dos processos seletivos, eleitorais e de designação para os seus mandatos, cargos ou funções nos órgãos estatutários. </w:t>
            </w:r>
          </w:p>
        </w:tc>
        <w:tc>
          <w:tcPr>
            <w:tcW w:w="1660" w:type="pct"/>
            <w:tcBorders>
              <w:top w:val="nil"/>
              <w:left w:val="nil"/>
              <w:bottom w:val="single" w:sz="4" w:space="0" w:color="auto"/>
              <w:right w:val="single" w:sz="4" w:space="0" w:color="auto"/>
            </w:tcBorders>
            <w:shd w:val="clear" w:color="auto" w:fill="auto"/>
            <w:vAlign w:val="center"/>
            <w:hideMark/>
          </w:tcPr>
          <w:p w14:paraId="10EA37FB" w14:textId="16E9C11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Art. 19</w:t>
            </w:r>
            <w:r w:rsidR="00802617">
              <w:rPr>
                <w:rFonts w:ascii="Calibri" w:eastAsia="Times New Roman" w:hAnsi="Calibri" w:cstheme="minorHAnsi"/>
                <w:color w:val="000000"/>
                <w:sz w:val="24"/>
                <w:szCs w:val="24"/>
                <w:lang w:eastAsia="pt-BR"/>
              </w:rPr>
              <w:t>9</w:t>
            </w:r>
            <w:r w:rsidRPr="00704883">
              <w:rPr>
                <w:rFonts w:ascii="Calibri" w:eastAsia="Times New Roman" w:hAnsi="Calibri" w:cstheme="minorHAnsi"/>
                <w:color w:val="000000"/>
                <w:sz w:val="24"/>
                <w:szCs w:val="24"/>
                <w:lang w:eastAsia="pt-BR"/>
              </w:rPr>
              <w:t xml:space="preserve">.  A EFPC deve observar o disposto nesta Seção no curso dos processos seletivos, eleitorais e de designação para os seus mandatos, cargos ou funções nos órgãos estatutários. </w:t>
            </w:r>
          </w:p>
        </w:tc>
        <w:tc>
          <w:tcPr>
            <w:tcW w:w="1679" w:type="pct"/>
            <w:tcBorders>
              <w:top w:val="nil"/>
              <w:left w:val="nil"/>
              <w:bottom w:val="single" w:sz="4" w:space="0" w:color="auto"/>
              <w:right w:val="single" w:sz="4" w:space="0" w:color="auto"/>
            </w:tcBorders>
            <w:shd w:val="clear" w:color="auto" w:fill="auto"/>
            <w:vAlign w:val="center"/>
            <w:hideMark/>
          </w:tcPr>
          <w:p w14:paraId="04724AE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C9B7F65"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6C496A9" w14:textId="77777777"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30, de 19 de agosto de 2020.</w:t>
            </w:r>
          </w:p>
        </w:tc>
        <w:tc>
          <w:tcPr>
            <w:tcW w:w="1660" w:type="pct"/>
            <w:tcBorders>
              <w:top w:val="nil"/>
              <w:left w:val="nil"/>
              <w:bottom w:val="single" w:sz="4" w:space="0" w:color="auto"/>
              <w:right w:val="single" w:sz="4" w:space="0" w:color="auto"/>
            </w:tcBorders>
            <w:shd w:val="clear" w:color="auto" w:fill="auto"/>
            <w:vAlign w:val="center"/>
            <w:hideMark/>
          </w:tcPr>
          <w:p w14:paraId="5ED49BDF" w14:textId="5B7A9002"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302DA2">
              <w:rPr>
                <w:rFonts w:ascii="Calibri" w:eastAsia="Times New Roman" w:hAnsi="Calibri" w:cs="Calibri"/>
                <w:color w:val="000000"/>
                <w:sz w:val="24"/>
                <w:szCs w:val="24"/>
                <w:lang w:eastAsia="pt-BR"/>
              </w:rPr>
              <w:t>ANEXO</w:t>
            </w:r>
            <w:r w:rsidR="0098615B">
              <w:rPr>
                <w:rFonts w:ascii="Calibri" w:eastAsia="Times New Roman" w:hAnsi="Calibri" w:cs="Calibri"/>
                <w:color w:val="000000"/>
                <w:sz w:val="24"/>
                <w:szCs w:val="24"/>
                <w:lang w:eastAsia="pt-BR"/>
              </w:rPr>
              <w:t xml:space="preserve"> XXVI</w:t>
            </w:r>
          </w:p>
        </w:tc>
        <w:tc>
          <w:tcPr>
            <w:tcW w:w="1679" w:type="pct"/>
            <w:tcBorders>
              <w:top w:val="nil"/>
              <w:left w:val="nil"/>
              <w:bottom w:val="single" w:sz="4" w:space="0" w:color="auto"/>
              <w:right w:val="single" w:sz="4" w:space="0" w:color="auto"/>
            </w:tcBorders>
            <w:shd w:val="clear" w:color="auto" w:fill="auto"/>
            <w:vAlign w:val="center"/>
            <w:hideMark/>
          </w:tcPr>
          <w:p w14:paraId="1D6CA8FC" w14:textId="268E851C" w:rsidR="00AB7EF0" w:rsidRPr="00704883" w:rsidRDefault="0098615B" w:rsidP="00AB7EF0">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Pelo fato de ser uma instrução operacional, foi transformada em anexo e consta da minuta.</w:t>
            </w:r>
          </w:p>
        </w:tc>
      </w:tr>
      <w:tr w:rsidR="00AB7EF0" w:rsidRPr="00704883" w14:paraId="5E8D0B7B"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4733A3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1º As entidades fechadas de previdência complementar - EFPC, quando do </w:t>
            </w:r>
            <w:bookmarkStart w:id="24" w:name="_Hlk133434416"/>
            <w:r w:rsidRPr="00704883">
              <w:rPr>
                <w:rFonts w:ascii="Calibri" w:eastAsia="Times New Roman" w:hAnsi="Calibri" w:cstheme="minorHAnsi"/>
                <w:color w:val="000000"/>
                <w:sz w:val="24"/>
                <w:szCs w:val="24"/>
                <w:lang w:eastAsia="pt-BR"/>
              </w:rPr>
              <w:t>acesso aos sistemas informatizados da Previc destinados ao envio de informações e requerimentos e à solicitação de serviços</w:t>
            </w:r>
            <w:bookmarkEnd w:id="24"/>
            <w:r w:rsidRPr="00704883">
              <w:rPr>
                <w:rFonts w:ascii="Calibri" w:eastAsia="Times New Roman" w:hAnsi="Calibri" w:cstheme="minorHAnsi"/>
                <w:color w:val="000000"/>
                <w:sz w:val="24"/>
                <w:szCs w:val="24"/>
                <w:lang w:eastAsia="pt-BR"/>
              </w:rPr>
              <w:t xml:space="preserve"> ao órgão supervisor deverão observar o disposto na presente Instrução.</w:t>
            </w:r>
          </w:p>
        </w:tc>
        <w:tc>
          <w:tcPr>
            <w:tcW w:w="1660" w:type="pct"/>
            <w:tcBorders>
              <w:top w:val="nil"/>
              <w:left w:val="nil"/>
              <w:bottom w:val="single" w:sz="4" w:space="0" w:color="auto"/>
              <w:right w:val="single" w:sz="4" w:space="0" w:color="auto"/>
            </w:tcBorders>
            <w:shd w:val="clear" w:color="auto" w:fill="auto"/>
            <w:vAlign w:val="center"/>
            <w:hideMark/>
          </w:tcPr>
          <w:p w14:paraId="738CC81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AE5D799" w14:textId="07F38A0D" w:rsidR="00AB7EF0" w:rsidRPr="00704883" w:rsidRDefault="00DA35A1" w:rsidP="00AB7EF0">
            <w:pPr>
              <w:spacing w:after="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Transformado no anexo XXVI.</w:t>
            </w:r>
          </w:p>
        </w:tc>
      </w:tr>
      <w:tr w:rsidR="00AB7EF0" w:rsidRPr="00704883" w14:paraId="578BF348" w14:textId="77777777" w:rsidTr="00DA35A1">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3FE541C"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2º O acesso da EFPC ao ambiente reservado dos sistemas informatizados da Previc será precedido de credenciamento, no sistema de autorização de acesso, de pessoas físicas que exercerão as funções de: </w:t>
            </w:r>
          </w:p>
        </w:tc>
        <w:tc>
          <w:tcPr>
            <w:tcW w:w="1660" w:type="pct"/>
            <w:tcBorders>
              <w:top w:val="nil"/>
              <w:left w:val="nil"/>
              <w:bottom w:val="single" w:sz="4" w:space="0" w:color="auto"/>
              <w:right w:val="single" w:sz="4" w:space="0" w:color="auto"/>
            </w:tcBorders>
            <w:shd w:val="clear" w:color="auto" w:fill="auto"/>
            <w:vAlign w:val="center"/>
          </w:tcPr>
          <w:p w14:paraId="2EED9BA0" w14:textId="2016472F"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6C7820B7" w14:textId="2503C8BA"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0127E07C"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F00F31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 - Gestor de Recursos Humanos, com a responsabilidade de cadastrar e manter atualizado todos os dados pessoais de cada usuário da EFPC no sistema de autorização de acesso; e </w:t>
            </w:r>
          </w:p>
        </w:tc>
        <w:tc>
          <w:tcPr>
            <w:tcW w:w="1660" w:type="pct"/>
            <w:tcBorders>
              <w:top w:val="nil"/>
              <w:left w:val="nil"/>
              <w:bottom w:val="single" w:sz="4" w:space="0" w:color="auto"/>
              <w:right w:val="single" w:sz="4" w:space="0" w:color="auto"/>
            </w:tcBorders>
            <w:shd w:val="clear" w:color="auto" w:fill="auto"/>
            <w:vAlign w:val="center"/>
          </w:tcPr>
          <w:p w14:paraId="527A7C57" w14:textId="11B5A547"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4000FE48" w14:textId="1D383D4C"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005FC51B"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1DB9DB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 - Gestor de Autorização de Acesso, com a responsabilidade de autorizar ou solicitar o acesso total ou restrito dos usuários da EFPC a um ou mais sistemas informatizados da Previc. </w:t>
            </w:r>
          </w:p>
        </w:tc>
        <w:tc>
          <w:tcPr>
            <w:tcW w:w="1660" w:type="pct"/>
            <w:tcBorders>
              <w:top w:val="nil"/>
              <w:left w:val="nil"/>
              <w:bottom w:val="single" w:sz="4" w:space="0" w:color="auto"/>
              <w:right w:val="single" w:sz="4" w:space="0" w:color="auto"/>
            </w:tcBorders>
            <w:shd w:val="clear" w:color="auto" w:fill="auto"/>
            <w:vAlign w:val="center"/>
          </w:tcPr>
          <w:p w14:paraId="113F00FB" w14:textId="0092480C"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3915475E" w14:textId="11944928"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09D13C3C" w14:textId="77777777" w:rsidTr="00DA35A1">
        <w:trPr>
          <w:trHeight w:val="63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75195C1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1º A EFPC poderá credenciar um substituto para cada gestor de que trata o caput deste artigo. </w:t>
            </w:r>
          </w:p>
        </w:tc>
        <w:tc>
          <w:tcPr>
            <w:tcW w:w="1660" w:type="pct"/>
            <w:tcBorders>
              <w:top w:val="nil"/>
              <w:left w:val="nil"/>
              <w:bottom w:val="single" w:sz="4" w:space="0" w:color="auto"/>
              <w:right w:val="single" w:sz="4" w:space="0" w:color="auto"/>
            </w:tcBorders>
            <w:shd w:val="clear" w:color="auto" w:fill="auto"/>
            <w:vAlign w:val="center"/>
          </w:tcPr>
          <w:p w14:paraId="68EFFDC2" w14:textId="06E2B121"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59E6E44D" w14:textId="00C72E05"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3AA93248"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B00909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2º A Previc publicará em seu sítio eletrônico as orientações detalhadas para solicitação de credenciamento ou substituição dos gestores de que trata o caput deste artigo. </w:t>
            </w:r>
          </w:p>
        </w:tc>
        <w:tc>
          <w:tcPr>
            <w:tcW w:w="1660" w:type="pct"/>
            <w:tcBorders>
              <w:top w:val="nil"/>
              <w:left w:val="nil"/>
              <w:bottom w:val="single" w:sz="4" w:space="0" w:color="auto"/>
              <w:right w:val="single" w:sz="4" w:space="0" w:color="auto"/>
            </w:tcBorders>
            <w:shd w:val="clear" w:color="auto" w:fill="auto"/>
            <w:vAlign w:val="center"/>
          </w:tcPr>
          <w:p w14:paraId="1FB856BD" w14:textId="41B1FE61"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7DE44E9F" w14:textId="743D28EA"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5D07F4B6" w14:textId="77777777" w:rsidTr="00DA35A1">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7FACC3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3º Os usuários credenciados ao ambiente reservado dos sistemas informatizados da Previc deverão assinar Termo de Responsabilidade no ato do credenciamento, o qual deverá ser encaminhado digitalmente à Previc.</w:t>
            </w:r>
          </w:p>
        </w:tc>
        <w:tc>
          <w:tcPr>
            <w:tcW w:w="1660" w:type="pct"/>
            <w:tcBorders>
              <w:top w:val="nil"/>
              <w:left w:val="nil"/>
              <w:bottom w:val="single" w:sz="4" w:space="0" w:color="auto"/>
              <w:right w:val="single" w:sz="4" w:space="0" w:color="auto"/>
            </w:tcBorders>
            <w:shd w:val="clear" w:color="auto" w:fill="auto"/>
            <w:vAlign w:val="center"/>
          </w:tcPr>
          <w:p w14:paraId="3B78846A" w14:textId="6478A7D7"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197C9FB7" w14:textId="69579490"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341C8E2C"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543E40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3º Para fins de acesso ao Sistema Eletrônico de Informação - SEI, o Gestor de Autorização de Acesso de cada entidade poderá solicitar o credenciamento de até dois usuários externos. </w:t>
            </w:r>
          </w:p>
        </w:tc>
        <w:tc>
          <w:tcPr>
            <w:tcW w:w="1660" w:type="pct"/>
            <w:tcBorders>
              <w:top w:val="nil"/>
              <w:left w:val="nil"/>
              <w:bottom w:val="single" w:sz="4" w:space="0" w:color="auto"/>
              <w:right w:val="single" w:sz="4" w:space="0" w:color="auto"/>
            </w:tcBorders>
            <w:shd w:val="clear" w:color="auto" w:fill="auto"/>
            <w:vAlign w:val="center"/>
          </w:tcPr>
          <w:p w14:paraId="688FA852" w14:textId="03CBC81D"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6A395270" w14:textId="5FEB51EB"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37ACF698" w14:textId="77777777" w:rsidTr="00DA35A1">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686EEA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1º Poderão, ainda, ser credenciados como usuários externos:</w:t>
            </w:r>
          </w:p>
        </w:tc>
        <w:tc>
          <w:tcPr>
            <w:tcW w:w="1660" w:type="pct"/>
            <w:tcBorders>
              <w:top w:val="nil"/>
              <w:left w:val="nil"/>
              <w:bottom w:val="single" w:sz="4" w:space="0" w:color="auto"/>
              <w:right w:val="single" w:sz="4" w:space="0" w:color="auto"/>
            </w:tcBorders>
            <w:shd w:val="clear" w:color="auto" w:fill="auto"/>
            <w:vAlign w:val="center"/>
          </w:tcPr>
          <w:p w14:paraId="417E26C7" w14:textId="3BC8AE51"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1FA27D48" w14:textId="61B29D01"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7E5B040D"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17CEAF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representantes dos patrocinadores ou instituidores, exclusivamente para fins de submissão de requerimento de constituição de EFPC; </w:t>
            </w:r>
          </w:p>
        </w:tc>
        <w:tc>
          <w:tcPr>
            <w:tcW w:w="1660" w:type="pct"/>
            <w:tcBorders>
              <w:top w:val="nil"/>
              <w:left w:val="nil"/>
              <w:bottom w:val="single" w:sz="4" w:space="0" w:color="auto"/>
              <w:right w:val="single" w:sz="4" w:space="0" w:color="auto"/>
            </w:tcBorders>
            <w:shd w:val="clear" w:color="auto" w:fill="auto"/>
            <w:vAlign w:val="center"/>
          </w:tcPr>
          <w:p w14:paraId="304F56C8" w14:textId="1CD43298"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6EC107F4" w14:textId="1C3E1A23"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0F5B6861" w14:textId="77777777" w:rsidTr="00DA35A1">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4B7583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II - </w:t>
            </w:r>
            <w:proofErr w:type="gramStart"/>
            <w:r w:rsidRPr="00704883">
              <w:rPr>
                <w:rFonts w:ascii="Calibri" w:eastAsia="Times New Roman" w:hAnsi="Calibri" w:cstheme="minorHAnsi"/>
                <w:color w:val="000000"/>
                <w:sz w:val="24"/>
                <w:szCs w:val="24"/>
                <w:lang w:eastAsia="pt-BR"/>
              </w:rPr>
              <w:t>os</w:t>
            </w:r>
            <w:proofErr w:type="gramEnd"/>
            <w:r w:rsidRPr="00704883">
              <w:rPr>
                <w:rFonts w:ascii="Calibri" w:eastAsia="Times New Roman" w:hAnsi="Calibri" w:cstheme="minorHAnsi"/>
                <w:color w:val="000000"/>
                <w:sz w:val="24"/>
                <w:szCs w:val="24"/>
                <w:lang w:eastAsia="pt-BR"/>
              </w:rPr>
              <w:t xml:space="preserve"> representantes das instituições autônomas certificadoras, exclusivamente para fins de reconhecimento da sua capacidade técnica, dos seus certificados e para a prestação de informações relativas ao registro dos profissionais certificados e dos respectivos certificados emitidos; ou </w:t>
            </w:r>
          </w:p>
        </w:tc>
        <w:tc>
          <w:tcPr>
            <w:tcW w:w="1660" w:type="pct"/>
            <w:tcBorders>
              <w:top w:val="nil"/>
              <w:left w:val="nil"/>
              <w:bottom w:val="single" w:sz="4" w:space="0" w:color="auto"/>
              <w:right w:val="single" w:sz="4" w:space="0" w:color="auto"/>
            </w:tcBorders>
            <w:shd w:val="clear" w:color="auto" w:fill="auto"/>
            <w:vAlign w:val="center"/>
          </w:tcPr>
          <w:p w14:paraId="08C0FD32" w14:textId="13A5AA8B"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6EBE2341" w14:textId="157D8456"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479F6D47" w14:textId="77777777" w:rsidTr="00DA35A1">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0C01D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III - outras pessoas físicas, a critério da Previc.</w:t>
            </w:r>
          </w:p>
        </w:tc>
        <w:tc>
          <w:tcPr>
            <w:tcW w:w="1660" w:type="pct"/>
            <w:tcBorders>
              <w:top w:val="nil"/>
              <w:left w:val="nil"/>
              <w:bottom w:val="single" w:sz="4" w:space="0" w:color="auto"/>
              <w:right w:val="single" w:sz="4" w:space="0" w:color="auto"/>
            </w:tcBorders>
            <w:shd w:val="clear" w:color="auto" w:fill="auto"/>
            <w:vAlign w:val="center"/>
          </w:tcPr>
          <w:p w14:paraId="252AC7FE" w14:textId="558C483F"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754733E9" w14:textId="0B4AA5FF"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3233DEC2" w14:textId="77777777" w:rsidTr="00DA35A1">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A300B8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 2º A Previc publicará em seu sítio eletrônico as orientações detalhadas para solicitação de credenciamento ou substituição de usuário externo, acesso e utilização do SEI, bem como os modelos de formulários necessários para submissão dos requerimentos. </w:t>
            </w:r>
          </w:p>
        </w:tc>
        <w:tc>
          <w:tcPr>
            <w:tcW w:w="1660" w:type="pct"/>
            <w:tcBorders>
              <w:top w:val="nil"/>
              <w:left w:val="nil"/>
              <w:bottom w:val="single" w:sz="4" w:space="0" w:color="auto"/>
              <w:right w:val="single" w:sz="4" w:space="0" w:color="auto"/>
            </w:tcBorders>
            <w:shd w:val="clear" w:color="auto" w:fill="auto"/>
            <w:vAlign w:val="center"/>
          </w:tcPr>
          <w:p w14:paraId="3037A9AA" w14:textId="01BC8A1C"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6274B440" w14:textId="49CED771"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24CE0E14"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AF5745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3º Os usuários externos também devem assinar o Termo de Responsabilidade de que trata o §3º do art. 2º, que deverá ser encaminhado digitalmente à Previc.</w:t>
            </w:r>
          </w:p>
        </w:tc>
        <w:tc>
          <w:tcPr>
            <w:tcW w:w="1660" w:type="pct"/>
            <w:tcBorders>
              <w:top w:val="nil"/>
              <w:left w:val="nil"/>
              <w:bottom w:val="single" w:sz="4" w:space="0" w:color="auto"/>
              <w:right w:val="single" w:sz="4" w:space="0" w:color="auto"/>
            </w:tcBorders>
            <w:shd w:val="clear" w:color="auto" w:fill="auto"/>
            <w:vAlign w:val="center"/>
          </w:tcPr>
          <w:p w14:paraId="057D32D5" w14:textId="390AF2E5" w:rsidR="00AB7EF0" w:rsidRPr="00704883" w:rsidRDefault="00AB7EF0" w:rsidP="00AB7EF0">
            <w:pPr>
              <w:spacing w:after="0" w:line="240" w:lineRule="auto"/>
              <w:jc w:val="both"/>
              <w:rPr>
                <w:rFonts w:ascii="Calibri" w:eastAsia="Times New Roman" w:hAnsi="Calibri" w:cs="Calibri"/>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2F13C735" w14:textId="1F2BDF8C"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613DFBCF" w14:textId="77777777" w:rsidTr="00DA35A1">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0FFED63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Art. 4º Compete à EFPC manter o registro dos gestores e seus substitutos, bem como dos usuários externos do SEI, mencionados nesta Instrução, permanentemente atualizados. </w:t>
            </w:r>
          </w:p>
        </w:tc>
        <w:tc>
          <w:tcPr>
            <w:tcW w:w="1660" w:type="pct"/>
            <w:tcBorders>
              <w:top w:val="nil"/>
              <w:left w:val="nil"/>
              <w:bottom w:val="single" w:sz="4" w:space="0" w:color="auto"/>
              <w:right w:val="single" w:sz="4" w:space="0" w:color="auto"/>
            </w:tcBorders>
            <w:shd w:val="clear" w:color="auto" w:fill="auto"/>
            <w:vAlign w:val="center"/>
          </w:tcPr>
          <w:p w14:paraId="3E6D5B6B" w14:textId="741500CD" w:rsidR="00AB7EF0" w:rsidRPr="00704883" w:rsidRDefault="00AB7EF0" w:rsidP="00AB7EF0">
            <w:pPr>
              <w:spacing w:after="0" w:line="240" w:lineRule="auto"/>
              <w:jc w:val="both"/>
              <w:rPr>
                <w:rFonts w:ascii="Calibri" w:eastAsia="Times New Roman" w:hAnsi="Calibri" w:cs="Calibr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hideMark/>
          </w:tcPr>
          <w:p w14:paraId="0458E460" w14:textId="712BBB00"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r w:rsidR="00DA35A1">
              <w:rPr>
                <w:rFonts w:ascii="Calibri" w:eastAsia="Times New Roman" w:hAnsi="Calibri" w:cs="Calibri"/>
                <w:color w:val="000000"/>
                <w:sz w:val="24"/>
                <w:szCs w:val="24"/>
                <w:lang w:eastAsia="pt-BR"/>
              </w:rPr>
              <w:t>Transformado no anexo XXVI.</w:t>
            </w:r>
          </w:p>
        </w:tc>
      </w:tr>
      <w:tr w:rsidR="00AB7EF0" w:rsidRPr="00704883" w14:paraId="5DCEDD26"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1F2123D" w14:textId="77777777" w:rsidR="00AB7EF0" w:rsidRPr="00704883" w:rsidRDefault="00AB7EF0" w:rsidP="00AB7EF0">
            <w:pPr>
              <w:spacing w:after="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b/>
                <w:bCs/>
                <w:color w:val="000000"/>
                <w:sz w:val="24"/>
                <w:szCs w:val="24"/>
                <w:lang w:eastAsia="pt-BR"/>
              </w:rPr>
              <w:t>Instrução Previc nº 29, de 21 de julho de 2020.</w:t>
            </w:r>
          </w:p>
        </w:tc>
        <w:tc>
          <w:tcPr>
            <w:tcW w:w="1660" w:type="pct"/>
            <w:tcBorders>
              <w:top w:val="nil"/>
              <w:left w:val="nil"/>
              <w:bottom w:val="single" w:sz="4" w:space="0" w:color="auto"/>
              <w:right w:val="single" w:sz="4" w:space="0" w:color="auto"/>
            </w:tcBorders>
            <w:shd w:val="clear" w:color="auto" w:fill="auto"/>
            <w:vAlign w:val="center"/>
            <w:hideMark/>
          </w:tcPr>
          <w:p w14:paraId="5EB2601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c>
          <w:tcPr>
            <w:tcW w:w="1679" w:type="pct"/>
            <w:tcBorders>
              <w:top w:val="nil"/>
              <w:left w:val="nil"/>
              <w:bottom w:val="single" w:sz="4" w:space="0" w:color="auto"/>
              <w:right w:val="single" w:sz="4" w:space="0" w:color="auto"/>
            </w:tcBorders>
            <w:shd w:val="clear" w:color="auto" w:fill="auto"/>
            <w:vAlign w:val="center"/>
            <w:hideMark/>
          </w:tcPr>
          <w:p w14:paraId="7C1C1E9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Excluir.</w:t>
            </w:r>
          </w:p>
        </w:tc>
      </w:tr>
      <w:tr w:rsidR="007A243D" w:rsidRPr="00704883" w14:paraId="76E5F5F2"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tcPr>
          <w:p w14:paraId="1FE32C8A" w14:textId="77777777" w:rsidR="007A243D" w:rsidRPr="00704883" w:rsidRDefault="007A243D" w:rsidP="00AB7EF0">
            <w:pPr>
              <w:spacing w:after="0" w:line="240" w:lineRule="auto"/>
              <w:jc w:val="both"/>
              <w:rPr>
                <w:rFonts w:ascii="Calibri" w:eastAsia="Times New Roman" w:hAnsi="Calibri" w:cstheme="minorHAnsi"/>
                <w:color w:val="000000"/>
                <w:sz w:val="24"/>
                <w:szCs w:val="24"/>
                <w:lang w:eastAsia="pt-BR"/>
              </w:rPr>
            </w:pPr>
          </w:p>
        </w:tc>
        <w:tc>
          <w:tcPr>
            <w:tcW w:w="1660" w:type="pct"/>
            <w:tcBorders>
              <w:top w:val="nil"/>
              <w:left w:val="nil"/>
              <w:bottom w:val="single" w:sz="4" w:space="0" w:color="auto"/>
              <w:right w:val="single" w:sz="4" w:space="0" w:color="auto"/>
            </w:tcBorders>
            <w:shd w:val="clear" w:color="auto" w:fill="auto"/>
            <w:vAlign w:val="center"/>
          </w:tcPr>
          <w:p w14:paraId="6930768F" w14:textId="77777777" w:rsidR="007A243D" w:rsidRPr="00704883" w:rsidRDefault="007A243D" w:rsidP="00AB7EF0">
            <w:pPr>
              <w:spacing w:after="0" w:line="240" w:lineRule="auto"/>
              <w:jc w:val="center"/>
              <w:rPr>
                <w:rFonts w:ascii="Calibri" w:eastAsia="Times New Roman" w:hAnsi="Calibri" w:cstheme="minorHAns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tcPr>
          <w:p w14:paraId="03413048" w14:textId="77777777" w:rsidR="007A243D" w:rsidRPr="00704883" w:rsidRDefault="007A243D" w:rsidP="00AB7EF0">
            <w:pPr>
              <w:spacing w:after="0" w:line="240" w:lineRule="auto"/>
              <w:jc w:val="both"/>
              <w:rPr>
                <w:rFonts w:ascii="Calibri" w:eastAsia="Times New Roman" w:hAnsi="Calibri" w:cs="Calibri"/>
                <w:color w:val="000000"/>
                <w:sz w:val="24"/>
                <w:szCs w:val="24"/>
                <w:lang w:eastAsia="pt-BR"/>
              </w:rPr>
            </w:pPr>
          </w:p>
        </w:tc>
      </w:tr>
      <w:tr w:rsidR="007A243D" w:rsidRPr="00704883" w14:paraId="03BFD8C3"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tcPr>
          <w:p w14:paraId="249A8299" w14:textId="77777777" w:rsidR="007A243D" w:rsidRPr="00704883" w:rsidRDefault="007A243D" w:rsidP="00AB7EF0">
            <w:pPr>
              <w:spacing w:after="0" w:line="240" w:lineRule="auto"/>
              <w:jc w:val="both"/>
              <w:rPr>
                <w:rFonts w:ascii="Calibri" w:eastAsia="Times New Roman" w:hAnsi="Calibri" w:cstheme="minorHAnsi"/>
                <w:color w:val="000000"/>
                <w:sz w:val="24"/>
                <w:szCs w:val="24"/>
                <w:lang w:eastAsia="pt-BR"/>
              </w:rPr>
            </w:pPr>
          </w:p>
        </w:tc>
        <w:tc>
          <w:tcPr>
            <w:tcW w:w="1660" w:type="pct"/>
            <w:tcBorders>
              <w:top w:val="nil"/>
              <w:left w:val="nil"/>
              <w:bottom w:val="single" w:sz="4" w:space="0" w:color="auto"/>
              <w:right w:val="single" w:sz="4" w:space="0" w:color="auto"/>
            </w:tcBorders>
            <w:shd w:val="clear" w:color="auto" w:fill="auto"/>
            <w:vAlign w:val="center"/>
          </w:tcPr>
          <w:p w14:paraId="5690F249" w14:textId="77777777" w:rsidR="007A243D" w:rsidRPr="00704883" w:rsidRDefault="007A243D" w:rsidP="00AB7EF0">
            <w:pPr>
              <w:spacing w:after="0" w:line="240" w:lineRule="auto"/>
              <w:jc w:val="center"/>
              <w:rPr>
                <w:rFonts w:ascii="Calibri" w:eastAsia="Times New Roman" w:hAnsi="Calibri" w:cstheme="minorHAnsi"/>
                <w:color w:val="000000"/>
                <w:sz w:val="24"/>
                <w:szCs w:val="24"/>
                <w:lang w:eastAsia="pt-BR"/>
              </w:rPr>
            </w:pPr>
          </w:p>
        </w:tc>
        <w:tc>
          <w:tcPr>
            <w:tcW w:w="1679" w:type="pct"/>
            <w:tcBorders>
              <w:top w:val="nil"/>
              <w:left w:val="nil"/>
              <w:bottom w:val="single" w:sz="4" w:space="0" w:color="auto"/>
              <w:right w:val="single" w:sz="4" w:space="0" w:color="auto"/>
            </w:tcBorders>
            <w:shd w:val="clear" w:color="auto" w:fill="auto"/>
            <w:vAlign w:val="center"/>
          </w:tcPr>
          <w:p w14:paraId="11ABB808" w14:textId="77777777" w:rsidR="007A243D" w:rsidRPr="00704883" w:rsidRDefault="007A243D" w:rsidP="00AB7EF0">
            <w:pPr>
              <w:spacing w:after="0" w:line="240" w:lineRule="auto"/>
              <w:jc w:val="both"/>
              <w:rPr>
                <w:rFonts w:ascii="Calibri" w:eastAsia="Times New Roman" w:hAnsi="Calibri" w:cs="Calibri"/>
                <w:color w:val="000000"/>
                <w:sz w:val="24"/>
                <w:szCs w:val="24"/>
                <w:lang w:eastAsia="pt-BR"/>
              </w:rPr>
            </w:pPr>
          </w:p>
        </w:tc>
      </w:tr>
      <w:tr w:rsidR="00AB7EF0" w:rsidRPr="00704883" w14:paraId="5F8E3DFE"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406E78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ANEXO </w:t>
            </w:r>
          </w:p>
        </w:tc>
        <w:tc>
          <w:tcPr>
            <w:tcW w:w="1660" w:type="pct"/>
            <w:tcBorders>
              <w:top w:val="nil"/>
              <w:left w:val="nil"/>
              <w:bottom w:val="single" w:sz="4" w:space="0" w:color="auto"/>
              <w:right w:val="single" w:sz="4" w:space="0" w:color="auto"/>
            </w:tcBorders>
            <w:shd w:val="clear" w:color="auto" w:fill="auto"/>
            <w:vAlign w:val="center"/>
            <w:hideMark/>
          </w:tcPr>
          <w:p w14:paraId="77ECEF05" w14:textId="520115D0" w:rsidR="00AB7EF0" w:rsidRPr="00704883" w:rsidRDefault="00AB7EF0" w:rsidP="00AB7EF0">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Anexo X</w:t>
            </w:r>
            <w:r w:rsidR="00302DA2">
              <w:rPr>
                <w:rFonts w:ascii="Calibri" w:eastAsia="Times New Roman" w:hAnsi="Calibri" w:cstheme="minorHAnsi"/>
                <w:color w:val="000000"/>
                <w:sz w:val="24"/>
                <w:szCs w:val="24"/>
                <w:lang w:eastAsia="pt-BR"/>
              </w:rPr>
              <w:t>X</w:t>
            </w:r>
            <w:r w:rsidRPr="00704883">
              <w:rPr>
                <w:rFonts w:ascii="Calibri" w:eastAsia="Times New Roman" w:hAnsi="Calibri" w:cstheme="minorHAnsi"/>
                <w:color w:val="000000"/>
                <w:sz w:val="24"/>
                <w:szCs w:val="24"/>
                <w:lang w:eastAsia="pt-BR"/>
              </w:rPr>
              <w:t>V</w:t>
            </w:r>
          </w:p>
        </w:tc>
        <w:tc>
          <w:tcPr>
            <w:tcW w:w="1679" w:type="pct"/>
            <w:tcBorders>
              <w:top w:val="nil"/>
              <w:left w:val="nil"/>
              <w:bottom w:val="single" w:sz="4" w:space="0" w:color="auto"/>
              <w:right w:val="single" w:sz="4" w:space="0" w:color="auto"/>
            </w:tcBorders>
            <w:shd w:val="clear" w:color="auto" w:fill="auto"/>
            <w:vAlign w:val="center"/>
            <w:hideMark/>
          </w:tcPr>
          <w:p w14:paraId="579A8FD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53B079CD" w14:textId="77777777" w:rsidTr="00704883">
        <w:trPr>
          <w:trHeight w:val="31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6EED2D4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CONTEÚDO PROGRAMÁTICO PARA A PROVA DE CONHECIMENTOS</w:t>
            </w:r>
          </w:p>
        </w:tc>
        <w:tc>
          <w:tcPr>
            <w:tcW w:w="1660" w:type="pct"/>
            <w:tcBorders>
              <w:top w:val="nil"/>
              <w:left w:val="nil"/>
              <w:bottom w:val="single" w:sz="4" w:space="0" w:color="auto"/>
              <w:right w:val="single" w:sz="4" w:space="0" w:color="auto"/>
            </w:tcBorders>
            <w:shd w:val="clear" w:color="auto" w:fill="auto"/>
            <w:vAlign w:val="center"/>
            <w:hideMark/>
          </w:tcPr>
          <w:p w14:paraId="1BEE4413" w14:textId="77777777" w:rsidR="00AB7EF0" w:rsidRPr="00704883" w:rsidRDefault="00AB7EF0" w:rsidP="00AB7EF0">
            <w:pPr>
              <w:spacing w:after="0" w:line="240" w:lineRule="auto"/>
              <w:jc w:val="center"/>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Conteúdo Programático para a Prova de Conhecimentos</w:t>
            </w:r>
          </w:p>
        </w:tc>
        <w:tc>
          <w:tcPr>
            <w:tcW w:w="1679" w:type="pct"/>
            <w:tcBorders>
              <w:top w:val="nil"/>
              <w:left w:val="nil"/>
              <w:bottom w:val="single" w:sz="4" w:space="0" w:color="auto"/>
              <w:right w:val="single" w:sz="4" w:space="0" w:color="auto"/>
            </w:tcBorders>
            <w:shd w:val="clear" w:color="auto" w:fill="auto"/>
            <w:vAlign w:val="center"/>
            <w:hideMark/>
          </w:tcPr>
          <w:p w14:paraId="1EB6539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6C8DB2DA" w14:textId="77777777" w:rsidTr="00704883">
        <w:trPr>
          <w:trHeight w:val="157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343D9A0B"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 - PREVIDÊNCIA SOCIAL e COMPLEMENTAR - Princípios da Constituição da República Federativa do Brasil relativos à previdência social e complementar. Conceitos e objetivos da previdência social e complementar. Sistemas </w:t>
            </w:r>
            <w:r w:rsidRPr="00704883">
              <w:rPr>
                <w:rFonts w:ascii="Calibri" w:eastAsia="Times New Roman" w:hAnsi="Calibri" w:cstheme="minorHAnsi"/>
                <w:color w:val="000000"/>
                <w:sz w:val="24"/>
                <w:szCs w:val="24"/>
                <w:lang w:eastAsia="pt-BR"/>
              </w:rPr>
              <w:lastRenderedPageBreak/>
              <w:t xml:space="preserve">previdenciários e regimes financeiros. Previdência complementar do servidor público. </w:t>
            </w:r>
          </w:p>
        </w:tc>
        <w:tc>
          <w:tcPr>
            <w:tcW w:w="1660" w:type="pct"/>
            <w:tcBorders>
              <w:top w:val="nil"/>
              <w:left w:val="nil"/>
              <w:bottom w:val="single" w:sz="4" w:space="0" w:color="auto"/>
              <w:right w:val="single" w:sz="4" w:space="0" w:color="auto"/>
            </w:tcBorders>
            <w:shd w:val="clear" w:color="auto" w:fill="auto"/>
            <w:vAlign w:val="center"/>
            <w:hideMark/>
          </w:tcPr>
          <w:p w14:paraId="3A4B796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I - PREVIDÊNCIA SOCIAL e COMPLEMENTAR - Princípios da Constituição da República Federativa do Brasil relativos à previdência social e complementar. Conceitos e objetivos da previdência social e complementar. Sistemas </w:t>
            </w:r>
            <w:r w:rsidRPr="00704883">
              <w:rPr>
                <w:rFonts w:ascii="Calibri" w:eastAsia="Times New Roman" w:hAnsi="Calibri" w:cstheme="minorHAnsi"/>
                <w:color w:val="000000"/>
                <w:sz w:val="24"/>
                <w:szCs w:val="24"/>
                <w:lang w:eastAsia="pt-BR"/>
              </w:rPr>
              <w:lastRenderedPageBreak/>
              <w:t xml:space="preserve">previdenciários e regimes financeiros. Previdência complementar do servidor público. </w:t>
            </w:r>
          </w:p>
        </w:tc>
        <w:tc>
          <w:tcPr>
            <w:tcW w:w="1679" w:type="pct"/>
            <w:tcBorders>
              <w:top w:val="nil"/>
              <w:left w:val="nil"/>
              <w:bottom w:val="single" w:sz="4" w:space="0" w:color="auto"/>
              <w:right w:val="single" w:sz="4" w:space="0" w:color="auto"/>
            </w:tcBorders>
            <w:shd w:val="clear" w:color="auto" w:fill="auto"/>
            <w:vAlign w:val="center"/>
            <w:hideMark/>
          </w:tcPr>
          <w:p w14:paraId="7C7D4359"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lastRenderedPageBreak/>
              <w:t> </w:t>
            </w:r>
          </w:p>
        </w:tc>
      </w:tr>
      <w:tr w:rsidR="00AB7EF0" w:rsidRPr="00704883" w14:paraId="59EBE00A"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313496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ATUÁRIA - Noções de matemática financeira e atuarial. Fundamentos de estatística. Regimes financeiros e tipos de planos de benefícios previdenciários. Demonstrativos e notas técnicas atuariais. Hipóteses econômicas e atuariais. </w:t>
            </w:r>
          </w:p>
        </w:tc>
        <w:tc>
          <w:tcPr>
            <w:tcW w:w="1660" w:type="pct"/>
            <w:tcBorders>
              <w:top w:val="nil"/>
              <w:left w:val="nil"/>
              <w:bottom w:val="single" w:sz="4" w:space="0" w:color="auto"/>
              <w:right w:val="single" w:sz="4" w:space="0" w:color="auto"/>
            </w:tcBorders>
            <w:shd w:val="clear" w:color="auto" w:fill="auto"/>
            <w:vAlign w:val="center"/>
            <w:hideMark/>
          </w:tcPr>
          <w:p w14:paraId="65F4107E"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III - ATUÁRIA - Noções de matemática financeira e atuarial. Fundamentos de estatística. Regimes financeiros e tipos de planos de benefícios previdenciários. Demonstrativos e notas técnicas atuariais. Hipóteses econômicas e atuariais. </w:t>
            </w:r>
          </w:p>
        </w:tc>
        <w:tc>
          <w:tcPr>
            <w:tcW w:w="1679" w:type="pct"/>
            <w:tcBorders>
              <w:top w:val="nil"/>
              <w:left w:val="nil"/>
              <w:bottom w:val="single" w:sz="4" w:space="0" w:color="auto"/>
              <w:right w:val="single" w:sz="4" w:space="0" w:color="auto"/>
            </w:tcBorders>
            <w:shd w:val="clear" w:color="auto" w:fill="auto"/>
            <w:vAlign w:val="center"/>
            <w:hideMark/>
          </w:tcPr>
          <w:p w14:paraId="5F299953"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C295561"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48FEC622"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AUDITORIA - Auditoria interna e externa: normas e procedimentos de auditoria interna e externa; pareceres e laudos de avaliação; relatórios de auditoria. </w:t>
            </w:r>
          </w:p>
        </w:tc>
        <w:tc>
          <w:tcPr>
            <w:tcW w:w="1660" w:type="pct"/>
            <w:tcBorders>
              <w:top w:val="nil"/>
              <w:left w:val="nil"/>
              <w:bottom w:val="single" w:sz="4" w:space="0" w:color="auto"/>
              <w:right w:val="single" w:sz="4" w:space="0" w:color="auto"/>
            </w:tcBorders>
            <w:shd w:val="clear" w:color="auto" w:fill="auto"/>
            <w:vAlign w:val="center"/>
            <w:hideMark/>
          </w:tcPr>
          <w:p w14:paraId="7103F2C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IV - AUDITORIA - Auditoria interna e externa: normas e procedimentos de auditoria interna e externa; pareceres e laudos de avaliação; relatórios de auditoria. </w:t>
            </w:r>
          </w:p>
        </w:tc>
        <w:tc>
          <w:tcPr>
            <w:tcW w:w="1679" w:type="pct"/>
            <w:tcBorders>
              <w:top w:val="nil"/>
              <w:left w:val="nil"/>
              <w:bottom w:val="single" w:sz="4" w:space="0" w:color="auto"/>
              <w:right w:val="single" w:sz="4" w:space="0" w:color="auto"/>
            </w:tcBorders>
            <w:shd w:val="clear" w:color="auto" w:fill="auto"/>
            <w:vAlign w:val="center"/>
            <w:hideMark/>
          </w:tcPr>
          <w:p w14:paraId="3F856966"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06B96602"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58BD5695"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CONTABILIDADE - Noções de contabilidade geral. Demonstrações financeiras e procedimentos contábeis. Plano contábil das EFPC e dos planos de benefícios. Regras tributárias aplicáveis à previdência complementar. </w:t>
            </w:r>
          </w:p>
        </w:tc>
        <w:tc>
          <w:tcPr>
            <w:tcW w:w="1660" w:type="pct"/>
            <w:tcBorders>
              <w:top w:val="nil"/>
              <w:left w:val="nil"/>
              <w:bottom w:val="single" w:sz="4" w:space="0" w:color="auto"/>
              <w:right w:val="single" w:sz="4" w:space="0" w:color="auto"/>
            </w:tcBorders>
            <w:shd w:val="clear" w:color="auto" w:fill="auto"/>
            <w:vAlign w:val="center"/>
            <w:hideMark/>
          </w:tcPr>
          <w:p w14:paraId="72AF8524"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 - CONTABILIDADE - Noções de contabilidade geral. Demonstrações financeiras e procedimentos contábeis. Plano contábil das EFPC e dos planos de benefícios. Regras tributárias aplicáveis à previdência complementar. </w:t>
            </w:r>
          </w:p>
        </w:tc>
        <w:tc>
          <w:tcPr>
            <w:tcW w:w="1679" w:type="pct"/>
            <w:tcBorders>
              <w:top w:val="nil"/>
              <w:left w:val="nil"/>
              <w:bottom w:val="single" w:sz="4" w:space="0" w:color="auto"/>
              <w:right w:val="single" w:sz="4" w:space="0" w:color="auto"/>
            </w:tcBorders>
            <w:shd w:val="clear" w:color="auto" w:fill="auto"/>
            <w:vAlign w:val="center"/>
            <w:hideMark/>
          </w:tcPr>
          <w:p w14:paraId="5293AF5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3703F61A" w14:textId="77777777" w:rsidTr="00704883">
        <w:trPr>
          <w:trHeight w:val="252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118B1B5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704883">
              <w:rPr>
                <w:rFonts w:ascii="Calibri" w:eastAsia="Times New Roman" w:hAnsi="Calibri" w:cstheme="minorHAnsi"/>
                <w:color w:val="000000"/>
                <w:sz w:val="24"/>
                <w:szCs w:val="24"/>
                <w:lang w:eastAsia="pt-BR"/>
              </w:rPr>
              <w:t>asset</w:t>
            </w:r>
            <w:proofErr w:type="spellEnd"/>
            <w:r w:rsidRPr="00704883">
              <w:rPr>
                <w:rFonts w:ascii="Calibri" w:eastAsia="Times New Roman" w:hAnsi="Calibri" w:cstheme="minorHAnsi"/>
                <w:color w:val="000000"/>
                <w:sz w:val="24"/>
                <w:szCs w:val="24"/>
                <w:lang w:eastAsia="pt-BR"/>
              </w:rPr>
              <w:t xml:space="preserve"> </w:t>
            </w:r>
            <w:proofErr w:type="spellStart"/>
            <w:r w:rsidRPr="00704883">
              <w:rPr>
                <w:rFonts w:ascii="Calibri" w:eastAsia="Times New Roman" w:hAnsi="Calibri" w:cstheme="minorHAnsi"/>
                <w:color w:val="000000"/>
                <w:sz w:val="24"/>
                <w:szCs w:val="24"/>
                <w:lang w:eastAsia="pt-BR"/>
              </w:rPr>
              <w:t>and</w:t>
            </w:r>
            <w:proofErr w:type="spellEnd"/>
            <w:r w:rsidRPr="00704883">
              <w:rPr>
                <w:rFonts w:ascii="Calibri" w:eastAsia="Times New Roman" w:hAnsi="Calibri" w:cstheme="minorHAnsi"/>
                <w:color w:val="000000"/>
                <w:sz w:val="24"/>
                <w:szCs w:val="24"/>
                <w:lang w:eastAsia="pt-BR"/>
              </w:rPr>
              <w:t xml:space="preserve"> </w:t>
            </w:r>
            <w:proofErr w:type="spellStart"/>
            <w:r w:rsidRPr="00704883">
              <w:rPr>
                <w:rFonts w:ascii="Calibri" w:eastAsia="Times New Roman" w:hAnsi="Calibri" w:cstheme="minorHAnsi"/>
                <w:color w:val="000000"/>
                <w:sz w:val="24"/>
                <w:szCs w:val="24"/>
                <w:lang w:eastAsia="pt-BR"/>
              </w:rPr>
              <w:t>liability</w:t>
            </w:r>
            <w:proofErr w:type="spellEnd"/>
            <w:r w:rsidRPr="00704883">
              <w:rPr>
                <w:rFonts w:ascii="Calibri" w:eastAsia="Times New Roman" w:hAnsi="Calibri" w:cstheme="minorHAnsi"/>
                <w:color w:val="000000"/>
                <w:sz w:val="24"/>
                <w:szCs w:val="24"/>
                <w:lang w:eastAsia="pt-BR"/>
              </w:rPr>
              <w:t xml:space="preserve"> management - ALM). Ativos financeiros de renda fixa, renda variável, derivativos, fundos de investimentos e investimentos no exterior. </w:t>
            </w:r>
          </w:p>
        </w:tc>
        <w:tc>
          <w:tcPr>
            <w:tcW w:w="1660" w:type="pct"/>
            <w:tcBorders>
              <w:top w:val="nil"/>
              <w:left w:val="nil"/>
              <w:bottom w:val="single" w:sz="4" w:space="0" w:color="auto"/>
              <w:right w:val="single" w:sz="4" w:space="0" w:color="auto"/>
            </w:tcBorders>
            <w:shd w:val="clear" w:color="auto" w:fill="auto"/>
            <w:vAlign w:val="center"/>
            <w:hideMark/>
          </w:tcPr>
          <w:p w14:paraId="20A3BBEF"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704883">
              <w:rPr>
                <w:rFonts w:ascii="Calibri" w:eastAsia="Times New Roman" w:hAnsi="Calibri" w:cstheme="minorHAnsi"/>
                <w:color w:val="000000"/>
                <w:sz w:val="24"/>
                <w:szCs w:val="24"/>
                <w:lang w:eastAsia="pt-BR"/>
              </w:rPr>
              <w:t>asset</w:t>
            </w:r>
            <w:proofErr w:type="spellEnd"/>
            <w:r w:rsidRPr="00704883">
              <w:rPr>
                <w:rFonts w:ascii="Calibri" w:eastAsia="Times New Roman" w:hAnsi="Calibri" w:cstheme="minorHAnsi"/>
                <w:color w:val="000000"/>
                <w:sz w:val="24"/>
                <w:szCs w:val="24"/>
                <w:lang w:eastAsia="pt-BR"/>
              </w:rPr>
              <w:t xml:space="preserve"> </w:t>
            </w:r>
            <w:proofErr w:type="spellStart"/>
            <w:r w:rsidRPr="00704883">
              <w:rPr>
                <w:rFonts w:ascii="Calibri" w:eastAsia="Times New Roman" w:hAnsi="Calibri" w:cstheme="minorHAnsi"/>
                <w:color w:val="000000"/>
                <w:sz w:val="24"/>
                <w:szCs w:val="24"/>
                <w:lang w:eastAsia="pt-BR"/>
              </w:rPr>
              <w:t>and</w:t>
            </w:r>
            <w:proofErr w:type="spellEnd"/>
            <w:r w:rsidRPr="00704883">
              <w:rPr>
                <w:rFonts w:ascii="Calibri" w:eastAsia="Times New Roman" w:hAnsi="Calibri" w:cstheme="minorHAnsi"/>
                <w:color w:val="000000"/>
                <w:sz w:val="24"/>
                <w:szCs w:val="24"/>
                <w:lang w:eastAsia="pt-BR"/>
              </w:rPr>
              <w:t xml:space="preserve"> </w:t>
            </w:r>
            <w:proofErr w:type="spellStart"/>
            <w:r w:rsidRPr="00704883">
              <w:rPr>
                <w:rFonts w:ascii="Calibri" w:eastAsia="Times New Roman" w:hAnsi="Calibri" w:cstheme="minorHAnsi"/>
                <w:color w:val="000000"/>
                <w:sz w:val="24"/>
                <w:szCs w:val="24"/>
                <w:lang w:eastAsia="pt-BR"/>
              </w:rPr>
              <w:t>liability</w:t>
            </w:r>
            <w:proofErr w:type="spellEnd"/>
            <w:r w:rsidRPr="00704883">
              <w:rPr>
                <w:rFonts w:ascii="Calibri" w:eastAsia="Times New Roman" w:hAnsi="Calibri" w:cstheme="minorHAnsi"/>
                <w:color w:val="000000"/>
                <w:sz w:val="24"/>
                <w:szCs w:val="24"/>
                <w:lang w:eastAsia="pt-BR"/>
              </w:rPr>
              <w:t xml:space="preserve"> management - ALM). Ativos financeiros de renda fixa, renda variável, derivativos, fundos de investimentos e investimentos no exterior. </w:t>
            </w:r>
          </w:p>
        </w:tc>
        <w:tc>
          <w:tcPr>
            <w:tcW w:w="1679" w:type="pct"/>
            <w:tcBorders>
              <w:top w:val="nil"/>
              <w:left w:val="nil"/>
              <w:bottom w:val="single" w:sz="4" w:space="0" w:color="auto"/>
              <w:right w:val="single" w:sz="4" w:space="0" w:color="auto"/>
            </w:tcBorders>
            <w:shd w:val="clear" w:color="auto" w:fill="auto"/>
            <w:vAlign w:val="center"/>
            <w:hideMark/>
          </w:tcPr>
          <w:p w14:paraId="446D7A91"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71719936" w14:textId="77777777" w:rsidTr="00704883">
        <w:trPr>
          <w:trHeight w:val="1260"/>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050CB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lastRenderedPageBreak/>
              <w:t xml:space="preserve">VII - SUPERVISÃO - Competência e atribuição do órgão de supervisão. Supervisão baseada em riscos. Processo sancionador. Responsabilidade dos patrocinadores e instituidores, dirigentes, colaboradores e prestadores de serviços, e regimes especiais. </w:t>
            </w:r>
          </w:p>
        </w:tc>
        <w:tc>
          <w:tcPr>
            <w:tcW w:w="1660" w:type="pct"/>
            <w:tcBorders>
              <w:top w:val="nil"/>
              <w:left w:val="nil"/>
              <w:bottom w:val="single" w:sz="4" w:space="0" w:color="auto"/>
              <w:right w:val="single" w:sz="4" w:space="0" w:color="auto"/>
            </w:tcBorders>
            <w:shd w:val="clear" w:color="auto" w:fill="auto"/>
            <w:vAlign w:val="center"/>
            <w:hideMark/>
          </w:tcPr>
          <w:p w14:paraId="12C607C7"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tc>
        <w:tc>
          <w:tcPr>
            <w:tcW w:w="1679" w:type="pct"/>
            <w:tcBorders>
              <w:top w:val="nil"/>
              <w:left w:val="nil"/>
              <w:bottom w:val="single" w:sz="4" w:space="0" w:color="auto"/>
              <w:right w:val="single" w:sz="4" w:space="0" w:color="auto"/>
            </w:tcBorders>
            <w:shd w:val="clear" w:color="auto" w:fill="auto"/>
            <w:vAlign w:val="center"/>
            <w:hideMark/>
          </w:tcPr>
          <w:p w14:paraId="5225065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tr w:rsidR="00AB7EF0" w:rsidRPr="00704883" w14:paraId="19E9A72C" w14:textId="77777777" w:rsidTr="00704883">
        <w:trPr>
          <w:trHeight w:val="945"/>
        </w:trPr>
        <w:tc>
          <w:tcPr>
            <w:tcW w:w="1660" w:type="pct"/>
            <w:tcBorders>
              <w:top w:val="nil"/>
              <w:left w:val="single" w:sz="4" w:space="0" w:color="auto"/>
              <w:bottom w:val="single" w:sz="4" w:space="0" w:color="auto"/>
              <w:right w:val="single" w:sz="4" w:space="0" w:color="auto"/>
            </w:tcBorders>
            <w:shd w:val="clear" w:color="auto" w:fill="auto"/>
            <w:vAlign w:val="center"/>
            <w:hideMark/>
          </w:tcPr>
          <w:p w14:paraId="2E0FA9C0"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VIII - JURÍDICO - Legislação básica da previdência social. Legislação da previdência complementar, trabalhista e tributária aplicável ao sistema fechado de previdência complementar.</w:t>
            </w:r>
          </w:p>
        </w:tc>
        <w:tc>
          <w:tcPr>
            <w:tcW w:w="1660" w:type="pct"/>
            <w:tcBorders>
              <w:top w:val="nil"/>
              <w:left w:val="nil"/>
              <w:bottom w:val="single" w:sz="4" w:space="0" w:color="auto"/>
              <w:right w:val="single" w:sz="4" w:space="0" w:color="auto"/>
            </w:tcBorders>
            <w:shd w:val="clear" w:color="auto" w:fill="auto"/>
            <w:vAlign w:val="center"/>
            <w:hideMark/>
          </w:tcPr>
          <w:p w14:paraId="29EFEB6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theme="minorHAnsi"/>
                <w:color w:val="000000"/>
                <w:sz w:val="24"/>
                <w:szCs w:val="24"/>
                <w:lang w:eastAsia="pt-BR"/>
              </w:rPr>
              <w:t>VIII - JURÍDICO - Legislação básica da previdência social. Legislação da previdência complementar, trabalhista e tributária aplicável ao sistema fechado de previdência complementar.</w:t>
            </w:r>
          </w:p>
        </w:tc>
        <w:tc>
          <w:tcPr>
            <w:tcW w:w="1679" w:type="pct"/>
            <w:tcBorders>
              <w:top w:val="nil"/>
              <w:left w:val="nil"/>
              <w:bottom w:val="single" w:sz="4" w:space="0" w:color="auto"/>
              <w:right w:val="single" w:sz="4" w:space="0" w:color="auto"/>
            </w:tcBorders>
            <w:shd w:val="clear" w:color="auto" w:fill="auto"/>
            <w:vAlign w:val="center"/>
            <w:hideMark/>
          </w:tcPr>
          <w:p w14:paraId="742711FA" w14:textId="77777777" w:rsidR="00AB7EF0" w:rsidRPr="00704883" w:rsidRDefault="00AB7EF0" w:rsidP="00AB7EF0">
            <w:pPr>
              <w:spacing w:after="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w:t>
            </w:r>
          </w:p>
        </w:tc>
      </w:tr>
      <w:bookmarkEnd w:id="1"/>
    </w:tbl>
    <w:p w14:paraId="017A6813" w14:textId="4BADA51A" w:rsidR="00772C52" w:rsidRPr="00EC545E" w:rsidRDefault="00772C52" w:rsidP="00EC545E"/>
    <w:sectPr w:rsidR="00772C52" w:rsidRPr="00EC545E" w:rsidSect="00EC545E">
      <w:pgSz w:w="16838" w:h="11906" w:orient="landscape"/>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A8CEA" w14:textId="77777777" w:rsidR="00EA671A" w:rsidRDefault="00EA671A" w:rsidP="00280BC5">
      <w:pPr>
        <w:spacing w:after="0" w:line="240" w:lineRule="auto"/>
      </w:pPr>
      <w:r>
        <w:separator/>
      </w:r>
    </w:p>
  </w:endnote>
  <w:endnote w:type="continuationSeparator" w:id="0">
    <w:p w14:paraId="67313A36" w14:textId="77777777" w:rsidR="00EA671A" w:rsidRDefault="00EA671A" w:rsidP="00280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B7FD6" w14:textId="77777777" w:rsidR="00EA671A" w:rsidRDefault="00EA671A" w:rsidP="00280BC5">
      <w:pPr>
        <w:spacing w:after="0" w:line="240" w:lineRule="auto"/>
      </w:pPr>
      <w:r>
        <w:separator/>
      </w:r>
    </w:p>
  </w:footnote>
  <w:footnote w:type="continuationSeparator" w:id="0">
    <w:p w14:paraId="6B69A468" w14:textId="77777777" w:rsidR="00EA671A" w:rsidRDefault="00EA671A" w:rsidP="00280BC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89A"/>
    <w:rsid w:val="00026CFA"/>
    <w:rsid w:val="0003194B"/>
    <w:rsid w:val="00034E22"/>
    <w:rsid w:val="00050420"/>
    <w:rsid w:val="000708F1"/>
    <w:rsid w:val="0007289A"/>
    <w:rsid w:val="00093FC5"/>
    <w:rsid w:val="000A6BB8"/>
    <w:rsid w:val="000A6BFB"/>
    <w:rsid w:val="000D2F61"/>
    <w:rsid w:val="000E1515"/>
    <w:rsid w:val="000E3744"/>
    <w:rsid w:val="000E4B99"/>
    <w:rsid w:val="001025AD"/>
    <w:rsid w:val="0010313F"/>
    <w:rsid w:val="0010505F"/>
    <w:rsid w:val="0013034B"/>
    <w:rsid w:val="00137BF3"/>
    <w:rsid w:val="00145A8A"/>
    <w:rsid w:val="001772D4"/>
    <w:rsid w:val="001815AB"/>
    <w:rsid w:val="001902AF"/>
    <w:rsid w:val="001A7C96"/>
    <w:rsid w:val="001B59E5"/>
    <w:rsid w:val="001C1E1C"/>
    <w:rsid w:val="001F4583"/>
    <w:rsid w:val="00201269"/>
    <w:rsid w:val="0020412D"/>
    <w:rsid w:val="00215320"/>
    <w:rsid w:val="0021761B"/>
    <w:rsid w:val="00220A97"/>
    <w:rsid w:val="00223F0F"/>
    <w:rsid w:val="0022532A"/>
    <w:rsid w:val="00244397"/>
    <w:rsid w:val="00256825"/>
    <w:rsid w:val="002573AE"/>
    <w:rsid w:val="0026021D"/>
    <w:rsid w:val="00264926"/>
    <w:rsid w:val="00270ACC"/>
    <w:rsid w:val="002732E3"/>
    <w:rsid w:val="00280BC5"/>
    <w:rsid w:val="002877D9"/>
    <w:rsid w:val="00290C08"/>
    <w:rsid w:val="00297B71"/>
    <w:rsid w:val="002A7BA8"/>
    <w:rsid w:val="002C4C27"/>
    <w:rsid w:val="002C73B5"/>
    <w:rsid w:val="00302DA2"/>
    <w:rsid w:val="00307B28"/>
    <w:rsid w:val="003234D9"/>
    <w:rsid w:val="00324214"/>
    <w:rsid w:val="00330742"/>
    <w:rsid w:val="00336B52"/>
    <w:rsid w:val="00353F3F"/>
    <w:rsid w:val="00373BAF"/>
    <w:rsid w:val="00382952"/>
    <w:rsid w:val="003972C8"/>
    <w:rsid w:val="003A7D92"/>
    <w:rsid w:val="003C01CC"/>
    <w:rsid w:val="003C1B33"/>
    <w:rsid w:val="003E5EBA"/>
    <w:rsid w:val="003F4876"/>
    <w:rsid w:val="004165D9"/>
    <w:rsid w:val="00476D5E"/>
    <w:rsid w:val="004949A9"/>
    <w:rsid w:val="004A6E15"/>
    <w:rsid w:val="004B61D7"/>
    <w:rsid w:val="004D2C85"/>
    <w:rsid w:val="004E3DEE"/>
    <w:rsid w:val="005051E2"/>
    <w:rsid w:val="00521F3A"/>
    <w:rsid w:val="00541015"/>
    <w:rsid w:val="00564D0C"/>
    <w:rsid w:val="00570F79"/>
    <w:rsid w:val="005775E1"/>
    <w:rsid w:val="005B02A4"/>
    <w:rsid w:val="005C5FD8"/>
    <w:rsid w:val="005C632B"/>
    <w:rsid w:val="005D677B"/>
    <w:rsid w:val="005E088B"/>
    <w:rsid w:val="005F19F3"/>
    <w:rsid w:val="00601B3E"/>
    <w:rsid w:val="0062675C"/>
    <w:rsid w:val="00632C5E"/>
    <w:rsid w:val="006528D9"/>
    <w:rsid w:val="00652CF1"/>
    <w:rsid w:val="00654134"/>
    <w:rsid w:val="00655316"/>
    <w:rsid w:val="006601F8"/>
    <w:rsid w:val="00666F71"/>
    <w:rsid w:val="00680147"/>
    <w:rsid w:val="006836D2"/>
    <w:rsid w:val="006B172F"/>
    <w:rsid w:val="006C4A6B"/>
    <w:rsid w:val="006D43B2"/>
    <w:rsid w:val="006E0DF8"/>
    <w:rsid w:val="006E3159"/>
    <w:rsid w:val="006F0202"/>
    <w:rsid w:val="006F3CF7"/>
    <w:rsid w:val="00704883"/>
    <w:rsid w:val="00705192"/>
    <w:rsid w:val="00712BB4"/>
    <w:rsid w:val="00716965"/>
    <w:rsid w:val="00722896"/>
    <w:rsid w:val="0072796A"/>
    <w:rsid w:val="007306D0"/>
    <w:rsid w:val="00734D5B"/>
    <w:rsid w:val="00741B5C"/>
    <w:rsid w:val="00772C52"/>
    <w:rsid w:val="007850E0"/>
    <w:rsid w:val="00792E45"/>
    <w:rsid w:val="007A243D"/>
    <w:rsid w:val="007D78B6"/>
    <w:rsid w:val="00801DB2"/>
    <w:rsid w:val="00802617"/>
    <w:rsid w:val="008351A5"/>
    <w:rsid w:val="008445D0"/>
    <w:rsid w:val="00847130"/>
    <w:rsid w:val="008A7C89"/>
    <w:rsid w:val="008B610B"/>
    <w:rsid w:val="008D1812"/>
    <w:rsid w:val="008F7C5F"/>
    <w:rsid w:val="00907004"/>
    <w:rsid w:val="00916695"/>
    <w:rsid w:val="00917D47"/>
    <w:rsid w:val="00920C4F"/>
    <w:rsid w:val="009246D3"/>
    <w:rsid w:val="00933313"/>
    <w:rsid w:val="00936D01"/>
    <w:rsid w:val="00946E19"/>
    <w:rsid w:val="00953225"/>
    <w:rsid w:val="00960EBA"/>
    <w:rsid w:val="00980332"/>
    <w:rsid w:val="0098413F"/>
    <w:rsid w:val="0098615B"/>
    <w:rsid w:val="009A19BE"/>
    <w:rsid w:val="009A2BBB"/>
    <w:rsid w:val="009B1DF9"/>
    <w:rsid w:val="009E243C"/>
    <w:rsid w:val="00A17DE6"/>
    <w:rsid w:val="00A254E2"/>
    <w:rsid w:val="00A26794"/>
    <w:rsid w:val="00A3267A"/>
    <w:rsid w:val="00A42818"/>
    <w:rsid w:val="00A56B39"/>
    <w:rsid w:val="00A6011E"/>
    <w:rsid w:val="00A626C2"/>
    <w:rsid w:val="00A65170"/>
    <w:rsid w:val="00A77187"/>
    <w:rsid w:val="00A93471"/>
    <w:rsid w:val="00AA1893"/>
    <w:rsid w:val="00AB7EF0"/>
    <w:rsid w:val="00AB7FD8"/>
    <w:rsid w:val="00B02FC4"/>
    <w:rsid w:val="00B03A73"/>
    <w:rsid w:val="00B06893"/>
    <w:rsid w:val="00B37FAB"/>
    <w:rsid w:val="00B52D55"/>
    <w:rsid w:val="00B53F8C"/>
    <w:rsid w:val="00B64914"/>
    <w:rsid w:val="00B64B4A"/>
    <w:rsid w:val="00B76430"/>
    <w:rsid w:val="00B76BDC"/>
    <w:rsid w:val="00B8390D"/>
    <w:rsid w:val="00B85632"/>
    <w:rsid w:val="00B970AF"/>
    <w:rsid w:val="00BA77F3"/>
    <w:rsid w:val="00BB2046"/>
    <w:rsid w:val="00BB2C96"/>
    <w:rsid w:val="00BB75CA"/>
    <w:rsid w:val="00BC3B18"/>
    <w:rsid w:val="00BE298C"/>
    <w:rsid w:val="00BE59F4"/>
    <w:rsid w:val="00BF1162"/>
    <w:rsid w:val="00C13391"/>
    <w:rsid w:val="00C16E4E"/>
    <w:rsid w:val="00C335E8"/>
    <w:rsid w:val="00C359E3"/>
    <w:rsid w:val="00C57655"/>
    <w:rsid w:val="00C80A1C"/>
    <w:rsid w:val="00C84809"/>
    <w:rsid w:val="00CA58EB"/>
    <w:rsid w:val="00CD50EA"/>
    <w:rsid w:val="00CF239B"/>
    <w:rsid w:val="00D0182B"/>
    <w:rsid w:val="00D26C55"/>
    <w:rsid w:val="00D41901"/>
    <w:rsid w:val="00D657C7"/>
    <w:rsid w:val="00D70EDD"/>
    <w:rsid w:val="00D81456"/>
    <w:rsid w:val="00DA35A1"/>
    <w:rsid w:val="00DB6DE3"/>
    <w:rsid w:val="00DD3B22"/>
    <w:rsid w:val="00DD4BAD"/>
    <w:rsid w:val="00DD7EBF"/>
    <w:rsid w:val="00DE324F"/>
    <w:rsid w:val="00DF2E23"/>
    <w:rsid w:val="00DF3DE3"/>
    <w:rsid w:val="00DF6384"/>
    <w:rsid w:val="00E1350F"/>
    <w:rsid w:val="00E320A6"/>
    <w:rsid w:val="00E77555"/>
    <w:rsid w:val="00E806B7"/>
    <w:rsid w:val="00E85990"/>
    <w:rsid w:val="00EA671A"/>
    <w:rsid w:val="00EC2CF9"/>
    <w:rsid w:val="00EC545E"/>
    <w:rsid w:val="00EF124D"/>
    <w:rsid w:val="00EF136F"/>
    <w:rsid w:val="00EF5136"/>
    <w:rsid w:val="00F0064B"/>
    <w:rsid w:val="00F01F6A"/>
    <w:rsid w:val="00F13CD2"/>
    <w:rsid w:val="00F36A16"/>
    <w:rsid w:val="00F37304"/>
    <w:rsid w:val="00F3743D"/>
    <w:rsid w:val="00F42B53"/>
    <w:rsid w:val="00FB3CB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FCF56"/>
  <w15:chartTrackingRefBased/>
  <w15:docId w15:val="{471151D2-C470-47E5-8323-3121AB153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2B53"/>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0728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07289A"/>
    <w:rPr>
      <w:sz w:val="16"/>
      <w:szCs w:val="16"/>
    </w:rPr>
  </w:style>
  <w:style w:type="paragraph" w:styleId="Textodecomentrio">
    <w:name w:val="annotation text"/>
    <w:basedOn w:val="Normal"/>
    <w:link w:val="TextodecomentrioChar"/>
    <w:uiPriority w:val="99"/>
    <w:unhideWhenUsed/>
    <w:rsid w:val="0007289A"/>
    <w:pPr>
      <w:spacing w:line="240" w:lineRule="auto"/>
    </w:pPr>
    <w:rPr>
      <w:sz w:val="20"/>
      <w:szCs w:val="20"/>
    </w:rPr>
  </w:style>
  <w:style w:type="character" w:customStyle="1" w:styleId="TextodecomentrioChar">
    <w:name w:val="Texto de comentário Char"/>
    <w:basedOn w:val="Fontepargpadro"/>
    <w:link w:val="Textodecomentrio"/>
    <w:uiPriority w:val="99"/>
    <w:rsid w:val="0007289A"/>
    <w:rPr>
      <w:sz w:val="20"/>
      <w:szCs w:val="20"/>
    </w:rPr>
  </w:style>
  <w:style w:type="paragraph" w:styleId="Assuntodocomentrio">
    <w:name w:val="annotation subject"/>
    <w:basedOn w:val="Textodecomentrio"/>
    <w:next w:val="Textodecomentrio"/>
    <w:link w:val="AssuntodocomentrioChar"/>
    <w:uiPriority w:val="99"/>
    <w:semiHidden/>
    <w:unhideWhenUsed/>
    <w:rsid w:val="0007289A"/>
    <w:rPr>
      <w:b/>
      <w:bCs/>
    </w:rPr>
  </w:style>
  <w:style w:type="character" w:customStyle="1" w:styleId="AssuntodocomentrioChar">
    <w:name w:val="Assunto do comentário Char"/>
    <w:basedOn w:val="TextodecomentrioChar"/>
    <w:link w:val="Assuntodocomentrio"/>
    <w:uiPriority w:val="99"/>
    <w:semiHidden/>
    <w:rsid w:val="0007289A"/>
    <w:rPr>
      <w:b/>
      <w:bCs/>
      <w:sz w:val="20"/>
      <w:szCs w:val="20"/>
    </w:rPr>
  </w:style>
  <w:style w:type="paragraph" w:styleId="Reviso">
    <w:name w:val="Revision"/>
    <w:hidden/>
    <w:uiPriority w:val="99"/>
    <w:semiHidden/>
    <w:rsid w:val="0007289A"/>
    <w:pPr>
      <w:spacing w:after="0" w:line="240" w:lineRule="auto"/>
    </w:pPr>
  </w:style>
  <w:style w:type="paragraph" w:styleId="PargrafodaLista">
    <w:name w:val="List Paragraph"/>
    <w:basedOn w:val="Normal"/>
    <w:uiPriority w:val="34"/>
    <w:qFormat/>
    <w:rsid w:val="0007289A"/>
    <w:pPr>
      <w:ind w:left="720"/>
      <w:contextualSpacing/>
    </w:pPr>
  </w:style>
  <w:style w:type="paragraph" w:styleId="Corpodetexto">
    <w:name w:val="Body Text"/>
    <w:basedOn w:val="Normal"/>
    <w:link w:val="CorpodetextoChar"/>
    <w:uiPriority w:val="1"/>
    <w:qFormat/>
    <w:rsid w:val="0007289A"/>
    <w:pPr>
      <w:widowControl w:val="0"/>
      <w:autoSpaceDE w:val="0"/>
      <w:autoSpaceDN w:val="0"/>
      <w:spacing w:after="0" w:line="240" w:lineRule="auto"/>
    </w:pPr>
    <w:rPr>
      <w:rFonts w:ascii="DejaVu Serif Condensed" w:eastAsia="DejaVu Serif Condensed" w:hAnsi="DejaVu Serif Condensed" w:cs="DejaVu Serif Condensed"/>
      <w:lang w:val="pt-PT"/>
    </w:rPr>
  </w:style>
  <w:style w:type="character" w:customStyle="1" w:styleId="CorpodetextoChar">
    <w:name w:val="Corpo de texto Char"/>
    <w:basedOn w:val="Fontepargpadro"/>
    <w:link w:val="Corpodetexto"/>
    <w:uiPriority w:val="1"/>
    <w:rsid w:val="0007289A"/>
    <w:rPr>
      <w:rFonts w:ascii="DejaVu Serif Condensed" w:eastAsia="DejaVu Serif Condensed" w:hAnsi="DejaVu Serif Condensed" w:cs="DejaVu Serif Condensed"/>
      <w:lang w:val="pt-PT"/>
    </w:rPr>
  </w:style>
  <w:style w:type="paragraph" w:styleId="Textodebalo">
    <w:name w:val="Balloon Text"/>
    <w:basedOn w:val="Normal"/>
    <w:link w:val="TextodebaloChar"/>
    <w:uiPriority w:val="99"/>
    <w:semiHidden/>
    <w:unhideWhenUsed/>
    <w:rsid w:val="0007289A"/>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7289A"/>
    <w:rPr>
      <w:rFonts w:ascii="Tahoma" w:hAnsi="Tahoma" w:cs="Tahoma"/>
      <w:sz w:val="16"/>
      <w:szCs w:val="16"/>
    </w:rPr>
  </w:style>
  <w:style w:type="paragraph" w:styleId="Cabealho">
    <w:name w:val="header"/>
    <w:basedOn w:val="Normal"/>
    <w:link w:val="CabealhoChar"/>
    <w:uiPriority w:val="99"/>
    <w:unhideWhenUsed/>
    <w:rsid w:val="00280BC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80BC5"/>
  </w:style>
  <w:style w:type="paragraph" w:styleId="Rodap">
    <w:name w:val="footer"/>
    <w:basedOn w:val="Normal"/>
    <w:link w:val="RodapChar"/>
    <w:uiPriority w:val="99"/>
    <w:unhideWhenUsed/>
    <w:rsid w:val="00280BC5"/>
    <w:pPr>
      <w:tabs>
        <w:tab w:val="center" w:pos="4252"/>
        <w:tab w:val="right" w:pos="8504"/>
      </w:tabs>
      <w:spacing w:after="0" w:line="240" w:lineRule="auto"/>
    </w:pPr>
  </w:style>
  <w:style w:type="character" w:customStyle="1" w:styleId="RodapChar">
    <w:name w:val="Rodapé Char"/>
    <w:basedOn w:val="Fontepargpadro"/>
    <w:link w:val="Rodap"/>
    <w:uiPriority w:val="99"/>
    <w:rsid w:val="00280BC5"/>
  </w:style>
  <w:style w:type="character" w:styleId="Hyperlink">
    <w:name w:val="Hyperlink"/>
    <w:basedOn w:val="Fontepargpadro"/>
    <w:uiPriority w:val="99"/>
    <w:semiHidden/>
    <w:unhideWhenUsed/>
    <w:rsid w:val="00E320A6"/>
    <w:rPr>
      <w:color w:val="0563C1"/>
      <w:u w:val="single"/>
    </w:rPr>
  </w:style>
  <w:style w:type="character" w:styleId="HiperlinkVisitado">
    <w:name w:val="FollowedHyperlink"/>
    <w:basedOn w:val="Fontepargpadro"/>
    <w:uiPriority w:val="99"/>
    <w:semiHidden/>
    <w:unhideWhenUsed/>
    <w:rsid w:val="00E320A6"/>
    <w:rPr>
      <w:color w:val="954F72"/>
      <w:u w:val="single"/>
    </w:rPr>
  </w:style>
  <w:style w:type="paragraph" w:customStyle="1" w:styleId="msonormal0">
    <w:name w:val="msonormal"/>
    <w:basedOn w:val="Normal"/>
    <w:rsid w:val="00E32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font5">
    <w:name w:val="font5"/>
    <w:basedOn w:val="Normal"/>
    <w:rsid w:val="00E320A6"/>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6">
    <w:name w:val="font6"/>
    <w:basedOn w:val="Normal"/>
    <w:rsid w:val="00E320A6"/>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xl65">
    <w:name w:val="xl65"/>
    <w:basedOn w:val="Normal"/>
    <w:rsid w:val="00E320A6"/>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6">
    <w:name w:val="xl66"/>
    <w:basedOn w:val="Normal"/>
    <w:rsid w:val="00E320A6"/>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67">
    <w:name w:val="xl67"/>
    <w:basedOn w:val="Normal"/>
    <w:rsid w:val="00E320A6"/>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68">
    <w:name w:val="xl68"/>
    <w:basedOn w:val="Normal"/>
    <w:rsid w:val="00E320A6"/>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69">
    <w:name w:val="xl69"/>
    <w:basedOn w:val="Normal"/>
    <w:rsid w:val="00E320A6"/>
    <w:pPr>
      <w:pBdr>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0">
    <w:name w:val="xl70"/>
    <w:basedOn w:val="Normal"/>
    <w:rsid w:val="00E320A6"/>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1">
    <w:name w:val="xl71"/>
    <w:basedOn w:val="Normal"/>
    <w:rsid w:val="00E320A6"/>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2">
    <w:name w:val="xl72"/>
    <w:basedOn w:val="Normal"/>
    <w:rsid w:val="00E320A6"/>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3">
    <w:name w:val="xl73"/>
    <w:basedOn w:val="Normal"/>
    <w:rsid w:val="00E320A6"/>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4">
    <w:name w:val="xl74"/>
    <w:basedOn w:val="Normal"/>
    <w:rsid w:val="00E320A6"/>
    <w:pPr>
      <w:pBdr>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5">
    <w:name w:val="xl75"/>
    <w:basedOn w:val="Normal"/>
    <w:rsid w:val="00E320A6"/>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6">
    <w:name w:val="xl76"/>
    <w:basedOn w:val="Normal"/>
    <w:rsid w:val="00E320A6"/>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7">
    <w:name w:val="xl77"/>
    <w:basedOn w:val="Normal"/>
    <w:rsid w:val="00E320A6"/>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8">
    <w:name w:val="xl78"/>
    <w:basedOn w:val="Normal"/>
    <w:rsid w:val="00E320A6"/>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79">
    <w:name w:val="xl79"/>
    <w:basedOn w:val="Normal"/>
    <w:rsid w:val="00E320A6"/>
    <w:pPr>
      <w:pBdr>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0">
    <w:name w:val="xl80"/>
    <w:basedOn w:val="Normal"/>
    <w:rsid w:val="00E320A6"/>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1">
    <w:name w:val="xl81"/>
    <w:basedOn w:val="Normal"/>
    <w:rsid w:val="00E320A6"/>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2">
    <w:name w:val="xl82"/>
    <w:basedOn w:val="Normal"/>
    <w:rsid w:val="00E320A6"/>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3">
    <w:name w:val="xl83"/>
    <w:basedOn w:val="Normal"/>
    <w:rsid w:val="00E320A6"/>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84">
    <w:name w:val="xl84"/>
    <w:basedOn w:val="Normal"/>
    <w:rsid w:val="00E320A6"/>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85">
    <w:name w:val="xl85"/>
    <w:basedOn w:val="Normal"/>
    <w:rsid w:val="00E320A6"/>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character" w:styleId="TextodoEspaoReservado">
    <w:name w:val="Placeholder Text"/>
    <w:basedOn w:val="Fontepargpadro"/>
    <w:uiPriority w:val="99"/>
    <w:semiHidden/>
    <w:rsid w:val="001A7C96"/>
    <w:rPr>
      <w:color w:val="808080"/>
    </w:rPr>
  </w:style>
  <w:style w:type="paragraph" w:customStyle="1" w:styleId="font0">
    <w:name w:val="font0"/>
    <w:basedOn w:val="Normal"/>
    <w:rsid w:val="00EC545E"/>
    <w:pPr>
      <w:spacing w:before="100" w:beforeAutospacing="1" w:after="100" w:afterAutospacing="1" w:line="240" w:lineRule="auto"/>
    </w:pPr>
    <w:rPr>
      <w:rFonts w:ascii="Calibri" w:eastAsia="Times New Roman" w:hAnsi="Calibri" w:cs="Calibri"/>
      <w:color w:val="000000"/>
      <w:lang w:eastAsia="pt-BR"/>
    </w:rPr>
  </w:style>
  <w:style w:type="paragraph" w:customStyle="1" w:styleId="font7">
    <w:name w:val="font7"/>
    <w:basedOn w:val="Normal"/>
    <w:rsid w:val="00EC545E"/>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8">
    <w:name w:val="font8"/>
    <w:basedOn w:val="Normal"/>
    <w:rsid w:val="00EC545E"/>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font9">
    <w:name w:val="font9"/>
    <w:basedOn w:val="Normal"/>
    <w:rsid w:val="00EC545E"/>
    <w:pPr>
      <w:spacing w:before="100" w:beforeAutospacing="1" w:after="100" w:afterAutospacing="1" w:line="240" w:lineRule="auto"/>
    </w:pPr>
    <w:rPr>
      <w:rFonts w:ascii="Calibri" w:eastAsia="Times New Roman" w:hAnsi="Calibri" w:cs="Calibri"/>
      <w:sz w:val="24"/>
      <w:szCs w:val="24"/>
      <w:lang w:eastAsia="pt-BR"/>
    </w:rPr>
  </w:style>
  <w:style w:type="paragraph" w:customStyle="1" w:styleId="font10">
    <w:name w:val="font10"/>
    <w:basedOn w:val="Normal"/>
    <w:rsid w:val="00EC545E"/>
    <w:pPr>
      <w:spacing w:before="100" w:beforeAutospacing="1" w:after="100" w:afterAutospacing="1" w:line="240" w:lineRule="auto"/>
    </w:pPr>
    <w:rPr>
      <w:rFonts w:ascii="Calibri" w:eastAsia="Times New Roman" w:hAnsi="Calibri" w:cs="Calibri"/>
      <w:b/>
      <w:bCs/>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605708">
      <w:bodyDiv w:val="1"/>
      <w:marLeft w:val="0"/>
      <w:marRight w:val="0"/>
      <w:marTop w:val="0"/>
      <w:marBottom w:val="0"/>
      <w:divBdr>
        <w:top w:val="none" w:sz="0" w:space="0" w:color="auto"/>
        <w:left w:val="none" w:sz="0" w:space="0" w:color="auto"/>
        <w:bottom w:val="none" w:sz="0" w:space="0" w:color="auto"/>
        <w:right w:val="none" w:sz="0" w:space="0" w:color="auto"/>
      </w:divBdr>
    </w:div>
    <w:div w:id="767428117">
      <w:bodyDiv w:val="1"/>
      <w:marLeft w:val="0"/>
      <w:marRight w:val="0"/>
      <w:marTop w:val="0"/>
      <w:marBottom w:val="0"/>
      <w:divBdr>
        <w:top w:val="none" w:sz="0" w:space="0" w:color="auto"/>
        <w:left w:val="none" w:sz="0" w:space="0" w:color="auto"/>
        <w:bottom w:val="none" w:sz="0" w:space="0" w:color="auto"/>
        <w:right w:val="none" w:sz="0" w:space="0" w:color="auto"/>
      </w:divBdr>
    </w:div>
    <w:div w:id="1083183867">
      <w:bodyDiv w:val="1"/>
      <w:marLeft w:val="0"/>
      <w:marRight w:val="0"/>
      <w:marTop w:val="0"/>
      <w:marBottom w:val="0"/>
      <w:divBdr>
        <w:top w:val="none" w:sz="0" w:space="0" w:color="auto"/>
        <w:left w:val="none" w:sz="0" w:space="0" w:color="auto"/>
        <w:bottom w:val="none" w:sz="0" w:space="0" w:color="auto"/>
        <w:right w:val="none" w:sz="0" w:space="0" w:color="auto"/>
      </w:divBdr>
    </w:div>
    <w:div w:id="1496530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77</Pages>
  <Words>28390</Words>
  <Characters>153306</Characters>
  <Application>Microsoft Office Word</Application>
  <DocSecurity>0</DocSecurity>
  <Lines>1277</Lines>
  <Paragraphs>362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Tais Novo Duarte - PREVICDF</dc:creator>
  <cp:keywords/>
  <dc:description/>
  <cp:lastModifiedBy>Tais Novo Duarte - PREVICDF</cp:lastModifiedBy>
  <cp:revision>2</cp:revision>
  <dcterms:created xsi:type="dcterms:W3CDTF">2023-04-26T23:54:00Z</dcterms:created>
  <dcterms:modified xsi:type="dcterms:W3CDTF">2023-04-26T23:54:00Z</dcterms:modified>
</cp:coreProperties>
</file>