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797CE6" w14:textId="77777777" w:rsidR="00AA46AB" w:rsidRPr="00802AD9" w:rsidRDefault="00AA46AB" w:rsidP="00542C92">
      <w:pPr>
        <w:spacing w:after="120" w:line="240" w:lineRule="auto"/>
        <w:jc w:val="center"/>
        <w:rPr>
          <w:rFonts w:ascii="Calibri" w:eastAsia="Times New Roman" w:hAnsi="Calibri" w:cs="Calibri"/>
          <w:b/>
          <w:bCs/>
          <w:kern w:val="0"/>
          <w:sz w:val="24"/>
          <w:szCs w:val="24"/>
          <w:lang w:eastAsia="pt-BR"/>
          <w14:ligatures w14:val="none"/>
        </w:rPr>
      </w:pPr>
    </w:p>
    <w:p w14:paraId="4775EA30" w14:textId="12EEE671" w:rsidR="0096574A" w:rsidRPr="00802AD9" w:rsidRDefault="0096574A" w:rsidP="00AA46AB">
      <w:pPr>
        <w:autoSpaceDE w:val="0"/>
        <w:autoSpaceDN w:val="0"/>
        <w:adjustRightInd w:val="0"/>
        <w:spacing w:after="0" w:line="240" w:lineRule="auto"/>
        <w:jc w:val="both"/>
        <w:rPr>
          <w:rFonts w:ascii="Calibri" w:hAnsi="Calibri" w:cs="Calibri"/>
          <w:b/>
          <w:bCs/>
          <w:color w:val="162937"/>
          <w:kern w:val="0"/>
          <w:sz w:val="24"/>
          <w:szCs w:val="24"/>
        </w:rPr>
      </w:pPr>
      <w:r w:rsidRPr="00802AD9">
        <w:rPr>
          <w:rFonts w:ascii="Calibri" w:hAnsi="Calibri" w:cs="Calibri"/>
          <w:b/>
          <w:bCs/>
          <w:color w:val="162937"/>
          <w:kern w:val="0"/>
          <w:sz w:val="24"/>
          <w:szCs w:val="24"/>
        </w:rPr>
        <w:t>Instrução Previc nº 33, de 23 de outubro de 2018</w:t>
      </w:r>
    </w:p>
    <w:p w14:paraId="444EF135" w14:textId="6B41696A" w:rsidR="00AA46AB" w:rsidRPr="00802AD9" w:rsidRDefault="00AA46AB" w:rsidP="00AA46AB">
      <w:pPr>
        <w:autoSpaceDE w:val="0"/>
        <w:autoSpaceDN w:val="0"/>
        <w:adjustRightInd w:val="0"/>
        <w:spacing w:after="0" w:line="240" w:lineRule="auto"/>
        <w:jc w:val="both"/>
        <w:rPr>
          <w:rFonts w:ascii="Calibri" w:hAnsi="Calibri" w:cs="Calibri"/>
          <w:color w:val="162937"/>
          <w:kern w:val="0"/>
          <w:sz w:val="24"/>
          <w:szCs w:val="24"/>
        </w:rPr>
      </w:pPr>
      <w:r w:rsidRPr="00802AD9">
        <w:rPr>
          <w:rFonts w:ascii="Calibri" w:hAnsi="Calibri" w:cs="Calibri"/>
          <w:color w:val="162937"/>
          <w:kern w:val="0"/>
          <w:sz w:val="24"/>
          <w:szCs w:val="24"/>
        </w:rPr>
        <w:t>A DIRETORIA COLEGIADA DA SUPERINTENDÊNCIA NACIONAL DE PREVIDÊNCIA COMPLEMENTAR (Previc), na sessão 510ª realizada em de 22 de outubro de 2020, com fundamento no inciso III do Art. 2º Lei nº 12.154, de 23 de dezembro de 2009, inciso III do art. 2º e inciso VIII do art. 10 do Anexo I do Decreto nº 8.992, de 20 de fevereiro de 2017 e em conformidade com o inciso III do art. 2º do Decreto n° 10.139, de 28 de novembro de 2019 e na Resolução CNPC nº 30, de 10 de outubro de 2018, resolve</w:t>
      </w:r>
    </w:p>
    <w:p w14:paraId="3E3BA283" w14:textId="77777777" w:rsidR="00AA46AB" w:rsidRPr="00802AD9" w:rsidRDefault="00AA46AB" w:rsidP="00AA46AB">
      <w:pPr>
        <w:autoSpaceDE w:val="0"/>
        <w:autoSpaceDN w:val="0"/>
        <w:adjustRightInd w:val="0"/>
        <w:spacing w:after="0" w:line="240" w:lineRule="auto"/>
        <w:jc w:val="both"/>
        <w:rPr>
          <w:rFonts w:ascii="Calibri" w:hAnsi="Calibri" w:cs="Calibri"/>
          <w:color w:val="162937"/>
          <w:kern w:val="0"/>
          <w:sz w:val="24"/>
          <w:szCs w:val="24"/>
        </w:rPr>
      </w:pPr>
    </w:p>
    <w:p w14:paraId="08E316C9" w14:textId="460EDEB4" w:rsidR="00AA46AB" w:rsidRPr="00802AD9" w:rsidRDefault="0096574A" w:rsidP="00AA46AB">
      <w:pPr>
        <w:autoSpaceDE w:val="0"/>
        <w:autoSpaceDN w:val="0"/>
        <w:adjustRightInd w:val="0"/>
        <w:spacing w:after="0" w:line="240" w:lineRule="auto"/>
        <w:jc w:val="both"/>
        <w:rPr>
          <w:rFonts w:ascii="Calibri" w:hAnsi="Calibri" w:cs="Calibri"/>
          <w:b/>
          <w:bCs/>
          <w:color w:val="162937"/>
          <w:kern w:val="0"/>
          <w:sz w:val="24"/>
          <w:szCs w:val="24"/>
        </w:rPr>
      </w:pPr>
      <w:r w:rsidRPr="00802AD9">
        <w:rPr>
          <w:rFonts w:ascii="Calibri" w:hAnsi="Calibri" w:cs="Calibri"/>
          <w:b/>
          <w:bCs/>
          <w:color w:val="162937"/>
          <w:kern w:val="0"/>
          <w:sz w:val="24"/>
          <w:szCs w:val="24"/>
        </w:rPr>
        <w:t>Instrução Previc nº 43, de 14 de outubro de 2021</w:t>
      </w:r>
      <w:r w:rsidR="009377CE">
        <w:rPr>
          <w:rFonts w:ascii="Calibri" w:hAnsi="Calibri" w:cs="Calibri"/>
          <w:b/>
          <w:bCs/>
          <w:color w:val="162937"/>
          <w:kern w:val="0"/>
          <w:sz w:val="24"/>
          <w:szCs w:val="24"/>
        </w:rPr>
        <w:t xml:space="preserve"> (Alterou a Instrução Previc nº 33, de 2018)</w:t>
      </w:r>
    </w:p>
    <w:p w14:paraId="58374E81" w14:textId="770BEB43" w:rsidR="0096574A" w:rsidRPr="00802AD9" w:rsidRDefault="0096574A" w:rsidP="00AA46AB">
      <w:pPr>
        <w:autoSpaceDE w:val="0"/>
        <w:autoSpaceDN w:val="0"/>
        <w:adjustRightInd w:val="0"/>
        <w:spacing w:after="0" w:line="240" w:lineRule="auto"/>
        <w:jc w:val="both"/>
        <w:rPr>
          <w:rFonts w:ascii="Calibri" w:hAnsi="Calibri" w:cs="Calibri"/>
          <w:sz w:val="24"/>
          <w:szCs w:val="24"/>
        </w:rPr>
      </w:pPr>
      <w:r w:rsidRPr="00802AD9">
        <w:rPr>
          <w:rFonts w:ascii="Calibri" w:hAnsi="Calibri" w:cs="Calibri"/>
          <w:sz w:val="24"/>
          <w:szCs w:val="24"/>
        </w:rPr>
        <w:t>A DIRETORIA COLEGIADA DA SUPERINTENDÊNCIA NACIONAL DE PREVIDÊNCIA COMPLEMENTAR (Previc), na sessão 561ª, realizada em de 11 de outubro de 2021, com fundamento no inciso III do art. 2º Lei nº 12.154, de 23 de dezembro de 2009, inciso III do art. 2º e inciso VIII do art. 10 do Anexo I do Decreto nº 8.992, de 20 de fevereiro de 2017, na Resolução CNPC nº 30, de 10 de outubro de 2018 e de acordo com o art. 2º do Decreto n° 10.139, de 28 de novembro de 2019, resolve:</w:t>
      </w:r>
    </w:p>
    <w:p w14:paraId="29A2F298" w14:textId="77777777" w:rsidR="0096574A" w:rsidRPr="00802AD9" w:rsidRDefault="0096574A" w:rsidP="00AA46AB">
      <w:pPr>
        <w:autoSpaceDE w:val="0"/>
        <w:autoSpaceDN w:val="0"/>
        <w:adjustRightInd w:val="0"/>
        <w:spacing w:after="0" w:line="240" w:lineRule="auto"/>
        <w:jc w:val="both"/>
        <w:rPr>
          <w:rFonts w:ascii="Calibri" w:eastAsia="Times New Roman" w:hAnsi="Calibri" w:cs="Calibri"/>
          <w:b/>
          <w:bCs/>
          <w:kern w:val="0"/>
          <w:sz w:val="24"/>
          <w:szCs w:val="24"/>
          <w:lang w:eastAsia="pt-BR"/>
          <w14:ligatures w14:val="none"/>
        </w:rPr>
      </w:pPr>
    </w:p>
    <w:p w14:paraId="6CC25F88" w14:textId="3D572D6E" w:rsidR="0096574A" w:rsidRPr="00802AD9" w:rsidRDefault="0096574A" w:rsidP="00CD2E5B">
      <w:pPr>
        <w:spacing w:after="0" w:line="240" w:lineRule="auto"/>
        <w:jc w:val="both"/>
        <w:rPr>
          <w:rFonts w:ascii="Calibri" w:eastAsia="Times New Roman" w:hAnsi="Calibri" w:cs="Calibri"/>
          <w:b/>
          <w:bCs/>
          <w:color w:val="162937"/>
          <w:kern w:val="0"/>
          <w:sz w:val="24"/>
          <w:szCs w:val="24"/>
          <w:lang w:eastAsia="pt-BR"/>
          <w14:ligatures w14:val="none"/>
        </w:rPr>
      </w:pPr>
      <w:r w:rsidRPr="00802AD9">
        <w:rPr>
          <w:rFonts w:ascii="Calibri" w:eastAsia="Times New Roman" w:hAnsi="Calibri" w:cs="Calibri"/>
          <w:b/>
          <w:bCs/>
          <w:color w:val="162937"/>
          <w:kern w:val="0"/>
          <w:sz w:val="24"/>
          <w:szCs w:val="24"/>
          <w:lang w:eastAsia="pt-BR"/>
          <w14:ligatures w14:val="none"/>
        </w:rPr>
        <w:t>Resolução Previc nº 7, de 23 de março de 2022</w:t>
      </w:r>
    </w:p>
    <w:p w14:paraId="5AAEBBC4" w14:textId="5C98CB76" w:rsidR="00CD2E5B" w:rsidRPr="00802AD9" w:rsidRDefault="00CD2E5B" w:rsidP="00CD2E5B">
      <w:pPr>
        <w:spacing w:after="0" w:line="240" w:lineRule="auto"/>
        <w:jc w:val="both"/>
        <w:rPr>
          <w:rFonts w:ascii="Calibri" w:eastAsia="Times New Roman" w:hAnsi="Calibri" w:cs="Calibri"/>
          <w:color w:val="162937"/>
          <w:kern w:val="0"/>
          <w:sz w:val="24"/>
          <w:szCs w:val="24"/>
          <w:lang w:eastAsia="pt-BR"/>
          <w14:ligatures w14:val="none"/>
        </w:rPr>
      </w:pPr>
      <w:r w:rsidRPr="00CD2E5B">
        <w:rPr>
          <w:rFonts w:ascii="Calibri" w:eastAsia="Times New Roman" w:hAnsi="Calibri" w:cs="Calibri"/>
          <w:color w:val="162937"/>
          <w:kern w:val="0"/>
          <w:sz w:val="24"/>
          <w:szCs w:val="24"/>
          <w:lang w:eastAsia="pt-BR"/>
          <w14:ligatures w14:val="none"/>
        </w:rPr>
        <w:t>A DIRETORIA COLEGIADA DA SUPERINTENDÊNCIA NACIONAL DE PREVIDÊNCIA COMPLEMENTAR - PREVIC, na sessão 584ª realizada em 23 de março de 2022, com fundamento no inciso III do art. 2º da Lei nº 12.154, de 23 de dezembro de 2009, no inciso III do art. 2º e no inciso VIII do art. 10 do Anexo I do Decreto nº 8.992, de 20 de fevereiro de 2017 e em conformidade com o inciso II do art. 2º do Decreto nº 10.139, de 28 de novembro de 2019, resolve:</w:t>
      </w:r>
    </w:p>
    <w:p w14:paraId="19B11718" w14:textId="77777777" w:rsidR="00CD2E5B" w:rsidRPr="00802AD9" w:rsidRDefault="00CD2E5B" w:rsidP="00CD2E5B">
      <w:pPr>
        <w:spacing w:after="120" w:line="240" w:lineRule="auto"/>
        <w:rPr>
          <w:rFonts w:ascii="Calibri" w:eastAsia="Times New Roman" w:hAnsi="Calibri" w:cs="Calibri"/>
          <w:b/>
          <w:bCs/>
          <w:kern w:val="0"/>
          <w:sz w:val="24"/>
          <w:szCs w:val="24"/>
          <w:lang w:eastAsia="pt-BR"/>
          <w14:ligatures w14:val="none"/>
        </w:rPr>
      </w:pPr>
    </w:p>
    <w:p w14:paraId="49C2BCB4" w14:textId="4CB22B8E" w:rsidR="0096574A" w:rsidRPr="00802AD9" w:rsidRDefault="0096574A" w:rsidP="0096574A">
      <w:pPr>
        <w:spacing w:after="0" w:line="240" w:lineRule="auto"/>
        <w:jc w:val="both"/>
        <w:rPr>
          <w:rFonts w:ascii="Calibri" w:eastAsia="Times New Roman" w:hAnsi="Calibri" w:cs="Calibri"/>
          <w:b/>
          <w:bCs/>
          <w:color w:val="162937"/>
          <w:kern w:val="0"/>
          <w:sz w:val="24"/>
          <w:szCs w:val="24"/>
          <w:lang w:eastAsia="pt-BR"/>
          <w14:ligatures w14:val="none"/>
        </w:rPr>
      </w:pPr>
      <w:r w:rsidRPr="00802AD9">
        <w:rPr>
          <w:rFonts w:ascii="Calibri" w:eastAsia="Times New Roman" w:hAnsi="Calibri" w:cs="Calibri"/>
          <w:b/>
          <w:bCs/>
          <w:color w:val="162937"/>
          <w:kern w:val="0"/>
          <w:sz w:val="24"/>
          <w:szCs w:val="24"/>
          <w:lang w:eastAsia="pt-BR"/>
          <w14:ligatures w14:val="none"/>
        </w:rPr>
        <w:t>Resolução Previc nº 8, de 23 de março de 2022</w:t>
      </w:r>
    </w:p>
    <w:p w14:paraId="48FA8590" w14:textId="5FE7ACB5" w:rsidR="00CD2E5B" w:rsidRPr="00802AD9" w:rsidRDefault="00CD2E5B" w:rsidP="00CD2E5B">
      <w:pPr>
        <w:spacing w:after="0" w:line="240" w:lineRule="auto"/>
        <w:jc w:val="both"/>
        <w:rPr>
          <w:rFonts w:ascii="Calibri" w:eastAsia="Times New Roman" w:hAnsi="Calibri" w:cs="Calibri"/>
          <w:color w:val="333333"/>
          <w:kern w:val="0"/>
          <w:sz w:val="24"/>
          <w:szCs w:val="24"/>
          <w:lang w:eastAsia="pt-BR"/>
          <w14:ligatures w14:val="none"/>
        </w:rPr>
      </w:pPr>
      <w:r w:rsidRPr="00CD2E5B">
        <w:rPr>
          <w:rFonts w:ascii="Calibri" w:eastAsia="Times New Roman" w:hAnsi="Calibri" w:cs="Calibri"/>
          <w:color w:val="333333"/>
          <w:kern w:val="0"/>
          <w:sz w:val="24"/>
          <w:szCs w:val="24"/>
          <w:lang w:eastAsia="pt-BR"/>
          <w14:ligatures w14:val="none"/>
        </w:rPr>
        <w:t>A Diretoria Colegiada da Superintendência Nacional de Previdência Complementar - PREVIC, na 584ª Sessão Ordinária, realizada em 23 de março de 2022, com fundamento no inciso III do art. 2º da Lei nº 12.154, de 23 de dezembro de 2009, inciso III do art. 2º e inciso VIII do art. 10 do Anexo I do Decreto nº 8.992, de 20 de fevereiro de 2017 , e em conformidade com o art. 2º do Decreto nº 10.139, de 28 de novembro de 2019 , e</w:t>
      </w:r>
      <w:r w:rsidRPr="00802AD9">
        <w:rPr>
          <w:rFonts w:ascii="Calibri" w:eastAsia="Times New Roman" w:hAnsi="Calibri" w:cs="Calibri"/>
          <w:color w:val="333333"/>
          <w:kern w:val="0"/>
          <w:sz w:val="24"/>
          <w:szCs w:val="24"/>
          <w:lang w:eastAsia="pt-BR"/>
          <w14:ligatures w14:val="none"/>
        </w:rPr>
        <w:t xml:space="preserve"> c</w:t>
      </w:r>
      <w:r w:rsidRPr="00CD2E5B">
        <w:rPr>
          <w:rFonts w:ascii="Calibri" w:eastAsia="Times New Roman" w:hAnsi="Calibri" w:cs="Calibri"/>
          <w:color w:val="333333"/>
          <w:kern w:val="0"/>
          <w:sz w:val="24"/>
          <w:szCs w:val="24"/>
          <w:lang w:eastAsia="pt-BR"/>
          <w14:ligatures w14:val="none"/>
        </w:rPr>
        <w:t>onsiderando o disposto na Resolução CNPC nº 47, de 1º de outubro de 2021,</w:t>
      </w:r>
      <w:r w:rsidRPr="00802AD9">
        <w:rPr>
          <w:rFonts w:ascii="Calibri" w:eastAsia="Times New Roman" w:hAnsi="Calibri" w:cs="Calibri"/>
          <w:color w:val="333333"/>
          <w:kern w:val="0"/>
          <w:sz w:val="24"/>
          <w:szCs w:val="24"/>
          <w:lang w:eastAsia="pt-BR"/>
          <w14:ligatures w14:val="none"/>
        </w:rPr>
        <w:t xml:space="preserve"> r</w:t>
      </w:r>
      <w:r w:rsidRPr="00CD2E5B">
        <w:rPr>
          <w:rFonts w:ascii="Calibri" w:eastAsia="Times New Roman" w:hAnsi="Calibri" w:cs="Calibri"/>
          <w:color w:val="333333"/>
          <w:kern w:val="0"/>
          <w:sz w:val="24"/>
          <w:szCs w:val="24"/>
          <w:lang w:eastAsia="pt-BR"/>
          <w14:ligatures w14:val="none"/>
        </w:rPr>
        <w:t>esolve:</w:t>
      </w:r>
    </w:p>
    <w:p w14:paraId="4ECDDBEC" w14:textId="77777777" w:rsidR="00CD2E5B" w:rsidRPr="00802AD9" w:rsidRDefault="00CD2E5B" w:rsidP="00CD2E5B">
      <w:pPr>
        <w:spacing w:after="120" w:line="240" w:lineRule="auto"/>
        <w:rPr>
          <w:rFonts w:ascii="Calibri" w:eastAsia="Times New Roman" w:hAnsi="Calibri" w:cs="Calibri"/>
          <w:b/>
          <w:bCs/>
          <w:kern w:val="0"/>
          <w:sz w:val="24"/>
          <w:szCs w:val="24"/>
          <w:lang w:eastAsia="pt-BR"/>
          <w14:ligatures w14:val="none"/>
        </w:rPr>
      </w:pPr>
    </w:p>
    <w:p w14:paraId="1E18ABF4" w14:textId="605C9F3B" w:rsidR="00087A55" w:rsidRPr="00FE06AF" w:rsidRDefault="00FE06AF" w:rsidP="00CD2E5B">
      <w:pPr>
        <w:spacing w:after="120" w:line="240" w:lineRule="auto"/>
        <w:rPr>
          <w:rFonts w:ascii="Calibri" w:eastAsia="Times New Roman" w:hAnsi="Calibri" w:cs="Calibri"/>
          <w:kern w:val="0"/>
          <w:sz w:val="24"/>
          <w:szCs w:val="24"/>
          <w:lang w:eastAsia="pt-BR"/>
          <w14:ligatures w14:val="none"/>
        </w:rPr>
      </w:pPr>
      <w:r w:rsidRPr="00FE06AF">
        <w:rPr>
          <w:rFonts w:ascii="Calibri" w:eastAsia="Times New Roman" w:hAnsi="Calibri" w:cs="Calibri"/>
          <w:kern w:val="0"/>
          <w:sz w:val="24"/>
          <w:szCs w:val="24"/>
          <w:lang w:eastAsia="pt-BR"/>
          <w14:ligatures w14:val="none"/>
        </w:rPr>
        <w:t>Ficam revogadas:</w:t>
      </w:r>
    </w:p>
    <w:p w14:paraId="50EE8AC0" w14:textId="77777777" w:rsidR="00FE06AF" w:rsidRPr="00FE06AF" w:rsidRDefault="00FE06AF" w:rsidP="00FE06AF">
      <w:pPr>
        <w:autoSpaceDE w:val="0"/>
        <w:autoSpaceDN w:val="0"/>
        <w:adjustRightInd w:val="0"/>
        <w:spacing w:after="0" w:line="240" w:lineRule="auto"/>
        <w:jc w:val="both"/>
        <w:rPr>
          <w:rFonts w:ascii="Calibri" w:hAnsi="Calibri" w:cs="Calibri"/>
          <w:color w:val="162937"/>
          <w:kern w:val="0"/>
          <w:sz w:val="24"/>
          <w:szCs w:val="24"/>
        </w:rPr>
      </w:pPr>
      <w:r w:rsidRPr="00FE06AF">
        <w:rPr>
          <w:rFonts w:ascii="Calibri" w:hAnsi="Calibri" w:cs="Calibri"/>
          <w:color w:val="162937"/>
          <w:kern w:val="0"/>
          <w:sz w:val="24"/>
          <w:szCs w:val="24"/>
        </w:rPr>
        <w:t>Instrução Previc nº 33, de 23 de outubro de 2018</w:t>
      </w:r>
    </w:p>
    <w:p w14:paraId="6A4DCF13" w14:textId="77777777" w:rsidR="00FE06AF" w:rsidRPr="00FE06AF" w:rsidRDefault="00FE06AF" w:rsidP="00FE06AF">
      <w:pPr>
        <w:autoSpaceDE w:val="0"/>
        <w:autoSpaceDN w:val="0"/>
        <w:adjustRightInd w:val="0"/>
        <w:spacing w:after="0" w:line="240" w:lineRule="auto"/>
        <w:jc w:val="both"/>
        <w:rPr>
          <w:rFonts w:ascii="Calibri" w:hAnsi="Calibri" w:cs="Calibri"/>
          <w:color w:val="162937"/>
          <w:kern w:val="0"/>
          <w:sz w:val="24"/>
          <w:szCs w:val="24"/>
        </w:rPr>
      </w:pPr>
      <w:r w:rsidRPr="00FE06AF">
        <w:rPr>
          <w:rFonts w:ascii="Calibri" w:hAnsi="Calibri" w:cs="Calibri"/>
          <w:color w:val="162937"/>
          <w:kern w:val="0"/>
          <w:sz w:val="24"/>
          <w:szCs w:val="24"/>
        </w:rPr>
        <w:t>Instrução Previc nº 43, de 14 de outubro de 2021 (Alterou a Instrução Previc nº 33, de 2018)</w:t>
      </w:r>
    </w:p>
    <w:p w14:paraId="460DF840" w14:textId="77777777" w:rsidR="00FE06AF" w:rsidRPr="00FE06AF" w:rsidRDefault="00FE06AF" w:rsidP="00FE06AF">
      <w:pPr>
        <w:spacing w:after="0" w:line="240" w:lineRule="auto"/>
        <w:jc w:val="both"/>
        <w:rPr>
          <w:rFonts w:ascii="Calibri" w:eastAsia="Times New Roman" w:hAnsi="Calibri" w:cs="Calibri"/>
          <w:color w:val="162937"/>
          <w:kern w:val="0"/>
          <w:sz w:val="24"/>
          <w:szCs w:val="24"/>
          <w:lang w:eastAsia="pt-BR"/>
          <w14:ligatures w14:val="none"/>
        </w:rPr>
      </w:pPr>
      <w:r w:rsidRPr="00FE06AF">
        <w:rPr>
          <w:rFonts w:ascii="Calibri" w:eastAsia="Times New Roman" w:hAnsi="Calibri" w:cs="Calibri"/>
          <w:color w:val="162937"/>
          <w:kern w:val="0"/>
          <w:sz w:val="24"/>
          <w:szCs w:val="24"/>
          <w:lang w:eastAsia="pt-BR"/>
          <w14:ligatures w14:val="none"/>
        </w:rPr>
        <w:t>Resolução Previc nº 7, de 23 de março de 2022</w:t>
      </w:r>
    </w:p>
    <w:p w14:paraId="20F97BC1" w14:textId="77777777" w:rsidR="00FE06AF" w:rsidRPr="00FE06AF" w:rsidRDefault="00FE06AF" w:rsidP="00FE06AF">
      <w:pPr>
        <w:spacing w:after="0" w:line="240" w:lineRule="auto"/>
        <w:jc w:val="both"/>
        <w:rPr>
          <w:rFonts w:ascii="Calibri" w:eastAsia="Times New Roman" w:hAnsi="Calibri" w:cs="Calibri"/>
          <w:color w:val="162937"/>
          <w:kern w:val="0"/>
          <w:sz w:val="24"/>
          <w:szCs w:val="24"/>
          <w:lang w:eastAsia="pt-BR"/>
          <w14:ligatures w14:val="none"/>
        </w:rPr>
      </w:pPr>
      <w:r w:rsidRPr="00FE06AF">
        <w:rPr>
          <w:rFonts w:ascii="Calibri" w:eastAsia="Times New Roman" w:hAnsi="Calibri" w:cs="Calibri"/>
          <w:color w:val="162937"/>
          <w:kern w:val="0"/>
          <w:sz w:val="24"/>
          <w:szCs w:val="24"/>
          <w:lang w:eastAsia="pt-BR"/>
          <w14:ligatures w14:val="none"/>
        </w:rPr>
        <w:t>Resolução Previc nº 8, de 23 de março de 2022</w:t>
      </w:r>
    </w:p>
    <w:p w14:paraId="54E77846" w14:textId="77777777" w:rsidR="00FE06AF" w:rsidRPr="00802AD9" w:rsidRDefault="00FE06AF" w:rsidP="00CD2E5B">
      <w:pPr>
        <w:spacing w:after="120" w:line="240" w:lineRule="auto"/>
        <w:rPr>
          <w:rFonts w:ascii="Calibri" w:eastAsia="Times New Roman" w:hAnsi="Calibri" w:cs="Calibri"/>
          <w:b/>
          <w:bCs/>
          <w:kern w:val="0"/>
          <w:sz w:val="24"/>
          <w:szCs w:val="24"/>
          <w:lang w:eastAsia="pt-BR"/>
          <w14:ligatures w14:val="none"/>
        </w:rPr>
      </w:pPr>
    </w:p>
    <w:p w14:paraId="5FD466FB" w14:textId="77777777" w:rsidR="000D3B39" w:rsidRPr="00802AD9" w:rsidRDefault="000D3B39" w:rsidP="000D3B39">
      <w:pPr>
        <w:spacing w:after="120" w:line="240" w:lineRule="auto"/>
        <w:jc w:val="center"/>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CAPÍTULO I</w:t>
      </w:r>
    </w:p>
    <w:p w14:paraId="727F99A0" w14:textId="77777777" w:rsidR="000D3B39" w:rsidRPr="00802AD9" w:rsidRDefault="000D3B39" w:rsidP="000D3B39">
      <w:pPr>
        <w:spacing w:after="120" w:line="240" w:lineRule="auto"/>
        <w:jc w:val="center"/>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PROCEDIMENTOS E PARÂMETROS ATUARIAIS</w:t>
      </w:r>
    </w:p>
    <w:p w14:paraId="2435854A"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Seção I</w:t>
      </w:r>
    </w:p>
    <w:p w14:paraId="34472C98"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Conceitos e Definições</w:t>
      </w:r>
    </w:p>
    <w:p w14:paraId="29868C5A"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1º  Para fins deste Capítulo:</w:t>
      </w:r>
    </w:p>
    <w:p w14:paraId="29C316F6" w14:textId="211C992A"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 - Demonstrações Atuariais (DA) é o documento elaborado por atuário responsável pelo plano de benefícios, contendo todas as informações exigidas pelo órgão de fiscalização e controle das entidades fechadas de previdência complementar</w:t>
      </w:r>
      <w:r w:rsidR="00E91E19">
        <w:rPr>
          <w:rFonts w:ascii="Calibri" w:eastAsia="Times New Roman" w:hAnsi="Calibri" w:cs="Calibri"/>
          <w:color w:val="000000"/>
          <w:kern w:val="0"/>
          <w:sz w:val="24"/>
          <w:szCs w:val="24"/>
          <w:lang w:eastAsia="pt-BR"/>
          <w14:ligatures w14:val="none"/>
        </w:rPr>
        <w:t xml:space="preserve"> (EFPC)</w:t>
      </w:r>
      <w:r w:rsidRPr="000D3B39">
        <w:rPr>
          <w:rFonts w:ascii="Calibri" w:eastAsia="Times New Roman" w:hAnsi="Calibri" w:cs="Calibri"/>
          <w:color w:val="000000"/>
          <w:kern w:val="0"/>
          <w:sz w:val="24"/>
          <w:szCs w:val="24"/>
          <w:lang w:eastAsia="pt-BR"/>
          <w14:ligatures w14:val="none"/>
        </w:rPr>
        <w:t xml:space="preserve"> relativamente ao plano de benefícios e à avaliação atuarial a que se refere.</w:t>
      </w:r>
    </w:p>
    <w:p w14:paraId="3C54B309" w14:textId="16698312"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lastRenderedPageBreak/>
        <w:t xml:space="preserve">II - Grupo de custeio corresponde </w:t>
      </w:r>
      <w:r w:rsidR="00E91E19">
        <w:rPr>
          <w:rFonts w:ascii="Calibri" w:eastAsia="Times New Roman" w:hAnsi="Calibri" w:cs="Calibri"/>
          <w:color w:val="000000"/>
          <w:kern w:val="0"/>
          <w:sz w:val="24"/>
          <w:szCs w:val="24"/>
          <w:lang w:eastAsia="pt-BR"/>
          <w14:ligatures w14:val="none"/>
        </w:rPr>
        <w:t xml:space="preserve">a </w:t>
      </w:r>
      <w:r w:rsidRPr="000D3B39">
        <w:rPr>
          <w:rFonts w:ascii="Calibri" w:eastAsia="Times New Roman" w:hAnsi="Calibri" w:cs="Calibri"/>
          <w:color w:val="000000"/>
          <w:kern w:val="0"/>
          <w:sz w:val="24"/>
          <w:szCs w:val="24"/>
          <w:lang w:eastAsia="pt-BR"/>
          <w14:ligatures w14:val="none"/>
        </w:rPr>
        <w:t>qualquer grupo de participantes tratado, em decorrência das regras do plano de benefícios, mediante a utilização de plano de custeio específico.</w:t>
      </w:r>
    </w:p>
    <w:p w14:paraId="186527AE"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III - Nota técnica atuarial (NTA) consiste em documento técnico elaborado por atuário devidamente habilitado, em observância à modelagem do plano de benefícios.</w:t>
      </w:r>
    </w:p>
    <w:p w14:paraId="7BAFF5A8"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IV - Considera-se fato relevante:</w:t>
      </w:r>
    </w:p>
    <w:p w14:paraId="287017C2"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 a alteração do regulamento com impacto no custo, no custeio ou no resultado do plano de benefícios;</w:t>
      </w:r>
    </w:p>
    <w:p w14:paraId="6F4C2C57"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b) a cisão, fusão ou incorporação de planos de benefícios;</w:t>
      </w:r>
    </w:p>
    <w:p w14:paraId="584DEEA7"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c) a migração de participantes ou assistidos entre planos de benefícios;</w:t>
      </w:r>
    </w:p>
    <w:p w14:paraId="40C96FFC"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xml:space="preserve">d) o </w:t>
      </w:r>
      <w:proofErr w:type="spellStart"/>
      <w:r w:rsidRPr="000D3B39">
        <w:rPr>
          <w:rFonts w:ascii="Calibri" w:eastAsia="Times New Roman" w:hAnsi="Calibri" w:cs="Calibri"/>
          <w:color w:val="000000"/>
          <w:kern w:val="0"/>
          <w:sz w:val="24"/>
          <w:szCs w:val="24"/>
          <w:lang w:eastAsia="pt-BR"/>
          <w14:ligatures w14:val="none"/>
        </w:rPr>
        <w:t>saldamento</w:t>
      </w:r>
      <w:proofErr w:type="spellEnd"/>
      <w:r w:rsidRPr="000D3B39">
        <w:rPr>
          <w:rFonts w:ascii="Calibri" w:eastAsia="Times New Roman" w:hAnsi="Calibri" w:cs="Calibri"/>
          <w:color w:val="000000"/>
          <w:kern w:val="0"/>
          <w:sz w:val="24"/>
          <w:szCs w:val="24"/>
          <w:lang w:eastAsia="pt-BR"/>
          <w14:ligatures w14:val="none"/>
        </w:rPr>
        <w:t xml:space="preserve"> de plano de benefícios;</w:t>
      </w:r>
    </w:p>
    <w:p w14:paraId="0AD9DEEE"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e)  a retirada parcial de patrocínio; ou</w:t>
      </w:r>
    </w:p>
    <w:p w14:paraId="634A15C5"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f) outros eventos supervenientes com impacto significativo no custo, no custeio ou no resultado do plano de benefícios que necessitem de imediata resposta da EFPC, devidamente fundamentados.</w:t>
      </w:r>
    </w:p>
    <w:p w14:paraId="2C320115" w14:textId="67FB5B9A"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xml:space="preserve">V - Duração do passivo corresponde à média dos prazos dos fluxos de pagamentos de benefícios de cada plano, líquidos de contribuições normais e extraordinárias incidentes sobre esses benefícios, ponderada pelos valores presentes desses fluxos, conforme a fórmula constante do Anexo </w:t>
      </w:r>
      <w:r w:rsidR="00E91E19">
        <w:rPr>
          <w:rFonts w:ascii="Calibri" w:eastAsia="Times New Roman" w:hAnsi="Calibri" w:cs="Calibri"/>
          <w:color w:val="000000"/>
          <w:kern w:val="0"/>
          <w:sz w:val="24"/>
          <w:szCs w:val="24"/>
          <w:lang w:eastAsia="pt-BR"/>
          <w14:ligatures w14:val="none"/>
        </w:rPr>
        <w:t>(número do anexo)</w:t>
      </w:r>
      <w:r w:rsidRPr="000D3B39">
        <w:rPr>
          <w:rFonts w:ascii="Calibri" w:eastAsia="Times New Roman" w:hAnsi="Calibri" w:cs="Calibri"/>
          <w:color w:val="000000"/>
          <w:kern w:val="0"/>
          <w:sz w:val="24"/>
          <w:szCs w:val="24"/>
          <w:lang w:eastAsia="pt-BR"/>
          <w14:ligatures w14:val="none"/>
        </w:rPr>
        <w:t>.</w:t>
      </w:r>
    </w:p>
    <w:p w14:paraId="1560464B"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VI - Contrato de seguro é o instrumento firmado entre a EFPC e a sociedade seguradora com a finalidade exclusiva de disciplinar a contratação de seguro para cobertura de riscos de plano de benefícios.</w:t>
      </w:r>
    </w:p>
    <w:p w14:paraId="29755F8C"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VII - Indenização é o pagamento efetuado por sociedade seguradora à EFPC referente às coberturas contratadas.</w:t>
      </w:r>
    </w:p>
    <w:p w14:paraId="16DF4F76"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VIII - Prêmio: é a importância paga pela EFPC à sociedade seguradora, na forma prevista em contrato.</w:t>
      </w:r>
    </w:p>
    <w:p w14:paraId="0FF80DEE"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IX - Saldo de conta total: é o valor correspondente à totalidade dos recursos alocados em nome do participante ou assistido com o objetivo de pagamento de benefícios, na forma prevista em regulamento do plano de benefícios.</w:t>
      </w:r>
    </w:p>
    <w:p w14:paraId="3A3B0F72"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X - Segurado: é o participante, o assistido ou a EFPC, conforme o caso.</w:t>
      </w:r>
    </w:p>
    <w:p w14:paraId="06CC53CC"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XI - Cobertura parcial de risco: é a cobertura contratada em valor parcial do benefício previsto em regulamento do plano de benefícios ou do fluxo de pagamento estimado.</w:t>
      </w:r>
    </w:p>
    <w:p w14:paraId="67B7623E"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XII - Cobertura total de risco: é a cobertura contratada correspondente à totalidade do valor do benefício previsto em regulamento do plano de benefícios ou do fluxo de pagamento estimado.</w:t>
      </w:r>
    </w:p>
    <w:p w14:paraId="0140DA04"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XIII - Cobertura adicional de risco: é a cobertura oferecida aos participantes em planos cujos benefícios decorrentes de invalidez e morte sejam estruturados unicamente com base em saldos de contas.</w:t>
      </w:r>
    </w:p>
    <w:p w14:paraId="2FF877BD"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Seção II</w:t>
      </w:r>
    </w:p>
    <w:p w14:paraId="6A164E8C"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Parâmetros e procedimentos Atuariais</w:t>
      </w:r>
    </w:p>
    <w:p w14:paraId="74D041BC"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Subseção I</w:t>
      </w:r>
    </w:p>
    <w:p w14:paraId="7476CEF7"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Apuração do Resultado</w:t>
      </w:r>
    </w:p>
    <w:p w14:paraId="0CEEDBBC"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2º  O resultado do plano de benefícios a ser registrado no balanço patrimonial deve ser apurado mediante avaliação atuarial posicionada no encerramento de cada exercício.</w:t>
      </w:r>
    </w:p>
    <w:p w14:paraId="42707478"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Parágrafo único.  A ocorrência de fato relevante enseja nova avaliação atuarial, a ser realizada com base na posição de fim do mês da data de efetivação do fato relevante.</w:t>
      </w:r>
    </w:p>
    <w:p w14:paraId="6F30E9C5"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Subseção II</w:t>
      </w:r>
    </w:p>
    <w:p w14:paraId="42852406"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Duração do Passivo</w:t>
      </w:r>
    </w:p>
    <w:p w14:paraId="08C3E4F5"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lastRenderedPageBreak/>
        <w:t>Art. 3º  Os fluxos de pagamentos de benefícios de cada plano devem considerar os benefícios a conceder e concedidos que tenham seu valor ou nível previamente estabelecido e cujo custeio seja determinado atuarialmente, bem como os benefícios concedidos que adquiriram característica de benefício definido na fase de concessão, de forma a assegurar sua concessão e manutenção.</w:t>
      </w:r>
    </w:p>
    <w:p w14:paraId="5E333842"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4º  Para fins de cálculo do Limite de Reserva de Contingência, do Limite de Déficit Técnico Acumulado e do prazo para amortização do valor a ser equacionado, a duração do passivo deve ser apurada em anos no sistema de Duração do Passivo e Ajuste de Precificação (DPAP) e calculada:</w:t>
      </w:r>
    </w:p>
    <w:p w14:paraId="6E023116"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 - para avaliações atuariais de final de exercício ao final do exercício de referência; ou</w:t>
      </w:r>
    </w:p>
    <w:p w14:paraId="65221585"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 - para avaliações atuariais por fato relevante ao final do mês da data de efetivação do fato relevante.</w:t>
      </w:r>
    </w:p>
    <w:p w14:paraId="67A08B52"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xml:space="preserve">Parágrafo único.  Caso ocorra equacionamento de déficit no próprio encerramento do exercício de apuração do resultado deficitário, a duração do passivo para fins de atendimento ao disposto no </w:t>
      </w:r>
      <w:r w:rsidRPr="000D3B39">
        <w:rPr>
          <w:rFonts w:ascii="Calibri" w:eastAsia="Times New Roman" w:hAnsi="Calibri" w:cs="Calibri"/>
          <w:b/>
          <w:bCs/>
          <w:color w:val="000000"/>
          <w:kern w:val="0"/>
          <w:sz w:val="24"/>
          <w:szCs w:val="24"/>
          <w:lang w:eastAsia="pt-BR"/>
          <w14:ligatures w14:val="none"/>
        </w:rPr>
        <w:t>caput</w:t>
      </w:r>
      <w:r w:rsidRPr="000D3B39">
        <w:rPr>
          <w:rFonts w:ascii="Calibri" w:eastAsia="Times New Roman" w:hAnsi="Calibri" w:cs="Calibri"/>
          <w:color w:val="000000"/>
          <w:kern w:val="0"/>
          <w:sz w:val="24"/>
          <w:szCs w:val="24"/>
          <w:lang w:eastAsia="pt-BR"/>
          <w14:ligatures w14:val="none"/>
        </w:rPr>
        <w:t xml:space="preserve"> deve ser a calculada previamente ao lançamento do correspondente fluxo de contribuições extraordinárias futuras.</w:t>
      </w:r>
    </w:p>
    <w:p w14:paraId="150DBA3C"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Subseção III</w:t>
      </w:r>
    </w:p>
    <w:p w14:paraId="4AAE436C"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Taxa de Juros Parâmetro</w:t>
      </w:r>
    </w:p>
    <w:p w14:paraId="1A5D65D8"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5</w:t>
      </w:r>
      <w:proofErr w:type="gramStart"/>
      <w:r w:rsidRPr="000D3B39">
        <w:rPr>
          <w:rFonts w:ascii="Calibri" w:eastAsia="Times New Roman" w:hAnsi="Calibri" w:cs="Calibri"/>
          <w:color w:val="000000"/>
          <w:kern w:val="0"/>
          <w:sz w:val="24"/>
          <w:szCs w:val="24"/>
          <w:lang w:eastAsia="pt-BR"/>
          <w14:ligatures w14:val="none"/>
        </w:rPr>
        <w:t>º  A</w:t>
      </w:r>
      <w:proofErr w:type="gramEnd"/>
      <w:r w:rsidRPr="000D3B39">
        <w:rPr>
          <w:rFonts w:ascii="Calibri" w:eastAsia="Times New Roman" w:hAnsi="Calibri" w:cs="Calibri"/>
          <w:color w:val="000000"/>
          <w:kern w:val="0"/>
          <w:sz w:val="24"/>
          <w:szCs w:val="24"/>
          <w:lang w:eastAsia="pt-BR"/>
          <w14:ligatures w14:val="none"/>
        </w:rPr>
        <w:t xml:space="preserve"> taxa de juros parâmetro corresponde àquela cujo ponto da Estrutura a Termo de Taxa de Juros Média (ETTJ) seja o mais próximo à duração do passivo do respectivo plano de benefícios.</w:t>
      </w:r>
    </w:p>
    <w:p w14:paraId="0C18E09F"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xml:space="preserve">§ 1º  A duração do passivo para encontrar a taxa de juros referida no </w:t>
      </w:r>
      <w:r w:rsidRPr="000D3B39">
        <w:rPr>
          <w:rFonts w:ascii="Calibri" w:eastAsia="Times New Roman" w:hAnsi="Calibri" w:cs="Calibri"/>
          <w:b/>
          <w:bCs/>
          <w:color w:val="000000"/>
          <w:kern w:val="0"/>
          <w:sz w:val="24"/>
          <w:szCs w:val="24"/>
          <w:lang w:eastAsia="pt-BR"/>
          <w14:ligatures w14:val="none"/>
        </w:rPr>
        <w:t>caput</w:t>
      </w:r>
      <w:r w:rsidRPr="000D3B39">
        <w:rPr>
          <w:rFonts w:ascii="Calibri" w:eastAsia="Times New Roman" w:hAnsi="Calibri" w:cs="Calibri"/>
          <w:color w:val="000000"/>
          <w:kern w:val="0"/>
          <w:sz w:val="24"/>
          <w:szCs w:val="24"/>
          <w:lang w:eastAsia="pt-BR"/>
          <w14:ligatures w14:val="none"/>
        </w:rPr>
        <w:t xml:space="preserve"> é aquela calculada considerando o fluxo projetado na avaliação de encerramento do exercício anterior ao de referência.</w:t>
      </w:r>
    </w:p>
    <w:p w14:paraId="316DDC60"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2º  Na ocorrência de fato relevante que enseje a elaboração de nova avaliação atuarial, deve ser considerado o fluxo projetado que reflita a nova realidade do plano de benefícios.</w:t>
      </w:r>
    </w:p>
    <w:p w14:paraId="5EAC1395"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3º  Os pontos das ETTJ devem ser apurados com data-base do primeiro dia útil de abril.</w:t>
      </w:r>
    </w:p>
    <w:p w14:paraId="0A782AA0"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4º  Os pontos das ETTJ e correspondentes taxas de juros parâmetro, bem como os limites inferior e superior, devem ser divulgados anualmente pela Previc até 30 de abril de cada exercício.</w:t>
      </w:r>
    </w:p>
    <w:p w14:paraId="3F07FA64" w14:textId="07D129AB"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6</w:t>
      </w:r>
      <w:proofErr w:type="gramStart"/>
      <w:r w:rsidRPr="000D3B39">
        <w:rPr>
          <w:rFonts w:ascii="Calibri" w:eastAsia="Times New Roman" w:hAnsi="Calibri" w:cs="Calibri"/>
          <w:color w:val="000000"/>
          <w:kern w:val="0"/>
          <w:sz w:val="24"/>
          <w:szCs w:val="24"/>
          <w:lang w:eastAsia="pt-BR"/>
          <w14:ligatures w14:val="none"/>
        </w:rPr>
        <w:t>º  O</w:t>
      </w:r>
      <w:proofErr w:type="gramEnd"/>
      <w:r w:rsidRPr="000D3B39">
        <w:rPr>
          <w:rFonts w:ascii="Calibri" w:eastAsia="Times New Roman" w:hAnsi="Calibri" w:cs="Calibri"/>
          <w:color w:val="000000"/>
          <w:kern w:val="0"/>
          <w:sz w:val="24"/>
          <w:szCs w:val="24"/>
          <w:lang w:eastAsia="pt-BR"/>
          <w14:ligatures w14:val="none"/>
        </w:rPr>
        <w:t xml:space="preserve"> cálculo da taxa de juros parâmetro deve considerar a duração do passivo com uma casa decimal, conforme definido no Anexo </w:t>
      </w:r>
      <w:r w:rsidR="00AD3D7C">
        <w:rPr>
          <w:rFonts w:ascii="Calibri" w:eastAsia="Times New Roman" w:hAnsi="Calibri" w:cs="Calibri"/>
          <w:color w:val="000000"/>
          <w:kern w:val="0"/>
          <w:sz w:val="24"/>
          <w:szCs w:val="24"/>
          <w:lang w:eastAsia="pt-BR"/>
          <w14:ligatures w14:val="none"/>
        </w:rPr>
        <w:t>(número do anexo)</w:t>
      </w:r>
      <w:r w:rsidRPr="000D3B39">
        <w:rPr>
          <w:rFonts w:ascii="Calibri" w:eastAsia="Times New Roman" w:hAnsi="Calibri" w:cs="Calibri"/>
          <w:color w:val="000000"/>
          <w:kern w:val="0"/>
          <w:sz w:val="24"/>
          <w:szCs w:val="24"/>
          <w:lang w:eastAsia="pt-BR"/>
          <w14:ligatures w14:val="none"/>
        </w:rPr>
        <w:t>.</w:t>
      </w:r>
    </w:p>
    <w:p w14:paraId="301DA5FF"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7º  Independentemente da modalidade, quando o plano apresentar benefícios com características de benefício definido, a duração do passivo deve ser considerada para efeito de definição da taxa de juros parâmetro.</w:t>
      </w:r>
    </w:p>
    <w:p w14:paraId="7C75EF0A"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1º  O plano de benefícios que apresente benefício com características de contribuição definida e utilize taxa real anual de juros em seu cálculo, deve adotar a taxa de juros dentro do intervalo regulatório estabelecido, considerando a duração de dez anos.</w:t>
      </w:r>
    </w:p>
    <w:p w14:paraId="536056CE"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xml:space="preserve">§ 2º  Caso o plano de benefícios possua fundo previdencial que utilize em sua constituição e manutenção a hipótese de taxa real anual de juros, aplicam-se os critérios de definição para a taxa de juros parâmetro previstos </w:t>
      </w:r>
      <w:r w:rsidRPr="000D3B39">
        <w:rPr>
          <w:rFonts w:ascii="Calibri" w:eastAsia="Times New Roman" w:hAnsi="Calibri" w:cs="Calibri"/>
          <w:b/>
          <w:bCs/>
          <w:color w:val="000000"/>
          <w:kern w:val="0"/>
          <w:sz w:val="24"/>
          <w:szCs w:val="24"/>
          <w:lang w:eastAsia="pt-BR"/>
          <w14:ligatures w14:val="none"/>
        </w:rPr>
        <w:t>caput</w:t>
      </w:r>
      <w:r w:rsidRPr="000D3B39">
        <w:rPr>
          <w:rFonts w:ascii="Calibri" w:eastAsia="Times New Roman" w:hAnsi="Calibri" w:cs="Calibri"/>
          <w:color w:val="000000"/>
          <w:kern w:val="0"/>
          <w:sz w:val="24"/>
          <w:szCs w:val="24"/>
          <w:lang w:eastAsia="pt-BR"/>
          <w14:ligatures w14:val="none"/>
        </w:rPr>
        <w:t>, conforme evento ou risco ao qual esteja associado.</w:t>
      </w:r>
    </w:p>
    <w:p w14:paraId="31EF0690"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8º  No caso de inviabilidade técnica para apuração da duração do passivo, o plano de benefícios deve aplicar a ETTJ considerando a duração de dez anos para efeito de definição da taxa de juros parâmetro.</w:t>
      </w:r>
    </w:p>
    <w:p w14:paraId="39DB811A" w14:textId="7C1C0492"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Parágrafo único.  Cabe ao atuário responsável pelo plano de benefícios a manifestação</w:t>
      </w:r>
      <w:r w:rsidR="00BD1D3E">
        <w:rPr>
          <w:rFonts w:ascii="Calibri" w:eastAsia="Times New Roman" w:hAnsi="Calibri" w:cs="Calibri"/>
          <w:color w:val="000000"/>
          <w:kern w:val="0"/>
          <w:sz w:val="24"/>
          <w:szCs w:val="24"/>
          <w:lang w:eastAsia="pt-BR"/>
          <w14:ligatures w14:val="none"/>
        </w:rPr>
        <w:t xml:space="preserve"> </w:t>
      </w:r>
      <w:r w:rsidR="00BD1D3E" w:rsidRPr="000D3B39">
        <w:rPr>
          <w:rFonts w:ascii="Calibri" w:eastAsia="Times New Roman" w:hAnsi="Calibri" w:cs="Calibri"/>
          <w:color w:val="000000"/>
          <w:kern w:val="0"/>
          <w:sz w:val="24"/>
          <w:szCs w:val="24"/>
          <w:lang w:eastAsia="pt-BR"/>
          <w14:ligatures w14:val="none"/>
        </w:rPr>
        <w:t>nas DA</w:t>
      </w:r>
      <w:r w:rsidRPr="000D3B39">
        <w:rPr>
          <w:rFonts w:ascii="Calibri" w:eastAsia="Times New Roman" w:hAnsi="Calibri" w:cs="Calibri"/>
          <w:color w:val="000000"/>
          <w:kern w:val="0"/>
          <w:sz w:val="24"/>
          <w:szCs w:val="24"/>
          <w:lang w:eastAsia="pt-BR"/>
          <w14:ligatures w14:val="none"/>
        </w:rPr>
        <w:t xml:space="preserve"> sobre a inviabilidade técnica a que se refere o </w:t>
      </w:r>
      <w:r w:rsidRPr="000D3B39">
        <w:rPr>
          <w:rFonts w:ascii="Calibri" w:eastAsia="Times New Roman" w:hAnsi="Calibri" w:cs="Calibri"/>
          <w:b/>
          <w:bCs/>
          <w:color w:val="000000"/>
          <w:kern w:val="0"/>
          <w:sz w:val="24"/>
          <w:szCs w:val="24"/>
          <w:lang w:eastAsia="pt-BR"/>
          <w14:ligatures w14:val="none"/>
        </w:rPr>
        <w:t>caput</w:t>
      </w:r>
      <w:r w:rsidRPr="000D3B39">
        <w:rPr>
          <w:rFonts w:ascii="Calibri" w:eastAsia="Times New Roman" w:hAnsi="Calibri" w:cs="Calibri"/>
          <w:color w:val="000000"/>
          <w:kern w:val="0"/>
          <w:sz w:val="24"/>
          <w:szCs w:val="24"/>
          <w:lang w:eastAsia="pt-BR"/>
          <w14:ligatures w14:val="none"/>
        </w:rPr>
        <w:t>.</w:t>
      </w:r>
    </w:p>
    <w:p w14:paraId="34F4A487"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Subseção IV</w:t>
      </w:r>
    </w:p>
    <w:p w14:paraId="28589FF8"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Ajuste de Precificação</w:t>
      </w:r>
    </w:p>
    <w:p w14:paraId="6AFDA729"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lastRenderedPageBreak/>
        <w:t>Art. 9º  O ajuste de precificação é restrito aos títulos públicos federais atrelados a índices de preços mantidos em carteira própria ou em fundos de investimento exclusivos que atendam, cumulativamente, aos seguintes requisitos:</w:t>
      </w:r>
    </w:p>
    <w:p w14:paraId="2002C755"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 - estejam classificados na categoria títulos mantidos até o vencimento;</w:t>
      </w:r>
    </w:p>
    <w:p w14:paraId="25A5D009"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 - tenham por objetivo o pagamento dos benefícios a conceder e concedidos com valor ou nível previamente estabelecidos e cujo custeio seja determinado atuarialmente, de forma a assegurar sua concessão e manutenção, bem como dos benefícios concedidos que adquiriram característica de benefício definido na fase de concessão;</w:t>
      </w:r>
    </w:p>
    <w:p w14:paraId="652AC009"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III - o valor presente do fluxo dos títulos públicos federais objetos do ajuste, principal e juros, seja igual ou inferior ao valor presente do fluxo de pagamento de benefícios, apurados anualmente para todo o período do fluxo;</w:t>
      </w:r>
    </w:p>
    <w:p w14:paraId="34160026"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IV - a duração do fluxo dos títulos públicos federais objetos do ajuste seja inferior à duração do fluxo de pagamento de benefícios; e</w:t>
      </w:r>
    </w:p>
    <w:p w14:paraId="4B107457"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V - esteja demonstrada a capacidade financeira de atendimento às necessidades de liquidez do plano de benefícios.</w:t>
      </w:r>
    </w:p>
    <w:p w14:paraId="514C12D5"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xml:space="preserve">§ 1º  No cálculo do valor presente e da duração dos fluxos referidos nos incisos III e IV do </w:t>
      </w:r>
      <w:r w:rsidRPr="000D3B39">
        <w:rPr>
          <w:rFonts w:ascii="Calibri" w:eastAsia="Times New Roman" w:hAnsi="Calibri" w:cs="Calibri"/>
          <w:b/>
          <w:bCs/>
          <w:color w:val="000000"/>
          <w:kern w:val="0"/>
          <w:sz w:val="24"/>
          <w:szCs w:val="24"/>
          <w:lang w:eastAsia="pt-BR"/>
          <w14:ligatures w14:val="none"/>
        </w:rPr>
        <w:t>caput</w:t>
      </w:r>
      <w:r w:rsidRPr="000D3B39">
        <w:rPr>
          <w:rFonts w:ascii="Calibri" w:eastAsia="Times New Roman" w:hAnsi="Calibri" w:cs="Calibri"/>
          <w:color w:val="000000"/>
          <w:kern w:val="0"/>
          <w:sz w:val="24"/>
          <w:szCs w:val="24"/>
          <w:lang w:eastAsia="pt-BR"/>
          <w14:ligatures w14:val="none"/>
        </w:rPr>
        <w:t>, deve ser aplicada a taxa real anual de juros utilizada na avaliação atuarial de encerramento do exercício correspondente.</w:t>
      </w:r>
    </w:p>
    <w:p w14:paraId="6E7B5E6D"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xml:space="preserve">§ 2º  Os títulos utilizados para fins de ajuste não podem ser excluídos do cálculo dos exercícios subsequentes, exceto quando não atenderem aos requisitos constantes nos incisos I a IV do </w:t>
      </w:r>
      <w:r w:rsidRPr="000D3B39">
        <w:rPr>
          <w:rFonts w:ascii="Calibri" w:eastAsia="Times New Roman" w:hAnsi="Calibri" w:cs="Calibri"/>
          <w:b/>
          <w:bCs/>
          <w:color w:val="000000"/>
          <w:kern w:val="0"/>
          <w:sz w:val="24"/>
          <w:szCs w:val="24"/>
          <w:lang w:eastAsia="pt-BR"/>
          <w14:ligatures w14:val="none"/>
        </w:rPr>
        <w:t>caput</w:t>
      </w:r>
      <w:r w:rsidRPr="000D3B39">
        <w:rPr>
          <w:rFonts w:ascii="Calibri" w:eastAsia="Times New Roman" w:hAnsi="Calibri" w:cs="Calibri"/>
          <w:color w:val="000000"/>
          <w:kern w:val="0"/>
          <w:sz w:val="24"/>
          <w:szCs w:val="24"/>
          <w:lang w:eastAsia="pt-BR"/>
          <w14:ligatures w14:val="none"/>
        </w:rPr>
        <w:t>.</w:t>
      </w:r>
    </w:p>
    <w:p w14:paraId="0DE26EC4"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3º  São obrigatórias a apuração e a divulgação do ajuste de precificação para os títulos públicos federais em carteira própria ou em fundos de investimento exclusivos que se enquadrem nas condições constantes deste artigo, devendo constar das notas explicativas das demonstrações contábeis.</w:t>
      </w:r>
    </w:p>
    <w:p w14:paraId="42C00FB9"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10.  A EFPC deve considerar o ajuste de precificação de títulos no cálculo do equilíbrio técnico ajustado constante das informações complementares da Demonstração do Ativo Líquido (DAL), para fins de destinação de superávit ou equacionamento de déficit da seguinte forma:</w:t>
      </w:r>
    </w:p>
    <w:p w14:paraId="5D2800BA"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 - positivo ou negativo, no caso de equacionamento de déficit; ou</w:t>
      </w:r>
    </w:p>
    <w:p w14:paraId="62B0B536"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 - somente negativo, no caso de destinação de superávit.</w:t>
      </w:r>
    </w:p>
    <w:p w14:paraId="3024CA0F"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Parágrafo único.  A EFPC deve apurar novo valor de ajuste de precificação na ocorrência de fato relevante, destinação de superávit ou equacionamento de déficit em data diferente da data de encerramento de exercício.</w:t>
      </w:r>
    </w:p>
    <w:p w14:paraId="0E687B71"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xml:space="preserve">Art. 11.  Na ocorrência de ajuste de precificação, o atuário responsável pelo plano de benefícios deve: </w:t>
      </w:r>
    </w:p>
    <w:p w14:paraId="5954574B"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 registrar o ajuste de precificação no parecer atuarial constante nas DA;</w:t>
      </w:r>
    </w:p>
    <w:p w14:paraId="13A5CFC2"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b) emitir manifestação acerca dos impactos na solvência e no equilíbrio atuarial do plano ao longo do tempo; e</w:t>
      </w:r>
    </w:p>
    <w:p w14:paraId="5B201473"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c) evidenciar os requisitos necessários para registro de títulos na categoria mantidos até o vencimento, especialmente em relação à capacidade financeira de atendimento às necessidades de liquidez do plano de benefícios.</w:t>
      </w:r>
    </w:p>
    <w:p w14:paraId="78BD6AD9"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Seção III</w:t>
      </w:r>
    </w:p>
    <w:p w14:paraId="15B8F654"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Adequação das Hipóteses</w:t>
      </w:r>
    </w:p>
    <w:p w14:paraId="73CEB2C7"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Subseção I</w:t>
      </w:r>
    </w:p>
    <w:p w14:paraId="5BAD7A52"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Hipóteses Biométricas</w:t>
      </w:r>
    </w:p>
    <w:p w14:paraId="293A89B6"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lastRenderedPageBreak/>
        <w:t>Art. 12.  As tábuas biométricas utilizadas nas avaliações atuariais dos planos de benefícios devem ter sua aderência atestada por meio de estudo específico, elaborado em conformidade com a Seção VII do Capítulo I.</w:t>
      </w:r>
    </w:p>
    <w:p w14:paraId="45C1D080"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1º  As tábuas de mortalidade geral referenciais para o cálculo das provisões matemáticas dos planos de benefícios devem ser "AT-2000 Básica - M" para o sexo masculino e "AT-2000 Básica - F" para o sexo feminino.</w:t>
      </w:r>
    </w:p>
    <w:p w14:paraId="37689FFC"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2º  No caso de impossibilidade técnica de realização de testes de aderência, os planos de benefícios não podem adotar tábuas de mortalidade geral que gerem provisões matemáticas menores do que as tábuas referenciais mencionadas no §1º.</w:t>
      </w:r>
    </w:p>
    <w:p w14:paraId="43CE4616"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3º  No caso de planos de benefícios que comprovem aderência das tábuas de mortalidade geral nos termos definidos na Seção VII, do Capítulo I, de tábuas que gerem provisões matemáticas menores que aquelas geradas pelas tábuas referenciais, é necessário que o atuário responsável pelo plano emita parecer específico, acompanhado de manifestação de ciência e concordância do Administrador Responsável pelo Plano de Benefícios (ARPB), comprovando a aderência e a razoabilidade da adoção da hipótese.</w:t>
      </w:r>
    </w:p>
    <w:p w14:paraId="165921FC"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Subseção II</w:t>
      </w:r>
    </w:p>
    <w:p w14:paraId="74797E5C"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Taxa Real Anual de Juros</w:t>
      </w:r>
    </w:p>
    <w:p w14:paraId="73F18A00"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13.  A taxa real anual de juros a ser utilizada como taxa de desconto para apuração do valor presente dos fluxos de benefícios e contribuições do plano de benefícios deve ser:</w:t>
      </w:r>
    </w:p>
    <w:p w14:paraId="14482880"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 - divulgada anualmente aos participantes, aos patrocinadores e instituidores; e</w:t>
      </w:r>
    </w:p>
    <w:p w14:paraId="2F466BC6"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 - utilizada para a transformação de saldo de conta em benefícios, se previsto no regulamento do plano de benefícios de caráter previdenciário.</w:t>
      </w:r>
    </w:p>
    <w:p w14:paraId="3BA16A64"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Subseção III</w:t>
      </w:r>
    </w:p>
    <w:p w14:paraId="3A7B418A" w14:textId="0904C90D"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Responsabilidade, Vedações e Divulgação</w:t>
      </w:r>
    </w:p>
    <w:p w14:paraId="258E225A"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14.  A proposição e a validação das hipóteses adotadas na avaliação atuarial do plano de benefícios é responsabilidade do atuário do plano, sem prejuízo das responsabilidades dos demais profissionais e de membros estatutários da EFPC.</w:t>
      </w:r>
    </w:p>
    <w:p w14:paraId="58C89AA7"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xml:space="preserve">Parágrafo único.  A responsabilidade pela proposição ou validação das hipóteses de que trata o </w:t>
      </w:r>
      <w:r w:rsidRPr="000D3B39">
        <w:rPr>
          <w:rFonts w:ascii="Calibri" w:eastAsia="Times New Roman" w:hAnsi="Calibri" w:cs="Calibri"/>
          <w:b/>
          <w:bCs/>
          <w:color w:val="000000"/>
          <w:kern w:val="0"/>
          <w:sz w:val="24"/>
          <w:szCs w:val="24"/>
          <w:lang w:eastAsia="pt-BR"/>
          <w14:ligatures w14:val="none"/>
        </w:rPr>
        <w:t>caput</w:t>
      </w:r>
      <w:r w:rsidRPr="000D3B39">
        <w:rPr>
          <w:rFonts w:ascii="Calibri" w:eastAsia="Times New Roman" w:hAnsi="Calibri" w:cs="Calibri"/>
          <w:color w:val="000000"/>
          <w:kern w:val="0"/>
          <w:sz w:val="24"/>
          <w:szCs w:val="24"/>
          <w:lang w:eastAsia="pt-BR"/>
          <w14:ligatures w14:val="none"/>
        </w:rPr>
        <w:t xml:space="preserve"> também alcança as pessoas jurídicas das quais façam parte os profissionais indicados como sócios, empregados ou prestadores de serviço.</w:t>
      </w:r>
    </w:p>
    <w:p w14:paraId="22E1EF35"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15.  As EFPC não podem adotar taxas negativas para as projeções de crescimento real de salários ou crescimento real dos benefícios do plano, bem como o agravamento ou desagravamento em outras hipóteses cuja combinação resulte em taxa real anual de juros fora dos limites regulatórios.</w:t>
      </w:r>
    </w:p>
    <w:p w14:paraId="50A2855E"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Seção IV</w:t>
      </w:r>
    </w:p>
    <w:p w14:paraId="05E33B12" w14:textId="1639704E"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Custeio e utilização do equilíbrio técnico ajustado</w:t>
      </w:r>
    </w:p>
    <w:p w14:paraId="795DE5CC"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Subseção I</w:t>
      </w:r>
    </w:p>
    <w:p w14:paraId="2245AF28"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Custeio do Plano</w:t>
      </w:r>
    </w:p>
    <w:p w14:paraId="665D68AC"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16.  O atendimento às exigências relativas ao custeio do plano de benefícios deve observar o disposto no regulamento do plano, com o devido reflexo na nota técnica atuarial e no plano de custeio estabelecido para o exercício em que está sendo apurado o resultado.</w:t>
      </w:r>
    </w:p>
    <w:p w14:paraId="288571D7"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xml:space="preserve">§ 1º  Ao estabelecer o plano de custeio para o ano subsequente, o atuário responsável deve utilizar critérios que preservem o equilíbrio financeiro e atuarial do plano de benefícios, considerando o método </w:t>
      </w:r>
      <w:r w:rsidRPr="000D3B39">
        <w:rPr>
          <w:rFonts w:ascii="Calibri" w:eastAsia="Times New Roman" w:hAnsi="Calibri" w:cs="Calibri"/>
          <w:color w:val="000000"/>
          <w:kern w:val="0"/>
          <w:sz w:val="24"/>
          <w:szCs w:val="24"/>
          <w:lang w:eastAsia="pt-BR"/>
          <w14:ligatures w14:val="none"/>
        </w:rPr>
        <w:lastRenderedPageBreak/>
        <w:t>de financiamento adotado, de modo a não caracterizar utilização de resultado acumulado no exercício anterior e contabilizado como reserva de contingência, nem utilização de resultado do exercício em desacordo com as definições regulatórias.</w:t>
      </w:r>
    </w:p>
    <w:p w14:paraId="226D1967" w14:textId="41E827BA"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xml:space="preserve">§ 2º </w:t>
      </w:r>
      <w:r w:rsidR="004B0FDF">
        <w:rPr>
          <w:rFonts w:ascii="Calibri" w:eastAsia="Times New Roman" w:hAnsi="Calibri" w:cs="Calibri"/>
          <w:color w:val="000000"/>
          <w:kern w:val="0"/>
          <w:sz w:val="24"/>
          <w:szCs w:val="24"/>
          <w:lang w:eastAsia="pt-BR"/>
          <w14:ligatures w14:val="none"/>
        </w:rPr>
        <w:t xml:space="preserve"> </w:t>
      </w:r>
      <w:r w:rsidRPr="000D3B39">
        <w:rPr>
          <w:rFonts w:ascii="Calibri" w:eastAsia="Times New Roman" w:hAnsi="Calibri" w:cs="Calibri"/>
          <w:color w:val="000000"/>
          <w:kern w:val="0"/>
          <w:sz w:val="24"/>
          <w:szCs w:val="24"/>
          <w:lang w:eastAsia="pt-BR"/>
          <w14:ligatures w14:val="none"/>
        </w:rPr>
        <w:t>A revisão do plano de custeio para redução ou suspensão de contribuições extraordinárias de participantes, assistidos ou patrocinador somente pode ser efetuada em função da apuração de equilíbrio técnico ajustado positivo para o plano de benefícios, no exercício de referência.</w:t>
      </w:r>
    </w:p>
    <w:p w14:paraId="4E744528"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3º  No caso de contribuições extraordinárias relativas a serviço passado, a possibilidade de sua revisão em função de valor do equilíbrio técnico ajustado positivo, na forma do § 2º deste artigo, deve estar prevista no regulamento do plano de benefícios.</w:t>
      </w:r>
    </w:p>
    <w:p w14:paraId="5D8DE6F9"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Subseção II</w:t>
      </w:r>
    </w:p>
    <w:p w14:paraId="27E2B753"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Revisão do Plano de Custeio</w:t>
      </w:r>
    </w:p>
    <w:p w14:paraId="3F9FAEF6"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17.  A utilização do equilíbrio técnico ajustado positivo para fins de revisão do plano de custeio em relação às contribuições extraordinárias, na forma prevista no art. 16, deve ser justificada em parecer do atuário responsável e aprovada pelas instâncias competentes da EFPC.</w:t>
      </w:r>
    </w:p>
    <w:p w14:paraId="6C07FBF7" w14:textId="772D99BD"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xml:space="preserve">§ 1º  A utilização referida no </w:t>
      </w:r>
      <w:r w:rsidRPr="000D3B39">
        <w:rPr>
          <w:rFonts w:ascii="Calibri" w:eastAsia="Times New Roman" w:hAnsi="Calibri" w:cs="Calibri"/>
          <w:b/>
          <w:bCs/>
          <w:color w:val="000000"/>
          <w:kern w:val="0"/>
          <w:sz w:val="24"/>
          <w:szCs w:val="24"/>
          <w:lang w:eastAsia="pt-BR"/>
          <w14:ligatures w14:val="none"/>
        </w:rPr>
        <w:t>caput</w:t>
      </w:r>
      <w:r w:rsidRPr="000D3B39">
        <w:rPr>
          <w:rFonts w:ascii="Calibri" w:eastAsia="Times New Roman" w:hAnsi="Calibri" w:cs="Calibri"/>
          <w:color w:val="000000"/>
          <w:kern w:val="0"/>
          <w:sz w:val="24"/>
          <w:szCs w:val="24"/>
          <w:lang w:eastAsia="pt-BR"/>
          <w14:ligatures w14:val="none"/>
        </w:rPr>
        <w:t xml:space="preserve"> deve ser precedida da segregação entre o montante atribuível aos participantes e assistidos, de um lado, e ao patrocinador, de outro, observada a proporção contributiva do período em que se deu a constituição do equilíbrio técnico ajustado positivo, ressalvado o disposto no § 2º do art. 29.</w:t>
      </w:r>
    </w:p>
    <w:p w14:paraId="095A2274"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2º  Em caso de vigência de dois ou mais planos de equacionamento em curso, a utilização do equilíbrio técnico ajustado positivo deve ser realizada de forma proporcional às respectivas provisões a constituir remanescentes.</w:t>
      </w:r>
    </w:p>
    <w:p w14:paraId="61E86905"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18.  Não são admitidos como fonte de recursos para o equacionamento de déficit resultados oriundos de alterações de hipóteses atuariais, de regimes financeiros ou de métodos de financiamento.</w:t>
      </w:r>
    </w:p>
    <w:p w14:paraId="2C11DD74"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Seção V</w:t>
      </w:r>
    </w:p>
    <w:p w14:paraId="44696F8D" w14:textId="77441505"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Revisão do Plano de Benefícios e Destinação da Reserva Especial</w:t>
      </w:r>
    </w:p>
    <w:p w14:paraId="1BE947D8"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Subseção I</w:t>
      </w:r>
    </w:p>
    <w:p w14:paraId="5F75F837" w14:textId="74360FAF"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Revisão obrigatóri</w:t>
      </w:r>
      <w:r w:rsidR="00855172">
        <w:rPr>
          <w:rFonts w:ascii="Calibri" w:eastAsia="Times New Roman" w:hAnsi="Calibri" w:cs="Calibri"/>
          <w:b/>
          <w:bCs/>
          <w:color w:val="000000"/>
          <w:kern w:val="0"/>
          <w:sz w:val="24"/>
          <w:szCs w:val="24"/>
          <w:lang w:eastAsia="pt-BR"/>
          <w14:ligatures w14:val="none"/>
        </w:rPr>
        <w:t>a</w:t>
      </w:r>
      <w:r w:rsidRPr="000D3B39">
        <w:rPr>
          <w:rFonts w:ascii="Calibri" w:eastAsia="Times New Roman" w:hAnsi="Calibri" w:cs="Calibri"/>
          <w:b/>
          <w:bCs/>
          <w:color w:val="000000"/>
          <w:kern w:val="0"/>
          <w:sz w:val="24"/>
          <w:szCs w:val="24"/>
          <w:lang w:eastAsia="pt-BR"/>
          <w14:ligatures w14:val="none"/>
        </w:rPr>
        <w:t xml:space="preserve"> do Plano de Benefícios</w:t>
      </w:r>
    </w:p>
    <w:p w14:paraId="4BC05283"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19.  O plano de benefícios deve ser revisado até o final do exercício subsequente do exercício social que registrar a terceira apuração consecutiva de reserva especial.</w:t>
      </w:r>
    </w:p>
    <w:p w14:paraId="2C2A4116"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Parágrafo único.  Na revisão obrigatória deve ser destinado, no mínimo, o valor integral da reserva especial registrado nos últimos três exercícios.</w:t>
      </w:r>
    </w:p>
    <w:p w14:paraId="6C0FA622"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Subseção II</w:t>
      </w:r>
    </w:p>
    <w:p w14:paraId="2F654895"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Destinação da reserva especial</w:t>
      </w:r>
    </w:p>
    <w:p w14:paraId="5B9E5B10"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20.  Caso o plano adote hipóteses atuariais cuja aplicação resulte em provisões matemáticas inferiores às obtidas com a aplicação das hipóteses especificadas a seguir, anteriormente à destinação, devem ser deduzidos da reserva especial, para fins de cálculo do montante a ser destinado, os valores correspondentes à diferença entre as provisões matemáticas calculadas com as hipóteses efetivamente adotadas pelo plano e aquelas calculadas com as seguintes hipóteses, de forma combinada:</w:t>
      </w:r>
    </w:p>
    <w:p w14:paraId="651853F8"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 - tábuas biométricas de mortalidade geral utilizadas para projeção da longevidade, exceto daqueles na condição de inválidos: "AT 2000 Básica - F" para o sexo feminino e "AT 2000 Básica - M" para o sexo masculino, ambas com desagravamento de dez por cento; e</w:t>
      </w:r>
    </w:p>
    <w:p w14:paraId="715A4528"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lastRenderedPageBreak/>
        <w:t>II - taxa real anual de juros correspondente ao teto do intervalo regulatório estabelecido para o respectivo plano de benefícios, reduzida em um ponto percentual.</w:t>
      </w:r>
    </w:p>
    <w:p w14:paraId="2F1BF73C"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21.  Para fins de destinação da reserva especial, devem ser observadas as seguintes condições:</w:t>
      </w:r>
    </w:p>
    <w:p w14:paraId="5EE87B42"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 - considerar apenas as provisões matemáticas de benefício definido de participantes e assistidos na destinação da parcela da reserva especial, quando se der com base nas reservas matemáticas individuais;</w:t>
      </w:r>
    </w:p>
    <w:p w14:paraId="17CD713D"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 - a utilização da reserva especial para redução parcial, redução integral ou suspensão de contribuições deve contemplar prioritariamente aquelas contribuições para custeio dos benefícios que tenham seu valor ou nível previamente estabelecido e cujo custeio seja determinado atuarialmente; e</w:t>
      </w:r>
    </w:p>
    <w:p w14:paraId="3F7DF7F8"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III - a cobertura integral do valor presente dos benefícios do plano deve considerar apenas aqueles com características de benefício definido.</w:t>
      </w:r>
    </w:p>
    <w:p w14:paraId="5E9EB185"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1º  A utilização dos fundos previdenciais de revisão do plano deve ocorrer de forma concomitante e proporcional entre os fundos atribuídos aos participantes, assistidos e patrocinador constituídos para essa finalidade.</w:t>
      </w:r>
    </w:p>
    <w:p w14:paraId="090D1FA6"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2º  No caso de plano de benefícios não sujeito à Lei Complementar nº 108, de 2001, a EFPC poderá propor critério de utilização dos fundos previdenciais de revisão do plano diferente do definido no § 1º deste artigo, desde que mais benéfico aos participantes e assistidos, mediante prévia anuência do patrocinador.</w:t>
      </w:r>
    </w:p>
    <w:p w14:paraId="5783DF19"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22.  A EFPC deve promover a realização prévia de auditoria independente específica para avaliação dos recursos garantidores e das provisões matemáticas do plano de benefícios, nos casos em que a destinação da reserva especial envolver a reversão de valores.</w:t>
      </w:r>
    </w:p>
    <w:p w14:paraId="791299F8"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Seção VI</w:t>
      </w:r>
    </w:p>
    <w:p w14:paraId="59A9C1C4"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Equacionamento de Déficit</w:t>
      </w:r>
    </w:p>
    <w:p w14:paraId="607B7403"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Subseção I</w:t>
      </w:r>
    </w:p>
    <w:p w14:paraId="7B1E81EF"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Valor a Equacionar</w:t>
      </w:r>
    </w:p>
    <w:p w14:paraId="5C6BAEC6"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23.  O valor do déficit a ser equacionado deve ser apurado na avaliação atuarial realizada ao final de cada exercício social.</w:t>
      </w:r>
    </w:p>
    <w:p w14:paraId="2A1CD300"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1º  O valor do déficit a ser equacionado pode, a critério da EFPC, ser corrigido entre a data de sua apuração e a data de início do plano de equacionamento, desde que considerado, no mínimo, o seu valor nominal, devendo o critério de correção adotado estar consignado em parecer do atuário responsável.</w:t>
      </w:r>
    </w:p>
    <w:p w14:paraId="2ED75E26"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xml:space="preserve">§ 2º  Admite-se o reposicionamento do déficit a ser equacionado em momento posterior ao indicado no </w:t>
      </w:r>
      <w:r w:rsidRPr="000D3B39">
        <w:rPr>
          <w:rFonts w:ascii="Calibri" w:eastAsia="Times New Roman" w:hAnsi="Calibri" w:cs="Calibri"/>
          <w:b/>
          <w:bCs/>
          <w:color w:val="000000"/>
          <w:kern w:val="0"/>
          <w:sz w:val="24"/>
          <w:szCs w:val="24"/>
          <w:lang w:eastAsia="pt-BR"/>
          <w14:ligatures w14:val="none"/>
        </w:rPr>
        <w:t>caput</w:t>
      </w:r>
      <w:r w:rsidRPr="000D3B39">
        <w:rPr>
          <w:rFonts w:ascii="Calibri" w:eastAsia="Times New Roman" w:hAnsi="Calibri" w:cs="Calibri"/>
          <w:color w:val="000000"/>
          <w:kern w:val="0"/>
          <w:sz w:val="24"/>
          <w:szCs w:val="24"/>
          <w:lang w:eastAsia="pt-BR"/>
          <w14:ligatures w14:val="none"/>
        </w:rPr>
        <w:t xml:space="preserve"> em caso de realização de avaliação atuarial por fato relevante, conforme dispõe o parágrafo único do art. 2º.</w:t>
      </w:r>
    </w:p>
    <w:p w14:paraId="1743A5A8"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commentRangeStart w:id="0"/>
      <w:r w:rsidRPr="000D3B39">
        <w:rPr>
          <w:rFonts w:ascii="Calibri" w:eastAsia="Times New Roman" w:hAnsi="Calibri" w:cs="Calibri"/>
          <w:color w:val="000000"/>
          <w:kern w:val="0"/>
          <w:sz w:val="24"/>
          <w:szCs w:val="24"/>
          <w:lang w:eastAsia="pt-BR"/>
          <w14:ligatures w14:val="none"/>
        </w:rPr>
        <w:t>Art. 24.  No caso de utilização da faculdade de extensão do prazo de amortização do déficit para aquele correspondente à liquidação do passivo atuarial do plano de benefícios, o montante a ser equacionado deve corresponder, preferencialmente, ao maior valor absoluto entre o déficit técnico acumulado e o equilíbrio técnico ajustado apurado para o plano de benefícios no ano de referência.</w:t>
      </w:r>
      <w:commentRangeEnd w:id="0"/>
      <w:r w:rsidR="00C21FE0">
        <w:rPr>
          <w:rStyle w:val="Refdecomentrio"/>
        </w:rPr>
        <w:commentReference w:id="0"/>
      </w:r>
    </w:p>
    <w:p w14:paraId="1936ED4F"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Subseção II</w:t>
      </w:r>
    </w:p>
    <w:p w14:paraId="6B3AA9EB"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Plano de Equacionamento</w:t>
      </w:r>
    </w:p>
    <w:p w14:paraId="44957B61"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25.  O início do plano de equacionamento corresponde à data de aplicação das formas adotadas para o equacionamento do déficit do plano de benefícios e deve ocorrer até o início de vigência do plano de custeio, no ano subsequente à aprovação do plano de equacionamento.</w:t>
      </w:r>
    </w:p>
    <w:p w14:paraId="35AB1E5E"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lastRenderedPageBreak/>
        <w:t>Art. 26.  Os planos de equacionamento devem prever amortização que contemple fluxo de contribuições extraordinárias constante ou decrescente, comprovado por meio de demonstração do fluxo projetado no momento da implementação do plano, sendo que os respectivos ativos devem ser compatíveis com as necessidades de liquidez do plano de benefícios.</w:t>
      </w:r>
    </w:p>
    <w:p w14:paraId="00B8C5BB"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xml:space="preserve">Parágrafo único.  Caso o plano de equacionamento estabeleça contribuições extraordinárias em termos de percentual aplicável sobre salários ou benefícios, a comprovação de que trata o </w:t>
      </w:r>
      <w:r w:rsidRPr="000D3B39">
        <w:rPr>
          <w:rFonts w:ascii="Calibri" w:eastAsia="Times New Roman" w:hAnsi="Calibri" w:cs="Calibri"/>
          <w:b/>
          <w:bCs/>
          <w:color w:val="000000"/>
          <w:kern w:val="0"/>
          <w:sz w:val="24"/>
          <w:szCs w:val="24"/>
          <w:lang w:eastAsia="pt-BR"/>
          <w14:ligatures w14:val="none"/>
        </w:rPr>
        <w:t>caput</w:t>
      </w:r>
      <w:r w:rsidRPr="000D3B39">
        <w:rPr>
          <w:rFonts w:ascii="Calibri" w:eastAsia="Times New Roman" w:hAnsi="Calibri" w:cs="Calibri"/>
          <w:color w:val="000000"/>
          <w:kern w:val="0"/>
          <w:sz w:val="24"/>
          <w:szCs w:val="24"/>
          <w:lang w:eastAsia="pt-BR"/>
          <w14:ligatures w14:val="none"/>
        </w:rPr>
        <w:t xml:space="preserve"> será pelo percentual de contribuição, constante ou decrescente.</w:t>
      </w:r>
    </w:p>
    <w:p w14:paraId="4B8658A5"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27.  A EFPC deve comprovar, anualmente, se o plano de equacionamento de déficit apresenta resultados efetivos, cabendo, em caso contrário, a adequação do plano, respeitando todas as condições regulatórias.</w:t>
      </w:r>
    </w:p>
    <w:p w14:paraId="7C03973E"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Subseção III</w:t>
      </w:r>
    </w:p>
    <w:p w14:paraId="30CE2102"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Prazo de Amortização</w:t>
      </w:r>
    </w:p>
    <w:p w14:paraId="6ED50A63"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28.  O prazo de amortização de déficit deve ser atestado por meio de fluxo atuarial que considere anualmente as receitas, as despesas e o patrimônio de cobertura, este segregado em integralizado e a integralizar, pelo período correspondente ao pagamento de todas as parcelas, devendo ficar evidenciado que a amortização está ajustada às necessidades de recursos do plano de benefícios.</w:t>
      </w:r>
    </w:p>
    <w:p w14:paraId="7DFC6ECC"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xml:space="preserve">Parágrafo único.  Na ocorrência de nova insuficiência de cobertura patrimonial, que demande equacionamento antes do término da amortização referida no </w:t>
      </w:r>
      <w:r w:rsidRPr="000D3B39">
        <w:rPr>
          <w:rFonts w:ascii="Calibri" w:eastAsia="Times New Roman" w:hAnsi="Calibri" w:cs="Calibri"/>
          <w:b/>
          <w:bCs/>
          <w:color w:val="000000"/>
          <w:kern w:val="0"/>
          <w:sz w:val="24"/>
          <w:szCs w:val="24"/>
          <w:lang w:eastAsia="pt-BR"/>
          <w14:ligatures w14:val="none"/>
        </w:rPr>
        <w:t>caput</w:t>
      </w:r>
      <w:r w:rsidRPr="000D3B39">
        <w:rPr>
          <w:rFonts w:ascii="Calibri" w:eastAsia="Times New Roman" w:hAnsi="Calibri" w:cs="Calibri"/>
          <w:color w:val="000000"/>
          <w:kern w:val="0"/>
          <w:sz w:val="24"/>
          <w:szCs w:val="24"/>
          <w:lang w:eastAsia="pt-BR"/>
          <w14:ligatures w14:val="none"/>
        </w:rPr>
        <w:t>, deve ser realizada nova operação de equacionamento.</w:t>
      </w:r>
    </w:p>
    <w:p w14:paraId="58338B9B"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Subseção IV</w:t>
      </w:r>
    </w:p>
    <w:p w14:paraId="4C7FB11E"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Instrumentos Contratuais</w:t>
      </w:r>
    </w:p>
    <w:p w14:paraId="59BAB6BF"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29.  Nos instrumentos contratuais firmados com o patrocinador, a cláusula de revisão anual automática do saldo devedor em função de ganhos ou perdas atuariais, caso prevista, deve estar vinculada ao valor do equilíbrio técnico ajustado positivo ou negativo, respectivamente, apurado no plano de benefícios.</w:t>
      </w:r>
    </w:p>
    <w:p w14:paraId="6B0197F9"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1º  O valor do equilíbrio técnico ajustado negativo somente pode ser incorporado ao saldo devedor dos instrumentos contratuais de dívida dos patrocinadores quando o prazo remanescente da dívida for igual ou inferior ao prazo máximo de equacionamento.</w:t>
      </w:r>
    </w:p>
    <w:p w14:paraId="37301C73"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xml:space="preserve">§ 2º  O valor do equilíbrio técnico ajustado positivo ou negativo utilizado para revisão anual do saldo devedor da dívida do patrocinador, na forma do </w:t>
      </w:r>
      <w:r w:rsidRPr="000D3B39">
        <w:rPr>
          <w:rFonts w:ascii="Calibri" w:eastAsia="Times New Roman" w:hAnsi="Calibri" w:cs="Calibri"/>
          <w:b/>
          <w:bCs/>
          <w:color w:val="000000"/>
          <w:kern w:val="0"/>
          <w:sz w:val="24"/>
          <w:szCs w:val="24"/>
          <w:lang w:eastAsia="pt-BR"/>
          <w14:ligatures w14:val="none"/>
        </w:rPr>
        <w:t>caput</w:t>
      </w:r>
      <w:r w:rsidRPr="000D3B39">
        <w:rPr>
          <w:rFonts w:ascii="Calibri" w:eastAsia="Times New Roman" w:hAnsi="Calibri" w:cs="Calibri"/>
          <w:color w:val="000000"/>
          <w:kern w:val="0"/>
          <w:sz w:val="24"/>
          <w:szCs w:val="24"/>
          <w:lang w:eastAsia="pt-BR"/>
          <w14:ligatures w14:val="none"/>
        </w:rPr>
        <w:t>, deve observar as proporções contributivas definidas para o rateio da insuficiência entre participantes, assistidos e patrocinadores.</w:t>
      </w:r>
    </w:p>
    <w:p w14:paraId="4BC03E52"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3º  O instrumento contratual deverá ficar à disposição da Previc, juntamente com os fluxos anuais de receitas, despesas e patrimônio de cobertura, pelo período de pagamento de todas as parcelas do contrato, observadas as demais disposições regulatórias da matéria.</w:t>
      </w:r>
    </w:p>
    <w:p w14:paraId="2923A1C3"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Seção VII</w:t>
      </w:r>
    </w:p>
    <w:p w14:paraId="570184BD"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Estudo Técnico de Adequação das Hipóteses Atuariais</w:t>
      </w:r>
    </w:p>
    <w:p w14:paraId="704E2AC3"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Subseção I</w:t>
      </w:r>
    </w:p>
    <w:p w14:paraId="01CB6E75"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Requisitos Gerais</w:t>
      </w:r>
    </w:p>
    <w:p w14:paraId="74593C77"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30.  Toda a hipótese atuarial adotada para avaliação atuarial de plano de benefícios deve estar embasada em estudo técnico de adequação.</w:t>
      </w:r>
    </w:p>
    <w:p w14:paraId="1E71A9C1"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31.  O estudo técnico de adequação é o instrumento técnico de responsabilidade da EFPC, no qual devem ser demonstradas para cada plano de benefícios:</w:t>
      </w:r>
    </w:p>
    <w:p w14:paraId="098A19B9"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lastRenderedPageBreak/>
        <w:t>I - a convergência entre a hipótese de taxa real anual de juros e a taxa de retorno real anual projetada para as aplicações dos recursos garantidores relacionados aos benefícios a conceder e concedidos que tenham seu valor ou nível previamente estabelecido e cujo custeio seja determinado atuarialmente; e</w:t>
      </w:r>
    </w:p>
    <w:p w14:paraId="1209820F"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 - a aderência das demais hipóteses biométricas, demográficas, econômicas e financeiras às características da massa de participantes e assistidos e do plano de benefícios.</w:t>
      </w:r>
    </w:p>
    <w:p w14:paraId="11CF479A"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32.  O estudo técnico de adequação deve:</w:t>
      </w:r>
    </w:p>
    <w:p w14:paraId="57FAA3BA"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 - estar acompanhado de parecer conclusivo do atuário acerca do conjunto de hipóteses tecnicamente adequado ao plano de benefícios, considerando a aderência e a convergência verificadas nos estudos;</w:t>
      </w:r>
    </w:p>
    <w:p w14:paraId="45680D08"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 - possuir atestado de validação, expedido pelo Administrador Estatutário Tecnicamente Qualificado (AETQ), relativo às informações de investimento utilizadas no estudo técnico; e</w:t>
      </w:r>
    </w:p>
    <w:p w14:paraId="43C8CC6A"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III - possuir atestado de validação, expedido pelo ARPB, relativo aos dados cadastrais e demais informações referentes ao passivo atuarial utilizados no estudo técnico.</w:t>
      </w:r>
    </w:p>
    <w:p w14:paraId="0956D68D"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33.  Em relação ao procedimento de elaboração, o estudo técnico de adequação deve ser:</w:t>
      </w:r>
    </w:p>
    <w:p w14:paraId="6371A31B"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 - elaborado pelo atuário habilitado e legalmente responsável pelo plano de benefícios;</w:t>
      </w:r>
    </w:p>
    <w:p w14:paraId="198B3261"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 - embasado em informações fornecidas pela EFPC e pelo respectivo patrocinador ou instituidor.</w:t>
      </w:r>
    </w:p>
    <w:p w14:paraId="0C18787A"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1</w:t>
      </w:r>
      <w:proofErr w:type="gramStart"/>
      <w:r w:rsidRPr="000D3B39">
        <w:rPr>
          <w:rFonts w:ascii="Calibri" w:eastAsia="Times New Roman" w:hAnsi="Calibri" w:cs="Calibri"/>
          <w:color w:val="000000"/>
          <w:kern w:val="0"/>
          <w:sz w:val="24"/>
          <w:szCs w:val="24"/>
          <w:lang w:eastAsia="pt-BR"/>
          <w14:ligatures w14:val="none"/>
        </w:rPr>
        <w:t>º  Os</w:t>
      </w:r>
      <w:proofErr w:type="gramEnd"/>
      <w:r w:rsidRPr="000D3B39">
        <w:rPr>
          <w:rFonts w:ascii="Calibri" w:eastAsia="Times New Roman" w:hAnsi="Calibri" w:cs="Calibri"/>
          <w:color w:val="000000"/>
          <w:kern w:val="0"/>
          <w:sz w:val="24"/>
          <w:szCs w:val="24"/>
          <w:lang w:eastAsia="pt-BR"/>
          <w14:ligatures w14:val="none"/>
        </w:rPr>
        <w:t xml:space="preserve"> dados cadastrais e demais informações referentes ao passivo atuarial devem ser providenciados pelo ARPB e as informações relativas aos investimentos devem ser providenciadas pelo AETQ.</w:t>
      </w:r>
    </w:p>
    <w:p w14:paraId="21D28D81"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xml:space="preserve">§ 2º  Cabe à EFPC solicitar a manifestação fundamentada do patrocinador ou instituidor acerca das hipóteses econômicas e financeiras que guardem relação com suas respectivas atividades, devendo essa informação ser utilizada como subsídio para a demonstração da aderência dessas hipóteses no estudo técnico referido no </w:t>
      </w:r>
      <w:r w:rsidRPr="000D3B39">
        <w:rPr>
          <w:rFonts w:ascii="Calibri" w:eastAsia="Times New Roman" w:hAnsi="Calibri" w:cs="Calibri"/>
          <w:b/>
          <w:bCs/>
          <w:color w:val="000000"/>
          <w:kern w:val="0"/>
          <w:sz w:val="24"/>
          <w:szCs w:val="24"/>
          <w:lang w:eastAsia="pt-BR"/>
          <w14:ligatures w14:val="none"/>
        </w:rPr>
        <w:t>caput</w:t>
      </w:r>
      <w:r w:rsidRPr="000D3B39">
        <w:rPr>
          <w:rFonts w:ascii="Calibri" w:eastAsia="Times New Roman" w:hAnsi="Calibri" w:cs="Calibri"/>
          <w:color w:val="000000"/>
          <w:kern w:val="0"/>
          <w:sz w:val="24"/>
          <w:szCs w:val="24"/>
          <w:lang w:eastAsia="pt-BR"/>
          <w14:ligatures w14:val="none"/>
        </w:rPr>
        <w:t>.</w:t>
      </w:r>
    </w:p>
    <w:p w14:paraId="258B55A6"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34.  Em relação ao prazo de validade, o estudo técnico de adequação deve ter:</w:t>
      </w:r>
    </w:p>
    <w:p w14:paraId="6D61753A"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 - validade geral máxima de três anos, contados a partir da data de sua realização, cabendo ao ARPB avaliar e indicar a necessidade de realização em menor período, conforme parecer do atuário habilitado e legalmente responsável pelo plano de benefícios.</w:t>
      </w:r>
    </w:p>
    <w:p w14:paraId="4EDB2D8D"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 - validade específica em relação à hipótese de taxa real anual de juros de um ano.</w:t>
      </w:r>
    </w:p>
    <w:p w14:paraId="496F6140"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xml:space="preserve">Parágrafo único.  A validade do estudo técnico de adequação para a hipótese de tábua de mortalidade geral, que trata o inciso I do </w:t>
      </w:r>
      <w:r w:rsidRPr="000D3B39">
        <w:rPr>
          <w:rFonts w:ascii="Calibri" w:eastAsia="Times New Roman" w:hAnsi="Calibri" w:cs="Calibri"/>
          <w:b/>
          <w:bCs/>
          <w:color w:val="000000"/>
          <w:kern w:val="0"/>
          <w:sz w:val="24"/>
          <w:szCs w:val="24"/>
          <w:lang w:eastAsia="pt-BR"/>
          <w14:ligatures w14:val="none"/>
        </w:rPr>
        <w:t>caput</w:t>
      </w:r>
      <w:r w:rsidRPr="000D3B39">
        <w:rPr>
          <w:rFonts w:ascii="Calibri" w:eastAsia="Times New Roman" w:hAnsi="Calibri" w:cs="Calibri"/>
          <w:color w:val="000000"/>
          <w:kern w:val="0"/>
          <w:sz w:val="24"/>
          <w:szCs w:val="24"/>
          <w:lang w:eastAsia="pt-BR"/>
          <w14:ligatures w14:val="none"/>
        </w:rPr>
        <w:t>, será de cinco anos para os planos de benefícios que adotarem tábua geracional de mortalidade geral com a respectiva escala de melhoria de longevidade.</w:t>
      </w:r>
    </w:p>
    <w:p w14:paraId="50F2A4B9"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35.  Na ocorrência de fato relevante que enseje a elaboração de nova avaliação atuarial, o estudo técnico de adequação deve refletir a nova realidade do plano de benefícios.</w:t>
      </w:r>
    </w:p>
    <w:p w14:paraId="07A62A32"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36.  A Previc pode determinar, a qualquer tempo, a realização de novo estudo técnico de adequação caso o estudo original seja avaliado como inconsistente ou insuficiente, apontando especificamente as inconsistências ou insuficiências a serem sanadas, bem como o devido embasamento técnico ou normativo.</w:t>
      </w:r>
    </w:p>
    <w:p w14:paraId="0CAD839A"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37.  Em relação à governança e à divulgação, o estudo técnico de adequação do plano de benefícios deve ser:</w:t>
      </w:r>
    </w:p>
    <w:p w14:paraId="779E70B3"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 - aprovado pela Diretoria Executiva e pelo Conselho Deliberativo da EFPC;</w:t>
      </w:r>
    </w:p>
    <w:p w14:paraId="1456875B"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 - acompanhado de parecer emitido pelo Conselho Fiscal; e</w:t>
      </w:r>
    </w:p>
    <w:p w14:paraId="56935924"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III - disponibilizado, quando requisitado, aos participantes, aos assistidos, aos patrocinadores, aos instituidores e à Previc.</w:t>
      </w:r>
    </w:p>
    <w:p w14:paraId="6DCFA4EC"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lastRenderedPageBreak/>
        <w:t xml:space="preserve">§ 1º  A aprovação referida no inciso I do </w:t>
      </w:r>
      <w:r w:rsidRPr="000D3B39">
        <w:rPr>
          <w:rFonts w:ascii="Calibri" w:eastAsia="Times New Roman" w:hAnsi="Calibri" w:cs="Calibri"/>
          <w:b/>
          <w:bCs/>
          <w:color w:val="000000"/>
          <w:kern w:val="0"/>
          <w:sz w:val="24"/>
          <w:szCs w:val="24"/>
          <w:lang w:eastAsia="pt-BR"/>
          <w14:ligatures w14:val="none"/>
        </w:rPr>
        <w:t>caput</w:t>
      </w:r>
      <w:r w:rsidRPr="000D3B39">
        <w:rPr>
          <w:rFonts w:ascii="Calibri" w:eastAsia="Times New Roman" w:hAnsi="Calibri" w:cs="Calibri"/>
          <w:color w:val="000000"/>
          <w:kern w:val="0"/>
          <w:sz w:val="24"/>
          <w:szCs w:val="24"/>
          <w:lang w:eastAsia="pt-BR"/>
          <w14:ligatures w14:val="none"/>
        </w:rPr>
        <w:t xml:space="preserve"> não exime o atuário do plano da responsabilidade técnica sobre estudos, cálculos e serviços por ele prestados.</w:t>
      </w:r>
    </w:p>
    <w:p w14:paraId="51F6F2AF"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2º  O estudo técnico de adequação deve ficar arquivado na EFPC, à disposição da Previc.</w:t>
      </w:r>
    </w:p>
    <w:p w14:paraId="09C914A5"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Seção VIII</w:t>
      </w:r>
    </w:p>
    <w:p w14:paraId="0229B518"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Autorização para Adoção de Taxa de Juros fora do Intervalo</w:t>
      </w:r>
    </w:p>
    <w:p w14:paraId="15150135"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38.  Caso pretenda adotar taxa real anual de juros fora do intervalo regulatório estabelecido, a EFPC deve enviar à Previc:</w:t>
      </w:r>
    </w:p>
    <w:p w14:paraId="61DC1D87"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 - requerimento de autorização assinado pelo representante legal da EFPC;</w:t>
      </w:r>
    </w:p>
    <w:p w14:paraId="5465BBA1"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 - cópia do estudo técnico de adequação; e</w:t>
      </w:r>
    </w:p>
    <w:p w14:paraId="5DDBE56E"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III - demais documentos necessários.</w:t>
      </w:r>
    </w:p>
    <w:p w14:paraId="57FD93E9"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39.  O requerimento de autorização para adoção de taxa real anual de juros referido no inciso I do art. 38 deve ser encaminhado à Previc em formulário padrão juntamente com os seguintes documentos:</w:t>
      </w:r>
    </w:p>
    <w:p w14:paraId="36204183"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 - ata de reunião da Diretoria Executiva, contendo aprovação ao estudo técnico de adequação e ao requerimento de autorização, bem como encaminhamento ao Conselho Deliberativo;</w:t>
      </w:r>
    </w:p>
    <w:p w14:paraId="0E7E1FB3"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 - ata da reunião do Conselho Deliberativo, contendo aprovação ao estudo técnico de adequação e ao requerimento de autorização; e</w:t>
      </w:r>
    </w:p>
    <w:p w14:paraId="1792D917"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III - parecer a que se refere o inciso II do art. 37, bem como ata da reunião Conselho Fiscal atestando a sua ciência do requerimento de autorização.</w:t>
      </w:r>
    </w:p>
    <w:p w14:paraId="779F10A2" w14:textId="7E2A8619"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xml:space="preserve">Art. 40. </w:t>
      </w:r>
      <w:r w:rsidR="00B74BF7">
        <w:rPr>
          <w:rFonts w:ascii="Calibri" w:eastAsia="Times New Roman" w:hAnsi="Calibri" w:cs="Calibri"/>
          <w:color w:val="000000"/>
          <w:kern w:val="0"/>
          <w:sz w:val="24"/>
          <w:szCs w:val="24"/>
          <w:lang w:eastAsia="pt-BR"/>
          <w14:ligatures w14:val="none"/>
        </w:rPr>
        <w:t xml:space="preserve"> </w:t>
      </w:r>
      <w:r w:rsidRPr="000D3B39">
        <w:rPr>
          <w:rFonts w:ascii="Calibri" w:eastAsia="Times New Roman" w:hAnsi="Calibri" w:cs="Calibri"/>
          <w:color w:val="000000"/>
          <w:kern w:val="0"/>
          <w:sz w:val="24"/>
          <w:szCs w:val="24"/>
          <w:lang w:eastAsia="pt-BR"/>
          <w14:ligatures w14:val="none"/>
        </w:rPr>
        <w:t>O indeferimento do requerimento de autorização para adoção da taxa real anual de juros do plano de benefícios implica utilização de taxa dentro do intervalo regulatório estabelecido.</w:t>
      </w:r>
    </w:p>
    <w:p w14:paraId="2C4E096B"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Parágrafo único.  A Previc pode determinar, nos termos do art. 36, a realização de novo estudo técnico de adequação.</w:t>
      </w:r>
    </w:p>
    <w:p w14:paraId="48CC1D5F"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41.  A autorização concedida pela Previc aplica-se exclusivamente à adoção da taxa real anual de juros do plano de benefícios e não exime a responsabilidade dos gestores da EFPC e de outros profissionais que tenham contribuído para a realização do trabalho, os quais devem observar os princípios de segurança, rentabilidade, solvência, liquidez e transparência, respondendo na forma da lei pelos seus atos.</w:t>
      </w:r>
    </w:p>
    <w:p w14:paraId="598F94A2"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xml:space="preserve">Parágrafo único.  A autorização referida no </w:t>
      </w:r>
      <w:r w:rsidRPr="000D3B39">
        <w:rPr>
          <w:rFonts w:ascii="Calibri" w:eastAsia="Times New Roman" w:hAnsi="Calibri" w:cs="Calibri"/>
          <w:b/>
          <w:bCs/>
          <w:color w:val="000000"/>
          <w:kern w:val="0"/>
          <w:sz w:val="24"/>
          <w:szCs w:val="24"/>
          <w:lang w:eastAsia="pt-BR"/>
          <w14:ligatures w14:val="none"/>
        </w:rPr>
        <w:t>caput</w:t>
      </w:r>
      <w:r w:rsidRPr="000D3B39">
        <w:rPr>
          <w:rFonts w:ascii="Calibri" w:eastAsia="Times New Roman" w:hAnsi="Calibri" w:cs="Calibri"/>
          <w:color w:val="000000"/>
          <w:kern w:val="0"/>
          <w:sz w:val="24"/>
          <w:szCs w:val="24"/>
          <w:lang w:eastAsia="pt-BR"/>
          <w14:ligatures w14:val="none"/>
        </w:rPr>
        <w:t xml:space="preserve"> é válida somente para a avaliação atuarial do ano de referência.</w:t>
      </w:r>
    </w:p>
    <w:p w14:paraId="0206DB84"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42.  O estudo técnico de adequação das hipóteses atuariais em relação à convergência da taxa real anual de juros, à aderência das demais hipóteses atuariais do plano de benefícios ou pedido de autorização para adoção de taxa de juros fora do intervalo, deve cumprir os requisitos especificados em Portaria da Diretoria de Fiscalização e Monitoramento - DIFIS.</w:t>
      </w:r>
    </w:p>
    <w:p w14:paraId="5C200F26"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Seção X</w:t>
      </w:r>
    </w:p>
    <w:p w14:paraId="54F2077D"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Contratação de Seguro em planos de benefícios</w:t>
      </w:r>
    </w:p>
    <w:p w14:paraId="6416195B"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43.  A EFPC pode contratar seguro específico para cobertura dos seguintes riscos em planos de benefícios:</w:t>
      </w:r>
    </w:p>
    <w:p w14:paraId="3ED794D2"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 - invalidez de participante;</w:t>
      </w:r>
    </w:p>
    <w:p w14:paraId="6F75112E"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 - morte de participante ou assistido;</w:t>
      </w:r>
    </w:p>
    <w:p w14:paraId="79210A31"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III - sobrevivência do assistido;</w:t>
      </w:r>
    </w:p>
    <w:p w14:paraId="0390FD01"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IV - desvios das hipóteses biométricas; e</w:t>
      </w:r>
    </w:p>
    <w:p w14:paraId="6C46C4EF"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lastRenderedPageBreak/>
        <w:t>V - outros riscos atuariais ou financeiros.</w:t>
      </w:r>
    </w:p>
    <w:p w14:paraId="71FE0027"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xml:space="preserve">Parágrafo único.  Os riscos previstos </w:t>
      </w:r>
      <w:r w:rsidRPr="00C21FE0">
        <w:rPr>
          <w:rFonts w:ascii="Calibri" w:eastAsia="Times New Roman" w:hAnsi="Calibri" w:cs="Calibri"/>
          <w:color w:val="000000"/>
          <w:kern w:val="0"/>
          <w:sz w:val="24"/>
          <w:szCs w:val="24"/>
          <w:lang w:eastAsia="pt-BR"/>
          <w14:ligatures w14:val="none"/>
        </w:rPr>
        <w:t>no</w:t>
      </w:r>
      <w:r w:rsidRPr="000D3B39">
        <w:rPr>
          <w:rFonts w:ascii="Calibri" w:eastAsia="Times New Roman" w:hAnsi="Calibri" w:cs="Calibri"/>
          <w:b/>
          <w:bCs/>
          <w:color w:val="000000"/>
          <w:kern w:val="0"/>
          <w:sz w:val="24"/>
          <w:szCs w:val="24"/>
          <w:lang w:eastAsia="pt-BR"/>
          <w14:ligatures w14:val="none"/>
        </w:rPr>
        <w:t xml:space="preserve"> caput</w:t>
      </w:r>
      <w:r w:rsidRPr="000D3B39">
        <w:rPr>
          <w:rFonts w:ascii="Calibri" w:eastAsia="Times New Roman" w:hAnsi="Calibri" w:cs="Calibri"/>
          <w:color w:val="000000"/>
          <w:kern w:val="0"/>
          <w:sz w:val="24"/>
          <w:szCs w:val="24"/>
          <w:lang w:eastAsia="pt-BR"/>
          <w14:ligatures w14:val="none"/>
        </w:rPr>
        <w:t xml:space="preserve"> podem ter cobertura total ou parcial.</w:t>
      </w:r>
    </w:p>
    <w:p w14:paraId="3858D7C6"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Subseção I</w:t>
      </w:r>
    </w:p>
    <w:p w14:paraId="435A874B"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Contrato de Seguro</w:t>
      </w:r>
    </w:p>
    <w:p w14:paraId="03052337"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44.  O contrato de seguro, em relação a cada plano de benefícios, deve dispor, no mínimo, sobre:</w:t>
      </w:r>
    </w:p>
    <w:p w14:paraId="772495B9"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 - descrição das coberturas, indicando as importâncias seguradas de responsabilidade da sociedade seguradora, bem como as formas de atualização ou recálculo;</w:t>
      </w:r>
    </w:p>
    <w:p w14:paraId="5190C282"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 - previsão de emissão de endosso alterando a EFPC de origem para a EFPC de destino, sem solução de continuidade das coberturas e condições contratadas, na hipótese de transferência de gerenciamento do plano de benefícios para outra EFPC;</w:t>
      </w:r>
    </w:p>
    <w:p w14:paraId="3982E026"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III - previsão de emissão de endosso alterando o beneficiário do seguro da EFPC para o assistido em gozo de renda continuada, sem solução de continuidade das coberturas e condições contratadas, em caso de retirada de patrocínio ou liquidação do plano de benefícios, observada a legislação aplicável;</w:t>
      </w:r>
    </w:p>
    <w:p w14:paraId="6CDDF35C"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IV - prazo de vigência do contrato, que não pode ser indeterminado;</w:t>
      </w:r>
    </w:p>
    <w:p w14:paraId="19CDFD4C"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V - previsão de pagamento das rendas contratadas junto à sociedade seguradora, no caso de rescisão ou não renovação do contrato;</w:t>
      </w:r>
    </w:p>
    <w:p w14:paraId="0E7AFD3E"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VI - previsão de prazos de pagamento dos prêmios e das indenizações; e</w:t>
      </w:r>
    </w:p>
    <w:p w14:paraId="1F51E295"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VII - descrição dos riscos excluídos e dos não cobertos, caso previstos.</w:t>
      </w:r>
    </w:p>
    <w:p w14:paraId="236E244E"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45.  Previamente à celebração ou à renovação de contrato de seguro, a diretoria executiva e o conselho deliberativo da EFPC devem aprovar estudo técnico que demonstre a sua viabilidade econômico-financeira e atuarial para cada plano de benefícios.</w:t>
      </w:r>
    </w:p>
    <w:p w14:paraId="53738453"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xml:space="preserve">§ 1º  O estudo técnico previsto no </w:t>
      </w:r>
      <w:r w:rsidRPr="000D3B39">
        <w:rPr>
          <w:rFonts w:ascii="Calibri" w:eastAsia="Times New Roman" w:hAnsi="Calibri" w:cs="Calibri"/>
          <w:b/>
          <w:bCs/>
          <w:color w:val="000000"/>
          <w:kern w:val="0"/>
          <w:sz w:val="24"/>
          <w:szCs w:val="24"/>
          <w:lang w:eastAsia="pt-BR"/>
          <w14:ligatures w14:val="none"/>
        </w:rPr>
        <w:t>caput</w:t>
      </w:r>
      <w:r w:rsidRPr="000D3B39">
        <w:rPr>
          <w:rFonts w:ascii="Calibri" w:eastAsia="Times New Roman" w:hAnsi="Calibri" w:cs="Calibri"/>
          <w:color w:val="000000"/>
          <w:kern w:val="0"/>
          <w:sz w:val="24"/>
          <w:szCs w:val="24"/>
          <w:lang w:eastAsia="pt-BR"/>
          <w14:ligatures w14:val="none"/>
        </w:rPr>
        <w:t xml:space="preserve"> deve conter, no mínimo:</w:t>
      </w:r>
    </w:p>
    <w:p w14:paraId="11A842A4"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 - a descrição das bases, das fórmulas de cálculo e dos critérios de atualização dos valores referentes aos benefícios previstos no regulamento e passíveis de contratação de cobertura de riscos com sociedade seguradora;</w:t>
      </w:r>
    </w:p>
    <w:p w14:paraId="7F1142EC"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 - a estimativa de gastos com prêmios futuros; e</w:t>
      </w:r>
    </w:p>
    <w:p w14:paraId="54416486"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III - a avaliação de custos e de riscos que indiquem a necessidade e a vantagem de contratação de seguro para a cobertura do respectivo risco objeto.</w:t>
      </w:r>
    </w:p>
    <w:p w14:paraId="6BBA4E35"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xml:space="preserve">§ 2º  Fica dispensado o estudo técnico previsto no </w:t>
      </w:r>
      <w:r w:rsidRPr="000D3B39">
        <w:rPr>
          <w:rFonts w:ascii="Calibri" w:eastAsia="Times New Roman" w:hAnsi="Calibri" w:cs="Calibri"/>
          <w:b/>
          <w:bCs/>
          <w:color w:val="000000"/>
          <w:kern w:val="0"/>
          <w:sz w:val="24"/>
          <w:szCs w:val="24"/>
          <w:lang w:eastAsia="pt-BR"/>
          <w14:ligatures w14:val="none"/>
        </w:rPr>
        <w:t>caput</w:t>
      </w:r>
      <w:r w:rsidRPr="000D3B39">
        <w:rPr>
          <w:rFonts w:ascii="Calibri" w:eastAsia="Times New Roman" w:hAnsi="Calibri" w:cs="Calibri"/>
          <w:color w:val="000000"/>
          <w:kern w:val="0"/>
          <w:sz w:val="24"/>
          <w:szCs w:val="24"/>
          <w:lang w:eastAsia="pt-BR"/>
          <w14:ligatures w14:val="none"/>
        </w:rPr>
        <w:t xml:space="preserve"> quando da contratação das coberturas adicionais de que trata o art. 47.</w:t>
      </w:r>
    </w:p>
    <w:p w14:paraId="655725D0"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Subseção II</w:t>
      </w:r>
    </w:p>
    <w:p w14:paraId="5B527F64"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Cobertura do seguro</w:t>
      </w:r>
    </w:p>
    <w:p w14:paraId="06EE0F93"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46.  Os contratos de seguro para a cobertura dos riscos referidos nos incisos I e II do art. 43 podem prever a indenização na forma de pagamento único ou de renda continuada.</w:t>
      </w:r>
    </w:p>
    <w:p w14:paraId="75D8319F"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47.  A EFPC, em relação a planos cujos benefícios decorrentes de invalidez e morte sejam estruturados unicamente com base em saldos de contas, pode contratar cobertura adicional junto à sociedade seguradora, desde que essa possibilidade esteja prevista no regulamento e que a adesão dos participantes seja opcional.</w:t>
      </w:r>
    </w:p>
    <w:p w14:paraId="01F49BF3"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xml:space="preserve">§ 1º  O regulamento deve dispor sobre eventuais situações que causem a suspensão da cobertura a que se refere o </w:t>
      </w:r>
      <w:r w:rsidRPr="000D3B39">
        <w:rPr>
          <w:rFonts w:ascii="Calibri" w:eastAsia="Times New Roman" w:hAnsi="Calibri" w:cs="Calibri"/>
          <w:b/>
          <w:bCs/>
          <w:color w:val="000000"/>
          <w:kern w:val="0"/>
          <w:sz w:val="24"/>
          <w:szCs w:val="24"/>
          <w:lang w:eastAsia="pt-BR"/>
          <w14:ligatures w14:val="none"/>
        </w:rPr>
        <w:t>caput</w:t>
      </w:r>
      <w:r w:rsidRPr="000D3B39">
        <w:rPr>
          <w:rFonts w:ascii="Calibri" w:eastAsia="Times New Roman" w:hAnsi="Calibri" w:cs="Calibri"/>
          <w:color w:val="000000"/>
          <w:kern w:val="0"/>
          <w:sz w:val="24"/>
          <w:szCs w:val="24"/>
          <w:lang w:eastAsia="pt-BR"/>
          <w14:ligatures w14:val="none"/>
        </w:rPr>
        <w:t>, inclusive em decorrência de rescisão ou não renovação do contrato com a sociedade seguradora.</w:t>
      </w:r>
    </w:p>
    <w:p w14:paraId="200F5E12"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lastRenderedPageBreak/>
        <w:t xml:space="preserve">§ 2º  Para as coberturas adicionais tratadas no </w:t>
      </w:r>
      <w:r w:rsidRPr="000D3B39">
        <w:rPr>
          <w:rFonts w:ascii="Calibri" w:eastAsia="Times New Roman" w:hAnsi="Calibri" w:cs="Calibri"/>
          <w:b/>
          <w:bCs/>
          <w:color w:val="000000"/>
          <w:kern w:val="0"/>
          <w:sz w:val="24"/>
          <w:szCs w:val="24"/>
          <w:lang w:eastAsia="pt-BR"/>
          <w14:ligatures w14:val="none"/>
        </w:rPr>
        <w:t>caput</w:t>
      </w:r>
      <w:r w:rsidRPr="000D3B39">
        <w:rPr>
          <w:rFonts w:ascii="Calibri" w:eastAsia="Times New Roman" w:hAnsi="Calibri" w:cs="Calibri"/>
          <w:color w:val="000000"/>
          <w:kern w:val="0"/>
          <w:sz w:val="24"/>
          <w:szCs w:val="24"/>
          <w:lang w:eastAsia="pt-BR"/>
          <w14:ligatures w14:val="none"/>
        </w:rPr>
        <w:t xml:space="preserve"> não se aplica o disposto no art. 68.</w:t>
      </w:r>
    </w:p>
    <w:p w14:paraId="08989324"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48.  O contrato de seguro para a cobertura do risco referido no inciso III do art. 43 tem por objetivo assegurar o pagamento de renda continuada, nas condições contratadas, após o término do pagamento do benefício pela EFPC.</w:t>
      </w:r>
    </w:p>
    <w:p w14:paraId="605171D7"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Parágrafo único.  O pagamento do prêmio para cobertura do risco referido no inciso III do art. 43 pode advir das seguintes fontes:</w:t>
      </w:r>
    </w:p>
    <w:p w14:paraId="2F8933ED"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 - contribuição normal e periódica com finalidade específica;</w:t>
      </w:r>
    </w:p>
    <w:p w14:paraId="3D99D760"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 - contribuição em forma de aporte único com finalidade específica; ou</w:t>
      </w:r>
    </w:p>
    <w:p w14:paraId="51E85444"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III - segregação de parcela do saldo de conta total, a partir da concessão do benefício programado previsto no regulamento do plano de benefícios.</w:t>
      </w:r>
    </w:p>
    <w:p w14:paraId="58F59F1A"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49.  O contrato de seguro para a cobertura do risco referido no inciso IV do art. 43 tem por objetivo limitar a variabilidade do fluxo de pagamentos dos benefícios decorrentes dos compromissos assumidos perante os participantes e assistidos, de forma isolada ou conjunta, decorrentes de:</w:t>
      </w:r>
    </w:p>
    <w:p w14:paraId="61E57F96"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 - entrada em invalidez;</w:t>
      </w:r>
    </w:p>
    <w:p w14:paraId="3C5C80D9"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 - mortalidade de inválidos;</w:t>
      </w:r>
    </w:p>
    <w:p w14:paraId="43C7D920"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III - mortalidade geral;</w:t>
      </w:r>
    </w:p>
    <w:p w14:paraId="64E187B9"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IV - sobrevivência de inválidos; ou</w:t>
      </w:r>
    </w:p>
    <w:p w14:paraId="3B20C203"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V - sobrevivência geral.</w:t>
      </w:r>
    </w:p>
    <w:p w14:paraId="72BFC5F4"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xml:space="preserve">§ 1º  A EFPC deve considerar o fluxo de pagamento dos benefícios projetados a partir das hipóteses atuariais aderentes adotadas na avaliação atuarial do exercício anterior, para fins de demonstração da viabilidade econômico-financeira e atuarial da contratação do seguro de que trata o </w:t>
      </w:r>
      <w:r w:rsidRPr="000D3B39">
        <w:rPr>
          <w:rFonts w:ascii="Calibri" w:eastAsia="Times New Roman" w:hAnsi="Calibri" w:cs="Calibri"/>
          <w:b/>
          <w:bCs/>
          <w:color w:val="000000"/>
          <w:kern w:val="0"/>
          <w:sz w:val="24"/>
          <w:szCs w:val="24"/>
          <w:lang w:eastAsia="pt-BR"/>
          <w14:ligatures w14:val="none"/>
        </w:rPr>
        <w:t>caput</w:t>
      </w:r>
      <w:r w:rsidRPr="000D3B39">
        <w:rPr>
          <w:rFonts w:ascii="Calibri" w:eastAsia="Times New Roman" w:hAnsi="Calibri" w:cs="Calibri"/>
          <w:color w:val="000000"/>
          <w:kern w:val="0"/>
          <w:sz w:val="24"/>
          <w:szCs w:val="24"/>
          <w:lang w:eastAsia="pt-BR"/>
          <w14:ligatures w14:val="none"/>
        </w:rPr>
        <w:t>.</w:t>
      </w:r>
    </w:p>
    <w:p w14:paraId="421A0BD0"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2º  A cobertura para desvio de hipóteses biométricas pode ser contratada, alternativamente, por meio de seguro de índice biométrico, no qual as indenizações sejam calculadas com base nas taxas biométricas observadas e estimadas.</w:t>
      </w:r>
    </w:p>
    <w:p w14:paraId="7C44133C"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50.  Nenhum recurso financeiro destinado ao pagamento de prêmio ou de indenização pode transitar diretamente entre a sociedade seguradora e o participante ou assistido, ressalvada a hipótese de ausência de vínculo entre o segurado e a EFPC, observada a legislação aplicável.</w:t>
      </w:r>
    </w:p>
    <w:p w14:paraId="5AA2DB7B"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51.  Qualquer pagamento da sociedade seguradora à EFPC, que não seja a título de indenização, deve:</w:t>
      </w:r>
    </w:p>
    <w:p w14:paraId="34CAF319"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 - ter previsão contratual;</w:t>
      </w:r>
    </w:p>
    <w:p w14:paraId="68DCD1C2"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 - ser destinado ao respectivo plano de benefícios; e</w:t>
      </w:r>
    </w:p>
    <w:p w14:paraId="7A67EAD8"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III - ser divulgado aos participantes e assistidos no Relatório Anual de Informações.</w:t>
      </w:r>
    </w:p>
    <w:p w14:paraId="7FA96BD5"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52.  A EFPC deve dar publicidade aos participantes e assistidos sobre a contratação do seguro, informando as respectivas condições e formas de acesso, quando houver.</w:t>
      </w:r>
    </w:p>
    <w:p w14:paraId="219AC4E4"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Seção IX</w:t>
      </w:r>
    </w:p>
    <w:p w14:paraId="498011B4"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Informações Atuariais</w:t>
      </w:r>
    </w:p>
    <w:p w14:paraId="51340D0B"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53.  Cabe à Diretoria de Fiscalização e Monitoramento emitir orientações para a operacionalização e o detalhamento do envio de documentos e informações.</w:t>
      </w:r>
    </w:p>
    <w:p w14:paraId="54E532FD"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54.  O envio de documentos e informações atuariais à Previc deve ser realizado:</w:t>
      </w:r>
    </w:p>
    <w:p w14:paraId="77E20580"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 - até 31 de março do exercício subsequente, para as demonstrações atuariais relativas ao encerramento do exercício de referência; e</w:t>
      </w:r>
    </w:p>
    <w:p w14:paraId="34F9E76D"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lastRenderedPageBreak/>
        <w:t>II - até noventa dias após a conclusão do fato que motivou a nova avaliação atuarial, para as demonstrações atuariais por fato relevante.</w:t>
      </w:r>
    </w:p>
    <w:p w14:paraId="72301809"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55.  As demonstrações atuariais referentes ao encerramento do exercício devem ser enviadas à Previc por meio do sistema de captação de dados disponível em sua página eletrônica.</w:t>
      </w:r>
    </w:p>
    <w:p w14:paraId="3A171080"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Subseção I</w:t>
      </w:r>
    </w:p>
    <w:p w14:paraId="21E0C276"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Demonstrações Atuariais</w:t>
      </w:r>
    </w:p>
    <w:p w14:paraId="4690F90A"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56.  As demonstrações atuariais podem ser:</w:t>
      </w:r>
    </w:p>
    <w:p w14:paraId="42AEDC1C"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 - demonstrações atuariais completas: são aquelas preenchidas com todas as informações sobre a avaliação atuarial; ou</w:t>
      </w:r>
    </w:p>
    <w:p w14:paraId="493EF217"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 - demonstrações atuariais simplificadas: são aquelas preenchidas com informações sobre a avaliação atuarial estabelecidas na forma do art. 53.</w:t>
      </w:r>
    </w:p>
    <w:p w14:paraId="0EDA46FB"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57.  As demonstrações atuariais devem ser elaboradas e enviadas nos casos de planos que possuam benefícios concedidos ou a conceder.</w:t>
      </w:r>
    </w:p>
    <w:p w14:paraId="66E1D0DD"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Parágrafo único.  A elaboração e envio das demonstrações atuariais é facultativa para os planos de benefícios constituídos na modalidade de contribuição definida cujos saldos contábeis sejam nulos nas contas "Benefício Definido" do grupo de contas das provisões matemáticas.</w:t>
      </w:r>
    </w:p>
    <w:p w14:paraId="0016ABA5"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58.  Na ocorrência de fato relevante deve ser realizada nova avaliação atuarial, posicionada na data da efetivação do fato que a motivou.</w:t>
      </w:r>
    </w:p>
    <w:p w14:paraId="00C38800"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59.  As informações contidas nas demonstrações atuariais devem refletir de forma individualizada todos os planos de benefícios mantidos pela EFPC e aprovados pelo órgão competente, na data de referência da avaliação atuarial.</w:t>
      </w:r>
    </w:p>
    <w:p w14:paraId="68451E2C"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Parágrafo único.  O preenchimento das demonstrações atuariais deve ser feito, quando indicado, por grupo de custeio, com identificação por numeração sequencial que não pode ser alterada com o tempo.</w:t>
      </w:r>
    </w:p>
    <w:p w14:paraId="3EA371FE"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60.  As demonstrações atuariais devem ser enviadas ao patrocinador do plano de benefícios antes do início de vigência do plano de custeio.</w:t>
      </w:r>
    </w:p>
    <w:p w14:paraId="1F58F072"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1º  O plano de custeio estabelecido pela avaliação atuarial de encerramento de exercício deve entrar em vigor até o dia 1º de abril do exercício subsequente ao de referência da respectiva avaliação atuarial.</w:t>
      </w:r>
    </w:p>
    <w:p w14:paraId="320D10B8"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2º  É admitido o estabelecimento de plano de custeio com efeitos retroativos ao início do exercício, desde que haja expressa concordância do patrocinador.</w:t>
      </w:r>
    </w:p>
    <w:p w14:paraId="3A472B60"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3º  No estabelecimento do plano de custeio devem ser observadas, quando for o caso, as disposições específicas aplicáveis aos planos de benefícios patrocinados pela União, pelos Estados, pelo Distrito Federal e pelos Municípios, inclusive suas autarquias, fundações, sociedades de economia mista e empresas controladas direta ou indiretamente.</w:t>
      </w:r>
    </w:p>
    <w:p w14:paraId="5757D51F"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Subseção II</w:t>
      </w:r>
    </w:p>
    <w:p w14:paraId="5F97D888"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Avaliação Atuarial</w:t>
      </w:r>
    </w:p>
    <w:p w14:paraId="5F5AC42D"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61.  A data de referência dos dados cadastrais utilizados na avaliação atuarial não pode estar defasada em mais de seis meses em relação à data da avaliação.</w:t>
      </w:r>
    </w:p>
    <w:p w14:paraId="3824EC55"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1º  Os dados cadastrais que serviram de base para a elaboração da avaliação atuarial devem ser informados pela EFPC e nela permanecer arquivados, inclusive os nomes dos campos, devendo ser apresentados à Previc, quando solicitado, em formato de planilha eletrônica de utilização comum.</w:t>
      </w:r>
    </w:p>
    <w:p w14:paraId="7B8B47A0"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xml:space="preserve">§ 2º  Sem prejuízo do disposto no </w:t>
      </w:r>
      <w:r w:rsidRPr="000D3B39">
        <w:rPr>
          <w:rFonts w:ascii="Calibri" w:eastAsia="Times New Roman" w:hAnsi="Calibri" w:cs="Calibri"/>
          <w:b/>
          <w:bCs/>
          <w:color w:val="000000"/>
          <w:kern w:val="0"/>
          <w:sz w:val="24"/>
          <w:szCs w:val="24"/>
          <w:lang w:eastAsia="pt-BR"/>
          <w14:ligatures w14:val="none"/>
        </w:rPr>
        <w:t>caput</w:t>
      </w:r>
      <w:r w:rsidRPr="000D3B39">
        <w:rPr>
          <w:rFonts w:ascii="Calibri" w:eastAsia="Times New Roman" w:hAnsi="Calibri" w:cs="Calibri"/>
          <w:color w:val="000000"/>
          <w:kern w:val="0"/>
          <w:sz w:val="24"/>
          <w:szCs w:val="24"/>
          <w:lang w:eastAsia="pt-BR"/>
          <w14:ligatures w14:val="none"/>
        </w:rPr>
        <w:t xml:space="preserve">, no caso de plano de benefícios que tenha passado por alteração nos últimos doze meses em decorrência de retirada de patrocínio, </w:t>
      </w:r>
      <w:proofErr w:type="spellStart"/>
      <w:r w:rsidRPr="000D3B39">
        <w:rPr>
          <w:rFonts w:ascii="Calibri" w:eastAsia="Times New Roman" w:hAnsi="Calibri" w:cs="Calibri"/>
          <w:color w:val="000000"/>
          <w:kern w:val="0"/>
          <w:sz w:val="24"/>
          <w:szCs w:val="24"/>
          <w:lang w:eastAsia="pt-BR"/>
          <w14:ligatures w14:val="none"/>
        </w:rPr>
        <w:t>saldamento</w:t>
      </w:r>
      <w:proofErr w:type="spellEnd"/>
      <w:r w:rsidRPr="000D3B39">
        <w:rPr>
          <w:rFonts w:ascii="Calibri" w:eastAsia="Times New Roman" w:hAnsi="Calibri" w:cs="Calibri"/>
          <w:color w:val="000000"/>
          <w:kern w:val="0"/>
          <w:sz w:val="24"/>
          <w:szCs w:val="24"/>
          <w:lang w:eastAsia="pt-BR"/>
          <w14:ligatures w14:val="none"/>
        </w:rPr>
        <w:t xml:space="preserve">, fusão, cisão, incorporação, </w:t>
      </w:r>
      <w:r w:rsidRPr="000D3B39">
        <w:rPr>
          <w:rFonts w:ascii="Calibri" w:eastAsia="Times New Roman" w:hAnsi="Calibri" w:cs="Calibri"/>
          <w:color w:val="000000"/>
          <w:kern w:val="0"/>
          <w:sz w:val="24"/>
          <w:szCs w:val="24"/>
          <w:lang w:eastAsia="pt-BR"/>
          <w14:ligatures w14:val="none"/>
        </w:rPr>
        <w:lastRenderedPageBreak/>
        <w:t>ou qualquer outra forma de reorganização societária, a data de referência dos dados cadastrais não pode ser anterior à data da efetivação da operação.</w:t>
      </w:r>
    </w:p>
    <w:p w14:paraId="2947C1A8"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62.  Os valores, consolidados pela EFPC, de provisões matemáticas, déficits, superávits e fundos previdenciais apresentados nas demonstrações atuariais, por ocasião da avaliação atuarial de encerramento do exercício, devem coincidir com os valores do balanço patrimonial.</w:t>
      </w:r>
    </w:p>
    <w:p w14:paraId="40DD1FAD"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63.  A expectativa de evolução das taxas de contribuição do plano de benefícios deve constar da avaliação atuarial.</w:t>
      </w:r>
    </w:p>
    <w:p w14:paraId="7E14FAEC"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64.  A destinação das contribuições para o plano de benefícios deve ser discriminada na avaliação atuarial.</w:t>
      </w:r>
    </w:p>
    <w:p w14:paraId="05EB3017"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65.  Os relatórios complementares apresentados pelo atuário à diretoria executiva ou aos conselhos devem ser arquivados em conjunto com as demonstrações atuariais e apresentados à Previc, quando solicitado.</w:t>
      </w:r>
    </w:p>
    <w:p w14:paraId="2AA09BAD"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Subseção III</w:t>
      </w:r>
    </w:p>
    <w:p w14:paraId="6E8113F6" w14:textId="77777777"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t>Nota Técnica Atuarial</w:t>
      </w:r>
    </w:p>
    <w:p w14:paraId="68E7B595"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66.  A nota técnica atuarial deve:</w:t>
      </w:r>
    </w:p>
    <w:p w14:paraId="1C2E00A7"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 - estar atualizada e consistente com o regulamento do plano de benefícios;</w:t>
      </w:r>
    </w:p>
    <w:p w14:paraId="2BDBD33F"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 - ser elaborada observando as características específicas de cada plano de benefícios; e</w:t>
      </w:r>
    </w:p>
    <w:p w14:paraId="2B43E3CA"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III - ser enviada à Previc:</w:t>
      </w:r>
    </w:p>
    <w:p w14:paraId="6686964B"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 por ocasião da implantação ou alteração do plano de benefícios e sempre que houver modificações na modelagem atuarial, de modo que seu conteúdo reflita todas as práticas atuariais adotadas para o plano; e</w:t>
      </w:r>
    </w:p>
    <w:p w14:paraId="5440BA40"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b) contendo a identificação do atuário habilitado e legalmente responsável pelo plano de benefícios, acompanhada de manifestação de ciência e concordância do administrador responsável pelo plano de benefícios com seu inteiro teor, para cada um dos planos de benefícios administrados pela EFPC.</w:t>
      </w:r>
    </w:p>
    <w:p w14:paraId="5235FE85"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Parágrafo único.  Os planos de benefícios dispensados de envio das demonstrações atuariais, nos termos do parágrafo único do art. 57, também estão dispensados do envio da nota técnica atuarial.</w:t>
      </w:r>
    </w:p>
    <w:p w14:paraId="7C7202EA"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67.  A EFPC deve assegurar que o atuário, ao assumir a responsabilidade pelo plano de benefícios:</w:t>
      </w:r>
    </w:p>
    <w:p w14:paraId="3CE6B99A"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 - ratifique formalmente a nota técnica atuarial em vigor, caso considere o documento apropriado às regras regulamentares do plano e aderente aos requisitos técnico-atuariais pertinentes; ou</w:t>
      </w:r>
    </w:p>
    <w:p w14:paraId="7A6B26AD"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 - elabore nota técnica atuarial, com as justificativas da alteração.</w:t>
      </w:r>
    </w:p>
    <w:p w14:paraId="7BB7C3F7"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68.  A nota técnica atuarial e o plano de custeio de cada plano de benefícios, objeto de contrato de seguro, devem prever o tratamento a ser dado às seguintes situações:</w:t>
      </w:r>
    </w:p>
    <w:p w14:paraId="53E5C427"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 - exclusão de determinados riscos pela sociedade seguradora; e</w:t>
      </w:r>
    </w:p>
    <w:p w14:paraId="30A2FBE3"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II - recusa de participantes ou assistidos pela sociedade seguradora.</w:t>
      </w:r>
    </w:p>
    <w:p w14:paraId="77A606A2" w14:textId="77777777" w:rsidR="000D3B3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Art. 69.  Os documentos elaborados para atendimento ao estabelecido neste Capítulo devem ser mantidos na EFPC à disposição da Previc.</w:t>
      </w:r>
    </w:p>
    <w:p w14:paraId="0BB2D7E1" w14:textId="77777777" w:rsidR="00855172" w:rsidRDefault="00855172" w:rsidP="000D3B39">
      <w:pPr>
        <w:spacing w:after="120" w:line="240" w:lineRule="auto"/>
        <w:jc w:val="both"/>
        <w:rPr>
          <w:rFonts w:ascii="Calibri" w:eastAsia="Times New Roman" w:hAnsi="Calibri" w:cs="Calibri"/>
          <w:color w:val="000000"/>
          <w:kern w:val="0"/>
          <w:sz w:val="24"/>
          <w:szCs w:val="24"/>
          <w:lang w:eastAsia="pt-BR"/>
          <w14:ligatures w14:val="none"/>
        </w:rPr>
      </w:pPr>
    </w:p>
    <w:p w14:paraId="7F6CE3FC" w14:textId="77777777" w:rsidR="00855172" w:rsidRDefault="00855172" w:rsidP="000D3B39">
      <w:pPr>
        <w:spacing w:after="120" w:line="240" w:lineRule="auto"/>
        <w:jc w:val="both"/>
        <w:rPr>
          <w:rFonts w:ascii="Calibri" w:eastAsia="Times New Roman" w:hAnsi="Calibri" w:cs="Calibri"/>
          <w:color w:val="000000"/>
          <w:kern w:val="0"/>
          <w:sz w:val="24"/>
          <w:szCs w:val="24"/>
          <w:lang w:eastAsia="pt-BR"/>
          <w14:ligatures w14:val="none"/>
        </w:rPr>
      </w:pPr>
    </w:p>
    <w:p w14:paraId="541478BD" w14:textId="77777777" w:rsidR="00855172" w:rsidRDefault="00855172" w:rsidP="000D3B39">
      <w:pPr>
        <w:spacing w:after="120" w:line="240" w:lineRule="auto"/>
        <w:jc w:val="both"/>
        <w:rPr>
          <w:rFonts w:ascii="Calibri" w:eastAsia="Times New Roman" w:hAnsi="Calibri" w:cs="Calibri"/>
          <w:color w:val="000000"/>
          <w:kern w:val="0"/>
          <w:sz w:val="24"/>
          <w:szCs w:val="24"/>
          <w:lang w:eastAsia="pt-BR"/>
          <w14:ligatures w14:val="none"/>
        </w:rPr>
      </w:pPr>
    </w:p>
    <w:p w14:paraId="3F07CB82" w14:textId="77777777" w:rsidR="00855172" w:rsidRPr="00802AD9" w:rsidRDefault="00855172" w:rsidP="000D3B39">
      <w:pPr>
        <w:spacing w:after="120" w:line="240" w:lineRule="auto"/>
        <w:jc w:val="both"/>
        <w:rPr>
          <w:rFonts w:ascii="Calibri" w:eastAsia="Times New Roman" w:hAnsi="Calibri" w:cs="Calibri"/>
          <w:color w:val="000000"/>
          <w:kern w:val="0"/>
          <w:sz w:val="24"/>
          <w:szCs w:val="24"/>
          <w:lang w:eastAsia="pt-BR"/>
          <w14:ligatures w14:val="none"/>
        </w:rPr>
      </w:pPr>
    </w:p>
    <w:p w14:paraId="37596685" w14:textId="4068ED63" w:rsidR="000D3B39" w:rsidRPr="00802AD9" w:rsidRDefault="000D3B39"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0D3B39">
        <w:rPr>
          <w:rFonts w:ascii="Calibri" w:eastAsia="Times New Roman" w:hAnsi="Calibri" w:cs="Calibri"/>
          <w:b/>
          <w:bCs/>
          <w:color w:val="000000"/>
          <w:kern w:val="0"/>
          <w:sz w:val="24"/>
          <w:szCs w:val="24"/>
          <w:lang w:eastAsia="pt-BR"/>
          <w14:ligatures w14:val="none"/>
        </w:rPr>
        <w:lastRenderedPageBreak/>
        <w:t>Anexo</w:t>
      </w:r>
    </w:p>
    <w:p w14:paraId="04F6A438" w14:textId="4D72BD99" w:rsidR="009F5C82" w:rsidRPr="00802AD9" w:rsidRDefault="009F5C82" w:rsidP="000D3B39">
      <w:pPr>
        <w:spacing w:after="120" w:line="240" w:lineRule="auto"/>
        <w:jc w:val="center"/>
        <w:rPr>
          <w:rFonts w:ascii="Calibri" w:eastAsia="Times New Roman" w:hAnsi="Calibri" w:cs="Calibri"/>
          <w:b/>
          <w:bCs/>
          <w:color w:val="000000"/>
          <w:kern w:val="0"/>
          <w:sz w:val="24"/>
          <w:szCs w:val="24"/>
          <w:lang w:eastAsia="pt-BR"/>
          <w14:ligatures w14:val="none"/>
        </w:rPr>
      </w:pPr>
      <w:r w:rsidRPr="00802AD9">
        <w:rPr>
          <w:rFonts w:ascii="Calibri" w:eastAsia="Times New Roman" w:hAnsi="Calibri" w:cs="Calibri"/>
          <w:noProof/>
          <w:kern w:val="0"/>
          <w:sz w:val="24"/>
          <w:szCs w:val="24"/>
          <w:lang w:eastAsia="pt-BR"/>
          <w14:ligatures w14:val="none"/>
        </w:rPr>
        <w:drawing>
          <wp:inline distT="0" distB="0" distL="0" distR="0" wp14:anchorId="45E08181" wp14:editId="439F205B">
            <wp:extent cx="2819400" cy="1095375"/>
            <wp:effectExtent l="0" t="0" r="0" b="9525"/>
            <wp:docPr id="1621727991" name="Imagem 1621727991" descr="Tabela&#10;&#10;Descrição gerada automaticamente com confiança média">
              <a:extLst xmlns:a="http://schemas.openxmlformats.org/drawingml/2006/main">
                <a:ext uri="{FF2B5EF4-FFF2-40B4-BE49-F238E27FC236}">
                  <a16:creationId xmlns:a16="http://schemas.microsoft.com/office/drawing/2014/main" id="{5D3EC22A-7CC1-428C-981C-248ED870033B}"/>
                </a:ext>
              </a:extLst>
            </wp:docPr>
            <wp:cNvGraphicFramePr/>
            <a:graphic xmlns:a="http://schemas.openxmlformats.org/drawingml/2006/main">
              <a:graphicData uri="http://schemas.openxmlformats.org/drawingml/2006/picture">
                <pic:pic xmlns:pic="http://schemas.openxmlformats.org/drawingml/2006/picture">
                  <pic:nvPicPr>
                    <pic:cNvPr id="3" name="Imagem 1" descr="Tabela&#10;&#10;Descrição gerada automaticamente com confiança média">
                      <a:extLst>
                        <a:ext uri="{FF2B5EF4-FFF2-40B4-BE49-F238E27FC236}">
                          <a16:creationId xmlns:a16="http://schemas.microsoft.com/office/drawing/2014/main" id="{5D3EC22A-7CC1-428C-981C-248ED870033B}"/>
                        </a:ext>
                      </a:extLst>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19400" cy="1095375"/>
                    </a:xfrm>
                    <a:prstGeom prst="rect">
                      <a:avLst/>
                    </a:prstGeom>
                    <a:noFill/>
                  </pic:spPr>
                </pic:pic>
              </a:graphicData>
            </a:graphic>
          </wp:inline>
        </w:drawing>
      </w:r>
    </w:p>
    <w:p w14:paraId="7BBEC4EB" w14:textId="70ACE602"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proofErr w:type="spellStart"/>
      <w:r w:rsidRPr="000D3B39">
        <w:rPr>
          <w:rFonts w:ascii="Calibri" w:eastAsia="Times New Roman" w:hAnsi="Calibri" w:cs="Calibri"/>
          <w:color w:val="000000"/>
          <w:kern w:val="0"/>
          <w:sz w:val="24"/>
          <w:szCs w:val="24"/>
          <w:lang w:eastAsia="pt-BR"/>
          <w14:ligatures w14:val="none"/>
        </w:rPr>
        <w:t>Fi</w:t>
      </w:r>
      <w:proofErr w:type="spellEnd"/>
      <w:r w:rsidRPr="000D3B39">
        <w:rPr>
          <w:rFonts w:ascii="Calibri" w:eastAsia="Times New Roman" w:hAnsi="Calibri" w:cs="Calibri"/>
          <w:color w:val="000000"/>
          <w:kern w:val="0"/>
          <w:sz w:val="24"/>
          <w:szCs w:val="24"/>
          <w:lang w:eastAsia="pt-BR"/>
          <w14:ligatures w14:val="none"/>
        </w:rPr>
        <w:t xml:space="preserve"> = somatório dos pagamentos de benefícios de cada plano, líquidos de contribuições incidentes sobre esses benefícios, relativos ao i-</w:t>
      </w:r>
      <w:proofErr w:type="spellStart"/>
      <w:r w:rsidRPr="000D3B39">
        <w:rPr>
          <w:rFonts w:ascii="Calibri" w:eastAsia="Times New Roman" w:hAnsi="Calibri" w:cs="Calibri"/>
          <w:color w:val="000000"/>
          <w:kern w:val="0"/>
          <w:sz w:val="24"/>
          <w:szCs w:val="24"/>
          <w:lang w:eastAsia="pt-BR"/>
          <w14:ligatures w14:val="none"/>
        </w:rPr>
        <w:t>ésimo</w:t>
      </w:r>
      <w:proofErr w:type="spellEnd"/>
      <w:r w:rsidRPr="000D3B39">
        <w:rPr>
          <w:rFonts w:ascii="Calibri" w:eastAsia="Times New Roman" w:hAnsi="Calibri" w:cs="Calibri"/>
          <w:color w:val="000000"/>
          <w:kern w:val="0"/>
          <w:sz w:val="24"/>
          <w:szCs w:val="24"/>
          <w:lang w:eastAsia="pt-BR"/>
          <w14:ligatures w14:val="none"/>
        </w:rPr>
        <w:t xml:space="preserve"> prazo;</w:t>
      </w:r>
    </w:p>
    <w:p w14:paraId="60956BF2"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TA = a taxa real anual de juros aplicada no ano anterior pelo respectivo plano de benefícios.</w:t>
      </w:r>
    </w:p>
    <w:p w14:paraId="5F5B176D"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2. Para o cálculo do arredondamento do algarismo da casa decimal de que trata o art. 6º devem ser considerados os algarismos relativos à primeira e segunda casas decimais, efetuando-se o arredondamento da seguinte forma:</w:t>
      </w:r>
    </w:p>
    <w:p w14:paraId="449E9BBF"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xml:space="preserve">2.1. Arredonda-se para o número inteiro inferior, quando os algarismos relativos à primeira e segunda casas decimais estiverem </w:t>
      </w:r>
      <w:proofErr w:type="gramStart"/>
      <w:r w:rsidRPr="000D3B39">
        <w:rPr>
          <w:rFonts w:ascii="Calibri" w:eastAsia="Times New Roman" w:hAnsi="Calibri" w:cs="Calibri"/>
          <w:color w:val="000000"/>
          <w:kern w:val="0"/>
          <w:sz w:val="24"/>
          <w:szCs w:val="24"/>
          <w:lang w:eastAsia="pt-BR"/>
          <w14:ligatures w14:val="none"/>
        </w:rPr>
        <w:t>compreendidos</w:t>
      </w:r>
      <w:proofErr w:type="gramEnd"/>
      <w:r w:rsidRPr="000D3B39">
        <w:rPr>
          <w:rFonts w:ascii="Calibri" w:eastAsia="Times New Roman" w:hAnsi="Calibri" w:cs="Calibri"/>
          <w:color w:val="000000"/>
          <w:kern w:val="0"/>
          <w:sz w:val="24"/>
          <w:szCs w:val="24"/>
          <w:lang w:eastAsia="pt-BR"/>
          <w14:ligatures w14:val="none"/>
        </w:rPr>
        <w:t xml:space="preserve"> no intervalo de 01 a 24;</w:t>
      </w:r>
    </w:p>
    <w:p w14:paraId="13C9BE7D"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xml:space="preserve">2.2. Arredonda-se o algarismo relativo à primeira casa decimal para cinco, quando os algarismos relativos à primeira e segunda casas decimais estiverem </w:t>
      </w:r>
      <w:proofErr w:type="gramStart"/>
      <w:r w:rsidRPr="000D3B39">
        <w:rPr>
          <w:rFonts w:ascii="Calibri" w:eastAsia="Times New Roman" w:hAnsi="Calibri" w:cs="Calibri"/>
          <w:color w:val="000000"/>
          <w:kern w:val="0"/>
          <w:sz w:val="24"/>
          <w:szCs w:val="24"/>
          <w:lang w:eastAsia="pt-BR"/>
          <w14:ligatures w14:val="none"/>
        </w:rPr>
        <w:t>compreendidos</w:t>
      </w:r>
      <w:proofErr w:type="gramEnd"/>
      <w:r w:rsidRPr="000D3B39">
        <w:rPr>
          <w:rFonts w:ascii="Calibri" w:eastAsia="Times New Roman" w:hAnsi="Calibri" w:cs="Calibri"/>
          <w:color w:val="000000"/>
          <w:kern w:val="0"/>
          <w:sz w:val="24"/>
          <w:szCs w:val="24"/>
          <w:lang w:eastAsia="pt-BR"/>
          <w14:ligatures w14:val="none"/>
        </w:rPr>
        <w:t xml:space="preserve"> no intervalo de 25 a 74; e</w:t>
      </w:r>
    </w:p>
    <w:p w14:paraId="3D9D7B8E" w14:textId="77777777" w:rsidR="000D3B39" w:rsidRPr="00802AD9" w:rsidRDefault="000D3B39" w:rsidP="000D3B39">
      <w:pPr>
        <w:spacing w:after="120" w:line="240" w:lineRule="auto"/>
        <w:jc w:val="both"/>
        <w:rPr>
          <w:rFonts w:ascii="Calibri" w:eastAsia="Times New Roman" w:hAnsi="Calibri" w:cs="Calibri"/>
          <w:color w:val="000000"/>
          <w:kern w:val="0"/>
          <w:sz w:val="24"/>
          <w:szCs w:val="24"/>
          <w:lang w:eastAsia="pt-BR"/>
          <w14:ligatures w14:val="none"/>
        </w:rPr>
      </w:pPr>
      <w:r w:rsidRPr="000D3B39">
        <w:rPr>
          <w:rFonts w:ascii="Calibri" w:eastAsia="Times New Roman" w:hAnsi="Calibri" w:cs="Calibri"/>
          <w:color w:val="000000"/>
          <w:kern w:val="0"/>
          <w:sz w:val="24"/>
          <w:szCs w:val="24"/>
          <w:lang w:eastAsia="pt-BR"/>
          <w14:ligatures w14:val="none"/>
        </w:rPr>
        <w:t xml:space="preserve">2.3. Arredonda-se para o número inteiro imediatamente superior, quando os algarismos relativos à primeira e segunda casas decimais estiverem </w:t>
      </w:r>
      <w:proofErr w:type="gramStart"/>
      <w:r w:rsidRPr="000D3B39">
        <w:rPr>
          <w:rFonts w:ascii="Calibri" w:eastAsia="Times New Roman" w:hAnsi="Calibri" w:cs="Calibri"/>
          <w:color w:val="000000"/>
          <w:kern w:val="0"/>
          <w:sz w:val="24"/>
          <w:szCs w:val="24"/>
          <w:lang w:eastAsia="pt-BR"/>
          <w14:ligatures w14:val="none"/>
        </w:rPr>
        <w:t>compreendidos</w:t>
      </w:r>
      <w:proofErr w:type="gramEnd"/>
      <w:r w:rsidRPr="000D3B39">
        <w:rPr>
          <w:rFonts w:ascii="Calibri" w:eastAsia="Times New Roman" w:hAnsi="Calibri" w:cs="Calibri"/>
          <w:color w:val="000000"/>
          <w:kern w:val="0"/>
          <w:sz w:val="24"/>
          <w:szCs w:val="24"/>
          <w:lang w:eastAsia="pt-BR"/>
          <w14:ligatures w14:val="none"/>
        </w:rPr>
        <w:t xml:space="preserve"> no intervalo de 75 a 99.</w:t>
      </w:r>
    </w:p>
    <w:p w14:paraId="38646ACE" w14:textId="77777777" w:rsidR="00087A55" w:rsidRPr="00802AD9" w:rsidRDefault="00087A55" w:rsidP="000D3B39">
      <w:pPr>
        <w:spacing w:after="120" w:line="240" w:lineRule="auto"/>
        <w:rPr>
          <w:rFonts w:ascii="Calibri" w:eastAsia="Times New Roman" w:hAnsi="Calibri" w:cs="Calibri"/>
          <w:b/>
          <w:bCs/>
          <w:kern w:val="0"/>
          <w:sz w:val="24"/>
          <w:szCs w:val="24"/>
          <w:lang w:eastAsia="pt-BR"/>
          <w14:ligatures w14:val="none"/>
        </w:rPr>
      </w:pPr>
    </w:p>
    <w:sectPr w:rsidR="00087A55" w:rsidRPr="00802AD9" w:rsidSect="00802AD9">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567" w:left="1134"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Tais Novo Duarte - PREVICDF" w:date="2023-04-25T15:48:00Z" w:initials="TNDP">
    <w:p w14:paraId="3323EE30" w14:textId="77777777" w:rsidR="00C21FE0" w:rsidRDefault="00C21FE0" w:rsidP="00692245">
      <w:pPr>
        <w:pStyle w:val="Textodecomentrio"/>
      </w:pPr>
      <w:r>
        <w:rPr>
          <w:rStyle w:val="Refdecomentrio"/>
        </w:rPr>
        <w:annotationRef/>
      </w:r>
      <w:r>
        <w:t>Não poderíamos excluir?</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3323EE30"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F274C5" w16cex:dateUtc="2023-04-25T18:4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323EE30" w16cid:durableId="27F274C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4D78B7" w14:textId="77777777" w:rsidR="000E3C3E" w:rsidRDefault="000E3C3E" w:rsidP="003A77B6">
      <w:pPr>
        <w:spacing w:after="0" w:line="240" w:lineRule="auto"/>
      </w:pPr>
      <w:r>
        <w:separator/>
      </w:r>
    </w:p>
  </w:endnote>
  <w:endnote w:type="continuationSeparator" w:id="0">
    <w:p w14:paraId="0441E4B3" w14:textId="77777777" w:rsidR="000E3C3E" w:rsidRDefault="000E3C3E" w:rsidP="003A77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68D883" w14:textId="77777777" w:rsidR="003A77B6" w:rsidRDefault="003A77B6">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D59F30" w14:textId="77777777" w:rsidR="003A77B6" w:rsidRDefault="003A77B6">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8B6DF4" w14:textId="77777777" w:rsidR="003A77B6" w:rsidRDefault="003A77B6">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595823" w14:textId="77777777" w:rsidR="000E3C3E" w:rsidRDefault="000E3C3E" w:rsidP="003A77B6">
      <w:pPr>
        <w:spacing w:after="0" w:line="240" w:lineRule="auto"/>
      </w:pPr>
      <w:r>
        <w:separator/>
      </w:r>
    </w:p>
  </w:footnote>
  <w:footnote w:type="continuationSeparator" w:id="0">
    <w:p w14:paraId="2EF582AA" w14:textId="77777777" w:rsidR="000E3C3E" w:rsidRDefault="000E3C3E" w:rsidP="003A77B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F36DC" w14:textId="77777777" w:rsidR="003A77B6" w:rsidRDefault="003A77B6">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1188477"/>
      <w:docPartObj>
        <w:docPartGallery w:val="Watermarks"/>
        <w:docPartUnique/>
      </w:docPartObj>
    </w:sdtPr>
    <w:sdtContent>
      <w:p w14:paraId="6D4410E4" w14:textId="16A2B061" w:rsidR="003A77B6" w:rsidRDefault="00000000">
        <w:pPr>
          <w:pStyle w:val="Cabealho"/>
        </w:pPr>
        <w:r>
          <w:pict w14:anchorId="56060D9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33172064" o:spid="_x0000_s1025" type="#_x0000_t136" style="position:absolute;margin-left:0;margin-top:0;width:447.6pt;height:191.8pt;rotation:315;z-index:-251658752;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BD1265" w14:textId="77777777" w:rsidR="003A77B6" w:rsidRDefault="003A77B6">
    <w:pPr>
      <w:pStyle w:val="Cabealho"/>
    </w:pPr>
  </w:p>
</w:hdr>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Tais Novo Duarte - PREVICDF">
    <w15:presenceInfo w15:providerId="AD" w15:userId="S::tais.duarte@previc.gov.br::7d3289df-6772-4707-8b0c-a2a586fb216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1C84"/>
    <w:rsid w:val="00087A55"/>
    <w:rsid w:val="00092090"/>
    <w:rsid w:val="000D3B39"/>
    <w:rsid w:val="000E3C3E"/>
    <w:rsid w:val="00222E1E"/>
    <w:rsid w:val="00340295"/>
    <w:rsid w:val="00382F28"/>
    <w:rsid w:val="003A77B6"/>
    <w:rsid w:val="00411057"/>
    <w:rsid w:val="004202C9"/>
    <w:rsid w:val="004A361A"/>
    <w:rsid w:val="004B0FDF"/>
    <w:rsid w:val="00512F76"/>
    <w:rsid w:val="00542C92"/>
    <w:rsid w:val="005A24C3"/>
    <w:rsid w:val="005D1B7F"/>
    <w:rsid w:val="00676780"/>
    <w:rsid w:val="00802AD9"/>
    <w:rsid w:val="00855172"/>
    <w:rsid w:val="00934724"/>
    <w:rsid w:val="009377CE"/>
    <w:rsid w:val="0096574A"/>
    <w:rsid w:val="009F0D30"/>
    <w:rsid w:val="009F5C82"/>
    <w:rsid w:val="00AA46AB"/>
    <w:rsid w:val="00AD3D7C"/>
    <w:rsid w:val="00AD43B7"/>
    <w:rsid w:val="00B74BF7"/>
    <w:rsid w:val="00BD1D3E"/>
    <w:rsid w:val="00C21FE0"/>
    <w:rsid w:val="00C91C84"/>
    <w:rsid w:val="00CD2E5B"/>
    <w:rsid w:val="00E91E19"/>
    <w:rsid w:val="00FE06A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F8A14C"/>
  <w15:chartTrackingRefBased/>
  <w15:docId w15:val="{AFCBF6EC-D00C-462F-95AD-9F10250856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574A"/>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542C92"/>
    <w:pPr>
      <w:ind w:left="720"/>
      <w:contextualSpacing/>
    </w:pPr>
  </w:style>
  <w:style w:type="paragraph" w:styleId="Cabealho">
    <w:name w:val="header"/>
    <w:basedOn w:val="Normal"/>
    <w:link w:val="CabealhoChar"/>
    <w:uiPriority w:val="99"/>
    <w:unhideWhenUsed/>
    <w:rsid w:val="003A77B6"/>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3A77B6"/>
  </w:style>
  <w:style w:type="paragraph" w:styleId="Rodap">
    <w:name w:val="footer"/>
    <w:basedOn w:val="Normal"/>
    <w:link w:val="RodapChar"/>
    <w:uiPriority w:val="99"/>
    <w:unhideWhenUsed/>
    <w:rsid w:val="003A77B6"/>
    <w:pPr>
      <w:tabs>
        <w:tab w:val="center" w:pos="4252"/>
        <w:tab w:val="right" w:pos="8504"/>
      </w:tabs>
      <w:spacing w:after="0" w:line="240" w:lineRule="auto"/>
    </w:pPr>
  </w:style>
  <w:style w:type="character" w:customStyle="1" w:styleId="RodapChar">
    <w:name w:val="Rodapé Char"/>
    <w:basedOn w:val="Fontepargpadro"/>
    <w:link w:val="Rodap"/>
    <w:uiPriority w:val="99"/>
    <w:rsid w:val="003A77B6"/>
  </w:style>
  <w:style w:type="character" w:styleId="Refdecomentrio">
    <w:name w:val="annotation reference"/>
    <w:basedOn w:val="Fontepargpadro"/>
    <w:uiPriority w:val="99"/>
    <w:semiHidden/>
    <w:unhideWhenUsed/>
    <w:rsid w:val="00C21FE0"/>
    <w:rPr>
      <w:sz w:val="16"/>
      <w:szCs w:val="16"/>
    </w:rPr>
  </w:style>
  <w:style w:type="paragraph" w:styleId="Textodecomentrio">
    <w:name w:val="annotation text"/>
    <w:basedOn w:val="Normal"/>
    <w:link w:val="TextodecomentrioChar"/>
    <w:uiPriority w:val="99"/>
    <w:unhideWhenUsed/>
    <w:rsid w:val="00C21FE0"/>
    <w:pPr>
      <w:spacing w:line="240" w:lineRule="auto"/>
    </w:pPr>
    <w:rPr>
      <w:sz w:val="20"/>
      <w:szCs w:val="20"/>
    </w:rPr>
  </w:style>
  <w:style w:type="character" w:customStyle="1" w:styleId="TextodecomentrioChar">
    <w:name w:val="Texto de comentário Char"/>
    <w:basedOn w:val="Fontepargpadro"/>
    <w:link w:val="Textodecomentrio"/>
    <w:uiPriority w:val="99"/>
    <w:rsid w:val="00C21FE0"/>
    <w:rPr>
      <w:sz w:val="20"/>
      <w:szCs w:val="20"/>
    </w:rPr>
  </w:style>
  <w:style w:type="paragraph" w:styleId="Assuntodocomentrio">
    <w:name w:val="annotation subject"/>
    <w:basedOn w:val="Textodecomentrio"/>
    <w:next w:val="Textodecomentrio"/>
    <w:link w:val="AssuntodocomentrioChar"/>
    <w:uiPriority w:val="99"/>
    <w:semiHidden/>
    <w:unhideWhenUsed/>
    <w:rsid w:val="00C21FE0"/>
    <w:rPr>
      <w:b/>
      <w:bCs/>
    </w:rPr>
  </w:style>
  <w:style w:type="character" w:customStyle="1" w:styleId="AssuntodocomentrioChar">
    <w:name w:val="Assunto do comentário Char"/>
    <w:basedOn w:val="TextodecomentrioChar"/>
    <w:link w:val="Assuntodocomentrio"/>
    <w:uiPriority w:val="99"/>
    <w:semiHidden/>
    <w:rsid w:val="00C21FE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427006">
      <w:bodyDiv w:val="1"/>
      <w:marLeft w:val="0"/>
      <w:marRight w:val="0"/>
      <w:marTop w:val="0"/>
      <w:marBottom w:val="0"/>
      <w:divBdr>
        <w:top w:val="none" w:sz="0" w:space="0" w:color="auto"/>
        <w:left w:val="none" w:sz="0" w:space="0" w:color="auto"/>
        <w:bottom w:val="none" w:sz="0" w:space="0" w:color="auto"/>
        <w:right w:val="none" w:sz="0" w:space="0" w:color="auto"/>
      </w:divBdr>
    </w:div>
    <w:div w:id="1122991314">
      <w:bodyDiv w:val="1"/>
      <w:marLeft w:val="0"/>
      <w:marRight w:val="0"/>
      <w:marTop w:val="0"/>
      <w:marBottom w:val="0"/>
      <w:divBdr>
        <w:top w:val="none" w:sz="0" w:space="0" w:color="auto"/>
        <w:left w:val="none" w:sz="0" w:space="0" w:color="auto"/>
        <w:bottom w:val="none" w:sz="0" w:space="0" w:color="auto"/>
        <w:right w:val="none" w:sz="0" w:space="0" w:color="auto"/>
      </w:divBdr>
    </w:div>
    <w:div w:id="1256092640">
      <w:bodyDiv w:val="1"/>
      <w:marLeft w:val="0"/>
      <w:marRight w:val="0"/>
      <w:marTop w:val="0"/>
      <w:marBottom w:val="0"/>
      <w:divBdr>
        <w:top w:val="none" w:sz="0" w:space="0" w:color="auto"/>
        <w:left w:val="none" w:sz="0" w:space="0" w:color="auto"/>
        <w:bottom w:val="none" w:sz="0" w:space="0" w:color="auto"/>
        <w:right w:val="none" w:sz="0" w:space="0" w:color="auto"/>
      </w:divBdr>
    </w:div>
    <w:div w:id="1685398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1.jpeg"/><Relationship Id="rId5" Type="http://schemas.openxmlformats.org/officeDocument/2006/relationships/footnotes" Target="footnotes.xml"/><Relationship Id="rId15" Type="http://schemas.openxmlformats.org/officeDocument/2006/relationships/footer" Target="footer2.xml"/><Relationship Id="rId10" Type="http://schemas.microsoft.com/office/2018/08/relationships/commentsExtensible" Target="commentsExtensible.xml"/><Relationship Id="rId19" Type="http://schemas.microsoft.com/office/2011/relationships/people" Target="people.xml"/><Relationship Id="rId4" Type="http://schemas.openxmlformats.org/officeDocument/2006/relationships/webSettings" Target="webSettings.xml"/><Relationship Id="rId9" Type="http://schemas.microsoft.com/office/2016/09/relationships/commentsIds" Target="commentsIds.xml"/><Relationship Id="rId14" Type="http://schemas.openxmlformats.org/officeDocument/2006/relationships/footer" Target="footer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6A1311-27D0-4774-A5A6-72EE049F2E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6743</Words>
  <Characters>36418</Characters>
  <Application>Microsoft Office Word</Application>
  <DocSecurity>0</DocSecurity>
  <Lines>303</Lines>
  <Paragraphs>86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Claudemiro Quintal Júnior</dc:creator>
  <cp:keywords/>
  <dc:description/>
  <cp:lastModifiedBy>Tais Novo Duarte - PREVICDF</cp:lastModifiedBy>
  <cp:revision>2</cp:revision>
  <dcterms:created xsi:type="dcterms:W3CDTF">2023-04-25T19:02:00Z</dcterms:created>
  <dcterms:modified xsi:type="dcterms:W3CDTF">2023-04-25T19:02:00Z</dcterms:modified>
</cp:coreProperties>
</file>