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48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35"/>
        <w:gridCol w:w="4540"/>
        <w:gridCol w:w="4527"/>
      </w:tblGrid>
      <w:tr w:rsidR="00225EB1" w:rsidRPr="00225EB1" w14:paraId="51C19084" w14:textId="77777777" w:rsidTr="00ED7D87">
        <w:tc>
          <w:tcPr>
            <w:tcW w:w="1667" w:type="pct"/>
            <w:vAlign w:val="center"/>
          </w:tcPr>
          <w:p w14:paraId="641639A0" w14:textId="49BB35EB" w:rsidR="00A6584C" w:rsidRPr="00225EB1" w:rsidRDefault="00925DE4"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eastAsia="Times New Roman" w:hAnsi="Calibri" w:cs="Calibri"/>
                <w:b/>
                <w:bCs/>
                <w:kern w:val="0"/>
                <w:sz w:val="24"/>
                <w:szCs w:val="24"/>
                <w:lang w:eastAsia="pt-BR"/>
                <w14:ligatures w14:val="none"/>
              </w:rPr>
              <w:t>DE</w:t>
            </w:r>
          </w:p>
        </w:tc>
        <w:tc>
          <w:tcPr>
            <w:tcW w:w="1667" w:type="pct"/>
            <w:shd w:val="clear" w:color="auto" w:fill="auto"/>
            <w:noWrap/>
            <w:vAlign w:val="center"/>
            <w:hideMark/>
          </w:tcPr>
          <w:p w14:paraId="3C23D6F5" w14:textId="2E34327C" w:rsidR="00A6584C" w:rsidRPr="00843426" w:rsidRDefault="00925DE4"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eastAsia="Times New Roman" w:hAnsi="Calibri" w:cs="Calibri"/>
                <w:b/>
                <w:bCs/>
                <w:kern w:val="0"/>
                <w:sz w:val="24"/>
                <w:szCs w:val="24"/>
                <w:lang w:eastAsia="pt-BR"/>
                <w14:ligatures w14:val="none"/>
              </w:rPr>
              <w:t>PARA</w:t>
            </w:r>
          </w:p>
        </w:tc>
        <w:tc>
          <w:tcPr>
            <w:tcW w:w="1666" w:type="pct"/>
            <w:shd w:val="clear" w:color="auto" w:fill="auto"/>
            <w:noWrap/>
            <w:vAlign w:val="center"/>
            <w:hideMark/>
          </w:tcPr>
          <w:p w14:paraId="45FA55A9" w14:textId="7366EC54" w:rsidR="00A6584C" w:rsidRPr="00843426" w:rsidRDefault="00925DE4"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eastAsia="Times New Roman" w:hAnsi="Calibri" w:cs="Calibri"/>
                <w:b/>
                <w:bCs/>
                <w:kern w:val="0"/>
                <w:sz w:val="24"/>
                <w:szCs w:val="24"/>
                <w:lang w:eastAsia="pt-BR"/>
                <w14:ligatures w14:val="none"/>
              </w:rPr>
              <w:t>JUSTIFICATIVA</w:t>
            </w:r>
          </w:p>
        </w:tc>
      </w:tr>
      <w:tr w:rsidR="00225EB1" w:rsidRPr="00225EB1" w14:paraId="5490C368" w14:textId="77777777" w:rsidTr="00ED7D87">
        <w:tc>
          <w:tcPr>
            <w:tcW w:w="1667" w:type="pct"/>
            <w:vAlign w:val="center"/>
          </w:tcPr>
          <w:p w14:paraId="56D0502E" w14:textId="2964FC1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tcPr>
          <w:p w14:paraId="37EC8965" w14:textId="0DE6EB60" w:rsidR="00A6584C" w:rsidRPr="00843426" w:rsidRDefault="0012568F" w:rsidP="00EB77BF">
            <w:pPr>
              <w:spacing w:after="0" w:line="240" w:lineRule="auto"/>
              <w:jc w:val="center"/>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CAPÍTULO</w:t>
            </w:r>
            <w:r w:rsidR="009068E9">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I</w:t>
            </w:r>
          </w:p>
        </w:tc>
        <w:tc>
          <w:tcPr>
            <w:tcW w:w="1666" w:type="pct"/>
            <w:shd w:val="clear" w:color="auto" w:fill="auto"/>
            <w:noWrap/>
            <w:vAlign w:val="center"/>
          </w:tcPr>
          <w:p w14:paraId="085FC521" w14:textId="2F38454E" w:rsidR="00A6584C" w:rsidRPr="00843426" w:rsidRDefault="00925DE4" w:rsidP="00EB77BF">
            <w:pPr>
              <w:spacing w:after="0" w:line="240" w:lineRule="auto"/>
              <w:jc w:val="center"/>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Criar o capítulo das normas atuariais.</w:t>
            </w:r>
          </w:p>
        </w:tc>
      </w:tr>
      <w:tr w:rsidR="00225EB1" w:rsidRPr="00225EB1" w14:paraId="0B469DFA" w14:textId="77777777" w:rsidTr="00ED7D87">
        <w:tc>
          <w:tcPr>
            <w:tcW w:w="1667" w:type="pct"/>
            <w:vAlign w:val="center"/>
          </w:tcPr>
          <w:p w14:paraId="6553FDA2" w14:textId="77777777" w:rsidR="00925DE4" w:rsidRPr="00225EB1" w:rsidRDefault="00925DE4"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tcPr>
          <w:p w14:paraId="62360F15" w14:textId="71F717D5" w:rsidR="00925DE4" w:rsidRPr="00225EB1" w:rsidRDefault="0012568F" w:rsidP="00EB77BF">
            <w:pPr>
              <w:spacing w:after="0" w:line="240" w:lineRule="auto"/>
              <w:jc w:val="center"/>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PROCEDIMENTOS</w:t>
            </w:r>
            <w:r w:rsidR="009068E9">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PARÂMETROS</w:t>
            </w:r>
            <w:r w:rsidR="009068E9">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ATUARIAIS</w:t>
            </w:r>
          </w:p>
        </w:tc>
        <w:tc>
          <w:tcPr>
            <w:tcW w:w="1666" w:type="pct"/>
            <w:shd w:val="clear" w:color="auto" w:fill="auto"/>
            <w:noWrap/>
            <w:vAlign w:val="center"/>
          </w:tcPr>
          <w:p w14:paraId="4EED93A9" w14:textId="77777777" w:rsidR="00925DE4" w:rsidRPr="00225EB1" w:rsidRDefault="00925DE4"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E6F8B4F" w14:textId="77777777" w:rsidTr="00ED7D87">
        <w:tc>
          <w:tcPr>
            <w:tcW w:w="1667" w:type="pct"/>
            <w:vAlign w:val="center"/>
          </w:tcPr>
          <w:p w14:paraId="7BBBC8C6" w14:textId="22290D33"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49F77617" w14:textId="33C025FB"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6" w:type="pct"/>
            <w:shd w:val="clear" w:color="auto" w:fill="auto"/>
            <w:noWrap/>
            <w:vAlign w:val="center"/>
            <w:hideMark/>
          </w:tcPr>
          <w:p w14:paraId="357A319D"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978B228" w14:textId="77777777" w:rsidTr="00ED7D87">
        <w:tc>
          <w:tcPr>
            <w:tcW w:w="1667" w:type="pct"/>
            <w:vAlign w:val="center"/>
          </w:tcPr>
          <w:p w14:paraId="00E736D3" w14:textId="1BEC3280"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040A166C" w14:textId="3CC1D94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Conceitos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Definições</w:t>
            </w:r>
          </w:p>
        </w:tc>
        <w:tc>
          <w:tcPr>
            <w:tcW w:w="1666" w:type="pct"/>
            <w:shd w:val="clear" w:color="auto" w:fill="auto"/>
            <w:noWrap/>
            <w:vAlign w:val="center"/>
            <w:hideMark/>
          </w:tcPr>
          <w:p w14:paraId="120AF0E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F2906" w:rsidRPr="00225EB1" w14:paraId="47C02FC1" w14:textId="77777777" w:rsidTr="00ED7D87">
        <w:tc>
          <w:tcPr>
            <w:tcW w:w="1667" w:type="pct"/>
            <w:vAlign w:val="center"/>
          </w:tcPr>
          <w:p w14:paraId="126AB3BC" w14:textId="77A3D43E" w:rsidR="002F2906" w:rsidRPr="00225EB1" w:rsidRDefault="002F2906" w:rsidP="00EB77BF">
            <w:pPr>
              <w:spacing w:after="0" w:line="240" w:lineRule="auto"/>
              <w:jc w:val="both"/>
              <w:rPr>
                <w:rFonts w:ascii="Calibri" w:hAnsi="Calibri" w:cs="Calibri"/>
                <w:b/>
                <w:bCs/>
                <w:sz w:val="24"/>
              </w:rPr>
            </w:pPr>
          </w:p>
        </w:tc>
        <w:tc>
          <w:tcPr>
            <w:tcW w:w="1667" w:type="pct"/>
            <w:shd w:val="clear" w:color="auto" w:fill="auto"/>
            <w:vAlign w:val="center"/>
          </w:tcPr>
          <w:p w14:paraId="227DFD1A" w14:textId="5AC1FE14" w:rsidR="002F2906" w:rsidRPr="00843426" w:rsidRDefault="001E5561"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1º  </w:t>
            </w:r>
            <w:r w:rsidR="002F290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00ED7D87">
              <w:rPr>
                <w:rFonts w:ascii="Calibri" w:eastAsia="Times New Roman" w:hAnsi="Calibri" w:cs="Calibri"/>
                <w:kern w:val="0"/>
                <w:sz w:val="24"/>
                <w:szCs w:val="24"/>
                <w:lang w:eastAsia="pt-BR"/>
                <w14:ligatures w14:val="none"/>
              </w:rPr>
              <w:t>fins deste Capítulo:</w:t>
            </w:r>
          </w:p>
        </w:tc>
        <w:tc>
          <w:tcPr>
            <w:tcW w:w="1666" w:type="pct"/>
            <w:shd w:val="clear" w:color="auto" w:fill="auto"/>
            <w:vAlign w:val="center"/>
          </w:tcPr>
          <w:p w14:paraId="5663A510" w14:textId="77777777" w:rsidR="002F2906"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p>
        </w:tc>
      </w:tr>
      <w:tr w:rsidR="00ED7D87" w:rsidRPr="00225EB1" w14:paraId="767C359D" w14:textId="77777777" w:rsidTr="00ED7D87">
        <w:tc>
          <w:tcPr>
            <w:tcW w:w="1667" w:type="pct"/>
            <w:vAlign w:val="center"/>
          </w:tcPr>
          <w:p w14:paraId="2E4AB2B9" w14:textId="7B3DB814" w:rsidR="00ED7D87" w:rsidRPr="00225EB1" w:rsidRDefault="00A70D16" w:rsidP="00EB77BF">
            <w:pPr>
              <w:spacing w:after="0" w:line="240" w:lineRule="auto"/>
              <w:jc w:val="both"/>
              <w:rPr>
                <w:rFonts w:ascii="Calibri" w:hAnsi="Calibri" w:cs="Calibri"/>
                <w:b/>
                <w:bCs/>
                <w:sz w:val="24"/>
              </w:rPr>
            </w:pPr>
            <w:r>
              <w:rPr>
                <w:rFonts w:ascii="Calibri" w:hAnsi="Calibri" w:cs="Calibri"/>
                <w:b/>
                <w:bCs/>
                <w:sz w:val="24"/>
              </w:rPr>
              <w:t>Coletânea</w:t>
            </w:r>
            <w:r w:rsidR="00ED7D87" w:rsidRPr="00225EB1">
              <w:rPr>
                <w:rFonts w:ascii="Calibri" w:hAnsi="Calibri" w:cs="Calibri"/>
                <w:b/>
                <w:bCs/>
                <w:sz w:val="24"/>
              </w:rPr>
              <w:t xml:space="preserve"> de Normas </w:t>
            </w:r>
          </w:p>
        </w:tc>
        <w:tc>
          <w:tcPr>
            <w:tcW w:w="1667" w:type="pct"/>
            <w:shd w:val="clear" w:color="auto" w:fill="auto"/>
            <w:vAlign w:val="center"/>
          </w:tcPr>
          <w:p w14:paraId="02B729A5" w14:textId="77777777" w:rsidR="00ED7D87" w:rsidRDefault="00ED7D87" w:rsidP="00EB77BF">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vAlign w:val="center"/>
          </w:tcPr>
          <w:p w14:paraId="47C54887" w14:textId="77777777" w:rsidR="00ED7D87" w:rsidRPr="00843426" w:rsidRDefault="00ED7D87"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AA0A43B" w14:textId="77777777" w:rsidTr="00ED7D87">
        <w:tc>
          <w:tcPr>
            <w:tcW w:w="1667" w:type="pct"/>
            <w:vAlign w:val="center"/>
          </w:tcPr>
          <w:p w14:paraId="744C4C8C" w14:textId="62F1370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Atuariais: Documento elaborado pelo atuário da entidade contendo todas as informações exigidas pelo órgão de fiscalização e controle das </w:t>
            </w:r>
            <w:proofErr w:type="spellStart"/>
            <w:r w:rsidRPr="00225EB1">
              <w:rPr>
                <w:rFonts w:ascii="Calibri" w:hAnsi="Calibri" w:cs="Calibri"/>
                <w:sz w:val="24"/>
              </w:rPr>
              <w:t>EFPP’s</w:t>
            </w:r>
            <w:proofErr w:type="spellEnd"/>
            <w:r w:rsidRPr="00225EB1">
              <w:rPr>
                <w:rFonts w:ascii="Calibri" w:hAnsi="Calibri" w:cs="Calibri"/>
                <w:sz w:val="24"/>
              </w:rPr>
              <w:t xml:space="preserve"> relativamente ao plano de benefícios e à avaliação atuarial de cada exercício.</w:t>
            </w:r>
          </w:p>
        </w:tc>
        <w:tc>
          <w:tcPr>
            <w:tcW w:w="1667" w:type="pct"/>
            <w:shd w:val="clear" w:color="auto" w:fill="auto"/>
            <w:vAlign w:val="center"/>
            <w:hideMark/>
          </w:tcPr>
          <w:p w14:paraId="6586FB61" w14:textId="77FC219F"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009E5362">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documento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elaborado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contendo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todas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exigidas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órgão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fiscalização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controle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entidades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fechadas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previdência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complementar</w:t>
            </w:r>
            <w:r w:rsidR="008248E8">
              <w:rPr>
                <w:rFonts w:ascii="Calibri" w:eastAsia="Times New Roman" w:hAnsi="Calibri" w:cs="Calibri"/>
                <w:kern w:val="0"/>
                <w:sz w:val="24"/>
                <w:szCs w:val="24"/>
                <w:lang w:eastAsia="pt-BR"/>
                <w14:ligatures w14:val="none"/>
              </w:rPr>
              <w:t xml:space="preserve"> (EFPC)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relativamente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refere.</w:t>
            </w:r>
          </w:p>
        </w:tc>
        <w:tc>
          <w:tcPr>
            <w:tcW w:w="1666" w:type="pct"/>
            <w:shd w:val="clear" w:color="auto" w:fill="auto"/>
            <w:vAlign w:val="center"/>
            <w:hideMark/>
          </w:tcPr>
          <w:p w14:paraId="0666ADBB" w14:textId="36A584B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Trazer o conceito de demonstrações atuariais</w:t>
            </w:r>
            <w:r w:rsidR="00A70D16">
              <w:rPr>
                <w:rFonts w:ascii="Calibri" w:eastAsia="Times New Roman" w:hAnsi="Calibri" w:cs="Calibri"/>
                <w:kern w:val="0"/>
                <w:sz w:val="24"/>
                <w:szCs w:val="24"/>
                <w:lang w:eastAsia="pt-BR"/>
                <w14:ligatures w14:val="none"/>
              </w:rPr>
              <w:t xml:space="preserve"> que constava apenas na coletânea de normas</w:t>
            </w:r>
            <w:r w:rsidRPr="00843426">
              <w:rPr>
                <w:rFonts w:ascii="Calibri" w:eastAsia="Times New Roman" w:hAnsi="Calibri" w:cs="Calibri"/>
                <w:kern w:val="0"/>
                <w:sz w:val="24"/>
                <w:szCs w:val="24"/>
                <w:lang w:eastAsia="pt-BR"/>
                <w14:ligatures w14:val="none"/>
              </w:rPr>
              <w:t xml:space="preserve"> para </w:t>
            </w:r>
            <w:r w:rsidR="00A70D16">
              <w:rPr>
                <w:rFonts w:ascii="Calibri" w:eastAsia="Times New Roman" w:hAnsi="Calibri" w:cs="Calibri"/>
                <w:kern w:val="0"/>
                <w:sz w:val="24"/>
                <w:szCs w:val="24"/>
                <w:lang w:eastAsia="pt-BR"/>
                <w14:ligatures w14:val="none"/>
              </w:rPr>
              <w:t>o texto normativo.</w:t>
            </w:r>
          </w:p>
        </w:tc>
      </w:tr>
      <w:tr w:rsidR="00ED7D87" w:rsidRPr="00225EB1" w14:paraId="1DFAA96A" w14:textId="77777777" w:rsidTr="00ED7D87">
        <w:tc>
          <w:tcPr>
            <w:tcW w:w="1667" w:type="pct"/>
            <w:vAlign w:val="center"/>
          </w:tcPr>
          <w:p w14:paraId="2FC3D17F" w14:textId="3369E91B" w:rsidR="00ED7D87" w:rsidRPr="00225EB1" w:rsidRDefault="00ED7D87" w:rsidP="00EB77BF">
            <w:pPr>
              <w:spacing w:after="0" w:line="240" w:lineRule="auto"/>
              <w:jc w:val="both"/>
              <w:rPr>
                <w:rFonts w:ascii="Calibri" w:hAnsi="Calibri" w:cs="Calibri"/>
                <w:b/>
                <w:sz w:val="24"/>
              </w:rPr>
            </w:pPr>
            <w:r w:rsidRPr="00225EB1">
              <w:rPr>
                <w:rFonts w:ascii="Calibri" w:hAnsi="Calibri" w:cs="Calibri"/>
                <w:b/>
                <w:sz w:val="24"/>
              </w:rPr>
              <w:t>Resolução Previc nº 7, de 2022.</w:t>
            </w:r>
          </w:p>
        </w:tc>
        <w:tc>
          <w:tcPr>
            <w:tcW w:w="1667" w:type="pct"/>
            <w:shd w:val="clear" w:color="auto" w:fill="auto"/>
            <w:vAlign w:val="center"/>
          </w:tcPr>
          <w:p w14:paraId="0648AF49" w14:textId="77777777" w:rsidR="00ED7D87" w:rsidRDefault="00ED7D87" w:rsidP="00EB77BF">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tcPr>
          <w:p w14:paraId="2D793533" w14:textId="77777777" w:rsidR="00ED7D87" w:rsidRPr="00843426" w:rsidRDefault="00ED7D87"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E9D43DF" w14:textId="77777777" w:rsidTr="00ED7D87">
        <w:tc>
          <w:tcPr>
            <w:tcW w:w="1667" w:type="pct"/>
            <w:vAlign w:val="center"/>
          </w:tcPr>
          <w:p w14:paraId="3DD51F7C" w14:textId="0A58D90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3º, III - grupo de custeio corresponde a qualquer grupo de participantes tratado, em decorrência das regras do plano de benefícios, mediante a utilização de plano de custeio específico.</w:t>
            </w:r>
          </w:p>
        </w:tc>
        <w:tc>
          <w:tcPr>
            <w:tcW w:w="1667" w:type="pct"/>
            <w:shd w:val="clear" w:color="auto" w:fill="auto"/>
            <w:vAlign w:val="center"/>
            <w:hideMark/>
          </w:tcPr>
          <w:p w14:paraId="5FD48531" w14:textId="07F04F95"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9E5362">
              <w:rPr>
                <w:rFonts w:ascii="Calibri" w:eastAsia="Times New Roman" w:hAnsi="Calibri" w:cs="Calibri"/>
                <w:kern w:val="0"/>
                <w:sz w:val="24"/>
                <w:szCs w:val="24"/>
                <w:lang w:eastAsia="pt-BR"/>
                <w14:ligatures w14:val="none"/>
              </w:rPr>
              <w:t>G</w:t>
            </w:r>
            <w:r w:rsidR="00A6584C" w:rsidRPr="00843426">
              <w:rPr>
                <w:rFonts w:ascii="Calibri" w:eastAsia="Times New Roman" w:hAnsi="Calibri" w:cs="Calibri"/>
                <w:kern w:val="0"/>
                <w:sz w:val="24"/>
                <w:szCs w:val="24"/>
                <w:lang w:eastAsia="pt-BR"/>
                <w14:ligatures w14:val="none"/>
              </w:rPr>
              <w:t>rupo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corresponde</w:t>
            </w:r>
            <w:r w:rsidR="009E0A74">
              <w:rPr>
                <w:rFonts w:ascii="Calibri" w:eastAsia="Times New Roman" w:hAnsi="Calibri" w:cs="Calibri"/>
                <w:kern w:val="0"/>
                <w:sz w:val="24"/>
                <w:szCs w:val="24"/>
                <w:lang w:eastAsia="pt-BR"/>
                <w14:ligatures w14:val="none"/>
              </w:rPr>
              <w:t xml:space="preserve"> 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qualquer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grupo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tratado,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decorrência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regras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mediante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específico.</w:t>
            </w:r>
          </w:p>
        </w:tc>
        <w:tc>
          <w:tcPr>
            <w:tcW w:w="1666" w:type="pct"/>
            <w:shd w:val="clear" w:color="auto" w:fill="auto"/>
            <w:noWrap/>
            <w:vAlign w:val="center"/>
            <w:hideMark/>
          </w:tcPr>
          <w:p w14:paraId="770695AB"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9FE5F82" w14:textId="77777777" w:rsidTr="00ED7D87">
        <w:tc>
          <w:tcPr>
            <w:tcW w:w="1667" w:type="pct"/>
            <w:vAlign w:val="center"/>
          </w:tcPr>
          <w:p w14:paraId="25D1CEA4" w14:textId="78A301A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13. A nota técnica atuarial consiste em documento técnico elaborado por atuário devidamente habilitado, em observância à modelagem do plano de benefícios.</w:t>
            </w:r>
          </w:p>
        </w:tc>
        <w:tc>
          <w:tcPr>
            <w:tcW w:w="1667" w:type="pct"/>
            <w:shd w:val="clear" w:color="auto" w:fill="auto"/>
            <w:vAlign w:val="center"/>
            <w:hideMark/>
          </w:tcPr>
          <w:p w14:paraId="4365B17E" w14:textId="0D64051E"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9E5362">
              <w:rPr>
                <w:rFonts w:ascii="Calibri" w:eastAsia="Times New Roman" w:hAnsi="Calibri" w:cs="Calibri"/>
                <w:kern w:val="0"/>
                <w:sz w:val="24"/>
                <w:szCs w:val="24"/>
                <w:lang w:eastAsia="pt-BR"/>
                <w14:ligatures w14:val="none"/>
              </w:rPr>
              <w:t>N</w:t>
            </w:r>
            <w:r w:rsidR="00A6584C" w:rsidRPr="00843426">
              <w:rPr>
                <w:rFonts w:ascii="Calibri" w:eastAsia="Times New Roman" w:hAnsi="Calibri" w:cs="Calibri"/>
                <w:kern w:val="0"/>
                <w:sz w:val="24"/>
                <w:szCs w:val="24"/>
                <w:lang w:eastAsia="pt-BR"/>
                <w14:ligatures w14:val="none"/>
              </w:rPr>
              <w:t>ota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consiste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documento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elaborado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devidamente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habilitado,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observância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modelagem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2F57135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ED7D87" w:rsidRPr="00225EB1" w14:paraId="633610BA" w14:textId="77777777" w:rsidTr="00ED7D87">
        <w:tc>
          <w:tcPr>
            <w:tcW w:w="1667" w:type="pct"/>
            <w:vAlign w:val="center"/>
          </w:tcPr>
          <w:p w14:paraId="2BDF34FC" w14:textId="6C5E4AED" w:rsidR="00ED7D87" w:rsidRDefault="00ED7D87" w:rsidP="00EB77BF">
            <w:pPr>
              <w:spacing w:after="0" w:line="240" w:lineRule="auto"/>
              <w:jc w:val="both"/>
              <w:rPr>
                <w:rFonts w:ascii="Calibri" w:hAnsi="Calibri" w:cs="Calibri"/>
                <w:b/>
                <w:sz w:val="24"/>
              </w:rPr>
            </w:pPr>
            <w:r>
              <w:rPr>
                <w:rFonts w:ascii="Calibri" w:hAnsi="Calibri" w:cs="Calibri"/>
                <w:b/>
                <w:sz w:val="24"/>
              </w:rPr>
              <w:t>Instrução Previc nº 33</w:t>
            </w:r>
            <w:r w:rsidRPr="00225EB1">
              <w:rPr>
                <w:rFonts w:ascii="Calibri" w:hAnsi="Calibri" w:cs="Calibri"/>
                <w:b/>
                <w:sz w:val="24"/>
              </w:rPr>
              <w:t>, de 2018.</w:t>
            </w:r>
          </w:p>
        </w:tc>
        <w:tc>
          <w:tcPr>
            <w:tcW w:w="1667" w:type="pct"/>
            <w:shd w:val="clear" w:color="auto" w:fill="auto"/>
            <w:noWrap/>
            <w:vAlign w:val="center"/>
          </w:tcPr>
          <w:p w14:paraId="2D007D31" w14:textId="77777777" w:rsidR="00ED7D87" w:rsidRDefault="00ED7D87" w:rsidP="00EB77BF">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tcPr>
          <w:p w14:paraId="06CF8BE2" w14:textId="77777777" w:rsidR="00ED7D87" w:rsidRPr="00843426" w:rsidRDefault="00ED7D87"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A00F978" w14:textId="77777777" w:rsidTr="00ED7D87">
        <w:tc>
          <w:tcPr>
            <w:tcW w:w="1667" w:type="pct"/>
            <w:vAlign w:val="center"/>
          </w:tcPr>
          <w:p w14:paraId="3E16BC5C" w14:textId="0CDE3CA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2º, §2º Considera-se fato relevante:</w:t>
            </w:r>
          </w:p>
        </w:tc>
        <w:tc>
          <w:tcPr>
            <w:tcW w:w="1667" w:type="pct"/>
            <w:shd w:val="clear" w:color="auto" w:fill="auto"/>
            <w:noWrap/>
            <w:vAlign w:val="center"/>
            <w:hideMark/>
          </w:tcPr>
          <w:p w14:paraId="587AC5AA" w14:textId="167245D1"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Considera-se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relevante:</w:t>
            </w:r>
          </w:p>
        </w:tc>
        <w:tc>
          <w:tcPr>
            <w:tcW w:w="1666" w:type="pct"/>
            <w:shd w:val="clear" w:color="auto" w:fill="auto"/>
            <w:noWrap/>
            <w:vAlign w:val="center"/>
            <w:hideMark/>
          </w:tcPr>
          <w:p w14:paraId="78FDED4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DDCCC61" w14:textId="77777777" w:rsidTr="00ED7D87">
        <w:tc>
          <w:tcPr>
            <w:tcW w:w="1667" w:type="pct"/>
            <w:vAlign w:val="center"/>
          </w:tcPr>
          <w:p w14:paraId="22CC278B" w14:textId="44C9D25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   - a alteração do regulamento com impacto no custo, no custeio ou no resultado do plano de benefícios;</w:t>
            </w:r>
          </w:p>
        </w:tc>
        <w:tc>
          <w:tcPr>
            <w:tcW w:w="1667" w:type="pct"/>
            <w:shd w:val="clear" w:color="auto" w:fill="auto"/>
            <w:noWrap/>
            <w:vAlign w:val="center"/>
            <w:hideMark/>
          </w:tcPr>
          <w:p w14:paraId="48806BD7" w14:textId="33C5B3BB"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alteração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impacto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01B605DB"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99F5CCB" w14:textId="77777777" w:rsidTr="00ED7D87">
        <w:tc>
          <w:tcPr>
            <w:tcW w:w="1667" w:type="pct"/>
            <w:vAlign w:val="center"/>
          </w:tcPr>
          <w:p w14:paraId="3BE7B248" w14:textId="0D97679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 cisão, fusão ou incorporação de planos de benefícios;</w:t>
            </w:r>
          </w:p>
        </w:tc>
        <w:tc>
          <w:tcPr>
            <w:tcW w:w="1667" w:type="pct"/>
            <w:shd w:val="clear" w:color="auto" w:fill="auto"/>
            <w:noWrap/>
            <w:vAlign w:val="center"/>
            <w:hideMark/>
          </w:tcPr>
          <w:p w14:paraId="4837C939" w14:textId="6E67DDF8"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b)</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cisão,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fusão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incorporação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1F2F5B2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FBC36D7" w14:textId="77777777" w:rsidTr="00ED7D87">
        <w:tc>
          <w:tcPr>
            <w:tcW w:w="1667" w:type="pct"/>
            <w:vAlign w:val="center"/>
          </w:tcPr>
          <w:p w14:paraId="5B3962D5" w14:textId="046DDBB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a migração de participantes ou assistidos entre planos de benefícios;</w:t>
            </w:r>
          </w:p>
        </w:tc>
        <w:tc>
          <w:tcPr>
            <w:tcW w:w="1667" w:type="pct"/>
            <w:shd w:val="clear" w:color="auto" w:fill="auto"/>
            <w:noWrap/>
            <w:vAlign w:val="center"/>
            <w:hideMark/>
          </w:tcPr>
          <w:p w14:paraId="56AE4977" w14:textId="677220E6"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migração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7745302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B990255" w14:textId="77777777" w:rsidTr="00ED7D87">
        <w:tc>
          <w:tcPr>
            <w:tcW w:w="1667" w:type="pct"/>
            <w:vAlign w:val="center"/>
          </w:tcPr>
          <w:p w14:paraId="1DF3837E" w14:textId="0593608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IV  - o </w:t>
            </w:r>
            <w:proofErr w:type="spellStart"/>
            <w:r w:rsidRPr="00225EB1">
              <w:rPr>
                <w:rFonts w:ascii="Calibri" w:hAnsi="Calibri" w:cs="Calibri"/>
                <w:sz w:val="24"/>
              </w:rPr>
              <w:t>saldamento</w:t>
            </w:r>
            <w:proofErr w:type="spellEnd"/>
            <w:r w:rsidRPr="00225EB1">
              <w:rPr>
                <w:rFonts w:ascii="Calibri" w:hAnsi="Calibri" w:cs="Calibri"/>
                <w:sz w:val="24"/>
              </w:rPr>
              <w:t xml:space="preserve"> de plano de benefícios;</w:t>
            </w:r>
          </w:p>
        </w:tc>
        <w:tc>
          <w:tcPr>
            <w:tcW w:w="1667" w:type="pct"/>
            <w:shd w:val="clear" w:color="auto" w:fill="auto"/>
            <w:noWrap/>
            <w:vAlign w:val="center"/>
            <w:hideMark/>
          </w:tcPr>
          <w:p w14:paraId="7E4864B5" w14:textId="4A64AADE"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proofErr w:type="spellStart"/>
            <w:r w:rsidR="00A6584C" w:rsidRPr="00843426">
              <w:rPr>
                <w:rFonts w:ascii="Calibri" w:eastAsia="Times New Roman" w:hAnsi="Calibri" w:cs="Calibri"/>
                <w:kern w:val="0"/>
                <w:sz w:val="24"/>
                <w:szCs w:val="24"/>
                <w:lang w:eastAsia="pt-BR"/>
                <w14:ligatures w14:val="none"/>
              </w:rPr>
              <w:t>saldamento</w:t>
            </w:r>
            <w:proofErr w:type="spellEnd"/>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3A4C66B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CE48A68" w14:textId="77777777" w:rsidTr="00ED7D87">
        <w:tc>
          <w:tcPr>
            <w:tcW w:w="1667" w:type="pct"/>
            <w:vAlign w:val="center"/>
          </w:tcPr>
          <w:p w14:paraId="2A792C64" w14:textId="01EB4C2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a retirada parcial de patrocínio; ou</w:t>
            </w:r>
          </w:p>
        </w:tc>
        <w:tc>
          <w:tcPr>
            <w:tcW w:w="1667" w:type="pct"/>
            <w:shd w:val="clear" w:color="auto" w:fill="auto"/>
            <w:noWrap/>
            <w:vAlign w:val="center"/>
            <w:hideMark/>
          </w:tcPr>
          <w:p w14:paraId="6D3E15A5" w14:textId="7EB8BCCB"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retirada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parcial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patrocínio;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p>
        </w:tc>
        <w:tc>
          <w:tcPr>
            <w:tcW w:w="1666" w:type="pct"/>
            <w:shd w:val="clear" w:color="auto" w:fill="auto"/>
            <w:noWrap/>
            <w:vAlign w:val="center"/>
            <w:hideMark/>
          </w:tcPr>
          <w:p w14:paraId="01D13C9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55F185B" w14:textId="77777777" w:rsidTr="00ED7D87">
        <w:tc>
          <w:tcPr>
            <w:tcW w:w="1667" w:type="pct"/>
            <w:vAlign w:val="center"/>
          </w:tcPr>
          <w:p w14:paraId="577DDAF9" w14:textId="3AD61D1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  - outros eventos supervenientes com impacto significativo no custo, no custeio ou no resultado do plano de benefícios que necessitem de imediata resposta da EFPC, devidamente fundamentados.</w:t>
            </w:r>
          </w:p>
        </w:tc>
        <w:tc>
          <w:tcPr>
            <w:tcW w:w="1667" w:type="pct"/>
            <w:shd w:val="clear" w:color="auto" w:fill="auto"/>
            <w:noWrap/>
            <w:vAlign w:val="center"/>
            <w:hideMark/>
          </w:tcPr>
          <w:p w14:paraId="5D6710DE" w14:textId="6D2B106C"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f)</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outros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eventos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supervenientes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impacto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significativo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necessitem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imediata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resposta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devidamente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fundamentados.</w:t>
            </w:r>
          </w:p>
        </w:tc>
        <w:tc>
          <w:tcPr>
            <w:tcW w:w="1666" w:type="pct"/>
            <w:shd w:val="clear" w:color="auto" w:fill="auto"/>
            <w:noWrap/>
            <w:vAlign w:val="center"/>
            <w:hideMark/>
          </w:tcPr>
          <w:p w14:paraId="55FEEA2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C5231F3" w14:textId="77777777" w:rsidTr="00ED7D87">
        <w:tc>
          <w:tcPr>
            <w:tcW w:w="1667" w:type="pct"/>
            <w:vAlign w:val="center"/>
          </w:tcPr>
          <w:p w14:paraId="3C43D751" w14:textId="43278EF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3º A duração do passivo corresponde à média dos prazos dos fluxos de pagamentos de benefícios de cada plano, líquidos de contribuições normais e extraordinárias incidentes sobre esses benefícios, ponderada pelos valores presentes desses fluxos, conforme a fórmula constante do Anexo a esta Instrução.</w:t>
            </w:r>
          </w:p>
        </w:tc>
        <w:tc>
          <w:tcPr>
            <w:tcW w:w="1667" w:type="pct"/>
            <w:shd w:val="clear" w:color="auto" w:fill="auto"/>
            <w:vAlign w:val="center"/>
            <w:hideMark/>
          </w:tcPr>
          <w:p w14:paraId="30482D47" w14:textId="342B056C"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corresponde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média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prazos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líquidos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normais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incidentes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esses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ponderada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pelos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valores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presentes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desses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fórmula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Anexo</w:t>
            </w:r>
            <w:r w:rsidR="009068E9">
              <w:rPr>
                <w:rFonts w:ascii="Calibri" w:eastAsia="Times New Roman" w:hAnsi="Calibri" w:cs="Calibri"/>
                <w:kern w:val="0"/>
                <w:sz w:val="24"/>
                <w:szCs w:val="24"/>
                <w:lang w:eastAsia="pt-BR"/>
                <w14:ligatures w14:val="none"/>
              </w:rPr>
              <w:t xml:space="preserve"> </w:t>
            </w:r>
            <w:r w:rsidR="00712056">
              <w:rPr>
                <w:rFonts w:ascii="Calibri" w:eastAsia="Times New Roman" w:hAnsi="Calibri" w:cs="Calibri"/>
                <w:kern w:val="0"/>
                <w:sz w:val="24"/>
                <w:szCs w:val="24"/>
                <w:lang w:eastAsia="pt-BR"/>
                <w14:ligatures w14:val="none"/>
              </w:rPr>
              <w:t>(número do anexo).</w:t>
            </w:r>
          </w:p>
        </w:tc>
        <w:tc>
          <w:tcPr>
            <w:tcW w:w="1666" w:type="pct"/>
            <w:shd w:val="clear" w:color="auto" w:fill="auto"/>
            <w:noWrap/>
            <w:vAlign w:val="center"/>
            <w:hideMark/>
          </w:tcPr>
          <w:p w14:paraId="5BFDC38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ED7D87" w:rsidRPr="00225EB1" w14:paraId="3DB1C69E" w14:textId="77777777" w:rsidTr="00ED7D87">
        <w:tc>
          <w:tcPr>
            <w:tcW w:w="1667" w:type="pct"/>
            <w:vAlign w:val="center"/>
          </w:tcPr>
          <w:p w14:paraId="59067555" w14:textId="1CF308E4" w:rsidR="00ED7D87" w:rsidRDefault="00ED7D87" w:rsidP="009E5362">
            <w:pPr>
              <w:spacing w:after="0" w:line="240" w:lineRule="auto"/>
              <w:jc w:val="both"/>
              <w:rPr>
                <w:rFonts w:ascii="Calibri" w:hAnsi="Calibri" w:cs="Calibri"/>
                <w:b/>
                <w:sz w:val="24"/>
              </w:rPr>
            </w:pPr>
            <w:r>
              <w:rPr>
                <w:rFonts w:ascii="Calibri" w:hAnsi="Calibri" w:cs="Calibri"/>
                <w:b/>
                <w:sz w:val="24"/>
              </w:rPr>
              <w:t>Resolução Previc nº 8, de 2022</w:t>
            </w:r>
            <w:r w:rsidRPr="00225EB1">
              <w:rPr>
                <w:rFonts w:ascii="Calibri" w:hAnsi="Calibri" w:cs="Calibri"/>
                <w:b/>
                <w:sz w:val="24"/>
              </w:rPr>
              <w:t>.</w:t>
            </w:r>
          </w:p>
        </w:tc>
        <w:tc>
          <w:tcPr>
            <w:tcW w:w="1667" w:type="pct"/>
            <w:shd w:val="clear" w:color="auto" w:fill="auto"/>
            <w:vAlign w:val="center"/>
          </w:tcPr>
          <w:p w14:paraId="67D027FA" w14:textId="77777777" w:rsidR="00ED7D87" w:rsidRDefault="00ED7D87" w:rsidP="009E5362">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tcPr>
          <w:p w14:paraId="379A8374" w14:textId="77777777" w:rsidR="00ED7D87" w:rsidRPr="00843426" w:rsidRDefault="00ED7D87" w:rsidP="009E5362">
            <w:pPr>
              <w:spacing w:after="0" w:line="240" w:lineRule="auto"/>
              <w:jc w:val="both"/>
              <w:rPr>
                <w:rFonts w:ascii="Calibri" w:eastAsia="Times New Roman" w:hAnsi="Calibri" w:cs="Calibri"/>
                <w:kern w:val="0"/>
                <w:sz w:val="24"/>
                <w:szCs w:val="24"/>
                <w:lang w:eastAsia="pt-BR"/>
                <w14:ligatures w14:val="none"/>
              </w:rPr>
            </w:pPr>
          </w:p>
        </w:tc>
      </w:tr>
      <w:tr w:rsidR="009E5362" w:rsidRPr="00225EB1" w14:paraId="3630BDE9" w14:textId="77777777" w:rsidTr="00ED7D87">
        <w:tc>
          <w:tcPr>
            <w:tcW w:w="1667" w:type="pct"/>
            <w:vAlign w:val="center"/>
          </w:tcPr>
          <w:p w14:paraId="6083757E" w14:textId="390BD898" w:rsidR="009E5362" w:rsidRPr="00225EB1" w:rsidRDefault="009E5362" w:rsidP="009E5362">
            <w:pPr>
              <w:spacing w:after="0" w:line="240" w:lineRule="auto"/>
              <w:jc w:val="both"/>
              <w:rPr>
                <w:rFonts w:ascii="Calibri" w:hAnsi="Calibri" w:cs="Calibri"/>
                <w:b/>
                <w:sz w:val="24"/>
              </w:rPr>
            </w:pPr>
            <w:r w:rsidRPr="00225EB1">
              <w:rPr>
                <w:rFonts w:ascii="Calibri" w:hAnsi="Calibri" w:cs="Calibri"/>
                <w:sz w:val="24"/>
              </w:rPr>
              <w:t>VIII - contrato de seguro: instrumento firmado entre a EFPC e a sociedade seguradora com a finalidade exclusiva de disciplinar a contratação de seguro para cobertura de riscos de plano de benefícios.</w:t>
            </w:r>
          </w:p>
        </w:tc>
        <w:tc>
          <w:tcPr>
            <w:tcW w:w="1667" w:type="pct"/>
            <w:shd w:val="clear" w:color="auto" w:fill="auto"/>
            <w:vAlign w:val="center"/>
          </w:tcPr>
          <w:p w14:paraId="2E3F5CFC" w14:textId="15CB36DC" w:rsidR="009E5362" w:rsidRPr="00225EB1" w:rsidRDefault="002F2906" w:rsidP="009E5362">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VI</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instrumento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firmado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finalidade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exclusiva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disciplinar</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tcPr>
          <w:p w14:paraId="4FDEECD6" w14:textId="77777777" w:rsidR="009E5362" w:rsidRPr="00843426" w:rsidRDefault="009E5362" w:rsidP="009E5362">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56BE775" w14:textId="77777777" w:rsidTr="00ED7D87">
        <w:tc>
          <w:tcPr>
            <w:tcW w:w="1667" w:type="pct"/>
            <w:vAlign w:val="center"/>
          </w:tcPr>
          <w:p w14:paraId="3C27362F" w14:textId="67D2DFC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 - indenização: pagamento efetuado por sociedade seguradora à EFPC referente às coberturas contratadas;</w:t>
            </w:r>
          </w:p>
        </w:tc>
        <w:tc>
          <w:tcPr>
            <w:tcW w:w="1667" w:type="pct"/>
            <w:shd w:val="clear" w:color="auto" w:fill="auto"/>
            <w:noWrap/>
            <w:vAlign w:val="center"/>
            <w:hideMark/>
          </w:tcPr>
          <w:p w14:paraId="54C5A092" w14:textId="300441C2"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VII</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Indenização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efetuado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referente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contratadas</w:t>
            </w:r>
            <w:r w:rsidR="009E5362">
              <w:rPr>
                <w:rFonts w:ascii="Calibri" w:eastAsia="Times New Roman" w:hAnsi="Calibri" w:cs="Calibri"/>
                <w:kern w:val="0"/>
                <w:sz w:val="24"/>
                <w:szCs w:val="24"/>
                <w:lang w:eastAsia="pt-BR"/>
                <w14:ligatures w14:val="none"/>
              </w:rPr>
              <w:t>.</w:t>
            </w:r>
          </w:p>
        </w:tc>
        <w:tc>
          <w:tcPr>
            <w:tcW w:w="1666" w:type="pct"/>
            <w:shd w:val="clear" w:color="auto" w:fill="auto"/>
            <w:vAlign w:val="center"/>
            <w:hideMark/>
          </w:tcPr>
          <w:p w14:paraId="3CADD78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4BFDB25" w14:textId="77777777" w:rsidTr="00ED7D87">
        <w:tc>
          <w:tcPr>
            <w:tcW w:w="1667" w:type="pct"/>
            <w:vAlign w:val="center"/>
          </w:tcPr>
          <w:p w14:paraId="2789520B" w14:textId="0EF6863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prêmio: importância paga pela EFPC à sociedade seguradora, na forma prevista em contrato;</w:t>
            </w:r>
          </w:p>
        </w:tc>
        <w:tc>
          <w:tcPr>
            <w:tcW w:w="1667" w:type="pct"/>
            <w:shd w:val="clear" w:color="auto" w:fill="auto"/>
            <w:noWrap/>
            <w:vAlign w:val="center"/>
            <w:hideMark/>
          </w:tcPr>
          <w:p w14:paraId="3AE37145" w14:textId="72D5A22D"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VIII</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Prêmio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importância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contrato</w:t>
            </w:r>
            <w:r w:rsidR="009E5362">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427D2B5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411390F" w14:textId="77777777" w:rsidTr="00ED7D87">
        <w:tc>
          <w:tcPr>
            <w:tcW w:w="1667" w:type="pct"/>
            <w:vAlign w:val="center"/>
          </w:tcPr>
          <w:p w14:paraId="7125BEC0" w14:textId="3E664B9F"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saldo de conta total: valor correspondente à totalidade dos recursos alocados em nome do participante ou assistido com o objetivo de pagamento de benefícios, na forma prevista em regulamento do plano de benefícios;</w:t>
            </w:r>
          </w:p>
        </w:tc>
        <w:tc>
          <w:tcPr>
            <w:tcW w:w="1667" w:type="pct"/>
            <w:shd w:val="clear" w:color="auto" w:fill="auto"/>
            <w:noWrap/>
            <w:vAlign w:val="center"/>
            <w:hideMark/>
          </w:tcPr>
          <w:p w14:paraId="39C86D99" w14:textId="018EAC70"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IX</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total</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totalidade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alocados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nome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participante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assistido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objetivo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E5362">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5921548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6F40A21" w14:textId="77777777" w:rsidTr="00ED7D87">
        <w:tc>
          <w:tcPr>
            <w:tcW w:w="1667" w:type="pct"/>
            <w:vAlign w:val="center"/>
          </w:tcPr>
          <w:p w14:paraId="6A39F06A" w14:textId="604233B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segurado: o participante, o assistido ou a EFPC, conforme o caso;</w:t>
            </w:r>
          </w:p>
        </w:tc>
        <w:tc>
          <w:tcPr>
            <w:tcW w:w="1667" w:type="pct"/>
            <w:shd w:val="clear" w:color="auto" w:fill="auto"/>
            <w:noWrap/>
            <w:vAlign w:val="center"/>
            <w:hideMark/>
          </w:tcPr>
          <w:p w14:paraId="3B3E7AA4" w14:textId="4807E4C6"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X</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Segurado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participante,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assistido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caso</w:t>
            </w:r>
            <w:r w:rsidR="009E5362">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66F3B23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286C040" w14:textId="77777777" w:rsidTr="00ED7D87">
        <w:tc>
          <w:tcPr>
            <w:tcW w:w="1667" w:type="pct"/>
            <w:vAlign w:val="center"/>
          </w:tcPr>
          <w:p w14:paraId="1FE8266A" w14:textId="7F6D0DF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cobertura parcial de risco: a cobertura contratada em valor parcial do benefício previsto em regulamento do plano de benefícios ou do fluxo de pagamento estimado;</w:t>
            </w:r>
          </w:p>
        </w:tc>
        <w:tc>
          <w:tcPr>
            <w:tcW w:w="1667" w:type="pct"/>
            <w:shd w:val="clear" w:color="auto" w:fill="auto"/>
            <w:noWrap/>
            <w:vAlign w:val="center"/>
            <w:hideMark/>
          </w:tcPr>
          <w:p w14:paraId="5D7A8E82" w14:textId="0C08147D"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XI</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parcial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risco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contratada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parcial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estimado</w:t>
            </w:r>
            <w:r w:rsidR="009E5362">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41BA03B8"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E6FDC41" w14:textId="77777777" w:rsidTr="00ED7D87">
        <w:tc>
          <w:tcPr>
            <w:tcW w:w="1667" w:type="pct"/>
            <w:vAlign w:val="center"/>
          </w:tcPr>
          <w:p w14:paraId="14180361" w14:textId="2113212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 - cobertura total de risco: a cobertura contratada correspondente à totalidade do valor do benefício previsto em regulamento do plano de benefícios ou do fluxo de pagamento estimado;</w:t>
            </w:r>
          </w:p>
        </w:tc>
        <w:tc>
          <w:tcPr>
            <w:tcW w:w="1667" w:type="pct"/>
            <w:shd w:val="clear" w:color="auto" w:fill="auto"/>
            <w:noWrap/>
            <w:vAlign w:val="center"/>
            <w:hideMark/>
          </w:tcPr>
          <w:p w14:paraId="7F78BFB8" w14:textId="1DE83BE4"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XII</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total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risco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contratada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totalidade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estimado</w:t>
            </w:r>
            <w:r w:rsidR="00CD5BE3">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565FF08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FCEA610" w14:textId="77777777" w:rsidTr="00ED7D87">
        <w:tc>
          <w:tcPr>
            <w:tcW w:w="1667" w:type="pct"/>
            <w:vAlign w:val="center"/>
          </w:tcPr>
          <w:p w14:paraId="78CDDA7C" w14:textId="6FA27A8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VII - cobertura adicional de risco: a cobertura oferecida aos participantes em planos cujos benefícios decorrentes de invalidez e morte </w:t>
            </w:r>
            <w:r w:rsidRPr="00225EB1">
              <w:rPr>
                <w:rFonts w:ascii="Calibri" w:hAnsi="Calibri" w:cs="Calibri"/>
                <w:sz w:val="24"/>
              </w:rPr>
              <w:lastRenderedPageBreak/>
              <w:t>sejam estruturados unicamente com base em saldos de contas; e</w:t>
            </w:r>
          </w:p>
        </w:tc>
        <w:tc>
          <w:tcPr>
            <w:tcW w:w="1667" w:type="pct"/>
            <w:shd w:val="clear" w:color="auto" w:fill="auto"/>
            <w:noWrap/>
            <w:vAlign w:val="center"/>
            <w:hideMark/>
          </w:tcPr>
          <w:p w14:paraId="1A04F0CA" w14:textId="3CD3E207" w:rsidR="00A6584C" w:rsidRPr="00843426" w:rsidRDefault="00846A7A"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XIII</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adicional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risco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oferecida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cujos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decorrentes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lastRenderedPageBreak/>
              <w:t>invalidez</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morte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sejam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estruturados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unicamente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saldos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contas</w:t>
            </w:r>
            <w:r w:rsidR="00CD5BE3">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4A96247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900FB5" w:rsidRPr="00225EB1" w14:paraId="1DFF2C2C" w14:textId="77777777" w:rsidTr="00ED7D87">
        <w:tc>
          <w:tcPr>
            <w:tcW w:w="1667" w:type="pct"/>
            <w:vAlign w:val="center"/>
          </w:tcPr>
          <w:p w14:paraId="0C897180" w14:textId="66EE734F" w:rsidR="00900FB5" w:rsidRDefault="00900FB5" w:rsidP="00ED7D87">
            <w:pPr>
              <w:spacing w:after="0" w:line="240" w:lineRule="auto"/>
              <w:jc w:val="center"/>
              <w:rPr>
                <w:rFonts w:ascii="Calibri" w:hAnsi="Calibri" w:cs="Calibri"/>
                <w:b/>
                <w:sz w:val="24"/>
              </w:rPr>
            </w:pPr>
            <w:r>
              <w:rPr>
                <w:rFonts w:ascii="Calibri" w:hAnsi="Calibri" w:cs="Calibri"/>
                <w:b/>
                <w:sz w:val="24"/>
              </w:rPr>
              <w:t>Instrução Previc nº 33</w:t>
            </w:r>
            <w:r w:rsidRPr="00225EB1">
              <w:rPr>
                <w:rFonts w:ascii="Calibri" w:hAnsi="Calibri" w:cs="Calibri"/>
                <w:b/>
                <w:sz w:val="24"/>
              </w:rPr>
              <w:t>, de 2018.</w:t>
            </w:r>
          </w:p>
        </w:tc>
        <w:tc>
          <w:tcPr>
            <w:tcW w:w="1667" w:type="pct"/>
            <w:shd w:val="clear" w:color="auto" w:fill="auto"/>
            <w:noWrap/>
            <w:vAlign w:val="center"/>
          </w:tcPr>
          <w:p w14:paraId="0FD3FD5E" w14:textId="77777777" w:rsidR="00900FB5" w:rsidRPr="00843426" w:rsidRDefault="00900FB5" w:rsidP="00EB77BF">
            <w:pPr>
              <w:spacing w:after="0" w:line="240" w:lineRule="auto"/>
              <w:jc w:val="center"/>
              <w:rPr>
                <w:rFonts w:ascii="Calibri" w:eastAsia="Times New Roman" w:hAnsi="Calibri" w:cs="Calibri"/>
                <w:b/>
                <w:bCs/>
                <w:kern w:val="0"/>
                <w:sz w:val="24"/>
                <w:szCs w:val="24"/>
                <w:lang w:eastAsia="pt-BR"/>
                <w14:ligatures w14:val="none"/>
              </w:rPr>
            </w:pPr>
          </w:p>
        </w:tc>
        <w:tc>
          <w:tcPr>
            <w:tcW w:w="1666" w:type="pct"/>
            <w:shd w:val="clear" w:color="auto" w:fill="auto"/>
            <w:noWrap/>
            <w:vAlign w:val="center"/>
          </w:tcPr>
          <w:p w14:paraId="52ABA5A9" w14:textId="77777777" w:rsidR="00900FB5" w:rsidRPr="00843426" w:rsidRDefault="00900FB5"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396E92B" w14:textId="77777777" w:rsidTr="00ED7D87">
        <w:tc>
          <w:tcPr>
            <w:tcW w:w="1667" w:type="pct"/>
            <w:vAlign w:val="center"/>
          </w:tcPr>
          <w:p w14:paraId="48C5938C" w14:textId="1394A4DE"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726C2694" w14:textId="4E2939C6"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6" w:type="pct"/>
            <w:shd w:val="clear" w:color="auto" w:fill="auto"/>
            <w:noWrap/>
            <w:vAlign w:val="center"/>
            <w:hideMark/>
          </w:tcPr>
          <w:p w14:paraId="3A10F35A"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7EFC21A" w14:textId="77777777" w:rsidTr="00ED7D87">
        <w:tc>
          <w:tcPr>
            <w:tcW w:w="1667" w:type="pct"/>
            <w:vAlign w:val="center"/>
          </w:tcPr>
          <w:p w14:paraId="120D0231" w14:textId="4885A214"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61BAD1B3" w14:textId="5AAAB7FB"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Parâmetros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procedimentos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Atuariais</w:t>
            </w:r>
          </w:p>
        </w:tc>
        <w:tc>
          <w:tcPr>
            <w:tcW w:w="1666" w:type="pct"/>
            <w:shd w:val="clear" w:color="auto" w:fill="auto"/>
            <w:noWrap/>
            <w:vAlign w:val="center"/>
            <w:hideMark/>
          </w:tcPr>
          <w:p w14:paraId="570BB297"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7989B1D" w14:textId="77777777" w:rsidTr="00ED7D87">
        <w:tc>
          <w:tcPr>
            <w:tcW w:w="1667" w:type="pct"/>
            <w:vAlign w:val="center"/>
          </w:tcPr>
          <w:p w14:paraId="4D098C67" w14:textId="32704E8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1D5B721A" w14:textId="3E74D7D5"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6" w:type="pct"/>
            <w:shd w:val="clear" w:color="auto" w:fill="auto"/>
            <w:noWrap/>
            <w:vAlign w:val="center"/>
            <w:hideMark/>
          </w:tcPr>
          <w:p w14:paraId="58350E9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6907ED68" w14:textId="77777777" w:rsidTr="00ED7D87">
        <w:tc>
          <w:tcPr>
            <w:tcW w:w="1667" w:type="pct"/>
            <w:vAlign w:val="center"/>
          </w:tcPr>
          <w:p w14:paraId="4C364F1B" w14:textId="198127F9"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70A40955" w14:textId="28BA81E5"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Apuração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Resultado</w:t>
            </w:r>
          </w:p>
        </w:tc>
        <w:tc>
          <w:tcPr>
            <w:tcW w:w="1666" w:type="pct"/>
            <w:shd w:val="clear" w:color="auto" w:fill="auto"/>
            <w:noWrap/>
            <w:vAlign w:val="center"/>
            <w:hideMark/>
          </w:tcPr>
          <w:p w14:paraId="6006E89B"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6DF2518" w14:textId="77777777" w:rsidTr="00ED7D87">
        <w:tc>
          <w:tcPr>
            <w:tcW w:w="1667" w:type="pct"/>
            <w:vAlign w:val="center"/>
          </w:tcPr>
          <w:p w14:paraId="6F27EDC3" w14:textId="0AE7454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2º O resultado do plano de benefícios a ser registrado no balanço patrimonial deve ser apurado mediante avaliação atuarial posicionada no encerramento de cada exercício.</w:t>
            </w:r>
          </w:p>
        </w:tc>
        <w:tc>
          <w:tcPr>
            <w:tcW w:w="1667" w:type="pct"/>
            <w:shd w:val="clear" w:color="auto" w:fill="auto"/>
            <w:noWrap/>
            <w:vAlign w:val="center"/>
            <w:hideMark/>
          </w:tcPr>
          <w:p w14:paraId="5FF35AB0" w14:textId="6E822BA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registrado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balanço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patrimonial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mediante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posicionada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p>
        </w:tc>
        <w:tc>
          <w:tcPr>
            <w:tcW w:w="1666" w:type="pct"/>
            <w:shd w:val="clear" w:color="auto" w:fill="auto"/>
            <w:noWrap/>
            <w:vAlign w:val="center"/>
            <w:hideMark/>
          </w:tcPr>
          <w:p w14:paraId="15EAEA6E"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93EFC72" w14:textId="77777777" w:rsidTr="00ED7D87">
        <w:tc>
          <w:tcPr>
            <w:tcW w:w="1667" w:type="pct"/>
            <w:vAlign w:val="center"/>
          </w:tcPr>
          <w:p w14:paraId="3A6E6FF7" w14:textId="6558F1F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 ocorrência de fato relevante enseja nova avaliação atuarial, a ser realizada com base na posição de fim do mês da data de efetivação do fato relevante.</w:t>
            </w:r>
          </w:p>
        </w:tc>
        <w:tc>
          <w:tcPr>
            <w:tcW w:w="1667" w:type="pct"/>
            <w:shd w:val="clear" w:color="auto" w:fill="auto"/>
            <w:noWrap/>
            <w:vAlign w:val="center"/>
            <w:hideMark/>
          </w:tcPr>
          <w:p w14:paraId="1D8F8C1B" w14:textId="5E7ABBE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mês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p>
        </w:tc>
        <w:tc>
          <w:tcPr>
            <w:tcW w:w="1666" w:type="pct"/>
            <w:shd w:val="clear" w:color="auto" w:fill="auto"/>
            <w:noWrap/>
            <w:vAlign w:val="center"/>
            <w:hideMark/>
          </w:tcPr>
          <w:p w14:paraId="26FE9C7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64346EE" w14:textId="77777777" w:rsidTr="00ED7D87">
        <w:tc>
          <w:tcPr>
            <w:tcW w:w="1667" w:type="pct"/>
            <w:vAlign w:val="center"/>
          </w:tcPr>
          <w:p w14:paraId="64A9A888" w14:textId="20471CF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w:t>
            </w:r>
          </w:p>
        </w:tc>
        <w:tc>
          <w:tcPr>
            <w:tcW w:w="1667" w:type="pct"/>
            <w:shd w:val="clear" w:color="auto" w:fill="auto"/>
            <w:noWrap/>
            <w:vAlign w:val="center"/>
            <w:hideMark/>
          </w:tcPr>
          <w:p w14:paraId="631484D8" w14:textId="36A3010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6" w:type="pct"/>
            <w:shd w:val="clear" w:color="auto" w:fill="auto"/>
            <w:noWrap/>
            <w:vAlign w:val="center"/>
            <w:hideMark/>
          </w:tcPr>
          <w:p w14:paraId="2539402A"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7164354" w14:textId="77777777" w:rsidTr="00ED7D87">
        <w:tc>
          <w:tcPr>
            <w:tcW w:w="1667" w:type="pct"/>
            <w:vAlign w:val="center"/>
          </w:tcPr>
          <w:p w14:paraId="530FE6C3" w14:textId="632E3AB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DURAÇÃO DO PASSIVO</w:t>
            </w:r>
          </w:p>
        </w:tc>
        <w:tc>
          <w:tcPr>
            <w:tcW w:w="1667" w:type="pct"/>
            <w:shd w:val="clear" w:color="auto" w:fill="auto"/>
            <w:noWrap/>
            <w:vAlign w:val="center"/>
            <w:hideMark/>
          </w:tcPr>
          <w:p w14:paraId="23EE74F8" w14:textId="4FC51908"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Duração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Passivo</w:t>
            </w:r>
          </w:p>
        </w:tc>
        <w:tc>
          <w:tcPr>
            <w:tcW w:w="1666" w:type="pct"/>
            <w:shd w:val="clear" w:color="auto" w:fill="auto"/>
            <w:noWrap/>
            <w:vAlign w:val="center"/>
            <w:hideMark/>
          </w:tcPr>
          <w:p w14:paraId="0E0A117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6CBB1DD3" w14:textId="77777777" w:rsidTr="00ED7D87">
        <w:tc>
          <w:tcPr>
            <w:tcW w:w="1667" w:type="pct"/>
            <w:vAlign w:val="center"/>
          </w:tcPr>
          <w:p w14:paraId="53F0681F" w14:textId="5FA3A73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4º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tc>
        <w:tc>
          <w:tcPr>
            <w:tcW w:w="1667" w:type="pct"/>
            <w:shd w:val="clear" w:color="auto" w:fill="auto"/>
            <w:noWrap/>
            <w:vAlign w:val="center"/>
            <w:hideMark/>
          </w:tcPr>
          <w:p w14:paraId="421CF040" w14:textId="2950DA4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adquiriram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manutenção.</w:t>
            </w:r>
          </w:p>
        </w:tc>
        <w:tc>
          <w:tcPr>
            <w:tcW w:w="1666" w:type="pct"/>
            <w:shd w:val="clear" w:color="auto" w:fill="auto"/>
            <w:noWrap/>
            <w:vAlign w:val="center"/>
            <w:hideMark/>
          </w:tcPr>
          <w:p w14:paraId="6B39901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D1A87BA" w14:textId="77777777" w:rsidTr="00ED7D87">
        <w:tc>
          <w:tcPr>
            <w:tcW w:w="1667" w:type="pct"/>
            <w:vAlign w:val="center"/>
          </w:tcPr>
          <w:p w14:paraId="13F87339" w14:textId="2453BA6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5º Para fins de cálculo do Limite de Reserva de Contingência, do Limite de Déficit Técnico Acumulado e do prazo para amortização do valor a ser equacionado, a duração do passivo deve ser apurada em anos no sistema de Duração do Passivo e Ajuste de Precificação (DPAP) e ser calculada para o encerramento do exercício de referência ou para o fim do mês da data de efetivação do fato relevante.</w:t>
            </w:r>
          </w:p>
        </w:tc>
        <w:tc>
          <w:tcPr>
            <w:tcW w:w="1667" w:type="pct"/>
            <w:shd w:val="clear" w:color="auto" w:fill="auto"/>
            <w:vAlign w:val="center"/>
            <w:hideMark/>
          </w:tcPr>
          <w:p w14:paraId="3C10BB95" w14:textId="41ACC32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4º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Acumulado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sistema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(DPAP)</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w:t>
            </w:r>
          </w:p>
        </w:tc>
        <w:tc>
          <w:tcPr>
            <w:tcW w:w="1666" w:type="pct"/>
            <w:vMerge w:val="restart"/>
            <w:shd w:val="clear" w:color="auto" w:fill="auto"/>
            <w:noWrap/>
            <w:vAlign w:val="center"/>
            <w:hideMark/>
          </w:tcPr>
          <w:p w14:paraId="68F90B0F" w14:textId="162852F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Desdobramento em incisos para trazer maior clareza ao dispositivo</w:t>
            </w:r>
            <w:r w:rsidR="00CD5BE3">
              <w:rPr>
                <w:rFonts w:ascii="Calibri" w:eastAsia="Times New Roman" w:hAnsi="Calibri" w:cs="Calibri"/>
                <w:kern w:val="0"/>
                <w:sz w:val="24"/>
                <w:szCs w:val="24"/>
                <w:lang w:eastAsia="pt-BR"/>
                <w14:ligatures w14:val="none"/>
              </w:rPr>
              <w:t xml:space="preserve"> de quando deve ser realizada avaliação atuarial.</w:t>
            </w:r>
          </w:p>
        </w:tc>
      </w:tr>
      <w:tr w:rsidR="00225EB1" w:rsidRPr="00225EB1" w14:paraId="0F68D426" w14:textId="77777777" w:rsidTr="00ED7D87">
        <w:tc>
          <w:tcPr>
            <w:tcW w:w="1667" w:type="pct"/>
            <w:vAlign w:val="center"/>
          </w:tcPr>
          <w:p w14:paraId="5446A1C7" w14:textId="3B2218A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7" w:type="pct"/>
            <w:shd w:val="clear" w:color="auto" w:fill="auto"/>
            <w:vAlign w:val="center"/>
            <w:hideMark/>
          </w:tcPr>
          <w:p w14:paraId="1828F78D" w14:textId="2420F6C0"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referência</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6" w:type="pct"/>
            <w:vMerge/>
            <w:vAlign w:val="center"/>
            <w:hideMark/>
          </w:tcPr>
          <w:p w14:paraId="76ADA52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6C3F734" w14:textId="77777777" w:rsidTr="00ED7D87">
        <w:tc>
          <w:tcPr>
            <w:tcW w:w="1667" w:type="pct"/>
            <w:vAlign w:val="center"/>
          </w:tcPr>
          <w:p w14:paraId="1224DA14" w14:textId="2619348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7" w:type="pct"/>
            <w:shd w:val="clear" w:color="auto" w:fill="auto"/>
            <w:vAlign w:val="center"/>
            <w:hideMark/>
          </w:tcPr>
          <w:p w14:paraId="18017D1B" w14:textId="7E0DA28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mês</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efetivação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relevante</w:t>
            </w:r>
            <w:r w:rsidRPr="00843426">
              <w:rPr>
                <w:rFonts w:ascii="Calibri" w:eastAsia="Times New Roman" w:hAnsi="Calibri" w:cs="Calibri"/>
                <w:kern w:val="0"/>
                <w:sz w:val="24"/>
                <w:szCs w:val="24"/>
                <w:lang w:eastAsia="pt-BR"/>
                <w14:ligatures w14:val="none"/>
              </w:rPr>
              <w:t>.</w:t>
            </w:r>
          </w:p>
        </w:tc>
        <w:tc>
          <w:tcPr>
            <w:tcW w:w="1666" w:type="pct"/>
            <w:vMerge/>
            <w:vAlign w:val="center"/>
            <w:hideMark/>
          </w:tcPr>
          <w:p w14:paraId="0C293B78"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CD1D21A" w14:textId="77777777" w:rsidTr="00ED7D87">
        <w:tc>
          <w:tcPr>
            <w:tcW w:w="1667" w:type="pct"/>
            <w:vAlign w:val="center"/>
          </w:tcPr>
          <w:p w14:paraId="3E81BB52" w14:textId="146BDC7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Caso ocorra o equacionamento de déficit no próprio encerramento do exercício de apuração do resultado deficitário, a duração do passivo para fins de atendimento ao disposto no caput deve ser a calculada previamente ao lançamento do correspondente fluxo de contribuições extraordinárias futuras.</w:t>
            </w:r>
          </w:p>
        </w:tc>
        <w:tc>
          <w:tcPr>
            <w:tcW w:w="1667" w:type="pct"/>
            <w:shd w:val="clear" w:color="auto" w:fill="auto"/>
            <w:noWrap/>
            <w:vAlign w:val="center"/>
            <w:hideMark/>
          </w:tcPr>
          <w:p w14:paraId="7B406EEA" w14:textId="4C9CA4F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próprio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deficitário,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lançamento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futuras.</w:t>
            </w:r>
          </w:p>
        </w:tc>
        <w:tc>
          <w:tcPr>
            <w:tcW w:w="1666" w:type="pct"/>
            <w:shd w:val="clear" w:color="auto" w:fill="auto"/>
            <w:noWrap/>
            <w:vAlign w:val="center"/>
            <w:hideMark/>
          </w:tcPr>
          <w:p w14:paraId="71EBEEB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067A3CA" w14:textId="77777777" w:rsidTr="00ED7D87">
        <w:tc>
          <w:tcPr>
            <w:tcW w:w="1667" w:type="pct"/>
            <w:vAlign w:val="center"/>
          </w:tcPr>
          <w:p w14:paraId="7CB5DFF3" w14:textId="7F8E7CC7"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II</w:t>
            </w:r>
          </w:p>
        </w:tc>
        <w:tc>
          <w:tcPr>
            <w:tcW w:w="1667" w:type="pct"/>
            <w:shd w:val="clear" w:color="auto" w:fill="auto"/>
            <w:noWrap/>
            <w:vAlign w:val="center"/>
            <w:hideMark/>
          </w:tcPr>
          <w:p w14:paraId="6659FDD0" w14:textId="747324D1"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tc>
        <w:tc>
          <w:tcPr>
            <w:tcW w:w="1666" w:type="pct"/>
            <w:shd w:val="clear" w:color="auto" w:fill="auto"/>
            <w:noWrap/>
            <w:vAlign w:val="center"/>
            <w:hideMark/>
          </w:tcPr>
          <w:p w14:paraId="256AFE23"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E7E27A7" w14:textId="77777777" w:rsidTr="00ED7D87">
        <w:tc>
          <w:tcPr>
            <w:tcW w:w="1667" w:type="pct"/>
            <w:vAlign w:val="center"/>
          </w:tcPr>
          <w:p w14:paraId="1101E0A1" w14:textId="1855CE63"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TAXA DE JUROS PARÂMETRO</w:t>
            </w:r>
          </w:p>
        </w:tc>
        <w:tc>
          <w:tcPr>
            <w:tcW w:w="1667" w:type="pct"/>
            <w:shd w:val="clear" w:color="auto" w:fill="auto"/>
            <w:noWrap/>
            <w:vAlign w:val="center"/>
            <w:hideMark/>
          </w:tcPr>
          <w:p w14:paraId="1DA887E9" w14:textId="45BADA6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Taxa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Juros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Parâmetro</w:t>
            </w:r>
          </w:p>
        </w:tc>
        <w:tc>
          <w:tcPr>
            <w:tcW w:w="1666" w:type="pct"/>
            <w:shd w:val="clear" w:color="auto" w:fill="auto"/>
            <w:noWrap/>
            <w:vAlign w:val="center"/>
            <w:hideMark/>
          </w:tcPr>
          <w:p w14:paraId="6572C9B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FE313D2" w14:textId="77777777" w:rsidTr="00ED7D87">
        <w:tc>
          <w:tcPr>
            <w:tcW w:w="1667" w:type="pct"/>
            <w:vAlign w:val="center"/>
          </w:tcPr>
          <w:p w14:paraId="52267AB9" w14:textId="2EDB7B9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6º A taxa de juros parâmetro corresponde </w:t>
            </w:r>
            <w:proofErr w:type="gramStart"/>
            <w:r w:rsidRPr="00225EB1">
              <w:rPr>
                <w:rFonts w:ascii="Calibri" w:hAnsi="Calibri" w:cs="Calibri"/>
                <w:sz w:val="24"/>
              </w:rPr>
              <w:t>àquela cujo ponto</w:t>
            </w:r>
            <w:proofErr w:type="gramEnd"/>
            <w:r w:rsidRPr="00225EB1">
              <w:rPr>
                <w:rFonts w:ascii="Calibri" w:hAnsi="Calibri" w:cs="Calibri"/>
                <w:sz w:val="24"/>
              </w:rPr>
              <w:t xml:space="preserve"> da Estrutura a </w:t>
            </w:r>
            <w:r w:rsidRPr="00225EB1">
              <w:rPr>
                <w:rFonts w:ascii="Calibri" w:hAnsi="Calibri" w:cs="Calibri"/>
                <w:sz w:val="24"/>
              </w:rPr>
              <w:lastRenderedPageBreak/>
              <w:t>Termo de Taxa de Juros Média (ETTJ) seja o mais próximo à duração do passivo do respectivo plano de benefícios.</w:t>
            </w:r>
          </w:p>
        </w:tc>
        <w:tc>
          <w:tcPr>
            <w:tcW w:w="1667" w:type="pct"/>
            <w:shd w:val="clear" w:color="auto" w:fill="auto"/>
            <w:noWrap/>
            <w:vAlign w:val="center"/>
            <w:hideMark/>
          </w:tcPr>
          <w:p w14:paraId="72CC3F89" w14:textId="362F561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5</w:t>
            </w:r>
            <w:proofErr w:type="gramStart"/>
            <w:r w:rsidR="00846A7A">
              <w:rPr>
                <w:rFonts w:ascii="Calibri" w:eastAsia="Times New Roman" w:hAnsi="Calibri" w:cs="Calibri"/>
                <w:kern w:val="0"/>
                <w:sz w:val="24"/>
                <w:szCs w:val="24"/>
                <w:lang w:eastAsia="pt-BR"/>
                <w14:ligatures w14:val="none"/>
              </w:rPr>
              <w:t>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proofErr w:type="gramEnd"/>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àquela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Estrutura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Média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próximo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20AE535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7CACE81" w14:textId="77777777" w:rsidTr="00ED7D87">
        <w:tc>
          <w:tcPr>
            <w:tcW w:w="1667" w:type="pct"/>
            <w:vAlign w:val="center"/>
          </w:tcPr>
          <w:p w14:paraId="518A8F5D" w14:textId="3522131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 duração do passivo para encontrar a taxa de juros referida no caput é aquela calculada considerando o fluxo projetado na avaliação de encerramento do exercício anterior ao de referência.</w:t>
            </w:r>
          </w:p>
        </w:tc>
        <w:tc>
          <w:tcPr>
            <w:tcW w:w="1667" w:type="pct"/>
            <w:shd w:val="clear" w:color="auto" w:fill="auto"/>
            <w:noWrap/>
            <w:vAlign w:val="center"/>
            <w:hideMark/>
          </w:tcPr>
          <w:p w14:paraId="209A59E9" w14:textId="79169EF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encontrar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tc>
        <w:tc>
          <w:tcPr>
            <w:tcW w:w="1666" w:type="pct"/>
            <w:shd w:val="clear" w:color="auto" w:fill="auto"/>
            <w:noWrap/>
            <w:vAlign w:val="center"/>
            <w:hideMark/>
          </w:tcPr>
          <w:p w14:paraId="5C78040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84C3289" w14:textId="77777777" w:rsidTr="00ED7D87">
        <w:tc>
          <w:tcPr>
            <w:tcW w:w="1667" w:type="pct"/>
            <w:vAlign w:val="center"/>
          </w:tcPr>
          <w:p w14:paraId="6BD5870E" w14:textId="7743707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Na ocorrência de fato relevante que enseje a elaboração de nova avaliação atuarial, deve ser considerado o fluxo projetado que reflita a nova realidade do plano de benefícios.</w:t>
            </w:r>
          </w:p>
        </w:tc>
        <w:tc>
          <w:tcPr>
            <w:tcW w:w="1667" w:type="pct"/>
            <w:shd w:val="clear" w:color="auto" w:fill="auto"/>
            <w:noWrap/>
            <w:vAlign w:val="center"/>
            <w:hideMark/>
          </w:tcPr>
          <w:p w14:paraId="12F0959E" w14:textId="695F158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enseje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reflita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32A886D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2CD766E" w14:textId="77777777" w:rsidTr="00ED7D87">
        <w:tc>
          <w:tcPr>
            <w:tcW w:w="1667" w:type="pct"/>
            <w:vAlign w:val="center"/>
          </w:tcPr>
          <w:p w14:paraId="1AC634A5" w14:textId="713F2D0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§3º Os pontos das ETTJ serão apurados com data-base do primeiro dia útil de abril.</w:t>
            </w:r>
          </w:p>
        </w:tc>
        <w:tc>
          <w:tcPr>
            <w:tcW w:w="1667" w:type="pct"/>
            <w:shd w:val="clear" w:color="auto" w:fill="auto"/>
            <w:noWrap/>
            <w:vAlign w:val="center"/>
            <w:hideMark/>
          </w:tcPr>
          <w:p w14:paraId="3C874151" w14:textId="76AC7F0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sidR="009068E9">
              <w:rPr>
                <w:rFonts w:ascii="Calibri" w:eastAsia="Times New Roman" w:hAnsi="Calibri" w:cs="Calibri"/>
                <w:kern w:val="0"/>
                <w:sz w:val="24"/>
                <w:szCs w:val="24"/>
                <w:lang w:eastAsia="pt-BR"/>
                <w14:ligatures w14:val="none"/>
              </w:rPr>
              <w:t xml:space="preserve"> </w:t>
            </w:r>
            <w:r w:rsidR="00CD5BE3">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00CD5BE3">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primeiro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útil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abril.</w:t>
            </w:r>
          </w:p>
        </w:tc>
        <w:tc>
          <w:tcPr>
            <w:tcW w:w="1666" w:type="pct"/>
            <w:shd w:val="clear" w:color="auto" w:fill="auto"/>
            <w:noWrap/>
            <w:vAlign w:val="center"/>
            <w:hideMark/>
          </w:tcPr>
          <w:p w14:paraId="2BE189B5" w14:textId="0C4BB5C7" w:rsidR="00A6584C" w:rsidRPr="00843426" w:rsidRDefault="00CD5BE3"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tempo verbal.</w:t>
            </w:r>
          </w:p>
        </w:tc>
      </w:tr>
      <w:tr w:rsidR="00225EB1" w:rsidRPr="00225EB1" w14:paraId="1F4D318E" w14:textId="77777777" w:rsidTr="00ED7D87">
        <w:tc>
          <w:tcPr>
            <w:tcW w:w="1667" w:type="pct"/>
            <w:vAlign w:val="center"/>
          </w:tcPr>
          <w:p w14:paraId="6539A9EA" w14:textId="1FB003B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§4º Os pontos das ETTJ e correspondentes taxas de juros parâmetro, bem como os limites inferior e superior, serão divulgados anualmente pela Previc até 30 de abril de cada exercício.</w:t>
            </w:r>
          </w:p>
        </w:tc>
        <w:tc>
          <w:tcPr>
            <w:tcW w:w="1667" w:type="pct"/>
            <w:shd w:val="clear" w:color="auto" w:fill="auto"/>
            <w:noWrap/>
            <w:vAlign w:val="center"/>
            <w:hideMark/>
          </w:tcPr>
          <w:p w14:paraId="56A2367E" w14:textId="69B583C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4º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superior,</w:t>
            </w:r>
            <w:r w:rsidR="009068E9">
              <w:rPr>
                <w:rFonts w:ascii="Calibri" w:eastAsia="Times New Roman" w:hAnsi="Calibri" w:cs="Calibri"/>
                <w:kern w:val="0"/>
                <w:sz w:val="24"/>
                <w:szCs w:val="24"/>
                <w:lang w:eastAsia="pt-BR"/>
                <w14:ligatures w14:val="none"/>
              </w:rPr>
              <w:t xml:space="preserve"> </w:t>
            </w:r>
            <w:r w:rsidR="00CD5BE3">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00CD5BE3">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30</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abril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p>
        </w:tc>
        <w:tc>
          <w:tcPr>
            <w:tcW w:w="1666" w:type="pct"/>
            <w:shd w:val="clear" w:color="auto" w:fill="auto"/>
            <w:noWrap/>
            <w:vAlign w:val="center"/>
            <w:hideMark/>
          </w:tcPr>
          <w:p w14:paraId="28115CC3" w14:textId="42B29F8C" w:rsidR="00A6584C" w:rsidRPr="00843426" w:rsidRDefault="00CD5BE3"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tempo verbal.</w:t>
            </w:r>
          </w:p>
        </w:tc>
      </w:tr>
      <w:tr w:rsidR="00225EB1" w:rsidRPr="00225EB1" w14:paraId="78FBB1AB" w14:textId="77777777" w:rsidTr="00ED7D87">
        <w:tc>
          <w:tcPr>
            <w:tcW w:w="1667" w:type="pct"/>
            <w:vAlign w:val="center"/>
          </w:tcPr>
          <w:p w14:paraId="473AE657" w14:textId="3E8A918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7º O cálculo da taxa de juros parâmetro deve considerar a duração do passivo com uma casa decimal, conforme definido no Anexo a esta Instrução.</w:t>
            </w:r>
          </w:p>
        </w:tc>
        <w:tc>
          <w:tcPr>
            <w:tcW w:w="1667" w:type="pct"/>
            <w:shd w:val="clear" w:color="auto" w:fill="auto"/>
            <w:noWrap/>
            <w:vAlign w:val="center"/>
            <w:hideMark/>
          </w:tcPr>
          <w:p w14:paraId="0A4FBEF0" w14:textId="755DFE1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6</w:t>
            </w:r>
            <w:proofErr w:type="gramStart"/>
            <w:r w:rsidR="00846A7A">
              <w:rPr>
                <w:rFonts w:ascii="Calibri" w:eastAsia="Times New Roman" w:hAnsi="Calibri" w:cs="Calibri"/>
                <w:kern w:val="0"/>
                <w:sz w:val="24"/>
                <w:szCs w:val="24"/>
                <w:lang w:eastAsia="pt-BR"/>
                <w14:ligatures w14:val="none"/>
              </w:rPr>
              <w:t>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proofErr w:type="gramEnd"/>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decimal,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Anexo</w:t>
            </w:r>
            <w:r w:rsidR="007908A2">
              <w:rPr>
                <w:rFonts w:ascii="Calibri" w:eastAsia="Times New Roman" w:hAnsi="Calibri" w:cs="Calibri"/>
                <w:kern w:val="0"/>
                <w:sz w:val="24"/>
                <w:szCs w:val="24"/>
                <w:lang w:eastAsia="pt-BR"/>
                <w14:ligatures w14:val="none"/>
              </w:rPr>
              <w:t xml:space="preserve"> (número do anexo)</w:t>
            </w:r>
            <w:r w:rsidRPr="00843426">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305CC2F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CAE4644" w14:textId="77777777" w:rsidTr="00ED7D87">
        <w:tc>
          <w:tcPr>
            <w:tcW w:w="1667" w:type="pct"/>
            <w:vAlign w:val="center"/>
          </w:tcPr>
          <w:p w14:paraId="164043AD" w14:textId="64FD443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8º Independentemente da modalidade, quando o plano apresentar benefícios com características de benefício definido, a duração do passivo deve ser considerada para </w:t>
            </w:r>
            <w:r w:rsidRPr="00225EB1">
              <w:rPr>
                <w:rFonts w:ascii="Calibri" w:hAnsi="Calibri" w:cs="Calibri"/>
                <w:sz w:val="24"/>
              </w:rPr>
              <w:lastRenderedPageBreak/>
              <w:t>efeito de definição da taxa de juros parâmetro.</w:t>
            </w:r>
          </w:p>
        </w:tc>
        <w:tc>
          <w:tcPr>
            <w:tcW w:w="1667" w:type="pct"/>
            <w:shd w:val="clear" w:color="auto" w:fill="auto"/>
            <w:noWrap/>
            <w:vAlign w:val="center"/>
            <w:hideMark/>
          </w:tcPr>
          <w:p w14:paraId="36192880" w14:textId="20BF8216"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7º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Independentemente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p>
        </w:tc>
        <w:tc>
          <w:tcPr>
            <w:tcW w:w="1666" w:type="pct"/>
            <w:shd w:val="clear" w:color="auto" w:fill="auto"/>
            <w:noWrap/>
            <w:vAlign w:val="center"/>
            <w:hideMark/>
          </w:tcPr>
          <w:p w14:paraId="7E33840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C4CD309" w14:textId="77777777" w:rsidTr="00ED7D87">
        <w:tc>
          <w:tcPr>
            <w:tcW w:w="1667" w:type="pct"/>
            <w:vAlign w:val="center"/>
          </w:tcPr>
          <w:p w14:paraId="7F46174C" w14:textId="632F45A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O plano de benefícios que apresente benefício com características de contribuição definida e utilize taxa real anual de juros em seu cálculo deve adotá-la dentro do intervalo regulatório estabelecido, considerando a duração de dez anos.</w:t>
            </w:r>
          </w:p>
        </w:tc>
        <w:tc>
          <w:tcPr>
            <w:tcW w:w="1667" w:type="pct"/>
            <w:shd w:val="clear" w:color="auto" w:fill="auto"/>
            <w:noWrap/>
            <w:vAlign w:val="center"/>
            <w:hideMark/>
          </w:tcPr>
          <w:p w14:paraId="694C6626" w14:textId="34FD693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245C">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adotar</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dentro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p>
        </w:tc>
        <w:tc>
          <w:tcPr>
            <w:tcW w:w="1666" w:type="pct"/>
            <w:shd w:val="clear" w:color="auto" w:fill="auto"/>
            <w:noWrap/>
            <w:vAlign w:val="center"/>
            <w:hideMark/>
          </w:tcPr>
          <w:p w14:paraId="32F79BF8" w14:textId="34D5C26C" w:rsidR="00A6584C" w:rsidRPr="00843426" w:rsidRDefault="0090245C"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redacional para eliminar ambiguidade, além de adotar paralelismo com outros dispositivos da norma.</w:t>
            </w:r>
          </w:p>
        </w:tc>
      </w:tr>
      <w:tr w:rsidR="00225EB1" w:rsidRPr="00225EB1" w14:paraId="7EB314FA" w14:textId="77777777" w:rsidTr="00ED7D87">
        <w:tc>
          <w:tcPr>
            <w:tcW w:w="1667" w:type="pct"/>
            <w:vAlign w:val="center"/>
          </w:tcPr>
          <w:p w14:paraId="3E2EEE1E" w14:textId="278FF6A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Caso o plano de benefícios possua fundo previdencial que utilize em sua constituição e manutenção a hipótese de taxa real anual de juros, aplicam-se os critérios de definição para a taxa de juros parâmetro previstos neste artigo, conforme evento ou risco ao qual esteja associado.</w:t>
            </w:r>
          </w:p>
        </w:tc>
        <w:tc>
          <w:tcPr>
            <w:tcW w:w="1667" w:type="pct"/>
            <w:shd w:val="clear" w:color="auto" w:fill="auto"/>
            <w:noWrap/>
            <w:vAlign w:val="center"/>
            <w:hideMark/>
          </w:tcPr>
          <w:p w14:paraId="09135E27" w14:textId="1100E59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w:t>
            </w:r>
            <w:proofErr w:type="gramStart"/>
            <w:r w:rsidRPr="00843426">
              <w:rPr>
                <w:rFonts w:ascii="Calibri" w:eastAsia="Times New Roman" w:hAnsi="Calibri" w:cs="Calibri"/>
                <w:kern w:val="0"/>
                <w:sz w:val="24"/>
                <w:szCs w:val="24"/>
                <w:lang w:eastAsia="pt-BR"/>
                <w14:ligatures w14:val="none"/>
              </w:rPr>
              <w:t>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proofErr w:type="gramEnd"/>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manutenção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aplicam-se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r w:rsidR="001600AB">
              <w:rPr>
                <w:rFonts w:ascii="Calibri" w:eastAsia="Times New Roman" w:hAnsi="Calibri" w:cs="Calibri"/>
                <w:kern w:val="0"/>
                <w:sz w:val="24"/>
                <w:szCs w:val="24"/>
                <w:lang w:eastAsia="pt-BR"/>
                <w14:ligatures w14:val="none"/>
              </w:rPr>
              <w:t xml:space="preserve"> 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associado.</w:t>
            </w:r>
          </w:p>
        </w:tc>
        <w:tc>
          <w:tcPr>
            <w:tcW w:w="1666" w:type="pct"/>
            <w:shd w:val="clear" w:color="auto" w:fill="auto"/>
            <w:noWrap/>
            <w:vAlign w:val="center"/>
            <w:hideMark/>
          </w:tcPr>
          <w:p w14:paraId="470FA38F" w14:textId="686F0BB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7AEE0DD" w14:textId="77777777" w:rsidTr="00ED7D87">
        <w:tc>
          <w:tcPr>
            <w:tcW w:w="1667" w:type="pct"/>
            <w:vAlign w:val="center"/>
          </w:tcPr>
          <w:p w14:paraId="430AAD3C" w14:textId="58F730F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9º No caso de inviabilidade técnica para apuração da duração do passivo, o plano de benefícios deve aplicar a ETTJ considerando a duração de dez anos para efeito de definição da taxa de juros parâmetro.</w:t>
            </w:r>
          </w:p>
        </w:tc>
        <w:tc>
          <w:tcPr>
            <w:tcW w:w="1667" w:type="pct"/>
            <w:shd w:val="clear" w:color="auto" w:fill="auto"/>
            <w:noWrap/>
            <w:vAlign w:val="center"/>
            <w:hideMark/>
          </w:tcPr>
          <w:p w14:paraId="402D5452" w14:textId="698B358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8º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p>
        </w:tc>
        <w:tc>
          <w:tcPr>
            <w:tcW w:w="1666" w:type="pct"/>
            <w:shd w:val="clear" w:color="auto" w:fill="auto"/>
            <w:noWrap/>
            <w:vAlign w:val="center"/>
            <w:hideMark/>
          </w:tcPr>
          <w:p w14:paraId="2608AD6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B0D89CE" w14:textId="77777777" w:rsidTr="00ED7D87">
        <w:tc>
          <w:tcPr>
            <w:tcW w:w="1667" w:type="pct"/>
            <w:vAlign w:val="center"/>
          </w:tcPr>
          <w:p w14:paraId="050F5F23" w14:textId="0B1D37A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Cabe ao atuário responsável pelo plano de benefícios a manifestação sobre a inviabilidade técnica nas Demonstrações Atuariais (DA).</w:t>
            </w:r>
          </w:p>
        </w:tc>
        <w:tc>
          <w:tcPr>
            <w:tcW w:w="1667" w:type="pct"/>
            <w:shd w:val="clear" w:color="auto" w:fill="auto"/>
            <w:noWrap/>
            <w:vAlign w:val="center"/>
            <w:hideMark/>
          </w:tcPr>
          <w:p w14:paraId="41076CC1" w14:textId="268E979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sidR="001600AB">
              <w:rPr>
                <w:rFonts w:ascii="Calibri" w:eastAsia="Times New Roman" w:hAnsi="Calibri" w:cs="Calibri"/>
                <w:kern w:val="0"/>
                <w:sz w:val="24"/>
                <w:szCs w:val="24"/>
                <w:lang w:eastAsia="pt-BR"/>
                <w14:ligatures w14:val="none"/>
              </w:rPr>
              <w:t xml:space="preserve"> </w:t>
            </w:r>
            <w:r w:rsidR="001600AB" w:rsidRPr="00843426">
              <w:rPr>
                <w:rFonts w:ascii="Calibri" w:eastAsia="Times New Roman" w:hAnsi="Calibri" w:cs="Calibri"/>
                <w:kern w:val="0"/>
                <w:sz w:val="24"/>
                <w:szCs w:val="24"/>
                <w:lang w:eastAsia="pt-BR"/>
                <w14:ligatures w14:val="none"/>
              </w:rPr>
              <w:t>nas</w:t>
            </w:r>
            <w:r w:rsidR="001600AB">
              <w:rPr>
                <w:rFonts w:ascii="Calibri" w:eastAsia="Times New Roman" w:hAnsi="Calibri" w:cs="Calibri"/>
                <w:kern w:val="0"/>
                <w:sz w:val="24"/>
                <w:szCs w:val="24"/>
                <w:lang w:eastAsia="pt-BR"/>
                <w14:ligatures w14:val="none"/>
              </w:rPr>
              <w:t xml:space="preserve"> </w:t>
            </w:r>
            <w:r w:rsidR="001600AB"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54E3EFE5" w14:textId="456E7A26" w:rsidR="00A6584C" w:rsidRPr="00843426" w:rsidRDefault="0090245C"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redacional.</w:t>
            </w:r>
          </w:p>
        </w:tc>
      </w:tr>
      <w:tr w:rsidR="00225EB1" w:rsidRPr="00225EB1" w14:paraId="212CAA3F" w14:textId="77777777" w:rsidTr="00ED7D87">
        <w:tc>
          <w:tcPr>
            <w:tcW w:w="1667" w:type="pct"/>
            <w:vAlign w:val="center"/>
          </w:tcPr>
          <w:p w14:paraId="2D7D362F" w14:textId="1A62212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III</w:t>
            </w:r>
          </w:p>
        </w:tc>
        <w:tc>
          <w:tcPr>
            <w:tcW w:w="1667" w:type="pct"/>
            <w:shd w:val="clear" w:color="auto" w:fill="auto"/>
            <w:noWrap/>
            <w:vAlign w:val="center"/>
            <w:hideMark/>
          </w:tcPr>
          <w:p w14:paraId="4CE893D9" w14:textId="3CB54955"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IV</w:t>
            </w:r>
          </w:p>
        </w:tc>
        <w:tc>
          <w:tcPr>
            <w:tcW w:w="1666" w:type="pct"/>
            <w:shd w:val="clear" w:color="auto" w:fill="auto"/>
            <w:noWrap/>
            <w:vAlign w:val="center"/>
            <w:hideMark/>
          </w:tcPr>
          <w:p w14:paraId="117CD7F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1609DD2" w14:textId="77777777" w:rsidTr="00ED7D87">
        <w:tc>
          <w:tcPr>
            <w:tcW w:w="1667" w:type="pct"/>
            <w:vAlign w:val="center"/>
          </w:tcPr>
          <w:p w14:paraId="2723F81C" w14:textId="419DD44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AJUSTE DE PRECIFICAÇÃO</w:t>
            </w:r>
          </w:p>
        </w:tc>
        <w:tc>
          <w:tcPr>
            <w:tcW w:w="1667" w:type="pct"/>
            <w:shd w:val="clear" w:color="auto" w:fill="auto"/>
            <w:noWrap/>
            <w:vAlign w:val="center"/>
            <w:hideMark/>
          </w:tcPr>
          <w:p w14:paraId="570D8BEF" w14:textId="267CB2C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Ajuste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Precificação</w:t>
            </w:r>
          </w:p>
        </w:tc>
        <w:tc>
          <w:tcPr>
            <w:tcW w:w="1666" w:type="pct"/>
            <w:shd w:val="clear" w:color="auto" w:fill="auto"/>
            <w:noWrap/>
            <w:vAlign w:val="center"/>
            <w:hideMark/>
          </w:tcPr>
          <w:p w14:paraId="3DBE211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891C878" w14:textId="77777777" w:rsidTr="00ED7D87">
        <w:tc>
          <w:tcPr>
            <w:tcW w:w="1667" w:type="pct"/>
            <w:vAlign w:val="center"/>
          </w:tcPr>
          <w:p w14:paraId="6A3BA584" w14:textId="5EE60AE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10. O ajuste de precificação é restrito aos títulos públicos federais atrelados a índices de </w:t>
            </w:r>
            <w:r w:rsidRPr="00225EB1">
              <w:rPr>
                <w:rFonts w:ascii="Calibri" w:hAnsi="Calibri" w:cs="Calibri"/>
                <w:sz w:val="24"/>
              </w:rPr>
              <w:lastRenderedPageBreak/>
              <w:t>preços mantidos em carteira própria ou em fundos de investimento exclusivos que atendam, cumulativamente, aos seguintes requisitos:</w:t>
            </w:r>
          </w:p>
        </w:tc>
        <w:tc>
          <w:tcPr>
            <w:tcW w:w="1667" w:type="pct"/>
            <w:shd w:val="clear" w:color="auto" w:fill="auto"/>
            <w:noWrap/>
            <w:vAlign w:val="center"/>
            <w:hideMark/>
          </w:tcPr>
          <w:p w14:paraId="05113433" w14:textId="321563B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9º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restrito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atrelados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índices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preços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carteira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própria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cumulativamente,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p>
        </w:tc>
        <w:tc>
          <w:tcPr>
            <w:tcW w:w="1666" w:type="pct"/>
            <w:shd w:val="clear" w:color="auto" w:fill="auto"/>
            <w:noWrap/>
            <w:vAlign w:val="center"/>
            <w:hideMark/>
          </w:tcPr>
          <w:p w14:paraId="000C2A5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2BAF51B" w14:textId="77777777" w:rsidTr="00ED7D87">
        <w:tc>
          <w:tcPr>
            <w:tcW w:w="1667" w:type="pct"/>
            <w:vAlign w:val="center"/>
          </w:tcPr>
          <w:p w14:paraId="16C71FDF" w14:textId="3A3D089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estejam classificados na categoria títulos mantidos até o vencimento;</w:t>
            </w:r>
          </w:p>
        </w:tc>
        <w:tc>
          <w:tcPr>
            <w:tcW w:w="1667" w:type="pct"/>
            <w:shd w:val="clear" w:color="auto" w:fill="auto"/>
            <w:noWrap/>
            <w:vAlign w:val="center"/>
            <w:hideMark/>
          </w:tcPr>
          <w:p w14:paraId="7AB6E4FF" w14:textId="231F135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classificados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categoria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vencimento;</w:t>
            </w:r>
          </w:p>
        </w:tc>
        <w:tc>
          <w:tcPr>
            <w:tcW w:w="1666" w:type="pct"/>
            <w:shd w:val="clear" w:color="auto" w:fill="auto"/>
            <w:noWrap/>
            <w:vAlign w:val="center"/>
            <w:hideMark/>
          </w:tcPr>
          <w:p w14:paraId="557BF32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EA8C739" w14:textId="77777777" w:rsidTr="00ED7D87">
        <w:tc>
          <w:tcPr>
            <w:tcW w:w="1667" w:type="pct"/>
            <w:vAlign w:val="center"/>
          </w:tcPr>
          <w:p w14:paraId="0F1B12F9" w14:textId="527FB6C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tc>
        <w:tc>
          <w:tcPr>
            <w:tcW w:w="1667" w:type="pct"/>
            <w:shd w:val="clear" w:color="auto" w:fill="auto"/>
            <w:noWrap/>
            <w:vAlign w:val="center"/>
            <w:hideMark/>
          </w:tcPr>
          <w:p w14:paraId="1E3AD958" w14:textId="49EF38F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manutenção,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adquiriram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p>
        </w:tc>
        <w:tc>
          <w:tcPr>
            <w:tcW w:w="1666" w:type="pct"/>
            <w:shd w:val="clear" w:color="auto" w:fill="auto"/>
            <w:noWrap/>
            <w:vAlign w:val="center"/>
            <w:hideMark/>
          </w:tcPr>
          <w:p w14:paraId="52B0B67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BFF5DA2" w14:textId="77777777" w:rsidTr="00ED7D87">
        <w:tc>
          <w:tcPr>
            <w:tcW w:w="1667" w:type="pct"/>
            <w:vAlign w:val="center"/>
          </w:tcPr>
          <w:p w14:paraId="229CBE19" w14:textId="0893473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o valor presente do fluxo dos títulos públicos federais objetos do ajuste, principal e juros, seja igual ou inferior ao valor presente do fluxo de pagamento de benefícios, apurados anualmente para todo o período do fluxo;</w:t>
            </w:r>
          </w:p>
        </w:tc>
        <w:tc>
          <w:tcPr>
            <w:tcW w:w="1667" w:type="pct"/>
            <w:shd w:val="clear" w:color="auto" w:fill="auto"/>
            <w:noWrap/>
            <w:vAlign w:val="center"/>
            <w:hideMark/>
          </w:tcPr>
          <w:p w14:paraId="0010275E" w14:textId="77C39A2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principal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igual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p>
        </w:tc>
        <w:tc>
          <w:tcPr>
            <w:tcW w:w="1666" w:type="pct"/>
            <w:shd w:val="clear" w:color="auto" w:fill="auto"/>
            <w:noWrap/>
            <w:vAlign w:val="center"/>
            <w:hideMark/>
          </w:tcPr>
          <w:p w14:paraId="06C2ECC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E69725" w14:textId="77777777" w:rsidTr="00ED7D87">
        <w:tc>
          <w:tcPr>
            <w:tcW w:w="1667" w:type="pct"/>
            <w:vAlign w:val="center"/>
          </w:tcPr>
          <w:p w14:paraId="11C30F52" w14:textId="15208DF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a duração do fluxo dos títulos públicos federais objetos do ajuste seja inferior à duração do fluxo de pagamento de benefícios; e</w:t>
            </w:r>
          </w:p>
        </w:tc>
        <w:tc>
          <w:tcPr>
            <w:tcW w:w="1667" w:type="pct"/>
            <w:shd w:val="clear" w:color="auto" w:fill="auto"/>
            <w:noWrap/>
            <w:vAlign w:val="center"/>
            <w:hideMark/>
          </w:tcPr>
          <w:p w14:paraId="1FFD14B2" w14:textId="61E4973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4B0FC508"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8AE7EF5" w14:textId="77777777" w:rsidTr="00ED7D87">
        <w:tc>
          <w:tcPr>
            <w:tcW w:w="1667" w:type="pct"/>
            <w:vAlign w:val="center"/>
          </w:tcPr>
          <w:p w14:paraId="0E4C2A63" w14:textId="1CF2BC9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esteja demonstrada a capacidade financeira de atendimento às necessidades de liquidez do plano de benefícios.</w:t>
            </w:r>
          </w:p>
        </w:tc>
        <w:tc>
          <w:tcPr>
            <w:tcW w:w="1667" w:type="pct"/>
            <w:shd w:val="clear" w:color="auto" w:fill="auto"/>
            <w:noWrap/>
            <w:vAlign w:val="center"/>
            <w:hideMark/>
          </w:tcPr>
          <w:p w14:paraId="3D00D391" w14:textId="32BF404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capacidade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63C1499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9E4ED82" w14:textId="77777777" w:rsidTr="00ED7D87">
        <w:tc>
          <w:tcPr>
            <w:tcW w:w="1667" w:type="pct"/>
            <w:vAlign w:val="center"/>
          </w:tcPr>
          <w:p w14:paraId="47A488F4" w14:textId="27396C0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§1º No cálculo do valor presente e da duração dos fluxos referidos nos incisos III e IV deste artigo, deve ser aplicada a taxa real anual de juros utilizada na avaliação atuarial de encerramento do exercício correspondente.</w:t>
            </w:r>
          </w:p>
        </w:tc>
        <w:tc>
          <w:tcPr>
            <w:tcW w:w="1667" w:type="pct"/>
            <w:shd w:val="clear" w:color="auto" w:fill="auto"/>
            <w:noWrap/>
            <w:vAlign w:val="center"/>
            <w:hideMark/>
          </w:tcPr>
          <w:p w14:paraId="68DE352C" w14:textId="07ADC8A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p>
        </w:tc>
        <w:tc>
          <w:tcPr>
            <w:tcW w:w="1666" w:type="pct"/>
            <w:shd w:val="clear" w:color="auto" w:fill="auto"/>
            <w:noWrap/>
            <w:vAlign w:val="center"/>
            <w:hideMark/>
          </w:tcPr>
          <w:p w14:paraId="2FAAC8C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189D4DF" w14:textId="77777777" w:rsidTr="00ED7D87">
        <w:tc>
          <w:tcPr>
            <w:tcW w:w="1667" w:type="pct"/>
            <w:vAlign w:val="center"/>
          </w:tcPr>
          <w:p w14:paraId="2D48E723" w14:textId="60F248D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Os títulos utilizados para fins de ajuste não podem ser excluídos do cálculo dos exercícios subsequentes, exceto quando não atenderem aos requisitos constantes nos incisos I a IV deste artigo.</w:t>
            </w:r>
          </w:p>
        </w:tc>
        <w:tc>
          <w:tcPr>
            <w:tcW w:w="1667" w:type="pct"/>
            <w:shd w:val="clear" w:color="auto" w:fill="auto"/>
            <w:noWrap/>
            <w:vAlign w:val="center"/>
            <w:hideMark/>
          </w:tcPr>
          <w:p w14:paraId="6F28DC1B" w14:textId="1E70665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excluídos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exceto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atenderem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0D90E03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3DF1CE8" w14:textId="77777777" w:rsidTr="00ED7D87">
        <w:tc>
          <w:tcPr>
            <w:tcW w:w="1667" w:type="pct"/>
            <w:vAlign w:val="center"/>
          </w:tcPr>
          <w:p w14:paraId="0564C4A9" w14:textId="49E078E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§3º São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tc>
        <w:tc>
          <w:tcPr>
            <w:tcW w:w="1667" w:type="pct"/>
            <w:shd w:val="clear" w:color="auto" w:fill="auto"/>
            <w:noWrap/>
            <w:vAlign w:val="center"/>
            <w:hideMark/>
          </w:tcPr>
          <w:p w14:paraId="6AAC4253" w14:textId="1EA8A28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obrigatórias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carteira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própria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enquadrem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artigo,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explicativas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contábeis.</w:t>
            </w:r>
          </w:p>
        </w:tc>
        <w:tc>
          <w:tcPr>
            <w:tcW w:w="1666" w:type="pct"/>
            <w:shd w:val="clear" w:color="auto" w:fill="auto"/>
            <w:noWrap/>
            <w:vAlign w:val="center"/>
            <w:hideMark/>
          </w:tcPr>
          <w:p w14:paraId="6D79654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27354A0" w14:textId="77777777" w:rsidTr="00ED7D87">
        <w:tc>
          <w:tcPr>
            <w:tcW w:w="1667" w:type="pct"/>
            <w:vAlign w:val="center"/>
          </w:tcPr>
          <w:p w14:paraId="5E1F3E82" w14:textId="605EEBE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11. A EFPC deve considerar o ajuste de precificação de títulos no cálculo do equilíbrio técnico ajustado constante das informações complementares da Demonstração do Ativo Líquido (DAL), para fins de destinação de superávit </w:t>
            </w:r>
            <w:proofErr w:type="spellStart"/>
            <w:r w:rsidRPr="00225EB1">
              <w:rPr>
                <w:rFonts w:ascii="Calibri" w:hAnsi="Calibri" w:cs="Calibri"/>
                <w:sz w:val="24"/>
              </w:rPr>
              <w:t>eou</w:t>
            </w:r>
            <w:proofErr w:type="spellEnd"/>
            <w:r w:rsidRPr="00225EB1">
              <w:rPr>
                <w:rFonts w:ascii="Calibri" w:hAnsi="Calibri" w:cs="Calibri"/>
                <w:sz w:val="24"/>
              </w:rPr>
              <w:t xml:space="preserve"> equacionamento de déficit da seguinte forma</w:t>
            </w:r>
            <w:r w:rsidR="0090245C">
              <w:rPr>
                <w:rFonts w:ascii="Calibri" w:hAnsi="Calibri" w:cs="Calibri"/>
                <w:sz w:val="24"/>
              </w:rPr>
              <w:t>:</w:t>
            </w:r>
          </w:p>
        </w:tc>
        <w:tc>
          <w:tcPr>
            <w:tcW w:w="1667" w:type="pct"/>
            <w:shd w:val="clear" w:color="auto" w:fill="auto"/>
            <w:noWrap/>
            <w:vAlign w:val="center"/>
            <w:hideMark/>
          </w:tcPr>
          <w:p w14:paraId="241DFF5F" w14:textId="198C14F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10</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complementares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Líquido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p>
        </w:tc>
        <w:tc>
          <w:tcPr>
            <w:tcW w:w="1666" w:type="pct"/>
            <w:shd w:val="clear" w:color="auto" w:fill="auto"/>
            <w:noWrap/>
            <w:vAlign w:val="center"/>
            <w:hideMark/>
          </w:tcPr>
          <w:p w14:paraId="2DDA92E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623347A" w14:textId="77777777" w:rsidTr="00ED7D87">
        <w:tc>
          <w:tcPr>
            <w:tcW w:w="1667" w:type="pct"/>
            <w:vAlign w:val="center"/>
          </w:tcPr>
          <w:p w14:paraId="0AD656FE" w14:textId="3CB0A659" w:rsidR="00A6584C" w:rsidRPr="00225EB1" w:rsidRDefault="0090245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I - positivo ou negativo, no caso de equacionamento de déficit; ou</w:t>
            </w:r>
          </w:p>
        </w:tc>
        <w:tc>
          <w:tcPr>
            <w:tcW w:w="1667" w:type="pct"/>
            <w:shd w:val="clear" w:color="auto" w:fill="auto"/>
            <w:noWrap/>
            <w:vAlign w:val="center"/>
            <w:hideMark/>
          </w:tcPr>
          <w:p w14:paraId="3BFAF28A" w14:textId="726D726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6" w:type="pct"/>
            <w:shd w:val="clear" w:color="auto" w:fill="auto"/>
            <w:noWrap/>
            <w:vAlign w:val="center"/>
            <w:hideMark/>
          </w:tcPr>
          <w:p w14:paraId="2537760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5F63EB2" w14:textId="77777777" w:rsidTr="00ED7D87">
        <w:tc>
          <w:tcPr>
            <w:tcW w:w="1667" w:type="pct"/>
            <w:vAlign w:val="center"/>
          </w:tcPr>
          <w:p w14:paraId="41C0BD12" w14:textId="5FEA77CD" w:rsidR="00A6584C" w:rsidRPr="00225EB1" w:rsidRDefault="0090245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II - somente negativo, no caso de destinação de superávit.</w:t>
            </w:r>
          </w:p>
        </w:tc>
        <w:tc>
          <w:tcPr>
            <w:tcW w:w="1667" w:type="pct"/>
            <w:shd w:val="clear" w:color="auto" w:fill="auto"/>
            <w:noWrap/>
            <w:vAlign w:val="center"/>
            <w:hideMark/>
          </w:tcPr>
          <w:p w14:paraId="739501E6" w14:textId="7F83329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w:t>
            </w:r>
          </w:p>
        </w:tc>
        <w:tc>
          <w:tcPr>
            <w:tcW w:w="1666" w:type="pct"/>
            <w:shd w:val="clear" w:color="auto" w:fill="auto"/>
            <w:noWrap/>
            <w:vAlign w:val="center"/>
            <w:hideMark/>
          </w:tcPr>
          <w:p w14:paraId="3676D7C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F024037" w14:textId="77777777" w:rsidTr="00ED7D87">
        <w:tc>
          <w:tcPr>
            <w:tcW w:w="1667" w:type="pct"/>
            <w:vAlign w:val="center"/>
          </w:tcPr>
          <w:p w14:paraId="0A809DDA" w14:textId="3555AB4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EFPC deve apurar novo valor de ajuste de precificação na ocorrência de fato relevante, destinação de superávit ou equacionamento de déficit em data diferente da data de encerramento de exercício.</w:t>
            </w:r>
          </w:p>
        </w:tc>
        <w:tc>
          <w:tcPr>
            <w:tcW w:w="1667" w:type="pct"/>
            <w:shd w:val="clear" w:color="auto" w:fill="auto"/>
            <w:noWrap/>
            <w:vAlign w:val="center"/>
            <w:hideMark/>
          </w:tcPr>
          <w:p w14:paraId="2EB9B847" w14:textId="0C92741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diferente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p>
        </w:tc>
        <w:tc>
          <w:tcPr>
            <w:tcW w:w="1666" w:type="pct"/>
            <w:shd w:val="clear" w:color="auto" w:fill="auto"/>
            <w:noWrap/>
            <w:vAlign w:val="center"/>
            <w:hideMark/>
          </w:tcPr>
          <w:p w14:paraId="25DF446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83DF07" w14:textId="77777777" w:rsidTr="00ED7D87">
        <w:tc>
          <w:tcPr>
            <w:tcW w:w="1667" w:type="pct"/>
            <w:vAlign w:val="center"/>
          </w:tcPr>
          <w:p w14:paraId="152823F4" w14:textId="53D2C2FF"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12. Na ocorrência de ajuste de precificação, o atuário responsável pelo plano de benefícios deve registrá-lo no parecer atuarial constante nas DA, emitir manifestação acerca dos impactos na solvência e no equilíbrio atuarial do plano ao longo do tempo, bem como evidenciar os requisitos necessários para registro de títulos na categoria mantidos até o vencimento, especialmente em relação à capacidade financeira de atendimento às necessidades de liquidez do plano de benefícios.</w:t>
            </w:r>
          </w:p>
        </w:tc>
        <w:tc>
          <w:tcPr>
            <w:tcW w:w="1667" w:type="pct"/>
            <w:shd w:val="clear" w:color="auto" w:fill="auto"/>
            <w:noWrap/>
            <w:vAlign w:val="center"/>
            <w:hideMark/>
          </w:tcPr>
          <w:p w14:paraId="2B1714B4" w14:textId="03825A9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11</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0E4F34">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p>
        </w:tc>
        <w:tc>
          <w:tcPr>
            <w:tcW w:w="1666" w:type="pct"/>
            <w:shd w:val="clear" w:color="auto" w:fill="auto"/>
            <w:noWrap/>
            <w:vAlign w:val="center"/>
            <w:hideMark/>
          </w:tcPr>
          <w:p w14:paraId="2F82149C" w14:textId="0972BF5A" w:rsidR="00A6584C" w:rsidRPr="00843426" w:rsidRDefault="000E4F34"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Desdobramento em alíneas para fica</w:t>
            </w:r>
            <w:r w:rsidR="00327A2E">
              <w:rPr>
                <w:rFonts w:ascii="Calibri" w:eastAsia="Times New Roman" w:hAnsi="Calibri" w:cs="Calibri"/>
                <w:kern w:val="0"/>
                <w:sz w:val="24"/>
                <w:szCs w:val="24"/>
                <w:lang w:eastAsia="pt-BR"/>
                <w14:ligatures w14:val="none"/>
              </w:rPr>
              <w:t>r</w:t>
            </w:r>
            <w:r>
              <w:rPr>
                <w:rFonts w:ascii="Calibri" w:eastAsia="Times New Roman" w:hAnsi="Calibri" w:cs="Calibri"/>
                <w:kern w:val="0"/>
                <w:sz w:val="24"/>
                <w:szCs w:val="24"/>
                <w:lang w:eastAsia="pt-BR"/>
                <w14:ligatures w14:val="none"/>
              </w:rPr>
              <w:t xml:space="preserve"> mais evidente, por meio da enumeração, quais atribuições do atuário na ocorrência de ajuste de precificação.</w:t>
            </w:r>
          </w:p>
        </w:tc>
      </w:tr>
      <w:tr w:rsidR="000E4F34" w:rsidRPr="00225EB1" w14:paraId="70E10BD8" w14:textId="77777777" w:rsidTr="00ED7D87">
        <w:tc>
          <w:tcPr>
            <w:tcW w:w="1667" w:type="pct"/>
            <w:vAlign w:val="center"/>
          </w:tcPr>
          <w:p w14:paraId="20E633C4" w14:textId="77777777" w:rsidR="000E4F34" w:rsidRPr="00225EB1" w:rsidRDefault="000E4F34" w:rsidP="00EB77BF">
            <w:pPr>
              <w:spacing w:after="0" w:line="240" w:lineRule="auto"/>
              <w:jc w:val="center"/>
              <w:rPr>
                <w:rFonts w:ascii="Calibri" w:hAnsi="Calibri" w:cs="Calibri"/>
                <w:b/>
                <w:sz w:val="24"/>
              </w:rPr>
            </w:pPr>
          </w:p>
        </w:tc>
        <w:tc>
          <w:tcPr>
            <w:tcW w:w="1667" w:type="pct"/>
            <w:shd w:val="clear" w:color="auto" w:fill="auto"/>
            <w:noWrap/>
            <w:vAlign w:val="center"/>
          </w:tcPr>
          <w:p w14:paraId="3A5CAD50" w14:textId="3F5E6812" w:rsidR="000E4F34" w:rsidRPr="000E4F34" w:rsidRDefault="000E4F34" w:rsidP="000E4F34">
            <w:pPr>
              <w:pStyle w:val="PargrafodaLista"/>
              <w:spacing w:after="0" w:line="240" w:lineRule="auto"/>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registrar</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DA;</w:t>
            </w:r>
          </w:p>
        </w:tc>
        <w:tc>
          <w:tcPr>
            <w:tcW w:w="1666" w:type="pct"/>
            <w:shd w:val="clear" w:color="auto" w:fill="auto"/>
            <w:noWrap/>
            <w:vAlign w:val="center"/>
          </w:tcPr>
          <w:p w14:paraId="10719801" w14:textId="77777777" w:rsidR="000E4F34" w:rsidRPr="00843426" w:rsidRDefault="000E4F34" w:rsidP="00EB77BF">
            <w:pPr>
              <w:spacing w:after="0" w:line="240" w:lineRule="auto"/>
              <w:jc w:val="center"/>
              <w:rPr>
                <w:rFonts w:ascii="Calibri" w:eastAsia="Times New Roman" w:hAnsi="Calibri" w:cs="Calibri"/>
                <w:b/>
                <w:bCs/>
                <w:kern w:val="0"/>
                <w:sz w:val="24"/>
                <w:szCs w:val="24"/>
                <w:lang w:eastAsia="pt-BR"/>
                <w14:ligatures w14:val="none"/>
              </w:rPr>
            </w:pPr>
          </w:p>
        </w:tc>
      </w:tr>
      <w:tr w:rsidR="000E4F34" w:rsidRPr="00225EB1" w14:paraId="6EEAE67C" w14:textId="77777777" w:rsidTr="00ED7D87">
        <w:tc>
          <w:tcPr>
            <w:tcW w:w="1667" w:type="pct"/>
            <w:vAlign w:val="center"/>
          </w:tcPr>
          <w:p w14:paraId="04904121" w14:textId="77777777" w:rsidR="000E4F34" w:rsidRPr="00225EB1" w:rsidRDefault="000E4F34" w:rsidP="00EB77BF">
            <w:pPr>
              <w:spacing w:after="0" w:line="240" w:lineRule="auto"/>
              <w:jc w:val="center"/>
              <w:rPr>
                <w:rFonts w:ascii="Calibri" w:hAnsi="Calibri" w:cs="Calibri"/>
                <w:b/>
                <w:sz w:val="24"/>
              </w:rPr>
            </w:pPr>
          </w:p>
        </w:tc>
        <w:tc>
          <w:tcPr>
            <w:tcW w:w="1667" w:type="pct"/>
            <w:shd w:val="clear" w:color="auto" w:fill="auto"/>
            <w:noWrap/>
            <w:vAlign w:val="center"/>
          </w:tcPr>
          <w:p w14:paraId="2D1F3295" w14:textId="36F051D8" w:rsidR="000E4F34" w:rsidRPr="000E4F34" w:rsidRDefault="000E4F34" w:rsidP="000E4F34">
            <w:pPr>
              <w:pStyle w:val="PargrafodaLista"/>
              <w:spacing w:after="0" w:line="240" w:lineRule="auto"/>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b)</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e</w:t>
            </w:r>
            <w:r w:rsidRPr="00843426">
              <w:rPr>
                <w:rFonts w:ascii="Calibri" w:eastAsia="Times New Roman" w:hAnsi="Calibri" w:cs="Calibri"/>
                <w:kern w:val="0"/>
                <w:sz w:val="24"/>
                <w:szCs w:val="24"/>
                <w:lang w:eastAsia="pt-BR"/>
                <w14:ligatures w14:val="none"/>
              </w:rPr>
              <w:t>mitir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acerca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impactos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longo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tempo</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e</w:t>
            </w:r>
          </w:p>
        </w:tc>
        <w:tc>
          <w:tcPr>
            <w:tcW w:w="1666" w:type="pct"/>
            <w:shd w:val="clear" w:color="auto" w:fill="auto"/>
            <w:noWrap/>
            <w:vAlign w:val="center"/>
          </w:tcPr>
          <w:p w14:paraId="20E43C52" w14:textId="77777777" w:rsidR="000E4F34" w:rsidRPr="00843426" w:rsidRDefault="000E4F34" w:rsidP="00EB77BF">
            <w:pPr>
              <w:spacing w:after="0" w:line="240" w:lineRule="auto"/>
              <w:jc w:val="center"/>
              <w:rPr>
                <w:rFonts w:ascii="Calibri" w:eastAsia="Times New Roman" w:hAnsi="Calibri" w:cs="Calibri"/>
                <w:b/>
                <w:bCs/>
                <w:kern w:val="0"/>
                <w:sz w:val="24"/>
                <w:szCs w:val="24"/>
                <w:lang w:eastAsia="pt-BR"/>
                <w14:ligatures w14:val="none"/>
              </w:rPr>
            </w:pPr>
          </w:p>
        </w:tc>
      </w:tr>
      <w:tr w:rsidR="000E4F34" w:rsidRPr="00225EB1" w14:paraId="297D49A1" w14:textId="77777777" w:rsidTr="00ED7D87">
        <w:tc>
          <w:tcPr>
            <w:tcW w:w="1667" w:type="pct"/>
            <w:vAlign w:val="center"/>
          </w:tcPr>
          <w:p w14:paraId="08E053BF" w14:textId="77777777" w:rsidR="000E4F34" w:rsidRPr="00225EB1" w:rsidRDefault="000E4F34" w:rsidP="00EB77BF">
            <w:pPr>
              <w:spacing w:after="0" w:line="240" w:lineRule="auto"/>
              <w:jc w:val="center"/>
              <w:rPr>
                <w:rFonts w:ascii="Calibri" w:hAnsi="Calibri" w:cs="Calibri"/>
                <w:b/>
                <w:sz w:val="24"/>
              </w:rPr>
            </w:pPr>
          </w:p>
        </w:tc>
        <w:tc>
          <w:tcPr>
            <w:tcW w:w="1667" w:type="pct"/>
            <w:shd w:val="clear" w:color="auto" w:fill="auto"/>
            <w:noWrap/>
            <w:vAlign w:val="center"/>
          </w:tcPr>
          <w:p w14:paraId="20F97A64" w14:textId="7CC72F0D" w:rsidR="000E4F34" w:rsidRPr="000E4F34" w:rsidRDefault="000E4F34" w:rsidP="000E4F34">
            <w:pPr>
              <w:pStyle w:val="PargrafodaLista"/>
              <w:spacing w:after="0" w:line="240" w:lineRule="auto"/>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evidenciar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necessários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registro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categoria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vencimento,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capacidade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necessidades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tcPr>
          <w:p w14:paraId="1DD9040E" w14:textId="77777777" w:rsidR="000E4F34" w:rsidRPr="00843426" w:rsidRDefault="000E4F34"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62ABFD8" w14:textId="77777777" w:rsidTr="00ED7D87">
        <w:tc>
          <w:tcPr>
            <w:tcW w:w="1667" w:type="pct"/>
            <w:vAlign w:val="center"/>
          </w:tcPr>
          <w:p w14:paraId="47183C7F" w14:textId="578F926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IV</w:t>
            </w:r>
          </w:p>
        </w:tc>
        <w:tc>
          <w:tcPr>
            <w:tcW w:w="1667" w:type="pct"/>
            <w:shd w:val="clear" w:color="auto" w:fill="auto"/>
            <w:noWrap/>
            <w:vAlign w:val="center"/>
            <w:hideMark/>
          </w:tcPr>
          <w:p w14:paraId="4437F79A" w14:textId="3C65208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tc>
        <w:tc>
          <w:tcPr>
            <w:tcW w:w="1666" w:type="pct"/>
            <w:shd w:val="clear" w:color="auto" w:fill="auto"/>
            <w:noWrap/>
            <w:vAlign w:val="center"/>
            <w:hideMark/>
          </w:tcPr>
          <w:p w14:paraId="3222A5F0"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B5B2BA7" w14:textId="77777777" w:rsidTr="00ED7D87">
        <w:tc>
          <w:tcPr>
            <w:tcW w:w="1667" w:type="pct"/>
            <w:vAlign w:val="center"/>
          </w:tcPr>
          <w:p w14:paraId="4FC0BE67" w14:textId="39F0EE49"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ADEQUAÇÃO DAS HIPÓTESES</w:t>
            </w:r>
          </w:p>
        </w:tc>
        <w:tc>
          <w:tcPr>
            <w:tcW w:w="1667" w:type="pct"/>
            <w:shd w:val="clear" w:color="auto" w:fill="auto"/>
            <w:noWrap/>
            <w:vAlign w:val="center"/>
            <w:hideMark/>
          </w:tcPr>
          <w:p w14:paraId="55035DF3" w14:textId="0CA3E60B"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Adequação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Hipóteses</w:t>
            </w:r>
          </w:p>
        </w:tc>
        <w:tc>
          <w:tcPr>
            <w:tcW w:w="1666" w:type="pct"/>
            <w:shd w:val="clear" w:color="auto" w:fill="auto"/>
            <w:noWrap/>
            <w:vAlign w:val="center"/>
            <w:hideMark/>
          </w:tcPr>
          <w:p w14:paraId="7D380CF7"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59F5D43" w14:textId="77777777" w:rsidTr="00ED7D87">
        <w:tc>
          <w:tcPr>
            <w:tcW w:w="1667" w:type="pct"/>
            <w:vAlign w:val="center"/>
          </w:tcPr>
          <w:p w14:paraId="3C8FBD38" w14:textId="6AF2311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w:t>
            </w:r>
          </w:p>
        </w:tc>
        <w:tc>
          <w:tcPr>
            <w:tcW w:w="1667" w:type="pct"/>
            <w:shd w:val="clear" w:color="auto" w:fill="auto"/>
            <w:noWrap/>
            <w:vAlign w:val="center"/>
            <w:hideMark/>
          </w:tcPr>
          <w:p w14:paraId="33612FDE" w14:textId="19FFE800"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6" w:type="pct"/>
            <w:shd w:val="clear" w:color="auto" w:fill="auto"/>
            <w:noWrap/>
            <w:vAlign w:val="center"/>
            <w:hideMark/>
          </w:tcPr>
          <w:p w14:paraId="32762919"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60B379EA" w14:textId="77777777" w:rsidTr="00ED7D87">
        <w:tc>
          <w:tcPr>
            <w:tcW w:w="1667" w:type="pct"/>
            <w:vAlign w:val="center"/>
          </w:tcPr>
          <w:p w14:paraId="77D1C289" w14:textId="68517579"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Das Hipóteses Biométricas</w:t>
            </w:r>
          </w:p>
        </w:tc>
        <w:tc>
          <w:tcPr>
            <w:tcW w:w="1667" w:type="pct"/>
            <w:shd w:val="clear" w:color="auto" w:fill="auto"/>
            <w:noWrap/>
            <w:vAlign w:val="center"/>
            <w:hideMark/>
          </w:tcPr>
          <w:p w14:paraId="1DBCAC5C" w14:textId="429A1C7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Hipóteses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Biométricas</w:t>
            </w:r>
          </w:p>
        </w:tc>
        <w:tc>
          <w:tcPr>
            <w:tcW w:w="1666" w:type="pct"/>
            <w:shd w:val="clear" w:color="auto" w:fill="auto"/>
            <w:noWrap/>
            <w:vAlign w:val="center"/>
            <w:hideMark/>
          </w:tcPr>
          <w:p w14:paraId="6A2CFFA4"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20EBE3B4" w14:textId="77777777" w:rsidTr="00ED7D87">
        <w:tc>
          <w:tcPr>
            <w:tcW w:w="1667" w:type="pct"/>
            <w:vAlign w:val="center"/>
          </w:tcPr>
          <w:p w14:paraId="1563F4F6" w14:textId="18149F9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13. As tábuas biométricas utilizadas nas avaliações atuariais dos planos de benefícios devem ter sua aderência atestada por meio de estudo específico, elaborado em conformidade com o Capítulo VIII desta Instrução.</w:t>
            </w:r>
          </w:p>
        </w:tc>
        <w:tc>
          <w:tcPr>
            <w:tcW w:w="1667" w:type="pct"/>
            <w:shd w:val="clear" w:color="auto" w:fill="auto"/>
            <w:noWrap/>
            <w:vAlign w:val="center"/>
            <w:hideMark/>
          </w:tcPr>
          <w:p w14:paraId="43DE00E3" w14:textId="62EE90B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12</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Seção</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VII</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d</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Capítulo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876894" w:rsidRPr="00225EB1">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36D4CCC6" w14:textId="439D73D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6FE4984" w14:textId="77777777" w:rsidTr="00ED7D87">
        <w:tc>
          <w:tcPr>
            <w:tcW w:w="1667" w:type="pct"/>
            <w:vAlign w:val="center"/>
          </w:tcPr>
          <w:p w14:paraId="5CC68CC2" w14:textId="6A3A33C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As tábuas de mortalidade geral referenciais para o cálculo das provisões matemáticas dos planos de benefícios devem ser "AT-2000 Básica - M" para o sexo masculino e "AT-2000 Básica - F" para o sexo feminino.</w:t>
            </w:r>
          </w:p>
        </w:tc>
        <w:tc>
          <w:tcPr>
            <w:tcW w:w="1667" w:type="pct"/>
            <w:shd w:val="clear" w:color="auto" w:fill="auto"/>
            <w:noWrap/>
            <w:vAlign w:val="center"/>
            <w:hideMark/>
          </w:tcPr>
          <w:p w14:paraId="20CA79B9" w14:textId="024D35B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"AT-2000</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masculino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"AT-2000</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feminino.</w:t>
            </w:r>
          </w:p>
        </w:tc>
        <w:tc>
          <w:tcPr>
            <w:tcW w:w="1666" w:type="pct"/>
            <w:shd w:val="clear" w:color="auto" w:fill="auto"/>
            <w:noWrap/>
            <w:vAlign w:val="center"/>
            <w:hideMark/>
          </w:tcPr>
          <w:p w14:paraId="12AC6BC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BF7C34D" w14:textId="77777777" w:rsidTr="00ED7D87">
        <w:tc>
          <w:tcPr>
            <w:tcW w:w="1667" w:type="pct"/>
            <w:vAlign w:val="center"/>
          </w:tcPr>
          <w:p w14:paraId="12F840AB" w14:textId="55E1125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No caso de impossibilidade técnica de realização de testes de aderência, os planos de benefícios não poderão adotar tábuas de mortalidade geral que gerem provisões matemáticas menores do que as tábuas referenciais mencionadas no §1º.</w:t>
            </w:r>
          </w:p>
        </w:tc>
        <w:tc>
          <w:tcPr>
            <w:tcW w:w="1667" w:type="pct"/>
            <w:shd w:val="clear" w:color="auto" w:fill="auto"/>
            <w:noWrap/>
            <w:vAlign w:val="center"/>
            <w:hideMark/>
          </w:tcPr>
          <w:p w14:paraId="29E31730" w14:textId="3F8BB8A0"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impossibilidade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testes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w:t>
            </w:r>
            <w:r w:rsidR="00CD5BE3">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mencionadas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p>
        </w:tc>
        <w:tc>
          <w:tcPr>
            <w:tcW w:w="1666" w:type="pct"/>
            <w:shd w:val="clear" w:color="auto" w:fill="auto"/>
            <w:noWrap/>
            <w:vAlign w:val="center"/>
            <w:hideMark/>
          </w:tcPr>
          <w:p w14:paraId="07FD6262" w14:textId="1A8BBF54" w:rsidR="00A6584C" w:rsidRPr="00843426" w:rsidRDefault="00CD5BE3"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tempo verbal.</w:t>
            </w:r>
          </w:p>
        </w:tc>
      </w:tr>
      <w:tr w:rsidR="00225EB1" w:rsidRPr="00225EB1" w14:paraId="30DBBBFE" w14:textId="77777777" w:rsidTr="00ED7D87">
        <w:tc>
          <w:tcPr>
            <w:tcW w:w="1667" w:type="pct"/>
            <w:vAlign w:val="center"/>
          </w:tcPr>
          <w:p w14:paraId="0082D099" w14:textId="368869A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§3º No caso de planos de benefícios que comprovem aderência das tábuas de mortalidade geral nos termos definidos no Capítulo VIII de tábuas que gerem provisões </w:t>
            </w:r>
            <w:r w:rsidRPr="00225EB1">
              <w:rPr>
                <w:rFonts w:ascii="Calibri" w:hAnsi="Calibri" w:cs="Calibri"/>
                <w:sz w:val="24"/>
              </w:rPr>
              <w:lastRenderedPageBreak/>
              <w:t>matemáticas menores que aquelas geradas pelas tábuas referenciais, é necessário que o atuário responsável pelo plano emita parecer específico, acompanhado de manifestação de ciência e concordância do Administrador Responsável pelo Plano de Benefícios (ARPB), comprovando a aderência e a razoabilidade da adoção da hipótese.</w:t>
            </w:r>
          </w:p>
        </w:tc>
        <w:tc>
          <w:tcPr>
            <w:tcW w:w="1667" w:type="pct"/>
            <w:shd w:val="clear" w:color="auto" w:fill="auto"/>
            <w:noWrap/>
            <w:vAlign w:val="center"/>
            <w:hideMark/>
          </w:tcPr>
          <w:p w14:paraId="0D5A8D05" w14:textId="03EF511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w:t>
            </w:r>
            <w:r w:rsidR="00876894" w:rsidRPr="00225EB1">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Seção</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VII,</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Capítulo</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acompanhado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concordância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Administrador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razoabilidade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p>
        </w:tc>
        <w:tc>
          <w:tcPr>
            <w:tcW w:w="1666" w:type="pct"/>
            <w:shd w:val="clear" w:color="auto" w:fill="auto"/>
            <w:noWrap/>
            <w:vAlign w:val="center"/>
            <w:hideMark/>
          </w:tcPr>
          <w:p w14:paraId="65E0C41E" w14:textId="6EBD27F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8F66B5F" w14:textId="77777777" w:rsidTr="00ED7D87">
        <w:tc>
          <w:tcPr>
            <w:tcW w:w="1667" w:type="pct"/>
            <w:vAlign w:val="center"/>
          </w:tcPr>
          <w:p w14:paraId="2E0ADCCB" w14:textId="2A4AA07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§4º As EFPC classificadas como Entidades Sistemicamente Importantes (ESI) que administrem planos de benefícios nas modalidades benefício definido (BD) e contribuição variável (CV) devem adicionalmente calcular e manter à disposição da Previc as provisões matemáticas geradas pela utilização de tábua geracional de mortalidade geral, com respectiva escala de melhoria de longevidade, conforme diretrizes a serem divulgadas.</w:t>
            </w:r>
          </w:p>
        </w:tc>
        <w:tc>
          <w:tcPr>
            <w:tcW w:w="1667" w:type="pct"/>
            <w:shd w:val="clear" w:color="auto" w:fill="auto"/>
            <w:noWrap/>
            <w:vAlign w:val="center"/>
            <w:hideMark/>
          </w:tcPr>
          <w:p w14:paraId="58D08CA1" w14:textId="60CAEB6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Excluir</w:t>
            </w:r>
          </w:p>
        </w:tc>
        <w:tc>
          <w:tcPr>
            <w:tcW w:w="1666" w:type="pct"/>
            <w:shd w:val="clear" w:color="auto" w:fill="auto"/>
            <w:vAlign w:val="center"/>
            <w:hideMark/>
          </w:tcPr>
          <w:p w14:paraId="53AFED4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Desonerar as EFPC quanto à obrigação de realizarem testes de aderências, cálculo da reserva matemática e outros com mais de uma tábua de mortalidade. O incentivo pela utilização de tábua geracional continua em dispositivo mais abaixo, quando há dilatação do prazo de validade do estudo para aqueles que adotam tábua geracional em seus cálculos.</w:t>
            </w:r>
          </w:p>
        </w:tc>
      </w:tr>
      <w:tr w:rsidR="00225EB1" w:rsidRPr="00225EB1" w14:paraId="7792452A" w14:textId="77777777" w:rsidTr="00ED7D87">
        <w:tc>
          <w:tcPr>
            <w:tcW w:w="1667" w:type="pct"/>
            <w:vAlign w:val="center"/>
          </w:tcPr>
          <w:p w14:paraId="4275DF37" w14:textId="0BFA9275"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II</w:t>
            </w:r>
          </w:p>
        </w:tc>
        <w:tc>
          <w:tcPr>
            <w:tcW w:w="1667" w:type="pct"/>
            <w:shd w:val="clear" w:color="auto" w:fill="auto"/>
            <w:noWrap/>
            <w:vAlign w:val="center"/>
            <w:hideMark/>
          </w:tcPr>
          <w:p w14:paraId="1E94E5B7" w14:textId="2BD4441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6" w:type="pct"/>
            <w:shd w:val="clear" w:color="auto" w:fill="auto"/>
            <w:noWrap/>
            <w:vAlign w:val="center"/>
            <w:hideMark/>
          </w:tcPr>
          <w:p w14:paraId="513D60C4"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A6997D2" w14:textId="77777777" w:rsidTr="00ED7D87">
        <w:tc>
          <w:tcPr>
            <w:tcW w:w="1667" w:type="pct"/>
            <w:vAlign w:val="center"/>
          </w:tcPr>
          <w:p w14:paraId="0DFD8C11" w14:textId="26D13FD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Taxa Real Anual de Juros</w:t>
            </w:r>
          </w:p>
        </w:tc>
        <w:tc>
          <w:tcPr>
            <w:tcW w:w="1667" w:type="pct"/>
            <w:shd w:val="clear" w:color="auto" w:fill="auto"/>
            <w:noWrap/>
            <w:vAlign w:val="center"/>
            <w:hideMark/>
          </w:tcPr>
          <w:p w14:paraId="1840CAA8" w14:textId="604F641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Taxa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Real</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Anual</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Juros</w:t>
            </w:r>
          </w:p>
        </w:tc>
        <w:tc>
          <w:tcPr>
            <w:tcW w:w="1666" w:type="pct"/>
            <w:shd w:val="clear" w:color="auto" w:fill="auto"/>
            <w:noWrap/>
            <w:vAlign w:val="center"/>
            <w:hideMark/>
          </w:tcPr>
          <w:p w14:paraId="08AB437D"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0285E28" w14:textId="77777777" w:rsidTr="00ED7D87">
        <w:tc>
          <w:tcPr>
            <w:tcW w:w="1667" w:type="pct"/>
            <w:vAlign w:val="center"/>
          </w:tcPr>
          <w:p w14:paraId="0543FEA4" w14:textId="448ACA7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14. A taxa real anual de juros a ser utilizada como taxa de desconto para apuração do valor presente dos fluxos de benefícios e contribuições do plano de benefícios deve ser:</w:t>
            </w:r>
          </w:p>
        </w:tc>
        <w:tc>
          <w:tcPr>
            <w:tcW w:w="1667" w:type="pct"/>
            <w:shd w:val="clear" w:color="auto" w:fill="auto"/>
            <w:noWrap/>
            <w:vAlign w:val="center"/>
            <w:hideMark/>
          </w:tcPr>
          <w:p w14:paraId="62D02539" w14:textId="197F76A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13</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desconto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tc>
        <w:tc>
          <w:tcPr>
            <w:tcW w:w="1666" w:type="pct"/>
            <w:shd w:val="clear" w:color="auto" w:fill="auto"/>
            <w:noWrap/>
            <w:vAlign w:val="center"/>
            <w:hideMark/>
          </w:tcPr>
          <w:p w14:paraId="6630F79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7A71A07" w14:textId="77777777" w:rsidTr="00ED7D87">
        <w:tc>
          <w:tcPr>
            <w:tcW w:w="1667" w:type="pct"/>
            <w:vAlign w:val="center"/>
          </w:tcPr>
          <w:p w14:paraId="389DFE12" w14:textId="1B85E2E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   - divulgada anualmente aos participantes, aos patrocinadores e instituidores; e</w:t>
            </w:r>
          </w:p>
        </w:tc>
        <w:tc>
          <w:tcPr>
            <w:tcW w:w="1667" w:type="pct"/>
            <w:shd w:val="clear" w:color="auto" w:fill="auto"/>
            <w:noWrap/>
            <w:vAlign w:val="center"/>
            <w:hideMark/>
          </w:tcPr>
          <w:p w14:paraId="1FEEB93F" w14:textId="229E70D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vAlign w:val="center"/>
            <w:hideMark/>
          </w:tcPr>
          <w:p w14:paraId="2445685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680EE3F" w14:textId="77777777" w:rsidTr="00ED7D87">
        <w:tc>
          <w:tcPr>
            <w:tcW w:w="1667" w:type="pct"/>
            <w:vAlign w:val="center"/>
          </w:tcPr>
          <w:p w14:paraId="3D6AC664" w14:textId="7A5F00DF"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utilizada para a transformação de saldo de conta em benefícios, se previsto no regulamento do plano de benefícios de caráter previdenciário.</w:t>
            </w:r>
          </w:p>
        </w:tc>
        <w:tc>
          <w:tcPr>
            <w:tcW w:w="1667" w:type="pct"/>
            <w:shd w:val="clear" w:color="auto" w:fill="auto"/>
            <w:noWrap/>
            <w:vAlign w:val="center"/>
            <w:hideMark/>
          </w:tcPr>
          <w:p w14:paraId="40BB7138" w14:textId="64996D3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transformação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caráter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previdenciário.</w:t>
            </w:r>
          </w:p>
        </w:tc>
        <w:tc>
          <w:tcPr>
            <w:tcW w:w="1666" w:type="pct"/>
            <w:shd w:val="clear" w:color="auto" w:fill="auto"/>
            <w:vAlign w:val="center"/>
            <w:hideMark/>
          </w:tcPr>
          <w:p w14:paraId="71F34DA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637FB3D" w14:textId="77777777" w:rsidTr="00ED7D87">
        <w:tc>
          <w:tcPr>
            <w:tcW w:w="1667" w:type="pct"/>
            <w:vAlign w:val="center"/>
          </w:tcPr>
          <w:p w14:paraId="47CA55C0" w14:textId="29B1715C"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III</w:t>
            </w:r>
          </w:p>
        </w:tc>
        <w:tc>
          <w:tcPr>
            <w:tcW w:w="1667" w:type="pct"/>
            <w:shd w:val="clear" w:color="auto" w:fill="auto"/>
            <w:noWrap/>
            <w:vAlign w:val="center"/>
            <w:hideMark/>
          </w:tcPr>
          <w:p w14:paraId="61642C4D" w14:textId="1526F52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tc>
        <w:tc>
          <w:tcPr>
            <w:tcW w:w="1666" w:type="pct"/>
            <w:shd w:val="clear" w:color="auto" w:fill="auto"/>
            <w:noWrap/>
            <w:vAlign w:val="center"/>
            <w:hideMark/>
          </w:tcPr>
          <w:p w14:paraId="5B0466A1"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536C3BD" w14:textId="77777777" w:rsidTr="00ED7D87">
        <w:tc>
          <w:tcPr>
            <w:tcW w:w="1667" w:type="pct"/>
            <w:vAlign w:val="center"/>
          </w:tcPr>
          <w:p w14:paraId="69504B90" w14:textId="1756A420"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Responsabilidade, das Vedações e da Divulgação</w:t>
            </w:r>
          </w:p>
        </w:tc>
        <w:tc>
          <w:tcPr>
            <w:tcW w:w="1667" w:type="pct"/>
            <w:shd w:val="clear" w:color="auto" w:fill="auto"/>
            <w:noWrap/>
            <w:vAlign w:val="center"/>
            <w:hideMark/>
          </w:tcPr>
          <w:p w14:paraId="648F716E" w14:textId="2AD91074"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Responsabilidade,</w:t>
            </w:r>
            <w:r w:rsidR="009068E9">
              <w:rPr>
                <w:rFonts w:ascii="Calibri" w:eastAsia="Times New Roman" w:hAnsi="Calibri" w:cs="Calibri"/>
                <w:b/>
                <w:bCs/>
                <w:kern w:val="0"/>
                <w:sz w:val="24"/>
                <w:szCs w:val="24"/>
                <w:lang w:eastAsia="pt-BR"/>
                <w14:ligatures w14:val="none"/>
              </w:rPr>
              <w:t xml:space="preserve"> </w:t>
            </w:r>
            <w:r w:rsidR="000D0ED4">
              <w:rPr>
                <w:rFonts w:ascii="Calibri" w:eastAsia="Times New Roman" w:hAnsi="Calibri" w:cs="Calibri"/>
                <w:b/>
                <w:bCs/>
                <w:kern w:val="0"/>
                <w:sz w:val="24"/>
                <w:szCs w:val="24"/>
                <w:lang w:eastAsia="pt-BR"/>
                <w14:ligatures w14:val="none"/>
              </w:rPr>
              <w:t>V</w:t>
            </w:r>
            <w:r w:rsidRPr="00843426">
              <w:rPr>
                <w:rFonts w:ascii="Calibri" w:eastAsia="Times New Roman" w:hAnsi="Calibri" w:cs="Calibri"/>
                <w:b/>
                <w:bCs/>
                <w:kern w:val="0"/>
                <w:sz w:val="24"/>
                <w:szCs w:val="24"/>
                <w:lang w:eastAsia="pt-BR"/>
                <w14:ligatures w14:val="none"/>
              </w:rPr>
              <w:t>edações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Divulgação</w:t>
            </w:r>
          </w:p>
        </w:tc>
        <w:tc>
          <w:tcPr>
            <w:tcW w:w="1666" w:type="pct"/>
            <w:shd w:val="clear" w:color="auto" w:fill="auto"/>
            <w:noWrap/>
            <w:vAlign w:val="center"/>
            <w:hideMark/>
          </w:tcPr>
          <w:p w14:paraId="6DFF651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E24619A" w14:textId="77777777" w:rsidTr="00ED7D87">
        <w:tc>
          <w:tcPr>
            <w:tcW w:w="1667" w:type="pct"/>
            <w:vAlign w:val="center"/>
          </w:tcPr>
          <w:p w14:paraId="29161F2C" w14:textId="71E320F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15. Sem prejuízo das responsabilidades de auditores atuariais e membros estatutários da EFPC, a proposição e a validação das hipóteses adotadas na avaliação atuarial do plano de benefícios é responsabilidade do atuário do plano.</w:t>
            </w:r>
          </w:p>
        </w:tc>
        <w:tc>
          <w:tcPr>
            <w:tcW w:w="1667" w:type="pct"/>
            <w:shd w:val="clear" w:color="auto" w:fill="auto"/>
            <w:noWrap/>
            <w:vAlign w:val="center"/>
            <w:hideMark/>
          </w:tcPr>
          <w:p w14:paraId="57FD0F88" w14:textId="4DE11EB0"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14</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prejuízo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2A49F6" w:rsidRPr="00225EB1">
              <w:rPr>
                <w:rFonts w:ascii="Calibri" w:eastAsia="Times New Roman" w:hAnsi="Calibri" w:cs="Calibri"/>
                <w:kern w:val="0"/>
                <w:sz w:val="24"/>
                <w:szCs w:val="24"/>
                <w:lang w:eastAsia="pt-BR"/>
                <w14:ligatures w14:val="none"/>
              </w:rPr>
              <w:t>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profissionais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membros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estatutários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6" w:type="pct"/>
            <w:shd w:val="clear" w:color="auto" w:fill="auto"/>
            <w:vAlign w:val="center"/>
            <w:hideMark/>
          </w:tcPr>
          <w:p w14:paraId="2249C2A1" w14:textId="34F43114" w:rsidR="00A6584C" w:rsidRPr="00843426" w:rsidRDefault="002A49F6"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Colocar o texto normativo em ordem direta além de r</w:t>
            </w:r>
            <w:r w:rsidR="00A6584C" w:rsidRPr="00843426">
              <w:rPr>
                <w:rFonts w:ascii="Calibri" w:eastAsia="Times New Roman" w:hAnsi="Calibri" w:cs="Calibri"/>
                <w:kern w:val="0"/>
                <w:sz w:val="24"/>
                <w:szCs w:val="24"/>
                <w:lang w:eastAsia="pt-BR"/>
                <w14:ligatures w14:val="none"/>
              </w:rPr>
              <w:t>etirar a referência direta de "Auditores Atuariais", pois sua citação pode dar a ideia de obrigatoriedade de realização de auditoria atuarial na validação das hipóteses adotadas na avaliação atuarial.</w:t>
            </w:r>
          </w:p>
        </w:tc>
      </w:tr>
      <w:tr w:rsidR="00225EB1" w:rsidRPr="00225EB1" w14:paraId="4AAE4F07" w14:textId="77777777" w:rsidTr="00ED7D87">
        <w:tc>
          <w:tcPr>
            <w:tcW w:w="1667" w:type="pct"/>
            <w:vAlign w:val="center"/>
          </w:tcPr>
          <w:p w14:paraId="2D99AE49" w14:textId="09D810B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responsabilidade pela proposição ou validação das hipóteses de que trata o caput também alcança as pessoas jurídicas das quais façam parte os profissionais indicados como sócios, empregados ou prestadores de serviço.</w:t>
            </w:r>
          </w:p>
        </w:tc>
        <w:tc>
          <w:tcPr>
            <w:tcW w:w="1667" w:type="pct"/>
            <w:shd w:val="clear" w:color="auto" w:fill="auto"/>
            <w:noWrap/>
            <w:vAlign w:val="center"/>
            <w:hideMark/>
          </w:tcPr>
          <w:p w14:paraId="21D062D9" w14:textId="151322C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também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alcança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pessoas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jurídicas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façam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profissionais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sócios,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empregados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prestadores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serviço.</w:t>
            </w:r>
          </w:p>
        </w:tc>
        <w:tc>
          <w:tcPr>
            <w:tcW w:w="1666" w:type="pct"/>
            <w:shd w:val="clear" w:color="auto" w:fill="auto"/>
            <w:noWrap/>
            <w:vAlign w:val="center"/>
            <w:hideMark/>
          </w:tcPr>
          <w:p w14:paraId="526CD2E8"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4A3510F" w14:textId="77777777" w:rsidTr="00ED7D87">
        <w:tc>
          <w:tcPr>
            <w:tcW w:w="1667" w:type="pct"/>
            <w:vAlign w:val="center"/>
          </w:tcPr>
          <w:p w14:paraId="37AF53E3" w14:textId="5981442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16. As EFPC não podem adotar taxas negativas para as projeções de crescimento real de salários ou crescimento real dos benefícios do plano, bem como o agravamento ou desagravamento em outras hipóteses cuja combinação resulte em taxa </w:t>
            </w:r>
            <w:r w:rsidRPr="00225EB1">
              <w:rPr>
                <w:rFonts w:ascii="Calibri" w:hAnsi="Calibri" w:cs="Calibri"/>
                <w:sz w:val="24"/>
              </w:rPr>
              <w:lastRenderedPageBreak/>
              <w:t>real anual de juros fora dos limites regulatórios.</w:t>
            </w:r>
          </w:p>
        </w:tc>
        <w:tc>
          <w:tcPr>
            <w:tcW w:w="1667" w:type="pct"/>
            <w:shd w:val="clear" w:color="auto" w:fill="auto"/>
            <w:noWrap/>
            <w:vAlign w:val="center"/>
            <w:hideMark/>
          </w:tcPr>
          <w:p w14:paraId="3304C332" w14:textId="7ED379B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15</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crescimento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salários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crescimento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agravamento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desagravamento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combinação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regulatórios.</w:t>
            </w:r>
          </w:p>
        </w:tc>
        <w:tc>
          <w:tcPr>
            <w:tcW w:w="1666" w:type="pct"/>
            <w:shd w:val="clear" w:color="auto" w:fill="auto"/>
            <w:noWrap/>
            <w:vAlign w:val="center"/>
            <w:hideMark/>
          </w:tcPr>
          <w:p w14:paraId="58C1364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D6E5A47" w14:textId="77777777" w:rsidTr="00ED7D87">
        <w:tc>
          <w:tcPr>
            <w:tcW w:w="1667" w:type="pct"/>
            <w:vAlign w:val="center"/>
          </w:tcPr>
          <w:p w14:paraId="78DEB29F" w14:textId="4F1FC07D"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V</w:t>
            </w:r>
          </w:p>
        </w:tc>
        <w:tc>
          <w:tcPr>
            <w:tcW w:w="1667" w:type="pct"/>
            <w:shd w:val="clear" w:color="auto" w:fill="auto"/>
            <w:noWrap/>
            <w:vAlign w:val="center"/>
            <w:hideMark/>
          </w:tcPr>
          <w:p w14:paraId="27433E54" w14:textId="60C4E89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IV</w:t>
            </w:r>
          </w:p>
        </w:tc>
        <w:tc>
          <w:tcPr>
            <w:tcW w:w="1666" w:type="pct"/>
            <w:shd w:val="clear" w:color="auto" w:fill="auto"/>
            <w:noWrap/>
            <w:vAlign w:val="center"/>
            <w:hideMark/>
          </w:tcPr>
          <w:p w14:paraId="59BADD07"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0B86E93" w14:textId="77777777" w:rsidTr="00ED7D87">
        <w:tc>
          <w:tcPr>
            <w:tcW w:w="1667" w:type="pct"/>
            <w:vAlign w:val="center"/>
          </w:tcPr>
          <w:p w14:paraId="79A44A95" w14:textId="10286A15"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CUSTEIO E DA UTILIZAÇÃO DO EQUILÍBRIO TÉCNICO AJUSTADO</w:t>
            </w:r>
          </w:p>
        </w:tc>
        <w:tc>
          <w:tcPr>
            <w:tcW w:w="1667" w:type="pct"/>
            <w:shd w:val="clear" w:color="auto" w:fill="auto"/>
            <w:noWrap/>
            <w:vAlign w:val="center"/>
            <w:hideMark/>
          </w:tcPr>
          <w:p w14:paraId="5A6CA321" w14:textId="36B4B2C1"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Custeio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utilização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equilíbrio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técnico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ajustado</w:t>
            </w:r>
          </w:p>
        </w:tc>
        <w:tc>
          <w:tcPr>
            <w:tcW w:w="1666" w:type="pct"/>
            <w:shd w:val="clear" w:color="auto" w:fill="auto"/>
            <w:noWrap/>
            <w:vAlign w:val="center"/>
            <w:hideMark/>
          </w:tcPr>
          <w:p w14:paraId="14BAFF3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6A5F6B0" w14:textId="77777777" w:rsidTr="00ED7D87">
        <w:tc>
          <w:tcPr>
            <w:tcW w:w="1667" w:type="pct"/>
            <w:vAlign w:val="center"/>
          </w:tcPr>
          <w:p w14:paraId="0CF7B26F" w14:textId="797A65F7"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w:t>
            </w:r>
          </w:p>
        </w:tc>
        <w:tc>
          <w:tcPr>
            <w:tcW w:w="1667" w:type="pct"/>
            <w:shd w:val="clear" w:color="auto" w:fill="auto"/>
            <w:noWrap/>
            <w:vAlign w:val="center"/>
            <w:hideMark/>
          </w:tcPr>
          <w:p w14:paraId="78A56767" w14:textId="0F11D060"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6" w:type="pct"/>
            <w:shd w:val="clear" w:color="auto" w:fill="auto"/>
            <w:noWrap/>
            <w:vAlign w:val="center"/>
            <w:hideMark/>
          </w:tcPr>
          <w:p w14:paraId="7C7CD260"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D96E9FA" w14:textId="77777777" w:rsidTr="00ED7D87">
        <w:tc>
          <w:tcPr>
            <w:tcW w:w="1667" w:type="pct"/>
            <w:vAlign w:val="center"/>
          </w:tcPr>
          <w:p w14:paraId="4509CCC3" w14:textId="67A6B9BA"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Custeio do Plano</w:t>
            </w:r>
          </w:p>
        </w:tc>
        <w:tc>
          <w:tcPr>
            <w:tcW w:w="1667" w:type="pct"/>
            <w:shd w:val="clear" w:color="auto" w:fill="auto"/>
            <w:noWrap/>
            <w:vAlign w:val="center"/>
            <w:hideMark/>
          </w:tcPr>
          <w:p w14:paraId="7A5FFAED" w14:textId="04A489B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Custeio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p>
        </w:tc>
        <w:tc>
          <w:tcPr>
            <w:tcW w:w="1666" w:type="pct"/>
            <w:shd w:val="clear" w:color="auto" w:fill="auto"/>
            <w:noWrap/>
            <w:vAlign w:val="center"/>
            <w:hideMark/>
          </w:tcPr>
          <w:p w14:paraId="4F2A4CD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264546E" w14:textId="77777777" w:rsidTr="00ED7D87">
        <w:tc>
          <w:tcPr>
            <w:tcW w:w="1667" w:type="pct"/>
            <w:vAlign w:val="center"/>
          </w:tcPr>
          <w:p w14:paraId="372F8F4E" w14:textId="022FFE4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17. O atendimento às exigências relativas ao custeio do plano de benefícios deve observar o disposto no regulamento do plano, com o devido reflexo na nota técnica atuarial e no plano de custeio estabelecido para o exercício em que está sendo apurado o resultado.</w:t>
            </w:r>
          </w:p>
        </w:tc>
        <w:tc>
          <w:tcPr>
            <w:tcW w:w="1667" w:type="pct"/>
            <w:shd w:val="clear" w:color="auto" w:fill="auto"/>
            <w:noWrap/>
            <w:vAlign w:val="center"/>
            <w:hideMark/>
          </w:tcPr>
          <w:p w14:paraId="3344C0B6" w14:textId="4D18FBAB"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16</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exigências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reflexo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p>
        </w:tc>
        <w:tc>
          <w:tcPr>
            <w:tcW w:w="1666" w:type="pct"/>
            <w:shd w:val="clear" w:color="auto" w:fill="auto"/>
            <w:noWrap/>
            <w:vAlign w:val="center"/>
            <w:hideMark/>
          </w:tcPr>
          <w:p w14:paraId="6FA1E4A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2728378" w14:textId="77777777" w:rsidTr="00ED7D87">
        <w:tc>
          <w:tcPr>
            <w:tcW w:w="1667" w:type="pct"/>
            <w:vAlign w:val="center"/>
          </w:tcPr>
          <w:p w14:paraId="00E36CE9" w14:textId="063B686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Ao estabelecer o plano de custeio para o ano subsequente, o atuário responsável deve utilizar critérios que preservem o equilíbrio financeiro e atuarial do plano de benefícios, considerando o método de financiamento adotado, de modo a não caracterizar utilização de resultado acumulado no exercício anterior e contabilizado como reserva de contingência, nem utilização de resultado do exercício em desacordo com as definições regulatórias.</w:t>
            </w:r>
          </w:p>
        </w:tc>
        <w:tc>
          <w:tcPr>
            <w:tcW w:w="1667" w:type="pct"/>
            <w:shd w:val="clear" w:color="auto" w:fill="auto"/>
            <w:noWrap/>
            <w:vAlign w:val="center"/>
            <w:hideMark/>
          </w:tcPr>
          <w:p w14:paraId="03109092" w14:textId="3CDA21C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preservem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método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financiamento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caracterizar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acumulado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contabilizado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desacordo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regulatórias.</w:t>
            </w:r>
          </w:p>
        </w:tc>
        <w:tc>
          <w:tcPr>
            <w:tcW w:w="1666" w:type="pct"/>
            <w:shd w:val="clear" w:color="auto" w:fill="auto"/>
            <w:noWrap/>
            <w:vAlign w:val="center"/>
            <w:hideMark/>
          </w:tcPr>
          <w:p w14:paraId="2D86F50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7897EC3" w14:textId="77777777" w:rsidTr="00ED7D87">
        <w:tc>
          <w:tcPr>
            <w:tcW w:w="1667" w:type="pct"/>
            <w:vAlign w:val="center"/>
          </w:tcPr>
          <w:p w14:paraId="314C1BAA" w14:textId="3020F32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§2º A revisão do plano de custeio para redução ou suspensão de contribuições extraordinárias de participantes, assistidos ou </w:t>
            </w:r>
            <w:r w:rsidRPr="00225EB1">
              <w:rPr>
                <w:rFonts w:ascii="Calibri" w:hAnsi="Calibri" w:cs="Calibri"/>
                <w:sz w:val="24"/>
              </w:rPr>
              <w:lastRenderedPageBreak/>
              <w:t>patrocinador somente pode ser efetuada em função da apuração de equilíbrio técnico ajustado positivo para o plano de benefícios, no exercício de referência.</w:t>
            </w:r>
          </w:p>
        </w:tc>
        <w:tc>
          <w:tcPr>
            <w:tcW w:w="1667" w:type="pct"/>
            <w:shd w:val="clear" w:color="auto" w:fill="auto"/>
            <w:noWrap/>
            <w:vAlign w:val="center"/>
            <w:hideMark/>
          </w:tcPr>
          <w:p w14:paraId="5C6B5991" w14:textId="3E5045C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002F0AE6">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suspensão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efetuada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tc>
        <w:tc>
          <w:tcPr>
            <w:tcW w:w="1666" w:type="pct"/>
            <w:shd w:val="clear" w:color="auto" w:fill="auto"/>
            <w:noWrap/>
            <w:vAlign w:val="center"/>
            <w:hideMark/>
          </w:tcPr>
          <w:p w14:paraId="1D57E5E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B276350" w14:textId="77777777" w:rsidTr="00ED7D87">
        <w:tc>
          <w:tcPr>
            <w:tcW w:w="1667" w:type="pct"/>
            <w:vAlign w:val="center"/>
          </w:tcPr>
          <w:p w14:paraId="57F2C4CA" w14:textId="7B1C6DA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§3º No caso de contribuições extraordinárias relativas a serviço passado, a possibilidade de sua revisão em função de valor do equilíbrio técnico ajustado positivo, na forma do § 2º deste artigo, deve estar prevista no regulamento do plano de benefícios.</w:t>
            </w:r>
          </w:p>
        </w:tc>
        <w:tc>
          <w:tcPr>
            <w:tcW w:w="1667" w:type="pct"/>
            <w:shd w:val="clear" w:color="auto" w:fill="auto"/>
            <w:noWrap/>
            <w:vAlign w:val="center"/>
            <w:hideMark/>
          </w:tcPr>
          <w:p w14:paraId="64D40EB8" w14:textId="5C06216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serviço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possibilidade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artigo,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3645A4E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768006A" w14:textId="77777777" w:rsidTr="00ED7D87">
        <w:tc>
          <w:tcPr>
            <w:tcW w:w="1667" w:type="pct"/>
            <w:vAlign w:val="center"/>
          </w:tcPr>
          <w:p w14:paraId="7ACC5390" w14:textId="0CA6A7F9"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II</w:t>
            </w:r>
          </w:p>
        </w:tc>
        <w:tc>
          <w:tcPr>
            <w:tcW w:w="1667" w:type="pct"/>
            <w:shd w:val="clear" w:color="auto" w:fill="auto"/>
            <w:noWrap/>
            <w:vAlign w:val="center"/>
            <w:hideMark/>
          </w:tcPr>
          <w:p w14:paraId="03C10D64" w14:textId="79244CB1"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6" w:type="pct"/>
            <w:shd w:val="clear" w:color="auto" w:fill="auto"/>
            <w:noWrap/>
            <w:vAlign w:val="center"/>
            <w:hideMark/>
          </w:tcPr>
          <w:p w14:paraId="202B64D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6637C11" w14:textId="77777777" w:rsidTr="00ED7D87">
        <w:tc>
          <w:tcPr>
            <w:tcW w:w="1667" w:type="pct"/>
            <w:vAlign w:val="center"/>
          </w:tcPr>
          <w:p w14:paraId="0A636BD4" w14:textId="7086BBA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Revisão do Plano de Custeio</w:t>
            </w:r>
          </w:p>
        </w:tc>
        <w:tc>
          <w:tcPr>
            <w:tcW w:w="1667" w:type="pct"/>
            <w:shd w:val="clear" w:color="auto" w:fill="auto"/>
            <w:noWrap/>
            <w:vAlign w:val="center"/>
            <w:hideMark/>
          </w:tcPr>
          <w:p w14:paraId="34F1DC2D" w14:textId="3642D13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Revisão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Custeio</w:t>
            </w:r>
          </w:p>
        </w:tc>
        <w:tc>
          <w:tcPr>
            <w:tcW w:w="1666" w:type="pct"/>
            <w:shd w:val="clear" w:color="auto" w:fill="auto"/>
            <w:noWrap/>
            <w:vAlign w:val="center"/>
            <w:hideMark/>
          </w:tcPr>
          <w:p w14:paraId="3D988B61"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4900DC1" w14:textId="77777777" w:rsidTr="00ED7D87">
        <w:tc>
          <w:tcPr>
            <w:tcW w:w="1667" w:type="pct"/>
            <w:vAlign w:val="center"/>
          </w:tcPr>
          <w:p w14:paraId="6B3D3CC4" w14:textId="7BDA828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18. A utilização do equilíbrio técnico ajustado positivo para fins de revisão do plano de custeio em relação às contribuições extraordinárias, na forma prevista no art. 17 desta Instrução, deve ser justificada em parecer do atuário responsável e aprovada pelas instâncias competentes da EFPC.</w:t>
            </w:r>
          </w:p>
        </w:tc>
        <w:tc>
          <w:tcPr>
            <w:tcW w:w="1667" w:type="pct"/>
            <w:shd w:val="clear" w:color="auto" w:fill="auto"/>
            <w:noWrap/>
            <w:vAlign w:val="center"/>
            <w:hideMark/>
          </w:tcPr>
          <w:p w14:paraId="2FD6FFC3" w14:textId="2A7AA77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17</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16</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justificada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instâncias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competentes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6" w:type="pct"/>
            <w:shd w:val="clear" w:color="auto" w:fill="auto"/>
            <w:noWrap/>
            <w:vAlign w:val="center"/>
            <w:hideMark/>
          </w:tcPr>
          <w:p w14:paraId="661EADF6" w14:textId="27C31A9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513E974" w14:textId="77777777" w:rsidTr="00ED7D87">
        <w:tc>
          <w:tcPr>
            <w:tcW w:w="1667" w:type="pct"/>
            <w:vAlign w:val="center"/>
          </w:tcPr>
          <w:p w14:paraId="0DE52658" w14:textId="08CDAAF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 utilização referida no caput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30 desta Instrução.</w:t>
            </w:r>
          </w:p>
        </w:tc>
        <w:tc>
          <w:tcPr>
            <w:tcW w:w="1667" w:type="pct"/>
            <w:shd w:val="clear" w:color="auto" w:fill="auto"/>
            <w:noWrap/>
            <w:vAlign w:val="center"/>
            <w:hideMark/>
          </w:tcPr>
          <w:p w14:paraId="1E7CD655" w14:textId="2B6FE17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precedida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segregação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atribuível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ressalvado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29</w:t>
            </w:r>
            <w:r w:rsidRPr="00843426">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363733C0" w14:textId="12A8A44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237FB96" w14:textId="77777777" w:rsidTr="00ED7D87">
        <w:tc>
          <w:tcPr>
            <w:tcW w:w="1667" w:type="pct"/>
            <w:vAlign w:val="center"/>
          </w:tcPr>
          <w:p w14:paraId="54FB350E" w14:textId="5523A0D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§2º Em caso de vigência de dois ou mais planos de equacionamento em curso, a utilização do equilíbrio técnico ajustado positivo deve ser realizada de forma proporcional às respectivas provisões a constituir remanescentes.</w:t>
            </w:r>
          </w:p>
        </w:tc>
        <w:tc>
          <w:tcPr>
            <w:tcW w:w="1667" w:type="pct"/>
            <w:shd w:val="clear" w:color="auto" w:fill="auto"/>
            <w:noWrap/>
            <w:vAlign w:val="center"/>
            <w:hideMark/>
          </w:tcPr>
          <w:p w14:paraId="0749DA89" w14:textId="120848F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curso,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proporcional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remanescentes.</w:t>
            </w:r>
          </w:p>
        </w:tc>
        <w:tc>
          <w:tcPr>
            <w:tcW w:w="1666" w:type="pct"/>
            <w:shd w:val="clear" w:color="auto" w:fill="auto"/>
            <w:noWrap/>
            <w:vAlign w:val="center"/>
            <w:hideMark/>
          </w:tcPr>
          <w:p w14:paraId="375169A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F155E05" w14:textId="77777777" w:rsidTr="00ED7D87">
        <w:tc>
          <w:tcPr>
            <w:tcW w:w="1667" w:type="pct"/>
            <w:vAlign w:val="center"/>
          </w:tcPr>
          <w:p w14:paraId="44E8C2EB" w14:textId="52DD2D6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19. Não são admitidos como fonte de recursos para o equacionamento de déficit resultados oriundos de alterações de hipóteses atuariais, de regimes financeiros ou de métodos de financiamento.</w:t>
            </w:r>
          </w:p>
        </w:tc>
        <w:tc>
          <w:tcPr>
            <w:tcW w:w="1667" w:type="pct"/>
            <w:shd w:val="clear" w:color="auto" w:fill="auto"/>
            <w:noWrap/>
            <w:vAlign w:val="center"/>
            <w:hideMark/>
          </w:tcPr>
          <w:p w14:paraId="1D60DC23" w14:textId="2AF31C4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18</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regimes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métodos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financiamento.</w:t>
            </w:r>
          </w:p>
        </w:tc>
        <w:tc>
          <w:tcPr>
            <w:tcW w:w="1666" w:type="pct"/>
            <w:shd w:val="clear" w:color="auto" w:fill="auto"/>
            <w:noWrap/>
            <w:vAlign w:val="center"/>
            <w:hideMark/>
          </w:tcPr>
          <w:p w14:paraId="27E9E80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99B8707" w14:textId="77777777" w:rsidTr="00ED7D87">
        <w:tc>
          <w:tcPr>
            <w:tcW w:w="1667" w:type="pct"/>
            <w:vAlign w:val="center"/>
          </w:tcPr>
          <w:p w14:paraId="04DF2769" w14:textId="0A24444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VI</w:t>
            </w:r>
          </w:p>
        </w:tc>
        <w:tc>
          <w:tcPr>
            <w:tcW w:w="1667" w:type="pct"/>
            <w:shd w:val="clear" w:color="auto" w:fill="auto"/>
            <w:noWrap/>
            <w:vAlign w:val="center"/>
            <w:hideMark/>
          </w:tcPr>
          <w:p w14:paraId="7B8E2906" w14:textId="0FAD429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w:t>
            </w:r>
          </w:p>
        </w:tc>
        <w:tc>
          <w:tcPr>
            <w:tcW w:w="1666" w:type="pct"/>
            <w:shd w:val="clear" w:color="auto" w:fill="auto"/>
            <w:noWrap/>
            <w:vAlign w:val="center"/>
            <w:hideMark/>
          </w:tcPr>
          <w:p w14:paraId="17C8BD73"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48DD7A3" w14:textId="77777777" w:rsidTr="00ED7D87">
        <w:tc>
          <w:tcPr>
            <w:tcW w:w="1667" w:type="pct"/>
            <w:vAlign w:val="center"/>
          </w:tcPr>
          <w:p w14:paraId="2930606A" w14:textId="2C5B380C"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REVISÃO DO PLANO DE BENEFÍCIOS E DA DESTINAÇÃO DA RESERVA ESPECIAL</w:t>
            </w:r>
          </w:p>
        </w:tc>
        <w:tc>
          <w:tcPr>
            <w:tcW w:w="1667" w:type="pct"/>
            <w:shd w:val="clear" w:color="auto" w:fill="auto"/>
            <w:noWrap/>
            <w:vAlign w:val="center"/>
            <w:hideMark/>
          </w:tcPr>
          <w:p w14:paraId="40F0EABC" w14:textId="26481241"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Revisão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Benefícios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Destinação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Reserva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Especial</w:t>
            </w:r>
          </w:p>
        </w:tc>
        <w:tc>
          <w:tcPr>
            <w:tcW w:w="1666" w:type="pct"/>
            <w:shd w:val="clear" w:color="auto" w:fill="auto"/>
            <w:noWrap/>
            <w:vAlign w:val="center"/>
            <w:hideMark/>
          </w:tcPr>
          <w:p w14:paraId="756A0AAE"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4A6B5BB" w14:textId="77777777" w:rsidTr="00ED7D87">
        <w:tc>
          <w:tcPr>
            <w:tcW w:w="1667" w:type="pct"/>
            <w:vAlign w:val="center"/>
          </w:tcPr>
          <w:p w14:paraId="336338EF" w14:textId="4281F44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758A33EB" w14:textId="17BC9CED"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6" w:type="pct"/>
            <w:shd w:val="clear" w:color="auto" w:fill="auto"/>
            <w:noWrap/>
            <w:vAlign w:val="center"/>
            <w:hideMark/>
          </w:tcPr>
          <w:p w14:paraId="51F6C3AB"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9A0446E" w14:textId="77777777" w:rsidTr="00ED7D87">
        <w:tc>
          <w:tcPr>
            <w:tcW w:w="1667" w:type="pct"/>
            <w:vAlign w:val="center"/>
          </w:tcPr>
          <w:p w14:paraId="5F15FD2B" w14:textId="0E864D4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067F3E65" w14:textId="79CC084A"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Revisão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obrigatóri</w:t>
            </w:r>
            <w:r w:rsidR="00B6290F">
              <w:rPr>
                <w:rFonts w:ascii="Calibri" w:eastAsia="Times New Roman" w:hAnsi="Calibri" w:cs="Calibri"/>
                <w:b/>
                <w:bCs/>
                <w:kern w:val="0"/>
                <w:sz w:val="24"/>
                <w:szCs w:val="24"/>
                <w:lang w:eastAsia="pt-BR"/>
                <w14:ligatures w14:val="none"/>
              </w:rPr>
              <w:t>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Benefícios</w:t>
            </w:r>
          </w:p>
        </w:tc>
        <w:tc>
          <w:tcPr>
            <w:tcW w:w="1666" w:type="pct"/>
            <w:shd w:val="clear" w:color="auto" w:fill="auto"/>
            <w:noWrap/>
            <w:vAlign w:val="center"/>
            <w:hideMark/>
          </w:tcPr>
          <w:p w14:paraId="5A89536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78E6A0D" w14:textId="77777777" w:rsidTr="00ED7D87">
        <w:tc>
          <w:tcPr>
            <w:tcW w:w="1667" w:type="pct"/>
            <w:vAlign w:val="center"/>
          </w:tcPr>
          <w:p w14:paraId="6AA85692" w14:textId="514F305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20. A revisão obrigatória do plano de benefícios deve destinar, no mínimo, até o final do exercício subsequente, o valor integral da reserva especial registrado nos últimos três exercícios.</w:t>
            </w:r>
          </w:p>
        </w:tc>
        <w:tc>
          <w:tcPr>
            <w:tcW w:w="1667" w:type="pct"/>
            <w:shd w:val="clear" w:color="auto" w:fill="auto"/>
            <w:vAlign w:val="center"/>
            <w:hideMark/>
          </w:tcPr>
          <w:p w14:paraId="03FB2661" w14:textId="550B763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19</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4D33" w:rsidRPr="00225EB1">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registrar</w:t>
            </w:r>
            <w:r w:rsidR="009068E9">
              <w:rPr>
                <w:rFonts w:ascii="Calibri" w:eastAsia="Times New Roman" w:hAnsi="Calibri" w:cs="Calibri"/>
                <w:kern w:val="0"/>
                <w:sz w:val="24"/>
                <w:szCs w:val="24"/>
                <w:lang w:eastAsia="pt-BR"/>
                <w14:ligatures w14:val="none"/>
              </w:rPr>
              <w:t xml:space="preserve"> </w:t>
            </w:r>
            <w:r w:rsidR="00CD4D33" w:rsidRPr="00225EB1">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consecutiva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p>
        </w:tc>
        <w:tc>
          <w:tcPr>
            <w:tcW w:w="1666" w:type="pct"/>
            <w:shd w:val="clear" w:color="auto" w:fill="auto"/>
            <w:noWrap/>
            <w:vAlign w:val="center"/>
            <w:hideMark/>
          </w:tcPr>
          <w:p w14:paraId="54FBF9EE" w14:textId="3725B823" w:rsidR="00A6584C" w:rsidRPr="00843426" w:rsidRDefault="00CD4D33"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Trazer maior clareza ao dispositivo além de dividir a obrigação de revisão do valor mínimo a destinar.</w:t>
            </w:r>
          </w:p>
        </w:tc>
      </w:tr>
      <w:tr w:rsidR="00225EB1" w:rsidRPr="00225EB1" w14:paraId="3B4934DA" w14:textId="77777777" w:rsidTr="00ED7D87">
        <w:tc>
          <w:tcPr>
            <w:tcW w:w="1667" w:type="pct"/>
            <w:vAlign w:val="center"/>
          </w:tcPr>
          <w:p w14:paraId="5CFD4A39" w14:textId="65FEAFD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7" w:type="pct"/>
            <w:shd w:val="clear" w:color="auto" w:fill="auto"/>
            <w:vAlign w:val="center"/>
            <w:hideMark/>
          </w:tcPr>
          <w:p w14:paraId="74128176" w14:textId="1CDD3FE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obrigatória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00CD4D33" w:rsidRPr="00225EB1">
              <w:rPr>
                <w:rFonts w:ascii="Calibri" w:eastAsia="Times New Roman" w:hAnsi="Calibri" w:cs="Calibri"/>
                <w:kern w:val="0"/>
                <w:sz w:val="24"/>
                <w:szCs w:val="24"/>
                <w:lang w:eastAsia="pt-BR"/>
                <w14:ligatures w14:val="none"/>
              </w:rPr>
              <w:t>registrado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últimos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três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exercícios.</w:t>
            </w:r>
          </w:p>
        </w:tc>
        <w:tc>
          <w:tcPr>
            <w:tcW w:w="1666" w:type="pct"/>
            <w:shd w:val="clear" w:color="auto" w:fill="auto"/>
            <w:noWrap/>
            <w:vAlign w:val="center"/>
            <w:hideMark/>
          </w:tcPr>
          <w:p w14:paraId="04FD8268" w14:textId="725B950E" w:rsidR="00A6584C" w:rsidRPr="00843426" w:rsidRDefault="00CD4D33"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Trazer maior clareza ao dispositivo além de dividir a obrigação de revisão do valor mínimo a destinar.</w:t>
            </w:r>
          </w:p>
        </w:tc>
      </w:tr>
      <w:tr w:rsidR="00225EB1" w:rsidRPr="00225EB1" w14:paraId="50D859FB" w14:textId="77777777" w:rsidTr="00ED7D87">
        <w:tc>
          <w:tcPr>
            <w:tcW w:w="1667" w:type="pct"/>
            <w:vAlign w:val="center"/>
          </w:tcPr>
          <w:p w14:paraId="41A57D84" w14:textId="76AC4EA0"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53161EE5" w14:textId="173DB58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6" w:type="pct"/>
            <w:shd w:val="clear" w:color="auto" w:fill="auto"/>
            <w:noWrap/>
            <w:vAlign w:val="center"/>
            <w:hideMark/>
          </w:tcPr>
          <w:p w14:paraId="12AC0E69"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EB3F140" w14:textId="77777777" w:rsidTr="00ED7D87">
        <w:tc>
          <w:tcPr>
            <w:tcW w:w="1667" w:type="pct"/>
            <w:vAlign w:val="center"/>
          </w:tcPr>
          <w:p w14:paraId="26684BF7" w14:textId="4B513E9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38618D07" w14:textId="13236FD1"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Destinação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reserva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especial</w:t>
            </w:r>
          </w:p>
        </w:tc>
        <w:tc>
          <w:tcPr>
            <w:tcW w:w="1666" w:type="pct"/>
            <w:shd w:val="clear" w:color="auto" w:fill="auto"/>
            <w:noWrap/>
            <w:vAlign w:val="center"/>
            <w:hideMark/>
          </w:tcPr>
          <w:p w14:paraId="116C157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50128EE" w14:textId="77777777" w:rsidTr="00ED7D87">
        <w:tc>
          <w:tcPr>
            <w:tcW w:w="1667" w:type="pct"/>
            <w:vAlign w:val="center"/>
          </w:tcPr>
          <w:p w14:paraId="1EA6165D" w14:textId="06DA36F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21. Caso o plano adote hipóteses atuariais cuja aplicação resulte em provisões matemáticas inferiores às obtidas com a aplicação das hipóteses especificadas a seguir, anteriormente à destinação, devem ser deduzidos da reserva especial, para fins de cálculo do montante a ser destinado, os valores correspondentes à diferença entre as provisões matemáticas calculadas com as hipóteses efetivamente adotadas pelo plano e aquelas calculadas com as seguintes hipóteses, de forma combinada:</w:t>
            </w:r>
          </w:p>
        </w:tc>
        <w:tc>
          <w:tcPr>
            <w:tcW w:w="1667" w:type="pct"/>
            <w:shd w:val="clear" w:color="auto" w:fill="auto"/>
            <w:noWrap/>
            <w:vAlign w:val="center"/>
            <w:hideMark/>
          </w:tcPr>
          <w:p w14:paraId="2B64F4A2" w14:textId="04A9C59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20</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obtidas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especificadas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deduzidos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diferença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combinada:</w:t>
            </w:r>
          </w:p>
        </w:tc>
        <w:tc>
          <w:tcPr>
            <w:tcW w:w="1666" w:type="pct"/>
            <w:shd w:val="clear" w:color="auto" w:fill="auto"/>
            <w:noWrap/>
            <w:vAlign w:val="center"/>
            <w:hideMark/>
          </w:tcPr>
          <w:p w14:paraId="5B09ABF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B1E238" w14:textId="77777777" w:rsidTr="00ED7D87">
        <w:tc>
          <w:tcPr>
            <w:tcW w:w="1667" w:type="pct"/>
            <w:vAlign w:val="center"/>
          </w:tcPr>
          <w:p w14:paraId="0BA7BABE" w14:textId="7C7C5A7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tábuas biométricas de mortalidade geral utilizadas para projeção da longevidade, exceto daqueles na condição de inválidos: "AT 2000 Básica - F" para o sexo feminino e "AT 2000 Básica - M" para o sexo masculino, ambas com desagravamento de dez por cento; e</w:t>
            </w:r>
          </w:p>
        </w:tc>
        <w:tc>
          <w:tcPr>
            <w:tcW w:w="1667" w:type="pct"/>
            <w:shd w:val="clear" w:color="auto" w:fill="auto"/>
            <w:noWrap/>
            <w:vAlign w:val="center"/>
            <w:hideMark/>
          </w:tcPr>
          <w:p w14:paraId="12CC5A90" w14:textId="0CFF859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longevidade,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exceto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daqueles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inválidos: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2000</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feminino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2000</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masculino,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ambas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desagravamento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44BB064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34A9FB4" w14:textId="77777777" w:rsidTr="00ED7D87">
        <w:tc>
          <w:tcPr>
            <w:tcW w:w="1667" w:type="pct"/>
            <w:vAlign w:val="center"/>
          </w:tcPr>
          <w:p w14:paraId="475DAC94" w14:textId="49A800F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taxa real anual de juros correspondente ao teto do intervalo regulatório estabelecido para o respectivo plano de benefícios, reduzida em um ponto percentual.</w:t>
            </w:r>
          </w:p>
        </w:tc>
        <w:tc>
          <w:tcPr>
            <w:tcW w:w="1667" w:type="pct"/>
            <w:shd w:val="clear" w:color="auto" w:fill="auto"/>
            <w:noWrap/>
            <w:vAlign w:val="center"/>
            <w:hideMark/>
          </w:tcPr>
          <w:p w14:paraId="5584E6C4" w14:textId="447E737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reduzida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percentual.</w:t>
            </w:r>
          </w:p>
        </w:tc>
        <w:tc>
          <w:tcPr>
            <w:tcW w:w="1666" w:type="pct"/>
            <w:shd w:val="clear" w:color="auto" w:fill="auto"/>
            <w:noWrap/>
            <w:vAlign w:val="center"/>
            <w:hideMark/>
          </w:tcPr>
          <w:p w14:paraId="6695CF2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B2B9A3B" w14:textId="77777777" w:rsidTr="00ED7D87">
        <w:tc>
          <w:tcPr>
            <w:tcW w:w="1667" w:type="pct"/>
            <w:vAlign w:val="center"/>
          </w:tcPr>
          <w:p w14:paraId="034BA9B9" w14:textId="4D39ED4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22. Para fins de destinação da reserva especial, devem ser observadas as seguintes condições:</w:t>
            </w:r>
          </w:p>
        </w:tc>
        <w:tc>
          <w:tcPr>
            <w:tcW w:w="1667" w:type="pct"/>
            <w:shd w:val="clear" w:color="auto" w:fill="auto"/>
            <w:noWrap/>
            <w:vAlign w:val="center"/>
            <w:hideMark/>
          </w:tcPr>
          <w:p w14:paraId="7BA478FF" w14:textId="1417FBD6"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21</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p>
        </w:tc>
        <w:tc>
          <w:tcPr>
            <w:tcW w:w="1666" w:type="pct"/>
            <w:shd w:val="clear" w:color="auto" w:fill="auto"/>
            <w:noWrap/>
            <w:vAlign w:val="center"/>
            <w:hideMark/>
          </w:tcPr>
          <w:p w14:paraId="6FC2DA1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568E8E8" w14:textId="77777777" w:rsidTr="00ED7D87">
        <w:tc>
          <w:tcPr>
            <w:tcW w:w="1667" w:type="pct"/>
            <w:vAlign w:val="center"/>
          </w:tcPr>
          <w:p w14:paraId="6F0A26BE" w14:textId="4251A08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I - considerar apenas as provisões matemáticas de benefício definido de </w:t>
            </w:r>
            <w:r w:rsidRPr="00225EB1">
              <w:rPr>
                <w:rFonts w:ascii="Calibri" w:hAnsi="Calibri" w:cs="Calibri"/>
                <w:sz w:val="24"/>
              </w:rPr>
              <w:lastRenderedPageBreak/>
              <w:t>participantes e assistidos na destinação da parcela da reserva especial, quando se der com base nas reservas matemáticas individuais;</w:t>
            </w:r>
          </w:p>
        </w:tc>
        <w:tc>
          <w:tcPr>
            <w:tcW w:w="1667" w:type="pct"/>
            <w:shd w:val="clear" w:color="auto" w:fill="auto"/>
            <w:noWrap/>
            <w:vAlign w:val="center"/>
            <w:hideMark/>
          </w:tcPr>
          <w:p w14:paraId="14CA9CB1" w14:textId="51286D3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apenas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individuais;</w:t>
            </w:r>
          </w:p>
        </w:tc>
        <w:tc>
          <w:tcPr>
            <w:tcW w:w="1666" w:type="pct"/>
            <w:shd w:val="clear" w:color="auto" w:fill="auto"/>
            <w:noWrap/>
            <w:vAlign w:val="center"/>
            <w:hideMark/>
          </w:tcPr>
          <w:p w14:paraId="3BE9EA9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E99C70C" w14:textId="77777777" w:rsidTr="00ED7D87">
        <w:tc>
          <w:tcPr>
            <w:tcW w:w="1667" w:type="pct"/>
            <w:vAlign w:val="center"/>
          </w:tcPr>
          <w:p w14:paraId="79EFFBED" w14:textId="50892B8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tc>
        <w:tc>
          <w:tcPr>
            <w:tcW w:w="1667" w:type="pct"/>
            <w:shd w:val="clear" w:color="auto" w:fill="auto"/>
            <w:noWrap/>
            <w:vAlign w:val="center"/>
            <w:hideMark/>
          </w:tcPr>
          <w:p w14:paraId="26E9CE98" w14:textId="36B30EF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suspensão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contemplar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prioritariamente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72A76EA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E750358" w14:textId="77777777" w:rsidTr="00ED7D87">
        <w:tc>
          <w:tcPr>
            <w:tcW w:w="1667" w:type="pct"/>
            <w:vAlign w:val="center"/>
          </w:tcPr>
          <w:p w14:paraId="2048139A" w14:textId="39586A0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a cobertura integral do valor presente dos benefícios do plano deve considerar apenas aqueles com características de benefício definido.</w:t>
            </w:r>
          </w:p>
        </w:tc>
        <w:tc>
          <w:tcPr>
            <w:tcW w:w="1667" w:type="pct"/>
            <w:shd w:val="clear" w:color="auto" w:fill="auto"/>
            <w:noWrap/>
            <w:vAlign w:val="center"/>
            <w:hideMark/>
          </w:tcPr>
          <w:p w14:paraId="71E27625" w14:textId="577C7E0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apenas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p>
        </w:tc>
        <w:tc>
          <w:tcPr>
            <w:tcW w:w="1666" w:type="pct"/>
            <w:shd w:val="clear" w:color="auto" w:fill="auto"/>
            <w:noWrap/>
            <w:vAlign w:val="center"/>
            <w:hideMark/>
          </w:tcPr>
          <w:p w14:paraId="17DB711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FD8111C" w14:textId="77777777" w:rsidTr="00ED7D87">
        <w:tc>
          <w:tcPr>
            <w:tcW w:w="1667" w:type="pct"/>
            <w:vAlign w:val="center"/>
          </w:tcPr>
          <w:p w14:paraId="0165DC08" w14:textId="0FE89C6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 utilização dos fundos previdenciais de revisão do plano deve ocorrer de forma concomitante e proporcional entre os fundos atribuídos aos participantes, assistidos e patrocinador constituídos para essa finalidade.</w:t>
            </w:r>
          </w:p>
        </w:tc>
        <w:tc>
          <w:tcPr>
            <w:tcW w:w="1667" w:type="pct"/>
            <w:shd w:val="clear" w:color="auto" w:fill="auto"/>
            <w:noWrap/>
            <w:vAlign w:val="center"/>
            <w:hideMark/>
          </w:tcPr>
          <w:p w14:paraId="4EA23E8A" w14:textId="781575A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concomitante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proporcional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atribuídos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constituídos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p>
        </w:tc>
        <w:tc>
          <w:tcPr>
            <w:tcW w:w="1666" w:type="pct"/>
            <w:shd w:val="clear" w:color="auto" w:fill="auto"/>
            <w:noWrap/>
            <w:vAlign w:val="center"/>
            <w:hideMark/>
          </w:tcPr>
          <w:p w14:paraId="4146028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CB4CA85" w14:textId="77777777" w:rsidTr="00ED7D87">
        <w:tc>
          <w:tcPr>
            <w:tcW w:w="1667" w:type="pct"/>
            <w:vAlign w:val="center"/>
          </w:tcPr>
          <w:p w14:paraId="54847CB9" w14:textId="69C42F8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§2º No caso de plano de benefícios não sujeito à Lei Complementar nº 108, de 2001, a EFPC poderá propor critério de utilização dos fundos previdenciais de revisão do plano diferente do definido no § 1º deste artigo, desde que mais benéfico aos participantes e </w:t>
            </w:r>
            <w:r w:rsidRPr="00225EB1">
              <w:rPr>
                <w:rFonts w:ascii="Calibri" w:hAnsi="Calibri" w:cs="Calibri"/>
                <w:sz w:val="24"/>
              </w:rPr>
              <w:lastRenderedPageBreak/>
              <w:t>assistidos, mediante prévia anuência do patrocinador.</w:t>
            </w:r>
          </w:p>
        </w:tc>
        <w:tc>
          <w:tcPr>
            <w:tcW w:w="1667" w:type="pct"/>
            <w:shd w:val="clear" w:color="auto" w:fill="auto"/>
            <w:noWrap/>
            <w:vAlign w:val="center"/>
            <w:hideMark/>
          </w:tcPr>
          <w:p w14:paraId="15FADDEF" w14:textId="141BDD2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sujeito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Complementar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108,</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2001,</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poderá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diferente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artigo,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benéfico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mediante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prévia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p>
        </w:tc>
        <w:tc>
          <w:tcPr>
            <w:tcW w:w="1666" w:type="pct"/>
            <w:shd w:val="clear" w:color="auto" w:fill="auto"/>
            <w:noWrap/>
            <w:vAlign w:val="center"/>
            <w:hideMark/>
          </w:tcPr>
          <w:p w14:paraId="5420D09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D7F478F" w14:textId="77777777" w:rsidTr="00ED7D87">
        <w:tc>
          <w:tcPr>
            <w:tcW w:w="1667" w:type="pct"/>
            <w:vAlign w:val="center"/>
          </w:tcPr>
          <w:p w14:paraId="1F967DA8" w14:textId="265FEBF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23. A EFPC deve promover a realização prévia de auditoria independente específica para avaliação dos recursos garantidores e das provisões matemáticas do plano de benefícios, nos casos em que a destinação da reserva especial envolver a reversão de valores.</w:t>
            </w:r>
          </w:p>
        </w:tc>
        <w:tc>
          <w:tcPr>
            <w:tcW w:w="1667" w:type="pct"/>
            <w:shd w:val="clear" w:color="auto" w:fill="auto"/>
            <w:noWrap/>
            <w:vAlign w:val="center"/>
            <w:hideMark/>
          </w:tcPr>
          <w:p w14:paraId="366A8B6F" w14:textId="6AFC922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22</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promover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prévia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auditoria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independente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garantidores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envolver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reversão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p>
        </w:tc>
        <w:tc>
          <w:tcPr>
            <w:tcW w:w="1666" w:type="pct"/>
            <w:shd w:val="clear" w:color="auto" w:fill="auto"/>
            <w:noWrap/>
            <w:vAlign w:val="center"/>
            <w:hideMark/>
          </w:tcPr>
          <w:p w14:paraId="3073EA3B"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C81BFC" w14:textId="77777777" w:rsidTr="00ED7D87">
        <w:tc>
          <w:tcPr>
            <w:tcW w:w="1667" w:type="pct"/>
            <w:vAlign w:val="center"/>
          </w:tcPr>
          <w:p w14:paraId="559AFE33" w14:textId="48EB423C"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VII</w:t>
            </w:r>
          </w:p>
        </w:tc>
        <w:tc>
          <w:tcPr>
            <w:tcW w:w="1667" w:type="pct"/>
            <w:shd w:val="clear" w:color="auto" w:fill="auto"/>
            <w:noWrap/>
            <w:vAlign w:val="center"/>
            <w:hideMark/>
          </w:tcPr>
          <w:p w14:paraId="6FBBEC4F" w14:textId="4C03F13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VI</w:t>
            </w:r>
          </w:p>
        </w:tc>
        <w:tc>
          <w:tcPr>
            <w:tcW w:w="1666" w:type="pct"/>
            <w:shd w:val="clear" w:color="auto" w:fill="auto"/>
            <w:noWrap/>
            <w:vAlign w:val="center"/>
            <w:hideMark/>
          </w:tcPr>
          <w:p w14:paraId="17657F20"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05C138A" w14:textId="77777777" w:rsidTr="00ED7D87">
        <w:tc>
          <w:tcPr>
            <w:tcW w:w="1667" w:type="pct"/>
            <w:vAlign w:val="center"/>
          </w:tcPr>
          <w:p w14:paraId="0C911B5B" w14:textId="0458CEC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EQUACIONAMENTO DE DÉFICIT</w:t>
            </w:r>
          </w:p>
        </w:tc>
        <w:tc>
          <w:tcPr>
            <w:tcW w:w="1667" w:type="pct"/>
            <w:shd w:val="clear" w:color="auto" w:fill="auto"/>
            <w:noWrap/>
            <w:vAlign w:val="center"/>
            <w:hideMark/>
          </w:tcPr>
          <w:p w14:paraId="3D1D2AEF" w14:textId="4F58660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Equacionamento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Déficit</w:t>
            </w:r>
          </w:p>
        </w:tc>
        <w:tc>
          <w:tcPr>
            <w:tcW w:w="1666" w:type="pct"/>
            <w:shd w:val="clear" w:color="auto" w:fill="auto"/>
            <w:noWrap/>
            <w:vAlign w:val="center"/>
            <w:hideMark/>
          </w:tcPr>
          <w:p w14:paraId="2304EFF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6940CFF8" w14:textId="77777777" w:rsidTr="00ED7D87">
        <w:tc>
          <w:tcPr>
            <w:tcW w:w="1667" w:type="pct"/>
            <w:vAlign w:val="center"/>
          </w:tcPr>
          <w:p w14:paraId="4191076D" w14:textId="5E01F0CD"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w:t>
            </w:r>
          </w:p>
        </w:tc>
        <w:tc>
          <w:tcPr>
            <w:tcW w:w="1667" w:type="pct"/>
            <w:shd w:val="clear" w:color="auto" w:fill="auto"/>
            <w:noWrap/>
            <w:vAlign w:val="center"/>
            <w:hideMark/>
          </w:tcPr>
          <w:p w14:paraId="2B7E2B84" w14:textId="566A9A4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6" w:type="pct"/>
            <w:shd w:val="clear" w:color="auto" w:fill="auto"/>
            <w:noWrap/>
            <w:vAlign w:val="center"/>
            <w:hideMark/>
          </w:tcPr>
          <w:p w14:paraId="22582FD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C3DE21C" w14:textId="77777777" w:rsidTr="00ED7D87">
        <w:tc>
          <w:tcPr>
            <w:tcW w:w="1667" w:type="pct"/>
            <w:vAlign w:val="center"/>
          </w:tcPr>
          <w:p w14:paraId="2847C5DF" w14:textId="0B7FC503"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Valor a Equacionar</w:t>
            </w:r>
          </w:p>
        </w:tc>
        <w:tc>
          <w:tcPr>
            <w:tcW w:w="1667" w:type="pct"/>
            <w:shd w:val="clear" w:color="auto" w:fill="auto"/>
            <w:noWrap/>
            <w:vAlign w:val="center"/>
            <w:hideMark/>
          </w:tcPr>
          <w:p w14:paraId="003E890A" w14:textId="56F11560"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Valor</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Equacionar</w:t>
            </w:r>
          </w:p>
        </w:tc>
        <w:tc>
          <w:tcPr>
            <w:tcW w:w="1666" w:type="pct"/>
            <w:shd w:val="clear" w:color="auto" w:fill="auto"/>
            <w:noWrap/>
            <w:vAlign w:val="center"/>
            <w:hideMark/>
          </w:tcPr>
          <w:p w14:paraId="7A1BE453"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E753DBE" w14:textId="77777777" w:rsidTr="00ED7D87">
        <w:tc>
          <w:tcPr>
            <w:tcW w:w="1667" w:type="pct"/>
            <w:vAlign w:val="center"/>
          </w:tcPr>
          <w:p w14:paraId="11EC4C5D" w14:textId="3FB5C41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24. O valor do déficit a ser equacionado deve ser apurado na avaliação atuarial realizada ao final de cada exercício social.</w:t>
            </w:r>
          </w:p>
        </w:tc>
        <w:tc>
          <w:tcPr>
            <w:tcW w:w="1667" w:type="pct"/>
            <w:shd w:val="clear" w:color="auto" w:fill="auto"/>
            <w:noWrap/>
            <w:vAlign w:val="center"/>
            <w:hideMark/>
          </w:tcPr>
          <w:p w14:paraId="13EF40ED" w14:textId="6790747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23</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social.</w:t>
            </w:r>
          </w:p>
        </w:tc>
        <w:tc>
          <w:tcPr>
            <w:tcW w:w="1666" w:type="pct"/>
            <w:shd w:val="clear" w:color="auto" w:fill="auto"/>
            <w:vAlign w:val="center"/>
            <w:hideMark/>
          </w:tcPr>
          <w:p w14:paraId="5C9A6FEE"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 xml:space="preserve">De qual exercício, o da apuração </w:t>
            </w:r>
            <w:commentRangeStart w:id="0"/>
            <w:r w:rsidRPr="00843426">
              <w:rPr>
                <w:rFonts w:ascii="Calibri" w:eastAsia="Times New Roman" w:hAnsi="Calibri" w:cs="Calibri"/>
                <w:kern w:val="0"/>
                <w:sz w:val="24"/>
                <w:szCs w:val="24"/>
                <w:lang w:eastAsia="pt-BR"/>
                <w14:ligatures w14:val="none"/>
              </w:rPr>
              <w:t>ou</w:t>
            </w:r>
            <w:commentRangeEnd w:id="0"/>
            <w:r w:rsidR="000A34C5">
              <w:rPr>
                <w:rStyle w:val="Refdecomentrio"/>
              </w:rPr>
              <w:commentReference w:id="0"/>
            </w:r>
            <w:r w:rsidRPr="00843426">
              <w:rPr>
                <w:rFonts w:ascii="Calibri" w:eastAsia="Times New Roman" w:hAnsi="Calibri" w:cs="Calibri"/>
                <w:kern w:val="0"/>
                <w:sz w:val="24"/>
                <w:szCs w:val="24"/>
                <w:lang w:eastAsia="pt-BR"/>
                <w14:ligatures w14:val="none"/>
              </w:rPr>
              <w:t xml:space="preserve"> da aprovação do plano de equacionamento?</w:t>
            </w:r>
          </w:p>
        </w:tc>
      </w:tr>
      <w:tr w:rsidR="00225EB1" w:rsidRPr="00225EB1" w14:paraId="16EF1AE6" w14:textId="77777777" w:rsidTr="00ED7D87">
        <w:tc>
          <w:tcPr>
            <w:tcW w:w="1667" w:type="pct"/>
            <w:vAlign w:val="center"/>
          </w:tcPr>
          <w:p w14:paraId="6F7744A0" w14:textId="3B3011C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O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p>
        </w:tc>
        <w:tc>
          <w:tcPr>
            <w:tcW w:w="1667" w:type="pct"/>
            <w:shd w:val="clear" w:color="auto" w:fill="auto"/>
            <w:noWrap/>
            <w:vAlign w:val="center"/>
            <w:hideMark/>
          </w:tcPr>
          <w:p w14:paraId="43CCD220" w14:textId="4746E08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corrigido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nominal,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consignado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p>
        </w:tc>
        <w:tc>
          <w:tcPr>
            <w:tcW w:w="1666" w:type="pct"/>
            <w:shd w:val="clear" w:color="auto" w:fill="auto"/>
            <w:noWrap/>
            <w:vAlign w:val="center"/>
            <w:hideMark/>
          </w:tcPr>
          <w:p w14:paraId="23A5E2B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55DD834" w14:textId="77777777" w:rsidTr="00ED7D87">
        <w:tc>
          <w:tcPr>
            <w:tcW w:w="1667" w:type="pct"/>
            <w:vAlign w:val="center"/>
          </w:tcPr>
          <w:p w14:paraId="63EF14CC" w14:textId="3E25CE7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§2º Admite-se o reposicionamento do déficit a ser equacionado em momento posterior ao indicado no caput em caso de realização de avaliação atuarial por fato relevante, </w:t>
            </w:r>
            <w:r w:rsidRPr="00225EB1">
              <w:rPr>
                <w:rFonts w:ascii="Calibri" w:hAnsi="Calibri" w:cs="Calibri"/>
                <w:sz w:val="24"/>
              </w:rPr>
              <w:lastRenderedPageBreak/>
              <w:t>conforme determinado pelos §§ 1º e 2º do art. 2º desta Instrução.</w:t>
            </w:r>
          </w:p>
        </w:tc>
        <w:tc>
          <w:tcPr>
            <w:tcW w:w="1667" w:type="pct"/>
            <w:shd w:val="clear" w:color="auto" w:fill="auto"/>
            <w:noWrap/>
            <w:vAlign w:val="center"/>
            <w:hideMark/>
          </w:tcPr>
          <w:p w14:paraId="7AA6607A" w14:textId="6EC3885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reposicionamento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posterior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dispõe</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2º</w:t>
            </w:r>
            <w:r w:rsidRPr="00843426">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5BD0202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B471EA7" w14:textId="77777777" w:rsidTr="00ED7D87">
        <w:tc>
          <w:tcPr>
            <w:tcW w:w="1667" w:type="pct"/>
            <w:vAlign w:val="center"/>
          </w:tcPr>
          <w:p w14:paraId="465617AE" w14:textId="4B6E6B4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25.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tc>
        <w:tc>
          <w:tcPr>
            <w:tcW w:w="1667" w:type="pct"/>
            <w:shd w:val="clear" w:color="auto" w:fill="auto"/>
            <w:noWrap/>
            <w:vAlign w:val="center"/>
            <w:hideMark/>
          </w:tcPr>
          <w:p w14:paraId="09040EF1" w14:textId="5C48E8B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commentRangeStart w:id="1"/>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24</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faculdade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extensão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preferencialmente,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absoluto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acumulado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commentRangeEnd w:id="1"/>
            <w:r w:rsidR="0024412D">
              <w:rPr>
                <w:rStyle w:val="Refdecomentrio"/>
              </w:rPr>
              <w:commentReference w:id="1"/>
            </w:r>
          </w:p>
        </w:tc>
        <w:tc>
          <w:tcPr>
            <w:tcW w:w="1666" w:type="pct"/>
            <w:shd w:val="clear" w:color="auto" w:fill="auto"/>
            <w:noWrap/>
            <w:vAlign w:val="center"/>
            <w:hideMark/>
          </w:tcPr>
          <w:p w14:paraId="7BBDF32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73DF476" w14:textId="77777777" w:rsidTr="00ED7D87">
        <w:tc>
          <w:tcPr>
            <w:tcW w:w="1667" w:type="pct"/>
            <w:vAlign w:val="center"/>
          </w:tcPr>
          <w:p w14:paraId="35311C4C" w14:textId="661701B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II</w:t>
            </w:r>
          </w:p>
        </w:tc>
        <w:tc>
          <w:tcPr>
            <w:tcW w:w="1667" w:type="pct"/>
            <w:shd w:val="clear" w:color="auto" w:fill="auto"/>
            <w:noWrap/>
            <w:vAlign w:val="center"/>
            <w:hideMark/>
          </w:tcPr>
          <w:p w14:paraId="6768949A" w14:textId="5A0847E0"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6" w:type="pct"/>
            <w:shd w:val="clear" w:color="auto" w:fill="auto"/>
            <w:noWrap/>
            <w:vAlign w:val="center"/>
            <w:hideMark/>
          </w:tcPr>
          <w:p w14:paraId="3219C1D2"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F4C2CA2" w14:textId="77777777" w:rsidTr="00ED7D87">
        <w:tc>
          <w:tcPr>
            <w:tcW w:w="1667" w:type="pct"/>
            <w:vAlign w:val="center"/>
          </w:tcPr>
          <w:p w14:paraId="673DA95F" w14:textId="1BA9079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Plano de Equacionamento</w:t>
            </w:r>
          </w:p>
        </w:tc>
        <w:tc>
          <w:tcPr>
            <w:tcW w:w="1667" w:type="pct"/>
            <w:shd w:val="clear" w:color="auto" w:fill="auto"/>
            <w:noWrap/>
            <w:vAlign w:val="center"/>
            <w:hideMark/>
          </w:tcPr>
          <w:p w14:paraId="2A4083F7" w14:textId="693AF4E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Plano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Equacionamento</w:t>
            </w:r>
          </w:p>
        </w:tc>
        <w:tc>
          <w:tcPr>
            <w:tcW w:w="1666" w:type="pct"/>
            <w:shd w:val="clear" w:color="auto" w:fill="auto"/>
            <w:noWrap/>
            <w:vAlign w:val="center"/>
            <w:hideMark/>
          </w:tcPr>
          <w:p w14:paraId="0813752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88E13EC" w14:textId="77777777" w:rsidTr="00ED7D87">
        <w:tc>
          <w:tcPr>
            <w:tcW w:w="1667" w:type="pct"/>
            <w:vAlign w:val="center"/>
          </w:tcPr>
          <w:p w14:paraId="66D00BE5" w14:textId="3E961F3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26.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tc>
        <w:tc>
          <w:tcPr>
            <w:tcW w:w="1667" w:type="pct"/>
            <w:shd w:val="clear" w:color="auto" w:fill="auto"/>
            <w:noWrap/>
            <w:vAlign w:val="center"/>
            <w:hideMark/>
          </w:tcPr>
          <w:p w14:paraId="083C5BF2" w14:textId="41040B3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25</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p>
        </w:tc>
        <w:tc>
          <w:tcPr>
            <w:tcW w:w="1666" w:type="pct"/>
            <w:shd w:val="clear" w:color="auto" w:fill="auto"/>
            <w:noWrap/>
            <w:vAlign w:val="center"/>
            <w:hideMark/>
          </w:tcPr>
          <w:p w14:paraId="0EA00A2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C46C347" w14:textId="77777777" w:rsidTr="00ED7D87">
        <w:tc>
          <w:tcPr>
            <w:tcW w:w="1667" w:type="pct"/>
            <w:vAlign w:val="center"/>
          </w:tcPr>
          <w:p w14:paraId="685EC9CB" w14:textId="2037C97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27. Os planos de equacionamento devem prever amortização que contemple fluxo de contribuições extraordinárias constante ou decrescente, comprovado por meio de demonstração do fluxo projetado no momento da implementação do plano, sendo que os respectivos ativos devem ser </w:t>
            </w:r>
            <w:r w:rsidRPr="00225EB1">
              <w:rPr>
                <w:rFonts w:ascii="Calibri" w:hAnsi="Calibri" w:cs="Calibri"/>
                <w:sz w:val="24"/>
              </w:rPr>
              <w:lastRenderedPageBreak/>
              <w:t>compatíveis com as necessidades de liquidez do plano de benefícios.</w:t>
            </w:r>
          </w:p>
        </w:tc>
        <w:tc>
          <w:tcPr>
            <w:tcW w:w="1667" w:type="pct"/>
            <w:shd w:val="clear" w:color="auto" w:fill="auto"/>
            <w:noWrap/>
            <w:vAlign w:val="center"/>
            <w:hideMark/>
          </w:tcPr>
          <w:p w14:paraId="2AA66FBC" w14:textId="25E556C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26</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contemple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decrescente,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implementação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compatíveis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4E1955C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98C913F" w14:textId="77777777" w:rsidTr="00ED7D87">
        <w:tc>
          <w:tcPr>
            <w:tcW w:w="1667" w:type="pct"/>
            <w:vAlign w:val="center"/>
          </w:tcPr>
          <w:p w14:paraId="682B6639" w14:textId="32FE0F8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Caso o plano de equacionamento estabeleça contribuições extraordinárias em termos de percentual aplicável sobre salários ou benefícios, a comprovação de que trata o caput será pelo percentual de contribuição, constante ou decrescente.</w:t>
            </w:r>
          </w:p>
        </w:tc>
        <w:tc>
          <w:tcPr>
            <w:tcW w:w="1667" w:type="pct"/>
            <w:shd w:val="clear" w:color="auto" w:fill="auto"/>
            <w:noWrap/>
            <w:vAlign w:val="center"/>
            <w:hideMark/>
          </w:tcPr>
          <w:p w14:paraId="754265B6" w14:textId="023DF49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estabeleça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percentual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salários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percentual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decrescente.</w:t>
            </w:r>
          </w:p>
        </w:tc>
        <w:tc>
          <w:tcPr>
            <w:tcW w:w="1666" w:type="pct"/>
            <w:shd w:val="clear" w:color="auto" w:fill="auto"/>
            <w:noWrap/>
            <w:vAlign w:val="center"/>
            <w:hideMark/>
          </w:tcPr>
          <w:p w14:paraId="0F44E4BE"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DA56B8B" w14:textId="77777777" w:rsidTr="00ED7D87">
        <w:tc>
          <w:tcPr>
            <w:tcW w:w="1667" w:type="pct"/>
            <w:vAlign w:val="center"/>
          </w:tcPr>
          <w:p w14:paraId="1DB7DC7C" w14:textId="6C3471D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28. A EFPC deve comprovar, anualmente, se o plano de equacionamento de déficit apresenta resultados efetivos, cabendo, em caso contrário, a adequação do plano, respeitando todas as condições regulatórias.</w:t>
            </w:r>
          </w:p>
        </w:tc>
        <w:tc>
          <w:tcPr>
            <w:tcW w:w="1667" w:type="pct"/>
            <w:shd w:val="clear" w:color="auto" w:fill="auto"/>
            <w:noWrap/>
            <w:vAlign w:val="center"/>
            <w:hideMark/>
          </w:tcPr>
          <w:p w14:paraId="1467EBDC" w14:textId="0CE9C22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27</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respeitando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regulatórias.</w:t>
            </w:r>
          </w:p>
        </w:tc>
        <w:tc>
          <w:tcPr>
            <w:tcW w:w="1666" w:type="pct"/>
            <w:shd w:val="clear" w:color="auto" w:fill="auto"/>
            <w:noWrap/>
            <w:vAlign w:val="center"/>
            <w:hideMark/>
          </w:tcPr>
          <w:p w14:paraId="71D0008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48BE392" w14:textId="77777777" w:rsidTr="00ED7D87">
        <w:tc>
          <w:tcPr>
            <w:tcW w:w="1667" w:type="pct"/>
            <w:vAlign w:val="center"/>
          </w:tcPr>
          <w:p w14:paraId="27C96A2F" w14:textId="3301485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III</w:t>
            </w:r>
          </w:p>
        </w:tc>
        <w:tc>
          <w:tcPr>
            <w:tcW w:w="1667" w:type="pct"/>
            <w:shd w:val="clear" w:color="auto" w:fill="auto"/>
            <w:noWrap/>
            <w:vAlign w:val="center"/>
            <w:hideMark/>
          </w:tcPr>
          <w:p w14:paraId="1723868F" w14:textId="1A2433ED"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tc>
        <w:tc>
          <w:tcPr>
            <w:tcW w:w="1666" w:type="pct"/>
            <w:shd w:val="clear" w:color="auto" w:fill="auto"/>
            <w:noWrap/>
            <w:vAlign w:val="center"/>
            <w:hideMark/>
          </w:tcPr>
          <w:p w14:paraId="48EDDDB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ED4C392" w14:textId="77777777" w:rsidTr="00ED7D87">
        <w:tc>
          <w:tcPr>
            <w:tcW w:w="1667" w:type="pct"/>
            <w:vAlign w:val="center"/>
          </w:tcPr>
          <w:p w14:paraId="2F1004EB" w14:textId="5340DA4A"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Prazo de Amortização</w:t>
            </w:r>
          </w:p>
        </w:tc>
        <w:tc>
          <w:tcPr>
            <w:tcW w:w="1667" w:type="pct"/>
            <w:shd w:val="clear" w:color="auto" w:fill="auto"/>
            <w:noWrap/>
            <w:vAlign w:val="center"/>
            <w:hideMark/>
          </w:tcPr>
          <w:p w14:paraId="77B13763" w14:textId="7256520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Prazo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Amortização</w:t>
            </w:r>
          </w:p>
        </w:tc>
        <w:tc>
          <w:tcPr>
            <w:tcW w:w="1666" w:type="pct"/>
            <w:shd w:val="clear" w:color="auto" w:fill="auto"/>
            <w:noWrap/>
            <w:vAlign w:val="center"/>
            <w:hideMark/>
          </w:tcPr>
          <w:p w14:paraId="64A6D8A8"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28A5874E" w14:textId="77777777" w:rsidTr="00ED7D87">
        <w:tc>
          <w:tcPr>
            <w:tcW w:w="1667" w:type="pct"/>
            <w:vAlign w:val="center"/>
          </w:tcPr>
          <w:p w14:paraId="79132E18" w14:textId="7A033AE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29.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tc>
        <w:tc>
          <w:tcPr>
            <w:tcW w:w="1667" w:type="pct"/>
            <w:shd w:val="clear" w:color="auto" w:fill="auto"/>
            <w:noWrap/>
            <w:vAlign w:val="center"/>
            <w:hideMark/>
          </w:tcPr>
          <w:p w14:paraId="4AC7C218" w14:textId="3B9953F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28</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receitas,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despesas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patrimônio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segregado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integralizado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integralizar,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evidenciado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6C6DE65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211F756" w14:textId="77777777" w:rsidTr="00ED7D87">
        <w:tc>
          <w:tcPr>
            <w:tcW w:w="1667" w:type="pct"/>
            <w:vAlign w:val="center"/>
          </w:tcPr>
          <w:p w14:paraId="4325F9BE" w14:textId="7C09F54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 xml:space="preserve">Parágrafo </w:t>
            </w:r>
            <w:r w:rsidR="00995A43">
              <w:rPr>
                <w:rFonts w:ascii="Calibri" w:hAnsi="Calibri" w:cs="Calibri"/>
                <w:sz w:val="24"/>
              </w:rPr>
              <w:t xml:space="preserve">único.  </w:t>
            </w:r>
            <w:r w:rsidRPr="00225EB1">
              <w:rPr>
                <w:rFonts w:ascii="Calibri" w:hAnsi="Calibri" w:cs="Calibri"/>
                <w:sz w:val="24"/>
              </w:rPr>
              <w:t>Na ocorrência de nova insuficiência de cobertura patrimonial, que demande equacionamento antes do término da amortização referida no caput, deve ser realizada nova operação de equacionamento.</w:t>
            </w:r>
          </w:p>
        </w:tc>
        <w:tc>
          <w:tcPr>
            <w:tcW w:w="1667" w:type="pct"/>
            <w:shd w:val="clear" w:color="auto" w:fill="auto"/>
            <w:noWrap/>
            <w:vAlign w:val="center"/>
            <w:hideMark/>
          </w:tcPr>
          <w:p w14:paraId="0BF7BCA2" w14:textId="41E2637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patrimonial,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demande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término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operação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p>
        </w:tc>
        <w:tc>
          <w:tcPr>
            <w:tcW w:w="1666" w:type="pct"/>
            <w:shd w:val="clear" w:color="auto" w:fill="auto"/>
            <w:noWrap/>
            <w:vAlign w:val="center"/>
            <w:hideMark/>
          </w:tcPr>
          <w:p w14:paraId="3A0C525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43E9F23" w14:textId="77777777" w:rsidTr="00ED7D87">
        <w:tc>
          <w:tcPr>
            <w:tcW w:w="1667" w:type="pct"/>
            <w:vAlign w:val="center"/>
          </w:tcPr>
          <w:p w14:paraId="520957DB" w14:textId="1ACBFFE4"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IV</w:t>
            </w:r>
          </w:p>
        </w:tc>
        <w:tc>
          <w:tcPr>
            <w:tcW w:w="1667" w:type="pct"/>
            <w:shd w:val="clear" w:color="auto" w:fill="auto"/>
            <w:noWrap/>
            <w:vAlign w:val="center"/>
            <w:hideMark/>
          </w:tcPr>
          <w:p w14:paraId="3A385B86" w14:textId="2557AE7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IV</w:t>
            </w:r>
          </w:p>
        </w:tc>
        <w:tc>
          <w:tcPr>
            <w:tcW w:w="1666" w:type="pct"/>
            <w:shd w:val="clear" w:color="auto" w:fill="auto"/>
            <w:noWrap/>
            <w:vAlign w:val="center"/>
            <w:hideMark/>
          </w:tcPr>
          <w:p w14:paraId="1F1BED30"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99AF6FB" w14:textId="77777777" w:rsidTr="00ED7D87">
        <w:tc>
          <w:tcPr>
            <w:tcW w:w="1667" w:type="pct"/>
            <w:vAlign w:val="center"/>
          </w:tcPr>
          <w:p w14:paraId="6E9E46D6" w14:textId="1F248294"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Dos Instrumentos Contratuais</w:t>
            </w:r>
          </w:p>
        </w:tc>
        <w:tc>
          <w:tcPr>
            <w:tcW w:w="1667" w:type="pct"/>
            <w:shd w:val="clear" w:color="auto" w:fill="auto"/>
            <w:noWrap/>
            <w:vAlign w:val="center"/>
            <w:hideMark/>
          </w:tcPr>
          <w:p w14:paraId="55F83890" w14:textId="68D1EC45"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Instrumentos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Contratuais</w:t>
            </w:r>
          </w:p>
        </w:tc>
        <w:tc>
          <w:tcPr>
            <w:tcW w:w="1666" w:type="pct"/>
            <w:shd w:val="clear" w:color="auto" w:fill="auto"/>
            <w:noWrap/>
            <w:vAlign w:val="center"/>
            <w:hideMark/>
          </w:tcPr>
          <w:p w14:paraId="2E9EC31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7767ABD" w14:textId="77777777" w:rsidTr="00ED7D87">
        <w:tc>
          <w:tcPr>
            <w:tcW w:w="1667" w:type="pct"/>
            <w:vAlign w:val="center"/>
          </w:tcPr>
          <w:p w14:paraId="1B3D9C9F" w14:textId="56B23CCF"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30.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tc>
        <w:tc>
          <w:tcPr>
            <w:tcW w:w="1667" w:type="pct"/>
            <w:shd w:val="clear" w:color="auto" w:fill="auto"/>
            <w:noWrap/>
            <w:vAlign w:val="center"/>
            <w:hideMark/>
          </w:tcPr>
          <w:p w14:paraId="0A444BBA" w14:textId="7893910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29</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firmados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cláusula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automática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ganhos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vinculada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7919DCC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132B99E" w14:textId="77777777" w:rsidTr="00ED7D87">
        <w:tc>
          <w:tcPr>
            <w:tcW w:w="1667" w:type="pct"/>
            <w:vAlign w:val="center"/>
          </w:tcPr>
          <w:p w14:paraId="1EB0A8B7" w14:textId="0ED3B14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O valor do equilíbrio técnico ajustado negativo somente pode ser incorporado ao saldo devedor dos instrumentos contratuais de dívida dos patrocinadores quando o prazo remanescente da dívida for igual ou inferior ao prazo máximo de equacionamento.</w:t>
            </w:r>
          </w:p>
        </w:tc>
        <w:tc>
          <w:tcPr>
            <w:tcW w:w="1667" w:type="pct"/>
            <w:shd w:val="clear" w:color="auto" w:fill="auto"/>
            <w:noWrap/>
            <w:vAlign w:val="center"/>
            <w:hideMark/>
          </w:tcPr>
          <w:p w14:paraId="74C2C926" w14:textId="7203693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incorporado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dívida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remanescente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dívida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igual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máximo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p>
        </w:tc>
        <w:tc>
          <w:tcPr>
            <w:tcW w:w="1666" w:type="pct"/>
            <w:shd w:val="clear" w:color="auto" w:fill="auto"/>
            <w:noWrap/>
            <w:vAlign w:val="center"/>
            <w:hideMark/>
          </w:tcPr>
          <w:p w14:paraId="6FABAE8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9CA95FA" w14:textId="77777777" w:rsidTr="00ED7D87">
        <w:tc>
          <w:tcPr>
            <w:tcW w:w="1667" w:type="pct"/>
            <w:vAlign w:val="center"/>
          </w:tcPr>
          <w:p w14:paraId="1D886136" w14:textId="6A44059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O valor do equilíbrio técnico ajustado positivo ou negativo utilizado para revisão anual do saldo devedor da dívida do patrocinador, na forma do caput, deve observar as proporções contributivas definidas para o rateio da insuficiência entre participantes, assistidos e patrocinadores.</w:t>
            </w:r>
          </w:p>
        </w:tc>
        <w:tc>
          <w:tcPr>
            <w:tcW w:w="1667" w:type="pct"/>
            <w:shd w:val="clear" w:color="auto" w:fill="auto"/>
            <w:noWrap/>
            <w:vAlign w:val="center"/>
            <w:hideMark/>
          </w:tcPr>
          <w:p w14:paraId="07982A40" w14:textId="7966192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dívida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rateio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p>
        </w:tc>
        <w:tc>
          <w:tcPr>
            <w:tcW w:w="1666" w:type="pct"/>
            <w:shd w:val="clear" w:color="auto" w:fill="auto"/>
            <w:noWrap/>
            <w:vAlign w:val="center"/>
            <w:hideMark/>
          </w:tcPr>
          <w:p w14:paraId="739995A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36034FE" w14:textId="77777777" w:rsidTr="00ED7D87">
        <w:tc>
          <w:tcPr>
            <w:tcW w:w="1667" w:type="pct"/>
            <w:vAlign w:val="center"/>
          </w:tcPr>
          <w:p w14:paraId="60F75CE1" w14:textId="4E968EA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§3º O instrumento contratual deverá ficar à disposição da Previc, juntamente com os fluxos anuais de receitas, despesas e patrimônio de cobertura, pelo período de pagamento de todas as parcelas do contrato, observadas as demais disposições regulatórias da matéria.</w:t>
            </w:r>
          </w:p>
        </w:tc>
        <w:tc>
          <w:tcPr>
            <w:tcW w:w="1667" w:type="pct"/>
            <w:shd w:val="clear" w:color="auto" w:fill="auto"/>
            <w:noWrap/>
            <w:vAlign w:val="center"/>
            <w:hideMark/>
          </w:tcPr>
          <w:p w14:paraId="4A111029" w14:textId="3530F1C6"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deverá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receitas,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despesas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patrimônio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matéria.</w:t>
            </w:r>
          </w:p>
        </w:tc>
        <w:tc>
          <w:tcPr>
            <w:tcW w:w="1666" w:type="pct"/>
            <w:shd w:val="clear" w:color="auto" w:fill="auto"/>
            <w:noWrap/>
            <w:vAlign w:val="center"/>
            <w:hideMark/>
          </w:tcPr>
          <w:p w14:paraId="0BA5C36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B6BCAFE" w14:textId="77777777" w:rsidTr="00ED7D87">
        <w:tc>
          <w:tcPr>
            <w:tcW w:w="1667" w:type="pct"/>
            <w:vAlign w:val="center"/>
          </w:tcPr>
          <w:p w14:paraId="2BC01BB2" w14:textId="00EB63A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VIII</w:t>
            </w:r>
          </w:p>
        </w:tc>
        <w:tc>
          <w:tcPr>
            <w:tcW w:w="1667" w:type="pct"/>
            <w:shd w:val="clear" w:color="auto" w:fill="auto"/>
            <w:noWrap/>
            <w:vAlign w:val="center"/>
            <w:hideMark/>
          </w:tcPr>
          <w:p w14:paraId="2C0441B0" w14:textId="79F1EC8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VII</w:t>
            </w:r>
          </w:p>
        </w:tc>
        <w:tc>
          <w:tcPr>
            <w:tcW w:w="1666" w:type="pct"/>
            <w:shd w:val="clear" w:color="auto" w:fill="auto"/>
            <w:noWrap/>
            <w:vAlign w:val="center"/>
            <w:hideMark/>
          </w:tcPr>
          <w:p w14:paraId="3A58D62E"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2E6EFB1B" w14:textId="77777777" w:rsidTr="00ED7D87">
        <w:tc>
          <w:tcPr>
            <w:tcW w:w="1667" w:type="pct"/>
            <w:vAlign w:val="center"/>
          </w:tcPr>
          <w:p w14:paraId="10D18831" w14:textId="6159CB7D"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ESTUDO TÉCNICO DE ADEQUAÇÃO DAS HIPÓTESES ATUARIAIS</w:t>
            </w:r>
          </w:p>
        </w:tc>
        <w:tc>
          <w:tcPr>
            <w:tcW w:w="1667" w:type="pct"/>
            <w:shd w:val="clear" w:color="auto" w:fill="auto"/>
            <w:noWrap/>
            <w:vAlign w:val="center"/>
            <w:hideMark/>
          </w:tcPr>
          <w:p w14:paraId="4F516A89" w14:textId="1312C396"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Estudo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Técnico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Adequação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Hipóteses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Atuariais</w:t>
            </w:r>
          </w:p>
        </w:tc>
        <w:tc>
          <w:tcPr>
            <w:tcW w:w="1666" w:type="pct"/>
            <w:shd w:val="clear" w:color="auto" w:fill="auto"/>
            <w:noWrap/>
            <w:vAlign w:val="center"/>
            <w:hideMark/>
          </w:tcPr>
          <w:p w14:paraId="0170F4E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37348AC" w14:textId="77777777" w:rsidTr="00ED7D87">
        <w:tc>
          <w:tcPr>
            <w:tcW w:w="1667" w:type="pct"/>
            <w:vAlign w:val="center"/>
          </w:tcPr>
          <w:p w14:paraId="62074EC0" w14:textId="4CE0567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w:t>
            </w:r>
          </w:p>
        </w:tc>
        <w:tc>
          <w:tcPr>
            <w:tcW w:w="1667" w:type="pct"/>
            <w:shd w:val="clear" w:color="auto" w:fill="auto"/>
            <w:noWrap/>
            <w:vAlign w:val="center"/>
            <w:hideMark/>
          </w:tcPr>
          <w:p w14:paraId="212C350E" w14:textId="031F6FD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6" w:type="pct"/>
            <w:shd w:val="clear" w:color="auto" w:fill="auto"/>
            <w:noWrap/>
            <w:vAlign w:val="center"/>
            <w:hideMark/>
          </w:tcPr>
          <w:p w14:paraId="37FC27CA"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3F00DE3" w14:textId="77777777" w:rsidTr="00ED7D87">
        <w:tc>
          <w:tcPr>
            <w:tcW w:w="1667" w:type="pct"/>
            <w:vAlign w:val="center"/>
          </w:tcPr>
          <w:p w14:paraId="1F2BB515" w14:textId="5563348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Das Definições e dos Requisitos Gerais</w:t>
            </w:r>
          </w:p>
        </w:tc>
        <w:tc>
          <w:tcPr>
            <w:tcW w:w="1667" w:type="pct"/>
            <w:shd w:val="clear" w:color="auto" w:fill="auto"/>
            <w:noWrap/>
            <w:vAlign w:val="center"/>
            <w:hideMark/>
          </w:tcPr>
          <w:p w14:paraId="00A4115F" w14:textId="0A967688"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Requisitos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Gerais</w:t>
            </w:r>
          </w:p>
        </w:tc>
        <w:tc>
          <w:tcPr>
            <w:tcW w:w="1666" w:type="pct"/>
            <w:shd w:val="clear" w:color="auto" w:fill="auto"/>
            <w:noWrap/>
            <w:vAlign w:val="center"/>
            <w:hideMark/>
          </w:tcPr>
          <w:p w14:paraId="313B254E"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37A2C9A" w14:textId="77777777" w:rsidTr="00ED7D87">
        <w:tc>
          <w:tcPr>
            <w:tcW w:w="1667" w:type="pct"/>
            <w:vAlign w:val="center"/>
          </w:tcPr>
          <w:p w14:paraId="3DB1FF3C" w14:textId="59E2280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31. Toda a hipótese atuarial adotada para avaliação atuarial de plano de benefícios deve estar embasada em estudo técnico de adequação.</w:t>
            </w:r>
          </w:p>
        </w:tc>
        <w:tc>
          <w:tcPr>
            <w:tcW w:w="1667" w:type="pct"/>
            <w:shd w:val="clear" w:color="auto" w:fill="auto"/>
            <w:noWrap/>
            <w:vAlign w:val="center"/>
            <w:hideMark/>
          </w:tcPr>
          <w:p w14:paraId="4361B923" w14:textId="10BD937B"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30</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embasada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p>
        </w:tc>
        <w:tc>
          <w:tcPr>
            <w:tcW w:w="1666" w:type="pct"/>
            <w:shd w:val="clear" w:color="auto" w:fill="auto"/>
            <w:noWrap/>
            <w:vAlign w:val="center"/>
            <w:hideMark/>
          </w:tcPr>
          <w:p w14:paraId="17084E15" w14:textId="06A0B2B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119A8F4" w14:textId="77777777" w:rsidTr="00ED7D87">
        <w:tc>
          <w:tcPr>
            <w:tcW w:w="1667" w:type="pct"/>
            <w:vAlign w:val="center"/>
          </w:tcPr>
          <w:p w14:paraId="203B78C0" w14:textId="5427903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32. O estudo técnico de adequação é o instrumento técnico de responsabilidade da EFPC, no qual devem ser demonstradas para cada plano de benefícios:</w:t>
            </w:r>
          </w:p>
        </w:tc>
        <w:tc>
          <w:tcPr>
            <w:tcW w:w="1667" w:type="pct"/>
            <w:shd w:val="clear" w:color="auto" w:fill="auto"/>
            <w:noWrap/>
            <w:vAlign w:val="center"/>
            <w:hideMark/>
          </w:tcPr>
          <w:p w14:paraId="7B02FBEF" w14:textId="4E90371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31</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3C87EA4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7301BE3" w14:textId="77777777" w:rsidTr="00ED7D87">
        <w:tc>
          <w:tcPr>
            <w:tcW w:w="1667" w:type="pct"/>
            <w:vAlign w:val="center"/>
          </w:tcPr>
          <w:p w14:paraId="0C32CFEE" w14:textId="0CD4030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a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tc>
        <w:tc>
          <w:tcPr>
            <w:tcW w:w="1667" w:type="pct"/>
            <w:shd w:val="clear" w:color="auto" w:fill="auto"/>
            <w:noWrap/>
            <w:vAlign w:val="center"/>
            <w:hideMark/>
          </w:tcPr>
          <w:p w14:paraId="09601B69" w14:textId="7D57599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convergência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retorno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garantidores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relacionados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47083C7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18226AD" w14:textId="77777777" w:rsidTr="00ED7D87">
        <w:tc>
          <w:tcPr>
            <w:tcW w:w="1667" w:type="pct"/>
            <w:vAlign w:val="center"/>
          </w:tcPr>
          <w:p w14:paraId="295850F7" w14:textId="3C8582E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II - a aderência das demais hipóteses biométricas, demográficas, econômicas e financeiras às características da massa de participantes e assistidos e do plano de benefícios.</w:t>
            </w:r>
          </w:p>
        </w:tc>
        <w:tc>
          <w:tcPr>
            <w:tcW w:w="1667" w:type="pct"/>
            <w:shd w:val="clear" w:color="auto" w:fill="auto"/>
            <w:noWrap/>
            <w:vAlign w:val="center"/>
            <w:hideMark/>
          </w:tcPr>
          <w:p w14:paraId="19C3914C" w14:textId="2CE32276"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demográficas,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massa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7EA9CAA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08FC71A" w14:textId="77777777" w:rsidTr="00ED7D87">
        <w:tc>
          <w:tcPr>
            <w:tcW w:w="1667" w:type="pct"/>
            <w:vAlign w:val="center"/>
          </w:tcPr>
          <w:p w14:paraId="31E5329B" w14:textId="68FBC3D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33. O estudo técnico de adequação deve:</w:t>
            </w:r>
          </w:p>
        </w:tc>
        <w:tc>
          <w:tcPr>
            <w:tcW w:w="1667" w:type="pct"/>
            <w:shd w:val="clear" w:color="auto" w:fill="auto"/>
            <w:noWrap/>
            <w:vAlign w:val="center"/>
            <w:hideMark/>
          </w:tcPr>
          <w:p w14:paraId="3D8ACABA" w14:textId="33EC1ACB"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32</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p>
        </w:tc>
        <w:tc>
          <w:tcPr>
            <w:tcW w:w="1666" w:type="pct"/>
            <w:shd w:val="clear" w:color="auto" w:fill="auto"/>
            <w:noWrap/>
            <w:vAlign w:val="center"/>
            <w:hideMark/>
          </w:tcPr>
          <w:p w14:paraId="1090044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33A36C6" w14:textId="77777777" w:rsidTr="00ED7D87">
        <w:tc>
          <w:tcPr>
            <w:tcW w:w="1667" w:type="pct"/>
            <w:vAlign w:val="center"/>
          </w:tcPr>
          <w:p w14:paraId="434874BE" w14:textId="1D93F1F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estar acompanhado de parecer conclusivo do atuário acerca do conjunto de hipóteses tecnicamente adequado ao plano de benefícios, considerando a aderência e a convergência verificadas nos estudos;</w:t>
            </w:r>
          </w:p>
        </w:tc>
        <w:tc>
          <w:tcPr>
            <w:tcW w:w="1667" w:type="pct"/>
            <w:shd w:val="clear" w:color="auto" w:fill="auto"/>
            <w:noWrap/>
            <w:vAlign w:val="center"/>
            <w:hideMark/>
          </w:tcPr>
          <w:p w14:paraId="7C4831A7" w14:textId="3B0B25B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acompanhado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conclusivo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acerca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conjunto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tecnicamente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convergência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verificadas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estudos;</w:t>
            </w:r>
          </w:p>
        </w:tc>
        <w:tc>
          <w:tcPr>
            <w:tcW w:w="1666" w:type="pct"/>
            <w:shd w:val="clear" w:color="auto" w:fill="auto"/>
            <w:noWrap/>
            <w:vAlign w:val="center"/>
            <w:hideMark/>
          </w:tcPr>
          <w:p w14:paraId="78A5C01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E79E5DA" w14:textId="77777777" w:rsidTr="00ED7D87">
        <w:tc>
          <w:tcPr>
            <w:tcW w:w="1667" w:type="pct"/>
            <w:vAlign w:val="center"/>
          </w:tcPr>
          <w:p w14:paraId="668986F3" w14:textId="4FB707D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possuir atestado de validação, expedido pelo Administrador Estatutário Tecnicamente Qualificado (AETQ), relativo às informações de investimento utilizadas no estudo técnico; e</w:t>
            </w:r>
          </w:p>
        </w:tc>
        <w:tc>
          <w:tcPr>
            <w:tcW w:w="1667" w:type="pct"/>
            <w:shd w:val="clear" w:color="auto" w:fill="auto"/>
            <w:noWrap/>
            <w:vAlign w:val="center"/>
            <w:hideMark/>
          </w:tcPr>
          <w:p w14:paraId="58A5DA85" w14:textId="71B4E35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expedido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Administrador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Estatutário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Tecnicamente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Qualificado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(AETQ),</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6DBD0F0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557E8EA" w14:textId="77777777" w:rsidTr="00ED7D87">
        <w:tc>
          <w:tcPr>
            <w:tcW w:w="1667" w:type="pct"/>
            <w:vAlign w:val="center"/>
          </w:tcPr>
          <w:p w14:paraId="6F4341BE" w14:textId="3BB4C54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possuir atestado de validação, expedido pelo ARPB, relativo aos dados cadastrais e demais informações referentes ao passivo atuarial utilizados no estudo técnico.</w:t>
            </w:r>
          </w:p>
        </w:tc>
        <w:tc>
          <w:tcPr>
            <w:tcW w:w="1667" w:type="pct"/>
            <w:shd w:val="clear" w:color="auto" w:fill="auto"/>
            <w:noWrap/>
            <w:vAlign w:val="center"/>
            <w:hideMark/>
          </w:tcPr>
          <w:p w14:paraId="6F8E389D" w14:textId="5E04008B"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expedido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cadastrais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p>
        </w:tc>
        <w:tc>
          <w:tcPr>
            <w:tcW w:w="1666" w:type="pct"/>
            <w:shd w:val="clear" w:color="auto" w:fill="auto"/>
            <w:noWrap/>
            <w:vAlign w:val="center"/>
            <w:hideMark/>
          </w:tcPr>
          <w:p w14:paraId="3E1ECE9B"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5509A03" w14:textId="77777777" w:rsidTr="00ED7D87">
        <w:tc>
          <w:tcPr>
            <w:tcW w:w="1667" w:type="pct"/>
            <w:vAlign w:val="center"/>
          </w:tcPr>
          <w:p w14:paraId="780AE37C" w14:textId="21003C0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34. Em relação ao procedimento de elaboração, o estudo técnico de adequação deve ser:</w:t>
            </w:r>
          </w:p>
        </w:tc>
        <w:tc>
          <w:tcPr>
            <w:tcW w:w="1667" w:type="pct"/>
            <w:shd w:val="clear" w:color="auto" w:fill="auto"/>
            <w:noWrap/>
            <w:vAlign w:val="center"/>
            <w:hideMark/>
          </w:tcPr>
          <w:p w14:paraId="755105D1" w14:textId="6D55064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33</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procedimento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tc>
        <w:tc>
          <w:tcPr>
            <w:tcW w:w="1666" w:type="pct"/>
            <w:shd w:val="clear" w:color="auto" w:fill="auto"/>
            <w:noWrap/>
            <w:vAlign w:val="center"/>
            <w:hideMark/>
          </w:tcPr>
          <w:p w14:paraId="40591BA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F35AB7E" w14:textId="77777777" w:rsidTr="00ED7D87">
        <w:tc>
          <w:tcPr>
            <w:tcW w:w="1667" w:type="pct"/>
            <w:vAlign w:val="center"/>
          </w:tcPr>
          <w:p w14:paraId="764036F1" w14:textId="210AFA1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elaborado pelo atuário habilitado e legalmente responsável pelo plano de benefícios;</w:t>
            </w:r>
          </w:p>
        </w:tc>
        <w:tc>
          <w:tcPr>
            <w:tcW w:w="1667" w:type="pct"/>
            <w:shd w:val="clear" w:color="auto" w:fill="auto"/>
            <w:noWrap/>
            <w:vAlign w:val="center"/>
            <w:hideMark/>
          </w:tcPr>
          <w:p w14:paraId="1A04DD58" w14:textId="73BC9DB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habilitado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47AC312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98206BA" w14:textId="77777777" w:rsidTr="00ED7D87">
        <w:tc>
          <w:tcPr>
            <w:tcW w:w="1667" w:type="pct"/>
            <w:vAlign w:val="center"/>
          </w:tcPr>
          <w:p w14:paraId="63648183" w14:textId="3D27E96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II - embasado em informações fornecidas pela EFPC e pelo respectivo patrocinador ou instituidor.</w:t>
            </w:r>
          </w:p>
        </w:tc>
        <w:tc>
          <w:tcPr>
            <w:tcW w:w="1667" w:type="pct"/>
            <w:shd w:val="clear" w:color="auto" w:fill="auto"/>
            <w:noWrap/>
            <w:vAlign w:val="center"/>
            <w:hideMark/>
          </w:tcPr>
          <w:p w14:paraId="4915491C" w14:textId="7FD1A82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embasado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fornecidas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w:t>
            </w:r>
          </w:p>
        </w:tc>
        <w:tc>
          <w:tcPr>
            <w:tcW w:w="1666" w:type="pct"/>
            <w:shd w:val="clear" w:color="auto" w:fill="auto"/>
            <w:noWrap/>
            <w:vAlign w:val="center"/>
            <w:hideMark/>
          </w:tcPr>
          <w:p w14:paraId="50A2A5E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FC291E0" w14:textId="77777777" w:rsidTr="00ED7D87">
        <w:tc>
          <w:tcPr>
            <w:tcW w:w="1667" w:type="pct"/>
            <w:vAlign w:val="center"/>
          </w:tcPr>
          <w:p w14:paraId="29248228" w14:textId="3F326AC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§1º Os dados cadastrais e demais informações referentes ao passivo atuarial devem ser </w:t>
            </w:r>
            <w:proofErr w:type="gramStart"/>
            <w:r w:rsidRPr="00225EB1">
              <w:rPr>
                <w:rFonts w:ascii="Calibri" w:hAnsi="Calibri" w:cs="Calibri"/>
                <w:sz w:val="24"/>
              </w:rPr>
              <w:t>providenciados</w:t>
            </w:r>
            <w:proofErr w:type="gramEnd"/>
            <w:r w:rsidRPr="00225EB1">
              <w:rPr>
                <w:rFonts w:ascii="Calibri" w:hAnsi="Calibri" w:cs="Calibri"/>
                <w:sz w:val="24"/>
              </w:rPr>
              <w:t xml:space="preserve"> pelo ARPB e as informações relativas aos investimentos devem ser providenciadas pelo AETQ.</w:t>
            </w:r>
          </w:p>
        </w:tc>
        <w:tc>
          <w:tcPr>
            <w:tcW w:w="1667" w:type="pct"/>
            <w:shd w:val="clear" w:color="auto" w:fill="auto"/>
            <w:noWrap/>
            <w:vAlign w:val="center"/>
            <w:hideMark/>
          </w:tcPr>
          <w:p w14:paraId="7FB20CA1" w14:textId="74F7829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w:t>
            </w:r>
            <w:proofErr w:type="gramStart"/>
            <w:r w:rsidRPr="00843426">
              <w:rPr>
                <w:rFonts w:ascii="Calibri" w:eastAsia="Times New Roman" w:hAnsi="Calibri" w:cs="Calibri"/>
                <w:kern w:val="0"/>
                <w:sz w:val="24"/>
                <w:szCs w:val="24"/>
                <w:lang w:eastAsia="pt-BR"/>
                <w14:ligatures w14:val="none"/>
              </w:rPr>
              <w:t>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proofErr w:type="gramEnd"/>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cadastrais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providenciados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providenciadas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AETQ.</w:t>
            </w:r>
          </w:p>
        </w:tc>
        <w:tc>
          <w:tcPr>
            <w:tcW w:w="1666" w:type="pct"/>
            <w:shd w:val="clear" w:color="auto" w:fill="auto"/>
            <w:vAlign w:val="center"/>
            <w:hideMark/>
          </w:tcPr>
          <w:p w14:paraId="6C9B80B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5270024" w14:textId="77777777" w:rsidTr="00ED7D87">
        <w:tc>
          <w:tcPr>
            <w:tcW w:w="1667" w:type="pct"/>
            <w:vAlign w:val="center"/>
          </w:tcPr>
          <w:p w14:paraId="50795E9B" w14:textId="0C3794B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Cabe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caput.</w:t>
            </w:r>
          </w:p>
        </w:tc>
        <w:tc>
          <w:tcPr>
            <w:tcW w:w="1667" w:type="pct"/>
            <w:shd w:val="clear" w:color="auto" w:fill="auto"/>
            <w:noWrap/>
            <w:vAlign w:val="center"/>
            <w:hideMark/>
          </w:tcPr>
          <w:p w14:paraId="78E43D73" w14:textId="5903621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solicitar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fundamentada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acerca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guardem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atividades,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subsídio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dessas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67166DAB"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F96D226" w14:textId="77777777" w:rsidTr="00ED7D87">
        <w:tc>
          <w:tcPr>
            <w:tcW w:w="1667" w:type="pct"/>
            <w:vAlign w:val="center"/>
          </w:tcPr>
          <w:p w14:paraId="62223FD6" w14:textId="4B50CEF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35. Em relação ao prazo de validade, o estudo técnico de adequação deve ter:</w:t>
            </w:r>
          </w:p>
        </w:tc>
        <w:tc>
          <w:tcPr>
            <w:tcW w:w="1667" w:type="pct"/>
            <w:shd w:val="clear" w:color="auto" w:fill="auto"/>
            <w:noWrap/>
            <w:vAlign w:val="center"/>
            <w:hideMark/>
          </w:tcPr>
          <w:p w14:paraId="774329A7" w14:textId="3647744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34</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p>
        </w:tc>
        <w:tc>
          <w:tcPr>
            <w:tcW w:w="1666" w:type="pct"/>
            <w:shd w:val="clear" w:color="auto" w:fill="auto"/>
            <w:noWrap/>
            <w:vAlign w:val="center"/>
            <w:hideMark/>
          </w:tcPr>
          <w:p w14:paraId="66A1E62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CA1EABF" w14:textId="77777777" w:rsidTr="00ED7D87">
        <w:tc>
          <w:tcPr>
            <w:tcW w:w="1667" w:type="pct"/>
            <w:vAlign w:val="center"/>
          </w:tcPr>
          <w:p w14:paraId="4588DAAF" w14:textId="762123E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validade geral máxima de três anos, contados a partir da data de sua realização, cabendo ao ARPB avaliar e indicar a necessidade de realização em menor período, conforme parecer do atuário habilitado e legalmente responsável pelo plano de benefícios.</w:t>
            </w:r>
          </w:p>
        </w:tc>
        <w:tc>
          <w:tcPr>
            <w:tcW w:w="1667" w:type="pct"/>
            <w:shd w:val="clear" w:color="auto" w:fill="auto"/>
            <w:noWrap/>
            <w:vAlign w:val="center"/>
            <w:hideMark/>
          </w:tcPr>
          <w:p w14:paraId="44F918AC" w14:textId="318969F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máxima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três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habilitado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2334504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B114655" w14:textId="77777777" w:rsidTr="00ED7D87">
        <w:tc>
          <w:tcPr>
            <w:tcW w:w="1667" w:type="pct"/>
            <w:vAlign w:val="center"/>
          </w:tcPr>
          <w:p w14:paraId="78F70651" w14:textId="706A97D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validade específica em relação à hipótese de taxa real anual de juros de um ano.</w:t>
            </w:r>
          </w:p>
        </w:tc>
        <w:tc>
          <w:tcPr>
            <w:tcW w:w="1667" w:type="pct"/>
            <w:shd w:val="clear" w:color="auto" w:fill="auto"/>
            <w:noWrap/>
            <w:vAlign w:val="center"/>
            <w:hideMark/>
          </w:tcPr>
          <w:p w14:paraId="3925C7D3" w14:textId="0AF1413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p>
        </w:tc>
        <w:tc>
          <w:tcPr>
            <w:tcW w:w="1666" w:type="pct"/>
            <w:shd w:val="clear" w:color="auto" w:fill="auto"/>
            <w:noWrap/>
            <w:vAlign w:val="center"/>
            <w:hideMark/>
          </w:tcPr>
          <w:p w14:paraId="796FC27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374F05C" w14:textId="77777777" w:rsidTr="00ED7D87">
        <w:tc>
          <w:tcPr>
            <w:tcW w:w="1667" w:type="pct"/>
            <w:vAlign w:val="center"/>
          </w:tcPr>
          <w:p w14:paraId="131425D1" w14:textId="3A70F38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 xml:space="preserve">Parágrafo </w:t>
            </w:r>
            <w:r w:rsidR="00995A43">
              <w:rPr>
                <w:rFonts w:ascii="Calibri" w:hAnsi="Calibri" w:cs="Calibri"/>
                <w:sz w:val="24"/>
              </w:rPr>
              <w:t xml:space="preserve">único.  </w:t>
            </w:r>
            <w:r w:rsidRPr="00225EB1">
              <w:rPr>
                <w:rFonts w:ascii="Calibri" w:hAnsi="Calibri" w:cs="Calibri"/>
                <w:sz w:val="24"/>
              </w:rPr>
              <w:t>A validade do estudo técnico de adequação para a hipótese de tábua de mortalidade geral, que trata o inciso I deste artigo, será de cinco anos para os planos de benefícios que adotarem tábua geracional de mortalidade geral com a respectiva escala de melhoria de longevidade.</w:t>
            </w:r>
          </w:p>
        </w:tc>
        <w:tc>
          <w:tcPr>
            <w:tcW w:w="1667" w:type="pct"/>
            <w:shd w:val="clear" w:color="auto" w:fill="auto"/>
            <w:noWrap/>
            <w:vAlign w:val="center"/>
            <w:hideMark/>
          </w:tcPr>
          <w:p w14:paraId="7073D12B" w14:textId="526C30A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001E5561">
              <w:rPr>
                <w:rFonts w:ascii="Calibri" w:eastAsia="Times New Roman" w:hAnsi="Calibri" w:cs="Calibri"/>
                <w:kern w:val="0"/>
                <w:sz w:val="24"/>
                <w:szCs w:val="24"/>
                <w:lang w:eastAsia="pt-BR"/>
                <w14:ligatures w14:val="none"/>
              </w:rPr>
              <w:t xml:space="preserve">do </w:t>
            </w:r>
            <w:r w:rsidR="001E5561" w:rsidRPr="001E5561">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cinco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geracional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escala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melhoria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longevidade.</w:t>
            </w:r>
          </w:p>
        </w:tc>
        <w:tc>
          <w:tcPr>
            <w:tcW w:w="1666" w:type="pct"/>
            <w:shd w:val="clear" w:color="auto" w:fill="auto"/>
            <w:noWrap/>
            <w:vAlign w:val="center"/>
            <w:hideMark/>
          </w:tcPr>
          <w:p w14:paraId="262C443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FE6AD23" w14:textId="77777777" w:rsidTr="00ED7D87">
        <w:tc>
          <w:tcPr>
            <w:tcW w:w="1667" w:type="pct"/>
            <w:vAlign w:val="center"/>
          </w:tcPr>
          <w:p w14:paraId="43DC7109" w14:textId="5A4D4D5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36. Na ocorrência de fato relevante que enseje a elaboração de nova avaliação atuarial, o estudo técnico de adequação deve refletir a nova realidade do plano de benefícios.</w:t>
            </w:r>
          </w:p>
        </w:tc>
        <w:tc>
          <w:tcPr>
            <w:tcW w:w="1667" w:type="pct"/>
            <w:shd w:val="clear" w:color="auto" w:fill="auto"/>
            <w:noWrap/>
            <w:vAlign w:val="center"/>
            <w:hideMark/>
          </w:tcPr>
          <w:p w14:paraId="2D0C4418" w14:textId="300F7AD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35</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enseje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refletir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4A9D25E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0AB8EF6" w14:textId="77777777" w:rsidTr="00ED7D87">
        <w:tc>
          <w:tcPr>
            <w:tcW w:w="1667" w:type="pct"/>
            <w:vAlign w:val="center"/>
          </w:tcPr>
          <w:p w14:paraId="0EAB1AD3" w14:textId="629D06C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37.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tc>
        <w:tc>
          <w:tcPr>
            <w:tcW w:w="1667" w:type="pct"/>
            <w:shd w:val="clear" w:color="auto" w:fill="auto"/>
            <w:noWrap/>
            <w:vAlign w:val="center"/>
            <w:hideMark/>
          </w:tcPr>
          <w:p w14:paraId="4D15FA90" w14:textId="2EDA9FB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36</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qualquer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tempo,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original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inconsistente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apontando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especificamente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inconsistências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insuficiências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sanadas,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embasamento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normativo.</w:t>
            </w:r>
          </w:p>
        </w:tc>
        <w:tc>
          <w:tcPr>
            <w:tcW w:w="1666" w:type="pct"/>
            <w:shd w:val="clear" w:color="auto" w:fill="auto"/>
            <w:noWrap/>
            <w:vAlign w:val="center"/>
            <w:hideMark/>
          </w:tcPr>
          <w:p w14:paraId="5F3A379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053990A" w14:textId="77777777" w:rsidTr="00ED7D87">
        <w:tc>
          <w:tcPr>
            <w:tcW w:w="1667" w:type="pct"/>
            <w:vAlign w:val="center"/>
          </w:tcPr>
          <w:p w14:paraId="23B9A5FF" w14:textId="3D19EA0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38. Em relação à governança e à divulgação, o estudo técnico de adequação do plano de benefícios deve ser:</w:t>
            </w:r>
          </w:p>
        </w:tc>
        <w:tc>
          <w:tcPr>
            <w:tcW w:w="1667" w:type="pct"/>
            <w:shd w:val="clear" w:color="auto" w:fill="auto"/>
            <w:noWrap/>
            <w:vAlign w:val="center"/>
            <w:hideMark/>
          </w:tcPr>
          <w:p w14:paraId="65AB4A51" w14:textId="3FD2C44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37</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governança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tc>
        <w:tc>
          <w:tcPr>
            <w:tcW w:w="1666" w:type="pct"/>
            <w:shd w:val="clear" w:color="auto" w:fill="auto"/>
            <w:noWrap/>
            <w:vAlign w:val="center"/>
            <w:hideMark/>
          </w:tcPr>
          <w:p w14:paraId="774EE24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81933FE" w14:textId="77777777" w:rsidTr="00ED7D87">
        <w:tc>
          <w:tcPr>
            <w:tcW w:w="1667" w:type="pct"/>
            <w:vAlign w:val="center"/>
          </w:tcPr>
          <w:p w14:paraId="600C4870" w14:textId="2633809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aprovado pela Diretoria Executiva e pelo Conselho Deliberativo da EFPC;</w:t>
            </w:r>
          </w:p>
        </w:tc>
        <w:tc>
          <w:tcPr>
            <w:tcW w:w="1667" w:type="pct"/>
            <w:shd w:val="clear" w:color="auto" w:fill="auto"/>
            <w:noWrap/>
            <w:vAlign w:val="center"/>
            <w:hideMark/>
          </w:tcPr>
          <w:p w14:paraId="5EC1E1CE" w14:textId="26001FE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6" w:type="pct"/>
            <w:shd w:val="clear" w:color="auto" w:fill="auto"/>
            <w:noWrap/>
            <w:vAlign w:val="center"/>
            <w:hideMark/>
          </w:tcPr>
          <w:p w14:paraId="4F007D0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4D032A2" w14:textId="77777777" w:rsidTr="00ED7D87">
        <w:tc>
          <w:tcPr>
            <w:tcW w:w="1667" w:type="pct"/>
            <w:vAlign w:val="center"/>
          </w:tcPr>
          <w:p w14:paraId="56FFD269" w14:textId="20D99C6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acompanhado de parecer emitido pelo Conselho Fiscal; e</w:t>
            </w:r>
          </w:p>
        </w:tc>
        <w:tc>
          <w:tcPr>
            <w:tcW w:w="1667" w:type="pct"/>
            <w:shd w:val="clear" w:color="auto" w:fill="auto"/>
            <w:noWrap/>
            <w:vAlign w:val="center"/>
            <w:hideMark/>
          </w:tcPr>
          <w:p w14:paraId="5F4DA546" w14:textId="6168596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acompanhado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emitido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Fiscal;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40CA6A2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7989D40" w14:textId="77777777" w:rsidTr="00ED7D87">
        <w:tc>
          <w:tcPr>
            <w:tcW w:w="1667" w:type="pct"/>
            <w:vAlign w:val="center"/>
          </w:tcPr>
          <w:p w14:paraId="643BF37C" w14:textId="5751794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III - disponibilizado, quando requisitado, aos participantes, aos assistidos, aos patrocinadores, aos instituidores e à Previc.</w:t>
            </w:r>
          </w:p>
        </w:tc>
        <w:tc>
          <w:tcPr>
            <w:tcW w:w="1667" w:type="pct"/>
            <w:shd w:val="clear" w:color="auto" w:fill="auto"/>
            <w:noWrap/>
            <w:vAlign w:val="center"/>
            <w:hideMark/>
          </w:tcPr>
          <w:p w14:paraId="32C86CCD" w14:textId="09EB5D9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disponibilizado,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tc>
        <w:tc>
          <w:tcPr>
            <w:tcW w:w="1666" w:type="pct"/>
            <w:shd w:val="clear" w:color="auto" w:fill="auto"/>
            <w:noWrap/>
            <w:vAlign w:val="center"/>
            <w:hideMark/>
          </w:tcPr>
          <w:p w14:paraId="4E02B74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C22ABFD" w14:textId="77777777" w:rsidTr="00ED7D87">
        <w:tc>
          <w:tcPr>
            <w:tcW w:w="1667" w:type="pct"/>
            <w:vAlign w:val="center"/>
          </w:tcPr>
          <w:p w14:paraId="3E907F99" w14:textId="6BA56CA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 aprovação referida no inciso I deste artigo não exime o atuário do plano da responsabilidade técnica sobre estudos, cálculos e serviços por ele prestados.</w:t>
            </w:r>
          </w:p>
        </w:tc>
        <w:tc>
          <w:tcPr>
            <w:tcW w:w="1667" w:type="pct"/>
            <w:shd w:val="clear" w:color="auto" w:fill="auto"/>
            <w:noWrap/>
            <w:vAlign w:val="center"/>
            <w:hideMark/>
          </w:tcPr>
          <w:p w14:paraId="6767BEB6" w14:textId="44EB13E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001E5561">
              <w:rPr>
                <w:rFonts w:ascii="Calibri" w:eastAsia="Times New Roman" w:hAnsi="Calibri" w:cs="Calibri"/>
                <w:kern w:val="0"/>
                <w:sz w:val="24"/>
                <w:szCs w:val="24"/>
                <w:lang w:eastAsia="pt-BR"/>
                <w14:ligatures w14:val="none"/>
              </w:rPr>
              <w:t xml:space="preserve">do </w:t>
            </w:r>
            <w:r w:rsidR="001E5561" w:rsidRPr="001E5561">
              <w:rPr>
                <w:rFonts w:ascii="Calibri" w:eastAsia="Times New Roman" w:hAnsi="Calibri" w:cs="Calibri"/>
                <w:b/>
                <w:bCs/>
                <w:kern w:val="0"/>
                <w:sz w:val="24"/>
                <w:szCs w:val="24"/>
                <w:lang w:eastAsia="pt-BR"/>
                <w14:ligatures w14:val="none"/>
              </w:rPr>
              <w:t>caput</w:t>
            </w:r>
            <w:r w:rsidR="001E5561">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exime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serviços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prestados.</w:t>
            </w:r>
          </w:p>
        </w:tc>
        <w:tc>
          <w:tcPr>
            <w:tcW w:w="1666" w:type="pct"/>
            <w:shd w:val="clear" w:color="auto" w:fill="auto"/>
            <w:noWrap/>
            <w:vAlign w:val="center"/>
            <w:hideMark/>
          </w:tcPr>
          <w:p w14:paraId="120C4A7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1FF50D5" w14:textId="77777777" w:rsidTr="00ED7D87">
        <w:tc>
          <w:tcPr>
            <w:tcW w:w="1667" w:type="pct"/>
            <w:vAlign w:val="center"/>
          </w:tcPr>
          <w:p w14:paraId="4F135827" w14:textId="444746A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O estudo técnico de adequação deve ficar arquivado na EFPC, à disposição da Previc.</w:t>
            </w:r>
          </w:p>
        </w:tc>
        <w:tc>
          <w:tcPr>
            <w:tcW w:w="1667" w:type="pct"/>
            <w:shd w:val="clear" w:color="auto" w:fill="auto"/>
            <w:noWrap/>
            <w:vAlign w:val="center"/>
            <w:hideMark/>
          </w:tcPr>
          <w:p w14:paraId="669C5864" w14:textId="28CE7A8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arquivado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tc>
        <w:tc>
          <w:tcPr>
            <w:tcW w:w="1666" w:type="pct"/>
            <w:shd w:val="clear" w:color="auto" w:fill="auto"/>
            <w:noWrap/>
            <w:vAlign w:val="center"/>
            <w:hideMark/>
          </w:tcPr>
          <w:p w14:paraId="16F7DB0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4E689D9" w14:textId="77777777" w:rsidTr="00ED7D87">
        <w:tc>
          <w:tcPr>
            <w:tcW w:w="1667" w:type="pct"/>
            <w:vAlign w:val="center"/>
          </w:tcPr>
          <w:p w14:paraId="34AAA756" w14:textId="7D6E1675"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IX</w:t>
            </w:r>
          </w:p>
        </w:tc>
        <w:tc>
          <w:tcPr>
            <w:tcW w:w="1667" w:type="pct"/>
            <w:shd w:val="clear" w:color="auto" w:fill="auto"/>
            <w:noWrap/>
            <w:vAlign w:val="center"/>
            <w:hideMark/>
          </w:tcPr>
          <w:p w14:paraId="53D13529" w14:textId="0687DA8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VIII</w:t>
            </w:r>
          </w:p>
        </w:tc>
        <w:tc>
          <w:tcPr>
            <w:tcW w:w="1666" w:type="pct"/>
            <w:shd w:val="clear" w:color="auto" w:fill="auto"/>
            <w:noWrap/>
            <w:vAlign w:val="center"/>
            <w:hideMark/>
          </w:tcPr>
          <w:p w14:paraId="1BF14A73"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E9D4B9A" w14:textId="77777777" w:rsidTr="00ED7D87">
        <w:tc>
          <w:tcPr>
            <w:tcW w:w="1667" w:type="pct"/>
            <w:vAlign w:val="center"/>
          </w:tcPr>
          <w:p w14:paraId="0F157008" w14:textId="036083A3"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AUTORIZAÇÃO PARA ADOÇÃO DE TAXA DE JUROS FORA DO INTERVALO</w:t>
            </w:r>
          </w:p>
        </w:tc>
        <w:tc>
          <w:tcPr>
            <w:tcW w:w="1667" w:type="pct"/>
            <w:shd w:val="clear" w:color="auto" w:fill="auto"/>
            <w:noWrap/>
            <w:vAlign w:val="center"/>
            <w:hideMark/>
          </w:tcPr>
          <w:p w14:paraId="176E57B2" w14:textId="4632C40D"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Autorização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para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Adoção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Taxa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Juros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fora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Intervalo</w:t>
            </w:r>
          </w:p>
        </w:tc>
        <w:tc>
          <w:tcPr>
            <w:tcW w:w="1666" w:type="pct"/>
            <w:shd w:val="clear" w:color="auto" w:fill="auto"/>
            <w:noWrap/>
            <w:vAlign w:val="center"/>
            <w:hideMark/>
          </w:tcPr>
          <w:p w14:paraId="7F2703D4"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FF5B36D" w14:textId="77777777" w:rsidTr="00ED7D87">
        <w:tc>
          <w:tcPr>
            <w:tcW w:w="1667" w:type="pct"/>
            <w:vAlign w:val="center"/>
          </w:tcPr>
          <w:p w14:paraId="20ADFABE" w14:textId="28A6C4E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39. Caso pretenda adotar taxa real anual de juros fora do intervalo regulatório estabelecido, a EFPC deve enviar à Previc:</w:t>
            </w:r>
          </w:p>
        </w:tc>
        <w:tc>
          <w:tcPr>
            <w:tcW w:w="1667" w:type="pct"/>
            <w:shd w:val="clear" w:color="auto" w:fill="auto"/>
            <w:noWrap/>
            <w:vAlign w:val="center"/>
            <w:hideMark/>
          </w:tcPr>
          <w:p w14:paraId="1B9B4312" w14:textId="0C75B6E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38</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pretenda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tc>
        <w:tc>
          <w:tcPr>
            <w:tcW w:w="1666" w:type="pct"/>
            <w:shd w:val="clear" w:color="auto" w:fill="auto"/>
            <w:noWrap/>
            <w:vAlign w:val="center"/>
            <w:hideMark/>
          </w:tcPr>
          <w:p w14:paraId="2E68CE8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55E6CB1" w14:textId="77777777" w:rsidTr="00ED7D87">
        <w:tc>
          <w:tcPr>
            <w:tcW w:w="1667" w:type="pct"/>
            <w:vAlign w:val="center"/>
          </w:tcPr>
          <w:p w14:paraId="6995C79A" w14:textId="20DBBC3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requerimento de autorização assinado pelo representante legal da EFPC;</w:t>
            </w:r>
          </w:p>
        </w:tc>
        <w:tc>
          <w:tcPr>
            <w:tcW w:w="1667" w:type="pct"/>
            <w:shd w:val="clear" w:color="auto" w:fill="auto"/>
            <w:noWrap/>
            <w:vAlign w:val="center"/>
            <w:hideMark/>
          </w:tcPr>
          <w:p w14:paraId="0E393590" w14:textId="316F111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representante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6" w:type="pct"/>
            <w:shd w:val="clear" w:color="auto" w:fill="auto"/>
            <w:noWrap/>
            <w:vAlign w:val="center"/>
            <w:hideMark/>
          </w:tcPr>
          <w:p w14:paraId="43C89B2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34B065B" w14:textId="77777777" w:rsidTr="00ED7D87">
        <w:tc>
          <w:tcPr>
            <w:tcW w:w="1667" w:type="pct"/>
            <w:vAlign w:val="center"/>
          </w:tcPr>
          <w:p w14:paraId="44F42060" w14:textId="28D0409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cópia do estudo técnico de adequação; e</w:t>
            </w:r>
          </w:p>
        </w:tc>
        <w:tc>
          <w:tcPr>
            <w:tcW w:w="1667" w:type="pct"/>
            <w:shd w:val="clear" w:color="auto" w:fill="auto"/>
            <w:noWrap/>
            <w:vAlign w:val="center"/>
            <w:hideMark/>
          </w:tcPr>
          <w:p w14:paraId="4BCB6666" w14:textId="50E1145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cópia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5524283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0D090D9" w14:textId="77777777" w:rsidTr="00ED7D87">
        <w:tc>
          <w:tcPr>
            <w:tcW w:w="1667" w:type="pct"/>
            <w:vAlign w:val="center"/>
          </w:tcPr>
          <w:p w14:paraId="35C94A70" w14:textId="584B3DB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demais documentos necessários.</w:t>
            </w:r>
          </w:p>
        </w:tc>
        <w:tc>
          <w:tcPr>
            <w:tcW w:w="1667" w:type="pct"/>
            <w:shd w:val="clear" w:color="auto" w:fill="auto"/>
            <w:noWrap/>
            <w:vAlign w:val="center"/>
            <w:hideMark/>
          </w:tcPr>
          <w:p w14:paraId="01A7CCB2" w14:textId="5218B2F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necessários.</w:t>
            </w:r>
          </w:p>
        </w:tc>
        <w:tc>
          <w:tcPr>
            <w:tcW w:w="1666" w:type="pct"/>
            <w:shd w:val="clear" w:color="auto" w:fill="auto"/>
            <w:noWrap/>
            <w:vAlign w:val="center"/>
            <w:hideMark/>
          </w:tcPr>
          <w:p w14:paraId="1D64801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77BF509" w14:textId="77777777" w:rsidTr="00ED7D87">
        <w:tc>
          <w:tcPr>
            <w:tcW w:w="1667" w:type="pct"/>
            <w:vAlign w:val="center"/>
          </w:tcPr>
          <w:p w14:paraId="5F10F934" w14:textId="598C8E2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40. O requerimento de autorização para adoção de taxa real anual de juros referido no inciso I do art. 39 desta Instrução deve ser encaminhado à Previc em formulário padrão juntamente com os seguintes documentos:</w:t>
            </w:r>
          </w:p>
        </w:tc>
        <w:tc>
          <w:tcPr>
            <w:tcW w:w="1667" w:type="pct"/>
            <w:shd w:val="clear" w:color="auto" w:fill="auto"/>
            <w:noWrap/>
            <w:vAlign w:val="center"/>
            <w:hideMark/>
          </w:tcPr>
          <w:p w14:paraId="0A14880A" w14:textId="62A74FC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39</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38</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encaminhado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formulário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padrão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p>
        </w:tc>
        <w:tc>
          <w:tcPr>
            <w:tcW w:w="1666" w:type="pct"/>
            <w:shd w:val="clear" w:color="auto" w:fill="auto"/>
            <w:noWrap/>
            <w:vAlign w:val="center"/>
            <w:hideMark/>
          </w:tcPr>
          <w:p w14:paraId="50B3A28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6903CC9" w14:textId="77777777" w:rsidTr="00ED7D87">
        <w:tc>
          <w:tcPr>
            <w:tcW w:w="1667" w:type="pct"/>
            <w:vAlign w:val="center"/>
          </w:tcPr>
          <w:p w14:paraId="5DE8F803" w14:textId="0035FF6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I - ata de reunião da Diretoria Executiva, contendo aprovação ao estudo técnico de adequação e ao requerimento de </w:t>
            </w:r>
            <w:r w:rsidRPr="00225EB1">
              <w:rPr>
                <w:rFonts w:ascii="Calibri" w:hAnsi="Calibri" w:cs="Calibri"/>
                <w:sz w:val="24"/>
              </w:rPr>
              <w:lastRenderedPageBreak/>
              <w:t>autorização, bem como encaminhamento ao Conselho Deliberativo;</w:t>
            </w:r>
          </w:p>
        </w:tc>
        <w:tc>
          <w:tcPr>
            <w:tcW w:w="1667" w:type="pct"/>
            <w:shd w:val="clear" w:color="auto" w:fill="auto"/>
            <w:noWrap/>
            <w:vAlign w:val="center"/>
            <w:hideMark/>
          </w:tcPr>
          <w:p w14:paraId="79F63D45" w14:textId="55E8B39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reunião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encaminhamento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p>
        </w:tc>
        <w:tc>
          <w:tcPr>
            <w:tcW w:w="1666" w:type="pct"/>
            <w:shd w:val="clear" w:color="auto" w:fill="auto"/>
            <w:noWrap/>
            <w:vAlign w:val="center"/>
            <w:hideMark/>
          </w:tcPr>
          <w:p w14:paraId="76996A1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65982A8" w14:textId="77777777" w:rsidTr="00ED7D87">
        <w:tc>
          <w:tcPr>
            <w:tcW w:w="1667" w:type="pct"/>
            <w:vAlign w:val="center"/>
          </w:tcPr>
          <w:p w14:paraId="1023B896" w14:textId="3293E3B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ata da reunião do Conselho Deliberativo, contendo aprovação ao estudo técnico de adequação e ao requerimento de autorização; e</w:t>
            </w:r>
          </w:p>
        </w:tc>
        <w:tc>
          <w:tcPr>
            <w:tcW w:w="1667" w:type="pct"/>
            <w:shd w:val="clear" w:color="auto" w:fill="auto"/>
            <w:noWrap/>
            <w:vAlign w:val="center"/>
            <w:hideMark/>
          </w:tcPr>
          <w:p w14:paraId="2572D51E" w14:textId="6F2AB9A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reunião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4166968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3E4D685" w14:textId="77777777" w:rsidTr="00ED7D87">
        <w:tc>
          <w:tcPr>
            <w:tcW w:w="1667" w:type="pct"/>
            <w:vAlign w:val="center"/>
          </w:tcPr>
          <w:p w14:paraId="6A2B8A04" w14:textId="6E93C06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parecer a que se refere o inciso II do art. 38 desta Instrução, bem como ata da reunião Conselho Fiscal atestando a sua ciência do requerimento de autorização.</w:t>
            </w:r>
          </w:p>
        </w:tc>
        <w:tc>
          <w:tcPr>
            <w:tcW w:w="1667" w:type="pct"/>
            <w:shd w:val="clear" w:color="auto" w:fill="auto"/>
            <w:noWrap/>
            <w:vAlign w:val="center"/>
            <w:hideMark/>
          </w:tcPr>
          <w:p w14:paraId="28DCF31C" w14:textId="195E1EF0"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37</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reunião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Fiscal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p>
        </w:tc>
        <w:tc>
          <w:tcPr>
            <w:tcW w:w="1666" w:type="pct"/>
            <w:shd w:val="clear" w:color="auto" w:fill="auto"/>
            <w:noWrap/>
            <w:vAlign w:val="center"/>
            <w:hideMark/>
          </w:tcPr>
          <w:p w14:paraId="3F67430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55E63D3" w14:textId="77777777" w:rsidTr="00ED7D87">
        <w:tc>
          <w:tcPr>
            <w:tcW w:w="1667" w:type="pct"/>
            <w:vAlign w:val="center"/>
          </w:tcPr>
          <w:p w14:paraId="6AD76EB1" w14:textId="3548AD8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41. O indeferimento do requerimento de autorização para adoção da taxa real anual de juros do plano de benefícios implica utilização de taxa dentro do intervalo regulatório estabelecido.</w:t>
            </w:r>
          </w:p>
        </w:tc>
        <w:tc>
          <w:tcPr>
            <w:tcW w:w="1667" w:type="pct"/>
            <w:shd w:val="clear" w:color="auto" w:fill="auto"/>
            <w:noWrap/>
            <w:vAlign w:val="center"/>
            <w:hideMark/>
          </w:tcPr>
          <w:p w14:paraId="6CA7B2A3" w14:textId="4067596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40</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250A56">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indeferimento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implica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dentro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p>
        </w:tc>
        <w:tc>
          <w:tcPr>
            <w:tcW w:w="1666" w:type="pct"/>
            <w:shd w:val="clear" w:color="auto" w:fill="auto"/>
            <w:noWrap/>
            <w:vAlign w:val="center"/>
            <w:hideMark/>
          </w:tcPr>
          <w:p w14:paraId="787D090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AE793B9" w14:textId="77777777" w:rsidTr="00ED7D87">
        <w:tc>
          <w:tcPr>
            <w:tcW w:w="1667" w:type="pct"/>
            <w:vAlign w:val="center"/>
          </w:tcPr>
          <w:p w14:paraId="563C5F24" w14:textId="38101A4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Previc pode determinar, nos termos do art. 37 desta Instrução, a realização de novo estudo técnico de adequação.</w:t>
            </w:r>
          </w:p>
        </w:tc>
        <w:tc>
          <w:tcPr>
            <w:tcW w:w="1667" w:type="pct"/>
            <w:shd w:val="clear" w:color="auto" w:fill="auto"/>
            <w:noWrap/>
            <w:vAlign w:val="center"/>
            <w:hideMark/>
          </w:tcPr>
          <w:p w14:paraId="046B8E99" w14:textId="24ABEF9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36</w:t>
            </w:r>
            <w:r w:rsidR="00E5641A"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p>
        </w:tc>
        <w:tc>
          <w:tcPr>
            <w:tcW w:w="1666" w:type="pct"/>
            <w:shd w:val="clear" w:color="auto" w:fill="auto"/>
            <w:noWrap/>
            <w:vAlign w:val="center"/>
            <w:hideMark/>
          </w:tcPr>
          <w:p w14:paraId="2D4A2740" w14:textId="69B2DC2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DC7A230" w14:textId="77777777" w:rsidTr="00ED7D87">
        <w:tc>
          <w:tcPr>
            <w:tcW w:w="1667" w:type="pct"/>
            <w:vAlign w:val="center"/>
          </w:tcPr>
          <w:p w14:paraId="18D1E491" w14:textId="0999216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42.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w:t>
            </w:r>
            <w:r w:rsidRPr="00225EB1">
              <w:rPr>
                <w:rFonts w:ascii="Calibri" w:hAnsi="Calibri" w:cs="Calibri"/>
                <w:sz w:val="24"/>
              </w:rPr>
              <w:lastRenderedPageBreak/>
              <w:t>e transparência, respondendo na forma da lei pelos seus atos.</w:t>
            </w:r>
          </w:p>
        </w:tc>
        <w:tc>
          <w:tcPr>
            <w:tcW w:w="1667" w:type="pct"/>
            <w:shd w:val="clear" w:color="auto" w:fill="auto"/>
            <w:noWrap/>
            <w:vAlign w:val="center"/>
            <w:hideMark/>
          </w:tcPr>
          <w:p w14:paraId="017F3820" w14:textId="1F81CBE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41</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exime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gestores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profissionais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contribuído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trabalho,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princípios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segurança,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rentabilidade,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transparência,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respondendo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atos.</w:t>
            </w:r>
          </w:p>
        </w:tc>
        <w:tc>
          <w:tcPr>
            <w:tcW w:w="1666" w:type="pct"/>
            <w:shd w:val="clear" w:color="auto" w:fill="auto"/>
            <w:noWrap/>
            <w:vAlign w:val="center"/>
            <w:hideMark/>
          </w:tcPr>
          <w:p w14:paraId="0898CBD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F5C6433" w14:textId="77777777" w:rsidTr="00ED7D87">
        <w:tc>
          <w:tcPr>
            <w:tcW w:w="1667" w:type="pct"/>
            <w:vAlign w:val="center"/>
          </w:tcPr>
          <w:p w14:paraId="35075F9E" w14:textId="5918613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autorização referida no caput é válida somente para a avaliação atuarial do ano de referência.</w:t>
            </w:r>
          </w:p>
        </w:tc>
        <w:tc>
          <w:tcPr>
            <w:tcW w:w="1667" w:type="pct"/>
            <w:shd w:val="clear" w:color="auto" w:fill="auto"/>
            <w:noWrap/>
            <w:vAlign w:val="center"/>
            <w:hideMark/>
          </w:tcPr>
          <w:p w14:paraId="46F8BDBB" w14:textId="1844156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válida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tc>
        <w:tc>
          <w:tcPr>
            <w:tcW w:w="1666" w:type="pct"/>
            <w:shd w:val="clear" w:color="auto" w:fill="auto"/>
            <w:noWrap/>
            <w:vAlign w:val="center"/>
            <w:hideMark/>
          </w:tcPr>
          <w:p w14:paraId="4F9379C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9A7EE46" w14:textId="77777777" w:rsidTr="00ED7D87">
        <w:tc>
          <w:tcPr>
            <w:tcW w:w="1667" w:type="pct"/>
            <w:vAlign w:val="center"/>
          </w:tcPr>
          <w:p w14:paraId="14B22ABD" w14:textId="4F35002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CAPÍTULO X</w:t>
            </w:r>
          </w:p>
        </w:tc>
        <w:tc>
          <w:tcPr>
            <w:tcW w:w="1667" w:type="pct"/>
            <w:shd w:val="clear" w:color="auto" w:fill="auto"/>
            <w:noWrap/>
            <w:vAlign w:val="center"/>
            <w:hideMark/>
          </w:tcPr>
          <w:p w14:paraId="7F0424B0" w14:textId="0DFBF48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Excluir</w:t>
            </w:r>
          </w:p>
        </w:tc>
        <w:tc>
          <w:tcPr>
            <w:tcW w:w="1666" w:type="pct"/>
            <w:shd w:val="clear" w:color="auto" w:fill="auto"/>
            <w:noWrap/>
            <w:vAlign w:val="center"/>
            <w:hideMark/>
          </w:tcPr>
          <w:p w14:paraId="5D00670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BC1235D" w14:textId="77777777" w:rsidTr="00ED7D87">
        <w:tc>
          <w:tcPr>
            <w:tcW w:w="1667" w:type="pct"/>
            <w:vAlign w:val="center"/>
          </w:tcPr>
          <w:p w14:paraId="118875D6" w14:textId="3F52F0F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DISPOSIÇÕES FINAIS</w:t>
            </w:r>
          </w:p>
        </w:tc>
        <w:tc>
          <w:tcPr>
            <w:tcW w:w="1667" w:type="pct"/>
            <w:shd w:val="clear" w:color="auto" w:fill="auto"/>
            <w:noWrap/>
            <w:vAlign w:val="center"/>
            <w:hideMark/>
          </w:tcPr>
          <w:p w14:paraId="0958E524" w14:textId="11F8538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Excluir</w:t>
            </w:r>
          </w:p>
        </w:tc>
        <w:tc>
          <w:tcPr>
            <w:tcW w:w="1666" w:type="pct"/>
            <w:shd w:val="clear" w:color="auto" w:fill="auto"/>
            <w:noWrap/>
            <w:vAlign w:val="center"/>
            <w:hideMark/>
          </w:tcPr>
          <w:p w14:paraId="325B498E"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5CCA597" w14:textId="77777777" w:rsidTr="00ED7D87">
        <w:tc>
          <w:tcPr>
            <w:tcW w:w="1667" w:type="pct"/>
            <w:vAlign w:val="center"/>
          </w:tcPr>
          <w:p w14:paraId="4CE601AA" w14:textId="6BF4158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43. Os documentos elaborados para atendimento ao estabelecido nesta Instrução devem ser mantidos na EFPC à disposição da Previc.</w:t>
            </w:r>
          </w:p>
        </w:tc>
        <w:tc>
          <w:tcPr>
            <w:tcW w:w="1667" w:type="pct"/>
            <w:shd w:val="clear" w:color="auto" w:fill="auto"/>
            <w:noWrap/>
            <w:vAlign w:val="center"/>
            <w:hideMark/>
          </w:tcPr>
          <w:p w14:paraId="12DC3114" w14:textId="0B0B7E6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24539985" w14:textId="52FC8F47" w:rsidR="00A6584C" w:rsidRPr="00843426" w:rsidRDefault="001E5561"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Deslocado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p>
        </w:tc>
      </w:tr>
      <w:tr w:rsidR="00225EB1" w:rsidRPr="00225EB1" w14:paraId="20FF7209" w14:textId="77777777" w:rsidTr="00ED7D87">
        <w:tc>
          <w:tcPr>
            <w:tcW w:w="1667" w:type="pct"/>
            <w:vAlign w:val="center"/>
          </w:tcPr>
          <w:p w14:paraId="520456F5" w14:textId="0DEB441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44.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Fiscalização e Monitoramento - DIFIS.</w:t>
            </w:r>
          </w:p>
        </w:tc>
        <w:tc>
          <w:tcPr>
            <w:tcW w:w="1667" w:type="pct"/>
            <w:shd w:val="clear" w:color="auto" w:fill="auto"/>
            <w:noWrap/>
            <w:vAlign w:val="center"/>
            <w:hideMark/>
          </w:tcPr>
          <w:p w14:paraId="64545D2C" w14:textId="218F311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42</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convergência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pedido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cumprir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especificados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Portaria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Fiscalização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Monitoramento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DIFIS.</w:t>
            </w:r>
          </w:p>
        </w:tc>
        <w:tc>
          <w:tcPr>
            <w:tcW w:w="1666" w:type="pct"/>
            <w:shd w:val="clear" w:color="auto" w:fill="auto"/>
            <w:noWrap/>
            <w:vAlign w:val="center"/>
            <w:hideMark/>
          </w:tcPr>
          <w:p w14:paraId="13874AF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4813E3E" w14:textId="77777777" w:rsidTr="00ED7D87">
        <w:tc>
          <w:tcPr>
            <w:tcW w:w="1667" w:type="pct"/>
            <w:vAlign w:val="center"/>
          </w:tcPr>
          <w:p w14:paraId="3E5280F4" w14:textId="15A03B64"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05DFAF11" w14:textId="1132D32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X</w:t>
            </w:r>
          </w:p>
        </w:tc>
        <w:tc>
          <w:tcPr>
            <w:tcW w:w="1666" w:type="pct"/>
            <w:shd w:val="clear" w:color="auto" w:fill="auto"/>
            <w:noWrap/>
            <w:vAlign w:val="center"/>
            <w:hideMark/>
          </w:tcPr>
          <w:p w14:paraId="714BD07A"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9CDDB5A" w14:textId="77777777" w:rsidTr="00ED7D87">
        <w:tc>
          <w:tcPr>
            <w:tcW w:w="1667" w:type="pct"/>
            <w:vAlign w:val="center"/>
          </w:tcPr>
          <w:p w14:paraId="7E8B56B5" w14:textId="3F1329A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vAlign w:val="center"/>
            <w:hideMark/>
          </w:tcPr>
          <w:p w14:paraId="716C5D71" w14:textId="3F7D65F8"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Contratação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Seguro</w:t>
            </w:r>
            <w:r w:rsidR="009068E9">
              <w:rPr>
                <w:rFonts w:ascii="Calibri" w:eastAsia="Times New Roman" w:hAnsi="Calibri" w:cs="Calibri"/>
                <w:b/>
                <w:bCs/>
                <w:kern w:val="0"/>
                <w:sz w:val="24"/>
                <w:szCs w:val="24"/>
                <w:lang w:eastAsia="pt-BR"/>
                <w14:ligatures w14:val="none"/>
              </w:rPr>
              <w:t xml:space="preserve"> </w:t>
            </w:r>
            <w:r w:rsidR="00CD4D33" w:rsidRPr="00225EB1">
              <w:rPr>
                <w:rFonts w:ascii="Calibri" w:eastAsia="Times New Roman" w:hAnsi="Calibri" w:cs="Calibri"/>
                <w:b/>
                <w:bCs/>
                <w:kern w:val="0"/>
                <w:sz w:val="24"/>
                <w:szCs w:val="24"/>
                <w:lang w:eastAsia="pt-BR"/>
                <w14:ligatures w14:val="none"/>
              </w:rPr>
              <w:t>em</w:t>
            </w:r>
            <w:r w:rsidR="009068E9">
              <w:rPr>
                <w:rFonts w:ascii="Calibri" w:eastAsia="Times New Roman" w:hAnsi="Calibri" w:cs="Calibri"/>
                <w:b/>
                <w:bCs/>
                <w:kern w:val="0"/>
                <w:sz w:val="24"/>
                <w:szCs w:val="24"/>
                <w:lang w:eastAsia="pt-BR"/>
                <w14:ligatures w14:val="none"/>
              </w:rPr>
              <w:t xml:space="preserve"> </w:t>
            </w:r>
            <w:r w:rsidR="00CD4D33" w:rsidRPr="00225EB1">
              <w:rPr>
                <w:rFonts w:ascii="Calibri" w:eastAsia="Times New Roman" w:hAnsi="Calibri" w:cs="Calibri"/>
                <w:b/>
                <w:bCs/>
                <w:kern w:val="0"/>
                <w:sz w:val="24"/>
                <w:szCs w:val="24"/>
                <w:lang w:eastAsia="pt-BR"/>
                <w14:ligatures w14:val="none"/>
              </w:rPr>
              <w:t>planos</w:t>
            </w:r>
            <w:r w:rsidR="009068E9">
              <w:rPr>
                <w:rFonts w:ascii="Calibri" w:eastAsia="Times New Roman" w:hAnsi="Calibri" w:cs="Calibri"/>
                <w:b/>
                <w:bCs/>
                <w:kern w:val="0"/>
                <w:sz w:val="24"/>
                <w:szCs w:val="24"/>
                <w:lang w:eastAsia="pt-BR"/>
                <w14:ligatures w14:val="none"/>
              </w:rPr>
              <w:t xml:space="preserve"> </w:t>
            </w:r>
            <w:r w:rsidR="00CD4D33" w:rsidRPr="00225EB1">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00CD4D33" w:rsidRPr="00225EB1">
              <w:rPr>
                <w:rFonts w:ascii="Calibri" w:eastAsia="Times New Roman" w:hAnsi="Calibri" w:cs="Calibri"/>
                <w:b/>
                <w:bCs/>
                <w:kern w:val="0"/>
                <w:sz w:val="24"/>
                <w:szCs w:val="24"/>
                <w:lang w:eastAsia="pt-BR"/>
                <w14:ligatures w14:val="none"/>
              </w:rPr>
              <w:t>benefícios</w:t>
            </w:r>
          </w:p>
        </w:tc>
        <w:tc>
          <w:tcPr>
            <w:tcW w:w="1666" w:type="pct"/>
            <w:shd w:val="clear" w:color="auto" w:fill="auto"/>
            <w:noWrap/>
            <w:vAlign w:val="center"/>
            <w:hideMark/>
          </w:tcPr>
          <w:p w14:paraId="6549AA3D"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3E6D5EC" w14:textId="77777777" w:rsidTr="00ED7D87">
        <w:tc>
          <w:tcPr>
            <w:tcW w:w="1667" w:type="pct"/>
            <w:vAlign w:val="center"/>
          </w:tcPr>
          <w:p w14:paraId="5558C25A" w14:textId="7FD6F22B" w:rsidR="00A6584C" w:rsidRPr="00225EB1" w:rsidRDefault="00F60584" w:rsidP="00CD4D33">
            <w:pPr>
              <w:spacing w:after="0" w:line="240" w:lineRule="auto"/>
              <w:jc w:val="both"/>
              <w:rPr>
                <w:rFonts w:ascii="Calibri" w:hAnsi="Calibri" w:cs="Calibri"/>
                <w:b/>
                <w:sz w:val="24"/>
              </w:rPr>
            </w:pPr>
            <w:r>
              <w:rPr>
                <w:rFonts w:ascii="Calibri" w:hAnsi="Calibri" w:cs="Calibri"/>
                <w:b/>
                <w:sz w:val="24"/>
              </w:rPr>
              <w:t>Resolução Previc nº 8, de 2022</w:t>
            </w:r>
            <w:r w:rsidR="00A6584C" w:rsidRPr="00225EB1">
              <w:rPr>
                <w:rFonts w:ascii="Calibri" w:hAnsi="Calibri" w:cs="Calibri"/>
                <w:b/>
                <w:sz w:val="24"/>
              </w:rPr>
              <w:t>.</w:t>
            </w:r>
          </w:p>
          <w:p w14:paraId="478643D2" w14:textId="12B56E65"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3º A EFPC pode contratar seguro específico para cobertura dos seguintes riscos em planos de benefícios:</w:t>
            </w:r>
          </w:p>
        </w:tc>
        <w:tc>
          <w:tcPr>
            <w:tcW w:w="1667" w:type="pct"/>
            <w:shd w:val="clear" w:color="auto" w:fill="auto"/>
            <w:noWrap/>
            <w:vAlign w:val="center"/>
            <w:hideMark/>
          </w:tcPr>
          <w:p w14:paraId="019DE39B" w14:textId="5EAC98CB"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43</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2131595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48A3E01" w14:textId="77777777" w:rsidTr="00ED7D87">
        <w:tc>
          <w:tcPr>
            <w:tcW w:w="1667" w:type="pct"/>
            <w:vAlign w:val="center"/>
          </w:tcPr>
          <w:p w14:paraId="19636A5F" w14:textId="4924D03C"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invalidez de participante;</w:t>
            </w:r>
          </w:p>
        </w:tc>
        <w:tc>
          <w:tcPr>
            <w:tcW w:w="1667" w:type="pct"/>
            <w:shd w:val="clear" w:color="auto" w:fill="auto"/>
            <w:noWrap/>
            <w:vAlign w:val="center"/>
            <w:hideMark/>
          </w:tcPr>
          <w:p w14:paraId="3FA6A37C" w14:textId="48FBC2A5"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p>
        </w:tc>
        <w:tc>
          <w:tcPr>
            <w:tcW w:w="1666" w:type="pct"/>
            <w:shd w:val="clear" w:color="auto" w:fill="auto"/>
            <w:noWrap/>
            <w:vAlign w:val="center"/>
            <w:hideMark/>
          </w:tcPr>
          <w:p w14:paraId="76DAA97B"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2B3DE17" w14:textId="77777777" w:rsidTr="00ED7D87">
        <w:tc>
          <w:tcPr>
            <w:tcW w:w="1667" w:type="pct"/>
            <w:vAlign w:val="center"/>
          </w:tcPr>
          <w:p w14:paraId="5C24A1A7" w14:textId="7BCEC5E0"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II - morte de participante ou assistido;</w:t>
            </w:r>
          </w:p>
        </w:tc>
        <w:tc>
          <w:tcPr>
            <w:tcW w:w="1667" w:type="pct"/>
            <w:shd w:val="clear" w:color="auto" w:fill="auto"/>
            <w:noWrap/>
            <w:vAlign w:val="center"/>
            <w:hideMark/>
          </w:tcPr>
          <w:p w14:paraId="7E9A1537" w14:textId="4247E9EA"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p>
        </w:tc>
        <w:tc>
          <w:tcPr>
            <w:tcW w:w="1666" w:type="pct"/>
            <w:shd w:val="clear" w:color="auto" w:fill="auto"/>
            <w:noWrap/>
            <w:vAlign w:val="center"/>
            <w:hideMark/>
          </w:tcPr>
          <w:p w14:paraId="782CD297"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CFE997A" w14:textId="77777777" w:rsidTr="00ED7D87">
        <w:tc>
          <w:tcPr>
            <w:tcW w:w="1667" w:type="pct"/>
            <w:vAlign w:val="center"/>
          </w:tcPr>
          <w:p w14:paraId="74673365" w14:textId="3A665012"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sobrevivência do assistido;</w:t>
            </w:r>
          </w:p>
        </w:tc>
        <w:tc>
          <w:tcPr>
            <w:tcW w:w="1667" w:type="pct"/>
            <w:shd w:val="clear" w:color="auto" w:fill="auto"/>
            <w:noWrap/>
            <w:vAlign w:val="center"/>
            <w:hideMark/>
          </w:tcPr>
          <w:p w14:paraId="4E5F0429" w14:textId="350CD6FF"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sobrevivência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p>
        </w:tc>
        <w:tc>
          <w:tcPr>
            <w:tcW w:w="1666" w:type="pct"/>
            <w:shd w:val="clear" w:color="auto" w:fill="auto"/>
            <w:noWrap/>
            <w:vAlign w:val="center"/>
            <w:hideMark/>
          </w:tcPr>
          <w:p w14:paraId="2E2F853E"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78F43E6" w14:textId="77777777" w:rsidTr="00ED7D87">
        <w:tc>
          <w:tcPr>
            <w:tcW w:w="1667" w:type="pct"/>
            <w:vAlign w:val="center"/>
          </w:tcPr>
          <w:p w14:paraId="537E2674" w14:textId="50B4B502"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desvios das hipóteses biométricas; e</w:t>
            </w:r>
          </w:p>
        </w:tc>
        <w:tc>
          <w:tcPr>
            <w:tcW w:w="1667" w:type="pct"/>
            <w:shd w:val="clear" w:color="auto" w:fill="auto"/>
            <w:noWrap/>
            <w:vAlign w:val="center"/>
            <w:hideMark/>
          </w:tcPr>
          <w:p w14:paraId="685F62C1" w14:textId="49C2239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desvios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2E5C72D6"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F7C530E" w14:textId="77777777" w:rsidTr="00ED7D87">
        <w:tc>
          <w:tcPr>
            <w:tcW w:w="1667" w:type="pct"/>
            <w:vAlign w:val="center"/>
          </w:tcPr>
          <w:p w14:paraId="1E33C8F4" w14:textId="33530266"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outros riscos atuariais ou financeiros.</w:t>
            </w:r>
          </w:p>
        </w:tc>
        <w:tc>
          <w:tcPr>
            <w:tcW w:w="1667" w:type="pct"/>
            <w:shd w:val="clear" w:color="auto" w:fill="auto"/>
            <w:noWrap/>
            <w:vAlign w:val="center"/>
            <w:hideMark/>
          </w:tcPr>
          <w:p w14:paraId="32FFCE00" w14:textId="062C22E3"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financeiros.</w:t>
            </w:r>
          </w:p>
        </w:tc>
        <w:tc>
          <w:tcPr>
            <w:tcW w:w="1666" w:type="pct"/>
            <w:shd w:val="clear" w:color="auto" w:fill="auto"/>
            <w:noWrap/>
            <w:vAlign w:val="center"/>
            <w:hideMark/>
          </w:tcPr>
          <w:p w14:paraId="1A8EA80D"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78875F" w14:textId="77777777" w:rsidTr="00ED7D87">
        <w:tc>
          <w:tcPr>
            <w:tcW w:w="1667" w:type="pct"/>
            <w:vAlign w:val="center"/>
          </w:tcPr>
          <w:p w14:paraId="7C930847" w14:textId="00BD0BC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Os riscos previstos neste artigo no caput podem ter cobertura total ou parcial.</w:t>
            </w:r>
          </w:p>
        </w:tc>
        <w:tc>
          <w:tcPr>
            <w:tcW w:w="1667" w:type="pct"/>
            <w:shd w:val="clear" w:color="auto" w:fill="auto"/>
            <w:noWrap/>
            <w:vAlign w:val="center"/>
            <w:hideMark/>
          </w:tcPr>
          <w:p w14:paraId="64322461" w14:textId="2A305ED5"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r w:rsidR="009068E9">
              <w:rPr>
                <w:rFonts w:ascii="Calibri" w:eastAsia="Times New Roman" w:hAnsi="Calibri" w:cs="Calibri"/>
                <w:kern w:val="0"/>
                <w:sz w:val="24"/>
                <w:szCs w:val="24"/>
                <w:lang w:eastAsia="pt-BR"/>
                <w14:ligatures w14:val="none"/>
              </w:rPr>
              <w:t xml:space="preserve"> </w:t>
            </w:r>
            <w:r w:rsidRPr="00DE5C09">
              <w:rPr>
                <w:rFonts w:ascii="Calibri" w:eastAsia="Times New Roman" w:hAnsi="Calibri" w:cs="Calibri"/>
                <w:kern w:val="0"/>
                <w:sz w:val="24"/>
                <w:szCs w:val="24"/>
                <w:lang w:eastAsia="pt-BR"/>
                <w14:ligatures w14:val="none"/>
              </w:rPr>
              <w:t>no</w:t>
            </w:r>
            <w:r w:rsidR="009068E9">
              <w:rPr>
                <w:rFonts w:ascii="Calibri" w:eastAsia="Times New Roman" w:hAnsi="Calibri" w:cs="Calibri"/>
                <w:b/>
                <w:bCs/>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parcial.</w:t>
            </w:r>
          </w:p>
        </w:tc>
        <w:tc>
          <w:tcPr>
            <w:tcW w:w="1666" w:type="pct"/>
            <w:shd w:val="clear" w:color="auto" w:fill="auto"/>
            <w:noWrap/>
            <w:vAlign w:val="center"/>
            <w:hideMark/>
          </w:tcPr>
          <w:p w14:paraId="72AA8A68"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66E6C18" w14:textId="77777777" w:rsidTr="00ED7D87">
        <w:tc>
          <w:tcPr>
            <w:tcW w:w="1667" w:type="pct"/>
            <w:vAlign w:val="center"/>
          </w:tcPr>
          <w:p w14:paraId="04DC51A9" w14:textId="5D3263C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3786910D" w14:textId="11F76E9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6" w:type="pct"/>
            <w:shd w:val="clear" w:color="auto" w:fill="auto"/>
            <w:noWrap/>
            <w:vAlign w:val="center"/>
            <w:hideMark/>
          </w:tcPr>
          <w:p w14:paraId="4077643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256BDCB3" w14:textId="77777777" w:rsidTr="00ED7D87">
        <w:tc>
          <w:tcPr>
            <w:tcW w:w="1667" w:type="pct"/>
            <w:vAlign w:val="center"/>
          </w:tcPr>
          <w:p w14:paraId="50081DCC" w14:textId="7316960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Contrato de seguro</w:t>
            </w:r>
          </w:p>
        </w:tc>
        <w:tc>
          <w:tcPr>
            <w:tcW w:w="1667" w:type="pct"/>
            <w:shd w:val="clear" w:color="auto" w:fill="auto"/>
            <w:noWrap/>
            <w:vAlign w:val="center"/>
            <w:hideMark/>
          </w:tcPr>
          <w:p w14:paraId="6BF8FB5C" w14:textId="120A8AA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Contrato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Seguro</w:t>
            </w:r>
          </w:p>
        </w:tc>
        <w:tc>
          <w:tcPr>
            <w:tcW w:w="1666" w:type="pct"/>
            <w:shd w:val="clear" w:color="auto" w:fill="auto"/>
            <w:noWrap/>
            <w:vAlign w:val="center"/>
            <w:hideMark/>
          </w:tcPr>
          <w:p w14:paraId="49CFF301"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835CF94" w14:textId="77777777" w:rsidTr="00ED7D87">
        <w:tc>
          <w:tcPr>
            <w:tcW w:w="1667" w:type="pct"/>
            <w:vAlign w:val="center"/>
          </w:tcPr>
          <w:p w14:paraId="01AA8E90" w14:textId="712DA7B6"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4º O contrato de seguro, em relação a cada plano de benefícios, deve dispor, no mínimo, sobre:</w:t>
            </w:r>
          </w:p>
        </w:tc>
        <w:tc>
          <w:tcPr>
            <w:tcW w:w="1667" w:type="pct"/>
            <w:shd w:val="clear" w:color="auto" w:fill="auto"/>
            <w:noWrap/>
            <w:vAlign w:val="center"/>
            <w:hideMark/>
          </w:tcPr>
          <w:p w14:paraId="77300449" w14:textId="661EE0F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44</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p>
        </w:tc>
        <w:tc>
          <w:tcPr>
            <w:tcW w:w="1666" w:type="pct"/>
            <w:shd w:val="clear" w:color="auto" w:fill="auto"/>
            <w:noWrap/>
            <w:vAlign w:val="center"/>
            <w:hideMark/>
          </w:tcPr>
          <w:p w14:paraId="0821604E"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9974AE7" w14:textId="77777777" w:rsidTr="00ED7D87">
        <w:tc>
          <w:tcPr>
            <w:tcW w:w="1667" w:type="pct"/>
            <w:vAlign w:val="center"/>
          </w:tcPr>
          <w:p w14:paraId="352A6FDB" w14:textId="19F1AE9D"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descrição das coberturas, indicando as importâncias seguradas de responsabilidade da sociedade seguradora, bem como as formas de atualização ou recálculo;</w:t>
            </w:r>
          </w:p>
        </w:tc>
        <w:tc>
          <w:tcPr>
            <w:tcW w:w="1667" w:type="pct"/>
            <w:shd w:val="clear" w:color="auto" w:fill="auto"/>
            <w:noWrap/>
            <w:vAlign w:val="center"/>
            <w:hideMark/>
          </w:tcPr>
          <w:p w14:paraId="7B40E545" w14:textId="1476BF03"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descrição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importâncias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recálculo;</w:t>
            </w:r>
          </w:p>
        </w:tc>
        <w:tc>
          <w:tcPr>
            <w:tcW w:w="1666" w:type="pct"/>
            <w:shd w:val="clear" w:color="auto" w:fill="auto"/>
            <w:noWrap/>
            <w:vAlign w:val="center"/>
            <w:hideMark/>
          </w:tcPr>
          <w:p w14:paraId="03A88CFE"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E037438" w14:textId="77777777" w:rsidTr="00ED7D87">
        <w:tc>
          <w:tcPr>
            <w:tcW w:w="1667" w:type="pct"/>
            <w:vAlign w:val="center"/>
          </w:tcPr>
          <w:p w14:paraId="7C289D0B" w14:textId="7A05764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previsão de emissão de endosso alterando a EFPC de origem para a EFPC de destino, sem solução de continuidade das coberturas e condições contratadas, na hipótese de transferência de gerenciamento do plano de benefícios para outra EFPC;</w:t>
            </w:r>
          </w:p>
        </w:tc>
        <w:tc>
          <w:tcPr>
            <w:tcW w:w="1667" w:type="pct"/>
            <w:shd w:val="clear" w:color="auto" w:fill="auto"/>
            <w:noWrap/>
            <w:vAlign w:val="center"/>
            <w:hideMark/>
          </w:tcPr>
          <w:p w14:paraId="1F59D6EF" w14:textId="72EE408C"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endosso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origem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transferência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gerenciamento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6" w:type="pct"/>
            <w:shd w:val="clear" w:color="auto" w:fill="auto"/>
            <w:noWrap/>
            <w:vAlign w:val="center"/>
            <w:hideMark/>
          </w:tcPr>
          <w:p w14:paraId="54976344" w14:textId="76E0E437" w:rsidR="00A6584C" w:rsidRPr="00843426" w:rsidRDefault="00CD4D33"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Deixar mais claro que</w:t>
            </w:r>
            <w:r w:rsidR="002A49F6" w:rsidRPr="00225EB1">
              <w:rPr>
                <w:rFonts w:ascii="Calibri" w:eastAsia="Times New Roman" w:hAnsi="Calibri" w:cs="Calibri"/>
                <w:kern w:val="0"/>
                <w:sz w:val="24"/>
                <w:szCs w:val="24"/>
                <w:lang w:eastAsia="pt-BR"/>
                <w14:ligatures w14:val="none"/>
              </w:rPr>
              <w:t xml:space="preserve"> se</w:t>
            </w:r>
            <w:r w:rsidRPr="00225EB1">
              <w:rPr>
                <w:rFonts w:ascii="Calibri" w:eastAsia="Times New Roman" w:hAnsi="Calibri" w:cs="Calibri"/>
                <w:kern w:val="0"/>
                <w:sz w:val="24"/>
                <w:szCs w:val="24"/>
                <w:lang w:eastAsia="pt-BR"/>
                <w14:ligatures w14:val="none"/>
              </w:rPr>
              <w:t xml:space="preserve"> trata de uma operação de transferência.</w:t>
            </w:r>
          </w:p>
        </w:tc>
      </w:tr>
      <w:tr w:rsidR="00225EB1" w:rsidRPr="00225EB1" w14:paraId="252DDD88" w14:textId="77777777" w:rsidTr="00ED7D87">
        <w:tc>
          <w:tcPr>
            <w:tcW w:w="1667" w:type="pct"/>
            <w:vAlign w:val="center"/>
          </w:tcPr>
          <w:p w14:paraId="06FFA53E" w14:textId="309FCCCC"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III - previsão de emissão de endosso alterando o beneficiário do seguro da EFPC para o assistido em gozo de renda continuada, sem solução de continuidade das coberturas e condições contratadas, em caso de retirada de patrocínio ou liquidação do </w:t>
            </w:r>
            <w:r w:rsidRPr="00225EB1">
              <w:rPr>
                <w:rFonts w:ascii="Calibri" w:hAnsi="Calibri" w:cs="Calibri"/>
                <w:sz w:val="24"/>
              </w:rPr>
              <w:lastRenderedPageBreak/>
              <w:t>plano de benefícios, observada a legislação aplicável;</w:t>
            </w:r>
          </w:p>
        </w:tc>
        <w:tc>
          <w:tcPr>
            <w:tcW w:w="1667" w:type="pct"/>
            <w:shd w:val="clear" w:color="auto" w:fill="auto"/>
            <w:noWrap/>
            <w:vAlign w:val="center"/>
            <w:hideMark/>
          </w:tcPr>
          <w:p w14:paraId="2E2255BA" w14:textId="16418B21"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endosso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beneficiário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gozo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retirada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patrocínio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legislação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aplicável;</w:t>
            </w:r>
          </w:p>
        </w:tc>
        <w:tc>
          <w:tcPr>
            <w:tcW w:w="1666" w:type="pct"/>
            <w:shd w:val="clear" w:color="auto" w:fill="auto"/>
            <w:noWrap/>
            <w:vAlign w:val="center"/>
            <w:hideMark/>
          </w:tcPr>
          <w:p w14:paraId="763F96E2"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A1595B8" w14:textId="77777777" w:rsidTr="00ED7D87">
        <w:tc>
          <w:tcPr>
            <w:tcW w:w="1667" w:type="pct"/>
            <w:vAlign w:val="center"/>
          </w:tcPr>
          <w:p w14:paraId="3853980F" w14:textId="462BAF9D"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prazo de vigência do contrato, que não pode ser indeterminado;</w:t>
            </w:r>
          </w:p>
        </w:tc>
        <w:tc>
          <w:tcPr>
            <w:tcW w:w="1667" w:type="pct"/>
            <w:shd w:val="clear" w:color="auto" w:fill="auto"/>
            <w:noWrap/>
            <w:vAlign w:val="center"/>
            <w:hideMark/>
          </w:tcPr>
          <w:p w14:paraId="5719CAA1" w14:textId="7B5AC7E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indeterminado;</w:t>
            </w:r>
          </w:p>
        </w:tc>
        <w:tc>
          <w:tcPr>
            <w:tcW w:w="1666" w:type="pct"/>
            <w:shd w:val="clear" w:color="auto" w:fill="auto"/>
            <w:noWrap/>
            <w:vAlign w:val="center"/>
            <w:hideMark/>
          </w:tcPr>
          <w:p w14:paraId="137F7881"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7909C72" w14:textId="77777777" w:rsidTr="00ED7D87">
        <w:tc>
          <w:tcPr>
            <w:tcW w:w="1667" w:type="pct"/>
            <w:vAlign w:val="center"/>
          </w:tcPr>
          <w:p w14:paraId="343C1C98" w14:textId="48389DA2"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previsão de pagamento das rendas contratadas junto à sociedade seguradora, no caso de rescisão ou não renovação do contrato;</w:t>
            </w:r>
          </w:p>
        </w:tc>
        <w:tc>
          <w:tcPr>
            <w:tcW w:w="1667" w:type="pct"/>
            <w:shd w:val="clear" w:color="auto" w:fill="auto"/>
            <w:noWrap/>
            <w:vAlign w:val="center"/>
            <w:hideMark/>
          </w:tcPr>
          <w:p w14:paraId="3C658686" w14:textId="7C7F734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rescisão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p>
        </w:tc>
        <w:tc>
          <w:tcPr>
            <w:tcW w:w="1666" w:type="pct"/>
            <w:shd w:val="clear" w:color="auto" w:fill="auto"/>
            <w:noWrap/>
            <w:vAlign w:val="center"/>
            <w:hideMark/>
          </w:tcPr>
          <w:p w14:paraId="1DE6A76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EA06A6C" w14:textId="77777777" w:rsidTr="00ED7D87">
        <w:tc>
          <w:tcPr>
            <w:tcW w:w="1667" w:type="pct"/>
            <w:vAlign w:val="center"/>
          </w:tcPr>
          <w:p w14:paraId="29E9D48F" w14:textId="1BE3127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 - previsão de prazos de pagamento dos prêmios e das indenizações; e</w:t>
            </w:r>
          </w:p>
        </w:tc>
        <w:tc>
          <w:tcPr>
            <w:tcW w:w="1667" w:type="pct"/>
            <w:shd w:val="clear" w:color="auto" w:fill="auto"/>
            <w:noWrap/>
            <w:vAlign w:val="center"/>
            <w:hideMark/>
          </w:tcPr>
          <w:p w14:paraId="7A5E37A0" w14:textId="0C96AA38"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0B89012B"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C9567E2" w14:textId="77777777" w:rsidTr="00ED7D87">
        <w:tc>
          <w:tcPr>
            <w:tcW w:w="1667" w:type="pct"/>
            <w:vAlign w:val="center"/>
          </w:tcPr>
          <w:p w14:paraId="77A5EE23" w14:textId="573B5266"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VII - descrição dos riscos excluídos e dos não cobertos, caso previstos.</w:t>
            </w:r>
          </w:p>
        </w:tc>
        <w:tc>
          <w:tcPr>
            <w:tcW w:w="1667" w:type="pct"/>
            <w:shd w:val="clear" w:color="auto" w:fill="auto"/>
            <w:noWrap/>
            <w:vAlign w:val="center"/>
            <w:hideMark/>
          </w:tcPr>
          <w:p w14:paraId="376018D6" w14:textId="53C144EA"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descrição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excluídos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p>
        </w:tc>
        <w:tc>
          <w:tcPr>
            <w:tcW w:w="1666" w:type="pct"/>
            <w:shd w:val="clear" w:color="auto" w:fill="auto"/>
            <w:noWrap/>
            <w:vAlign w:val="center"/>
            <w:hideMark/>
          </w:tcPr>
          <w:p w14:paraId="7CA5932B"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32988D" w14:textId="77777777" w:rsidTr="00ED7D87">
        <w:tc>
          <w:tcPr>
            <w:tcW w:w="1667" w:type="pct"/>
            <w:vAlign w:val="center"/>
          </w:tcPr>
          <w:p w14:paraId="5969A264" w14:textId="17D8E725"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5º Previamente à celebração ou à renovação de contrato de seguro, a diretoria executiva e o conselho deliberativo da EFPC devem aprovar estudo técnico que demonstre a sua viabilidade econômico-financeira e atuarial para cada plano de benefícios.</w:t>
            </w:r>
          </w:p>
        </w:tc>
        <w:tc>
          <w:tcPr>
            <w:tcW w:w="1667" w:type="pct"/>
            <w:shd w:val="clear" w:color="auto" w:fill="auto"/>
            <w:noWrap/>
            <w:vAlign w:val="center"/>
            <w:hideMark/>
          </w:tcPr>
          <w:p w14:paraId="647ED78B" w14:textId="6E2AB204"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45</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celebração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econômico-financeira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711FCE21"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F88031A" w14:textId="77777777" w:rsidTr="00ED7D87">
        <w:tc>
          <w:tcPr>
            <w:tcW w:w="1667" w:type="pct"/>
            <w:vAlign w:val="center"/>
          </w:tcPr>
          <w:p w14:paraId="2AD26760" w14:textId="5A13B718"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1º O estudo técnico previsto no caput deve conter, no mínimo:</w:t>
            </w:r>
          </w:p>
        </w:tc>
        <w:tc>
          <w:tcPr>
            <w:tcW w:w="1667" w:type="pct"/>
            <w:shd w:val="clear" w:color="auto" w:fill="auto"/>
            <w:noWrap/>
            <w:vAlign w:val="center"/>
            <w:hideMark/>
          </w:tcPr>
          <w:p w14:paraId="02EF9A79" w14:textId="24EB8DD0"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p>
        </w:tc>
        <w:tc>
          <w:tcPr>
            <w:tcW w:w="1666" w:type="pct"/>
            <w:shd w:val="clear" w:color="auto" w:fill="auto"/>
            <w:noWrap/>
            <w:vAlign w:val="center"/>
            <w:hideMark/>
          </w:tcPr>
          <w:p w14:paraId="3D05D3B9"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0FAFB3C" w14:textId="77777777" w:rsidTr="00ED7D87">
        <w:tc>
          <w:tcPr>
            <w:tcW w:w="1667" w:type="pct"/>
            <w:vAlign w:val="center"/>
          </w:tcPr>
          <w:p w14:paraId="3CFA2B7C" w14:textId="3488B6FF"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a descrição das bases, das fórmulas de cálculo e dos critérios de atualização dos valores referentes aos benefícios previstos no regulamento e passíveis de contratação de cobertura de riscos com sociedade seguradora;</w:t>
            </w:r>
          </w:p>
        </w:tc>
        <w:tc>
          <w:tcPr>
            <w:tcW w:w="1667" w:type="pct"/>
            <w:shd w:val="clear" w:color="auto" w:fill="auto"/>
            <w:noWrap/>
            <w:vAlign w:val="center"/>
            <w:hideMark/>
          </w:tcPr>
          <w:p w14:paraId="304611B3" w14:textId="33DB948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descrição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fórmulas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passíveis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p>
        </w:tc>
        <w:tc>
          <w:tcPr>
            <w:tcW w:w="1666" w:type="pct"/>
            <w:shd w:val="clear" w:color="auto" w:fill="auto"/>
            <w:noWrap/>
            <w:vAlign w:val="center"/>
            <w:hideMark/>
          </w:tcPr>
          <w:p w14:paraId="0B21CE2E"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4BBC348" w14:textId="77777777" w:rsidTr="00ED7D87">
        <w:tc>
          <w:tcPr>
            <w:tcW w:w="1667" w:type="pct"/>
            <w:vAlign w:val="center"/>
          </w:tcPr>
          <w:p w14:paraId="7C0AF553" w14:textId="09170C1E"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II - a estimativa de gastos com prêmios futuros; e</w:t>
            </w:r>
          </w:p>
        </w:tc>
        <w:tc>
          <w:tcPr>
            <w:tcW w:w="1667" w:type="pct"/>
            <w:shd w:val="clear" w:color="auto" w:fill="auto"/>
            <w:noWrap/>
            <w:vAlign w:val="center"/>
            <w:hideMark/>
          </w:tcPr>
          <w:p w14:paraId="5AD976B3" w14:textId="776CE1BB"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estimativa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gastos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futuros;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63AB9880"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2267FD9" w14:textId="77777777" w:rsidTr="00ED7D87">
        <w:tc>
          <w:tcPr>
            <w:tcW w:w="1667" w:type="pct"/>
            <w:vAlign w:val="center"/>
          </w:tcPr>
          <w:p w14:paraId="2F3C1EA3" w14:textId="1761DA12"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a avaliação de custos e de riscos que indiquem a necessidade e a vantagem de contratação de seguro para a cobertura do respectivo risco objeto.</w:t>
            </w:r>
          </w:p>
        </w:tc>
        <w:tc>
          <w:tcPr>
            <w:tcW w:w="1667" w:type="pct"/>
            <w:shd w:val="clear" w:color="auto" w:fill="auto"/>
            <w:noWrap/>
            <w:vAlign w:val="center"/>
            <w:hideMark/>
          </w:tcPr>
          <w:p w14:paraId="567EAB0A" w14:textId="5D63D6C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indiquem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vantagem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w:t>
            </w:r>
          </w:p>
        </w:tc>
        <w:tc>
          <w:tcPr>
            <w:tcW w:w="1666" w:type="pct"/>
            <w:shd w:val="clear" w:color="auto" w:fill="auto"/>
            <w:noWrap/>
            <w:vAlign w:val="center"/>
            <w:hideMark/>
          </w:tcPr>
          <w:p w14:paraId="54747BEB"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CF6BDA0" w14:textId="77777777" w:rsidTr="00ED7D87">
        <w:tc>
          <w:tcPr>
            <w:tcW w:w="1667" w:type="pct"/>
            <w:vAlign w:val="center"/>
          </w:tcPr>
          <w:p w14:paraId="434C4DAF" w14:textId="77DD6B2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2º Fica dispensado o estudo técnico previsto no caput quando da contratação das coberturas adicionais de que trata o art. 7º.</w:t>
            </w:r>
          </w:p>
        </w:tc>
        <w:tc>
          <w:tcPr>
            <w:tcW w:w="1667" w:type="pct"/>
            <w:shd w:val="clear" w:color="auto" w:fill="auto"/>
            <w:noWrap/>
            <w:vAlign w:val="center"/>
            <w:hideMark/>
          </w:tcPr>
          <w:p w14:paraId="2DACA32B" w14:textId="3FCA398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dispensado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w:t>
            </w:r>
            <w:r w:rsidR="00E5641A" w:rsidRPr="00225EB1">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47</w:t>
            </w:r>
            <w:r w:rsidR="009E5362">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52FC78CB" w14:textId="612114F8"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11651E0" w14:textId="77777777" w:rsidTr="00ED7D87">
        <w:tc>
          <w:tcPr>
            <w:tcW w:w="1667" w:type="pct"/>
            <w:vAlign w:val="center"/>
          </w:tcPr>
          <w:p w14:paraId="6249E53F" w14:textId="7129CCC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289B3BBD" w14:textId="163E9FB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6" w:type="pct"/>
            <w:shd w:val="clear" w:color="auto" w:fill="auto"/>
            <w:noWrap/>
            <w:vAlign w:val="center"/>
            <w:hideMark/>
          </w:tcPr>
          <w:p w14:paraId="664F783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C6C0E42" w14:textId="77777777" w:rsidTr="00ED7D87">
        <w:tc>
          <w:tcPr>
            <w:tcW w:w="1667" w:type="pct"/>
            <w:vAlign w:val="center"/>
          </w:tcPr>
          <w:p w14:paraId="2B6AC5A5" w14:textId="1396E72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Cobertura do seguro</w:t>
            </w:r>
          </w:p>
        </w:tc>
        <w:tc>
          <w:tcPr>
            <w:tcW w:w="1667" w:type="pct"/>
            <w:shd w:val="clear" w:color="auto" w:fill="auto"/>
            <w:noWrap/>
            <w:vAlign w:val="center"/>
            <w:hideMark/>
          </w:tcPr>
          <w:p w14:paraId="2E43AEFF" w14:textId="1693AC0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Cobertura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seguro</w:t>
            </w:r>
          </w:p>
        </w:tc>
        <w:tc>
          <w:tcPr>
            <w:tcW w:w="1666" w:type="pct"/>
            <w:shd w:val="clear" w:color="auto" w:fill="auto"/>
            <w:noWrap/>
            <w:vAlign w:val="center"/>
            <w:hideMark/>
          </w:tcPr>
          <w:p w14:paraId="759D481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F63C0B5" w14:textId="77777777" w:rsidTr="00ED7D87">
        <w:tc>
          <w:tcPr>
            <w:tcW w:w="1667" w:type="pct"/>
            <w:vAlign w:val="center"/>
          </w:tcPr>
          <w:p w14:paraId="2A2C0FE5" w14:textId="0570D667"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6º Os contratos de seguro para a cobertura dos riscos referidos nos incisos I e II do art. 3º podem prever a indenização na forma de pagamento único ou de renda continuada.</w:t>
            </w:r>
          </w:p>
        </w:tc>
        <w:tc>
          <w:tcPr>
            <w:tcW w:w="1667" w:type="pct"/>
            <w:shd w:val="clear" w:color="auto" w:fill="auto"/>
            <w:noWrap/>
            <w:vAlign w:val="center"/>
            <w:hideMark/>
          </w:tcPr>
          <w:p w14:paraId="5A9C8D8E" w14:textId="3CCA888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46</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43</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continuada.</w:t>
            </w:r>
          </w:p>
        </w:tc>
        <w:tc>
          <w:tcPr>
            <w:tcW w:w="1666" w:type="pct"/>
            <w:shd w:val="clear" w:color="auto" w:fill="auto"/>
            <w:noWrap/>
            <w:vAlign w:val="center"/>
            <w:hideMark/>
          </w:tcPr>
          <w:p w14:paraId="42EF77B9" w14:textId="2FA17B5A"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C1EE8FB" w14:textId="77777777" w:rsidTr="00ED7D87">
        <w:tc>
          <w:tcPr>
            <w:tcW w:w="1667" w:type="pct"/>
            <w:vAlign w:val="center"/>
          </w:tcPr>
          <w:p w14:paraId="65DABE95" w14:textId="5FFDD7DE"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7º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tc>
        <w:tc>
          <w:tcPr>
            <w:tcW w:w="1667" w:type="pct"/>
            <w:shd w:val="clear" w:color="auto" w:fill="auto"/>
            <w:noWrap/>
            <w:vAlign w:val="center"/>
            <w:hideMark/>
          </w:tcPr>
          <w:p w14:paraId="01FDE95D" w14:textId="7657423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47</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estruturados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unicamente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possibilidade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opcional.</w:t>
            </w:r>
          </w:p>
        </w:tc>
        <w:tc>
          <w:tcPr>
            <w:tcW w:w="1666" w:type="pct"/>
            <w:shd w:val="clear" w:color="auto" w:fill="auto"/>
            <w:noWrap/>
            <w:vAlign w:val="center"/>
            <w:hideMark/>
          </w:tcPr>
          <w:p w14:paraId="04EE3828"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82A4CE6" w14:textId="77777777" w:rsidTr="00ED7D87">
        <w:tc>
          <w:tcPr>
            <w:tcW w:w="1667" w:type="pct"/>
            <w:vAlign w:val="center"/>
          </w:tcPr>
          <w:p w14:paraId="3AEEBD33" w14:textId="074B2950"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 1º O regulamento deve dispor sobre eventuais situações que causem a suspensão da cobertura a que se refere o caput, inclusive </w:t>
            </w:r>
            <w:r w:rsidRPr="00225EB1">
              <w:rPr>
                <w:rFonts w:ascii="Calibri" w:hAnsi="Calibri" w:cs="Calibri"/>
                <w:sz w:val="24"/>
              </w:rPr>
              <w:lastRenderedPageBreak/>
              <w:t>em decorrência de rescisão ou não renovação do contrato com a sociedade seguradora.</w:t>
            </w:r>
          </w:p>
        </w:tc>
        <w:tc>
          <w:tcPr>
            <w:tcW w:w="1667" w:type="pct"/>
            <w:shd w:val="clear" w:color="auto" w:fill="auto"/>
            <w:noWrap/>
            <w:vAlign w:val="center"/>
            <w:hideMark/>
          </w:tcPr>
          <w:p w14:paraId="7301B2DD" w14:textId="66F8F324"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eventuais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situações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causem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suspensão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inclusive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rescisão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renovação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p>
        </w:tc>
        <w:tc>
          <w:tcPr>
            <w:tcW w:w="1666" w:type="pct"/>
            <w:shd w:val="clear" w:color="auto" w:fill="auto"/>
            <w:noWrap/>
            <w:vAlign w:val="center"/>
            <w:hideMark/>
          </w:tcPr>
          <w:p w14:paraId="2337B096"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0A0A60F" w14:textId="77777777" w:rsidTr="00ED7D87">
        <w:tc>
          <w:tcPr>
            <w:tcW w:w="1667" w:type="pct"/>
            <w:vAlign w:val="center"/>
          </w:tcPr>
          <w:p w14:paraId="4CD1C277" w14:textId="6A878C0E"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2º Para as coberturas adicionais tratadas no caput não se aplica o disposto no art. 10.</w:t>
            </w:r>
          </w:p>
        </w:tc>
        <w:tc>
          <w:tcPr>
            <w:tcW w:w="1667" w:type="pct"/>
            <w:shd w:val="clear" w:color="auto" w:fill="auto"/>
            <w:noWrap/>
            <w:vAlign w:val="center"/>
            <w:hideMark/>
          </w:tcPr>
          <w:p w14:paraId="5540BB2E" w14:textId="32526B1E"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68</w:t>
            </w:r>
            <w:r w:rsidR="00E5641A" w:rsidRPr="00225EB1">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2F59B831" w14:textId="476FF3B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1F77FCB" w14:textId="77777777" w:rsidTr="00ED7D87">
        <w:tc>
          <w:tcPr>
            <w:tcW w:w="1667" w:type="pct"/>
            <w:vAlign w:val="center"/>
          </w:tcPr>
          <w:p w14:paraId="2677D5BA" w14:textId="543EB5A7"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8º O contrato de seguro para a cobertura do risco referido no inciso III do art. 3º tem por objetivo assegurar o pagamento de renda continuada, nas condições contratadas, após o término do pagamento do benefício pela EFPC.</w:t>
            </w:r>
          </w:p>
        </w:tc>
        <w:tc>
          <w:tcPr>
            <w:tcW w:w="1667" w:type="pct"/>
            <w:shd w:val="clear" w:color="auto" w:fill="auto"/>
            <w:noWrap/>
            <w:vAlign w:val="center"/>
            <w:hideMark/>
          </w:tcPr>
          <w:p w14:paraId="745B20F2" w14:textId="04E86DFF"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48</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43</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após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término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6" w:type="pct"/>
            <w:shd w:val="clear" w:color="auto" w:fill="auto"/>
            <w:noWrap/>
            <w:vAlign w:val="center"/>
          </w:tcPr>
          <w:p w14:paraId="670BD820" w14:textId="04B2C080"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BB274D7" w14:textId="77777777" w:rsidTr="00ED7D87">
        <w:tc>
          <w:tcPr>
            <w:tcW w:w="1667" w:type="pct"/>
            <w:vAlign w:val="center"/>
          </w:tcPr>
          <w:p w14:paraId="2CF1A80A" w14:textId="6F9025D0"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O pagamento do prêmio para cobertura do risco referido no inciso III do art. 3º pode advir das seguintes fontes:</w:t>
            </w:r>
          </w:p>
        </w:tc>
        <w:tc>
          <w:tcPr>
            <w:tcW w:w="1667" w:type="pct"/>
            <w:shd w:val="clear" w:color="auto" w:fill="auto"/>
            <w:noWrap/>
            <w:vAlign w:val="center"/>
            <w:hideMark/>
          </w:tcPr>
          <w:p w14:paraId="2C58D95F" w14:textId="61746B5E"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43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advir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fontes:</w:t>
            </w:r>
          </w:p>
        </w:tc>
        <w:tc>
          <w:tcPr>
            <w:tcW w:w="1666" w:type="pct"/>
            <w:shd w:val="clear" w:color="auto" w:fill="auto"/>
            <w:noWrap/>
            <w:vAlign w:val="center"/>
          </w:tcPr>
          <w:p w14:paraId="6797D279" w14:textId="588F8EB8"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6FB5928" w14:textId="77777777" w:rsidTr="00ED7D87">
        <w:tc>
          <w:tcPr>
            <w:tcW w:w="1667" w:type="pct"/>
            <w:vAlign w:val="center"/>
          </w:tcPr>
          <w:p w14:paraId="715CBBF0" w14:textId="5346939E"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contribuição normal e periódica com finalidade específica;</w:t>
            </w:r>
          </w:p>
        </w:tc>
        <w:tc>
          <w:tcPr>
            <w:tcW w:w="1667" w:type="pct"/>
            <w:shd w:val="clear" w:color="auto" w:fill="auto"/>
            <w:noWrap/>
            <w:vAlign w:val="center"/>
            <w:hideMark/>
          </w:tcPr>
          <w:p w14:paraId="17BDD0A1" w14:textId="5AE2EA8B"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normal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periódica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p>
        </w:tc>
        <w:tc>
          <w:tcPr>
            <w:tcW w:w="1666" w:type="pct"/>
            <w:shd w:val="clear" w:color="auto" w:fill="auto"/>
            <w:noWrap/>
            <w:vAlign w:val="center"/>
            <w:hideMark/>
          </w:tcPr>
          <w:p w14:paraId="67F96935"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835B590" w14:textId="77777777" w:rsidTr="00ED7D87">
        <w:tc>
          <w:tcPr>
            <w:tcW w:w="1667" w:type="pct"/>
            <w:vAlign w:val="center"/>
          </w:tcPr>
          <w:p w14:paraId="2F22FDE1" w14:textId="0FE4CE59"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contribuição em forma de aporte único com finalidade específica; ou</w:t>
            </w:r>
          </w:p>
        </w:tc>
        <w:tc>
          <w:tcPr>
            <w:tcW w:w="1667" w:type="pct"/>
            <w:shd w:val="clear" w:color="auto" w:fill="auto"/>
            <w:noWrap/>
            <w:vAlign w:val="center"/>
            <w:hideMark/>
          </w:tcPr>
          <w:p w14:paraId="5F66062D" w14:textId="17D86F0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aporte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6" w:type="pct"/>
            <w:shd w:val="clear" w:color="auto" w:fill="auto"/>
            <w:noWrap/>
            <w:vAlign w:val="center"/>
            <w:hideMark/>
          </w:tcPr>
          <w:p w14:paraId="6807E248"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69F2064" w14:textId="77777777" w:rsidTr="00ED7D87">
        <w:tc>
          <w:tcPr>
            <w:tcW w:w="1667" w:type="pct"/>
            <w:vAlign w:val="center"/>
          </w:tcPr>
          <w:p w14:paraId="0877DB8E" w14:textId="6C8CF905"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segregação de parcela do saldo de conta total, a partir da concessão do benefício programado previsto no regulamento do plano de benefícios.</w:t>
            </w:r>
          </w:p>
        </w:tc>
        <w:tc>
          <w:tcPr>
            <w:tcW w:w="1667" w:type="pct"/>
            <w:shd w:val="clear" w:color="auto" w:fill="auto"/>
            <w:noWrap/>
            <w:vAlign w:val="center"/>
            <w:hideMark/>
          </w:tcPr>
          <w:p w14:paraId="27F1DCDB" w14:textId="77C47CB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segregação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programado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04B28D8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9C362BA" w14:textId="77777777" w:rsidTr="00ED7D87">
        <w:tc>
          <w:tcPr>
            <w:tcW w:w="1667" w:type="pct"/>
            <w:vAlign w:val="center"/>
          </w:tcPr>
          <w:p w14:paraId="30327EB0" w14:textId="0D5BE639"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9º O contrato de seguro para a cobertura do risco referido no inciso IV do art. 3º tem por objetivo limitar a variabilidade do fluxo de pagamentos dos benefícios decorrentes dos compromissos assumidos perante os participantes e assistidos, de forma isolada ou conjunta, decorrentes de:</w:t>
            </w:r>
          </w:p>
        </w:tc>
        <w:tc>
          <w:tcPr>
            <w:tcW w:w="1667" w:type="pct"/>
            <w:shd w:val="clear" w:color="auto" w:fill="auto"/>
            <w:noWrap/>
            <w:vAlign w:val="center"/>
            <w:hideMark/>
          </w:tcPr>
          <w:p w14:paraId="35919CD2" w14:textId="4299B1A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49</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43 </w:t>
            </w:r>
            <w:r w:rsidRPr="00843426">
              <w:rPr>
                <w:rFonts w:ascii="Calibri" w:eastAsia="Times New Roman" w:hAnsi="Calibri" w:cs="Calibri"/>
                <w:kern w:val="0"/>
                <w:sz w:val="24"/>
                <w:szCs w:val="24"/>
                <w:lang w:eastAsia="pt-BR"/>
                <w14:ligatures w14:val="none"/>
              </w:rPr>
              <w:t>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variabilidade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compromissos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assumidos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isolada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conjunta,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p>
        </w:tc>
        <w:tc>
          <w:tcPr>
            <w:tcW w:w="1666" w:type="pct"/>
            <w:shd w:val="clear" w:color="auto" w:fill="auto"/>
            <w:noWrap/>
            <w:vAlign w:val="center"/>
            <w:hideMark/>
          </w:tcPr>
          <w:p w14:paraId="2E39E8ED" w14:textId="3C8AEC0B"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EAC78B5" w14:textId="77777777" w:rsidTr="00ED7D87">
        <w:tc>
          <w:tcPr>
            <w:tcW w:w="1667" w:type="pct"/>
            <w:vAlign w:val="center"/>
          </w:tcPr>
          <w:p w14:paraId="714DB412" w14:textId="0BD4D7A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 - entrada em invalidez;</w:t>
            </w:r>
          </w:p>
        </w:tc>
        <w:tc>
          <w:tcPr>
            <w:tcW w:w="1667" w:type="pct"/>
            <w:shd w:val="clear" w:color="auto" w:fill="auto"/>
            <w:noWrap/>
            <w:vAlign w:val="center"/>
            <w:hideMark/>
          </w:tcPr>
          <w:p w14:paraId="17C4DE2A" w14:textId="23505C7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p>
        </w:tc>
        <w:tc>
          <w:tcPr>
            <w:tcW w:w="1666" w:type="pct"/>
            <w:shd w:val="clear" w:color="auto" w:fill="auto"/>
            <w:noWrap/>
            <w:vAlign w:val="center"/>
            <w:hideMark/>
          </w:tcPr>
          <w:p w14:paraId="768BBA9C"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24C6307" w14:textId="77777777" w:rsidTr="00ED7D87">
        <w:tc>
          <w:tcPr>
            <w:tcW w:w="1667" w:type="pct"/>
            <w:vAlign w:val="center"/>
          </w:tcPr>
          <w:p w14:paraId="1CA4A928" w14:textId="58CA246D"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mortalidade de inválidos;</w:t>
            </w:r>
          </w:p>
        </w:tc>
        <w:tc>
          <w:tcPr>
            <w:tcW w:w="1667" w:type="pct"/>
            <w:shd w:val="clear" w:color="auto" w:fill="auto"/>
            <w:noWrap/>
            <w:vAlign w:val="center"/>
            <w:hideMark/>
          </w:tcPr>
          <w:p w14:paraId="0BE7BA73" w14:textId="6F5980BF"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inválidos;</w:t>
            </w:r>
          </w:p>
        </w:tc>
        <w:tc>
          <w:tcPr>
            <w:tcW w:w="1666" w:type="pct"/>
            <w:shd w:val="clear" w:color="auto" w:fill="auto"/>
            <w:noWrap/>
            <w:vAlign w:val="center"/>
            <w:hideMark/>
          </w:tcPr>
          <w:p w14:paraId="53E8784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27FD0C5" w14:textId="77777777" w:rsidTr="00ED7D87">
        <w:tc>
          <w:tcPr>
            <w:tcW w:w="1667" w:type="pct"/>
            <w:vAlign w:val="center"/>
          </w:tcPr>
          <w:p w14:paraId="5F7B9A8C" w14:textId="19BF689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mortalidade geral;</w:t>
            </w:r>
          </w:p>
        </w:tc>
        <w:tc>
          <w:tcPr>
            <w:tcW w:w="1667" w:type="pct"/>
            <w:shd w:val="clear" w:color="auto" w:fill="auto"/>
            <w:noWrap/>
            <w:vAlign w:val="center"/>
            <w:hideMark/>
          </w:tcPr>
          <w:p w14:paraId="07976536" w14:textId="757BF01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p>
        </w:tc>
        <w:tc>
          <w:tcPr>
            <w:tcW w:w="1666" w:type="pct"/>
            <w:shd w:val="clear" w:color="auto" w:fill="auto"/>
            <w:noWrap/>
            <w:vAlign w:val="center"/>
            <w:hideMark/>
          </w:tcPr>
          <w:p w14:paraId="561287B5"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3EFFA3C" w14:textId="77777777" w:rsidTr="00ED7D87">
        <w:tc>
          <w:tcPr>
            <w:tcW w:w="1667" w:type="pct"/>
            <w:vAlign w:val="center"/>
          </w:tcPr>
          <w:p w14:paraId="19EA3FA5" w14:textId="35E75A9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sobrevivência de inválidos; ou</w:t>
            </w:r>
          </w:p>
        </w:tc>
        <w:tc>
          <w:tcPr>
            <w:tcW w:w="1667" w:type="pct"/>
            <w:shd w:val="clear" w:color="auto" w:fill="auto"/>
            <w:noWrap/>
            <w:vAlign w:val="center"/>
            <w:hideMark/>
          </w:tcPr>
          <w:p w14:paraId="367CFE88" w14:textId="7F4D0F3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sobrevivência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inválidos;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6" w:type="pct"/>
            <w:shd w:val="clear" w:color="auto" w:fill="auto"/>
            <w:noWrap/>
            <w:vAlign w:val="center"/>
            <w:hideMark/>
          </w:tcPr>
          <w:p w14:paraId="743D7674"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E69EE21" w14:textId="77777777" w:rsidTr="00ED7D87">
        <w:tc>
          <w:tcPr>
            <w:tcW w:w="1667" w:type="pct"/>
            <w:vAlign w:val="center"/>
          </w:tcPr>
          <w:p w14:paraId="28B4D718" w14:textId="6C7E695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sobrevivência geral.</w:t>
            </w:r>
          </w:p>
        </w:tc>
        <w:tc>
          <w:tcPr>
            <w:tcW w:w="1667" w:type="pct"/>
            <w:shd w:val="clear" w:color="auto" w:fill="auto"/>
            <w:noWrap/>
            <w:vAlign w:val="center"/>
            <w:hideMark/>
          </w:tcPr>
          <w:p w14:paraId="2D74C019" w14:textId="1699A491"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sobrevivência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p>
        </w:tc>
        <w:tc>
          <w:tcPr>
            <w:tcW w:w="1666" w:type="pct"/>
            <w:shd w:val="clear" w:color="auto" w:fill="auto"/>
            <w:noWrap/>
            <w:vAlign w:val="center"/>
            <w:hideMark/>
          </w:tcPr>
          <w:p w14:paraId="72FA50D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DD8DD94" w14:textId="77777777" w:rsidTr="00ED7D87">
        <w:tc>
          <w:tcPr>
            <w:tcW w:w="1667" w:type="pct"/>
            <w:vAlign w:val="center"/>
          </w:tcPr>
          <w:p w14:paraId="355728B9" w14:textId="16A3347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1º A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caput.</w:t>
            </w:r>
          </w:p>
        </w:tc>
        <w:tc>
          <w:tcPr>
            <w:tcW w:w="1667" w:type="pct"/>
            <w:shd w:val="clear" w:color="auto" w:fill="auto"/>
            <w:noWrap/>
            <w:vAlign w:val="center"/>
            <w:hideMark/>
          </w:tcPr>
          <w:p w14:paraId="31A2155A" w14:textId="5E9C6394"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econômico-financeira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3219DEE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99FBE65" w14:textId="77777777" w:rsidTr="00ED7D87">
        <w:tc>
          <w:tcPr>
            <w:tcW w:w="1667" w:type="pct"/>
            <w:vAlign w:val="center"/>
          </w:tcPr>
          <w:p w14:paraId="7E8A94B6" w14:textId="6D167C9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2º A cobertura para desvio de hipóteses biométricas pode ser contratada, alternativamente, por meio de seguro de índice biométrico, no qual as indenizações sejam calculadas com base nas taxas biométricas observadas e estimadas.</w:t>
            </w:r>
          </w:p>
        </w:tc>
        <w:tc>
          <w:tcPr>
            <w:tcW w:w="1667" w:type="pct"/>
            <w:shd w:val="clear" w:color="auto" w:fill="auto"/>
            <w:noWrap/>
            <w:vAlign w:val="center"/>
            <w:hideMark/>
          </w:tcPr>
          <w:p w14:paraId="7CF629E2" w14:textId="6976C29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desvio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alternativamente,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índice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estimadas.</w:t>
            </w:r>
          </w:p>
        </w:tc>
        <w:tc>
          <w:tcPr>
            <w:tcW w:w="1666" w:type="pct"/>
            <w:shd w:val="clear" w:color="auto" w:fill="auto"/>
            <w:noWrap/>
            <w:vAlign w:val="center"/>
            <w:hideMark/>
          </w:tcPr>
          <w:p w14:paraId="0AB1B48C"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85073B4" w14:textId="77777777" w:rsidTr="00ED7D87">
        <w:tc>
          <w:tcPr>
            <w:tcW w:w="1667" w:type="pct"/>
            <w:vAlign w:val="center"/>
          </w:tcPr>
          <w:p w14:paraId="70C4A69F" w14:textId="739E53A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11.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tc>
        <w:tc>
          <w:tcPr>
            <w:tcW w:w="1667" w:type="pct"/>
            <w:shd w:val="clear" w:color="auto" w:fill="auto"/>
            <w:noWrap/>
            <w:vAlign w:val="center"/>
            <w:hideMark/>
          </w:tcPr>
          <w:p w14:paraId="1F392240" w14:textId="7EB384B5"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50</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Nenhum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transitar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ressalvada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ausência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vínculo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legislação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aplicável.</w:t>
            </w:r>
          </w:p>
        </w:tc>
        <w:tc>
          <w:tcPr>
            <w:tcW w:w="1666" w:type="pct"/>
            <w:shd w:val="clear" w:color="auto" w:fill="auto"/>
            <w:noWrap/>
            <w:vAlign w:val="center"/>
            <w:hideMark/>
          </w:tcPr>
          <w:p w14:paraId="6DE3B342"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628E778" w14:textId="77777777" w:rsidTr="00ED7D87">
        <w:tc>
          <w:tcPr>
            <w:tcW w:w="1667" w:type="pct"/>
            <w:vAlign w:val="center"/>
          </w:tcPr>
          <w:p w14:paraId="5736F99A" w14:textId="0FB85D1F"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12. Qualquer pagamento da sociedade seguradora à EFPC, que não seja a título de indenização, deve:</w:t>
            </w:r>
          </w:p>
        </w:tc>
        <w:tc>
          <w:tcPr>
            <w:tcW w:w="1667" w:type="pct"/>
            <w:shd w:val="clear" w:color="auto" w:fill="auto"/>
            <w:noWrap/>
            <w:vAlign w:val="center"/>
            <w:hideMark/>
          </w:tcPr>
          <w:p w14:paraId="6F40DC5F" w14:textId="261C293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51</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Qualquer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p>
        </w:tc>
        <w:tc>
          <w:tcPr>
            <w:tcW w:w="1666" w:type="pct"/>
            <w:shd w:val="clear" w:color="auto" w:fill="auto"/>
            <w:noWrap/>
            <w:vAlign w:val="center"/>
            <w:hideMark/>
          </w:tcPr>
          <w:p w14:paraId="265321BF"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6E36169" w14:textId="77777777" w:rsidTr="00ED7D87">
        <w:tc>
          <w:tcPr>
            <w:tcW w:w="1667" w:type="pct"/>
            <w:vAlign w:val="center"/>
          </w:tcPr>
          <w:p w14:paraId="7A711BF5" w14:textId="5A9CC515"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ter previsão contratual;</w:t>
            </w:r>
          </w:p>
        </w:tc>
        <w:tc>
          <w:tcPr>
            <w:tcW w:w="1667" w:type="pct"/>
            <w:shd w:val="clear" w:color="auto" w:fill="auto"/>
            <w:noWrap/>
            <w:vAlign w:val="center"/>
            <w:hideMark/>
          </w:tcPr>
          <w:p w14:paraId="505C6990" w14:textId="7D0B44EC"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contratual;</w:t>
            </w:r>
          </w:p>
        </w:tc>
        <w:tc>
          <w:tcPr>
            <w:tcW w:w="1666" w:type="pct"/>
            <w:shd w:val="clear" w:color="auto" w:fill="auto"/>
            <w:noWrap/>
            <w:vAlign w:val="center"/>
            <w:hideMark/>
          </w:tcPr>
          <w:p w14:paraId="044AABE2"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6F6716B" w14:textId="77777777" w:rsidTr="00ED7D87">
        <w:tc>
          <w:tcPr>
            <w:tcW w:w="1667" w:type="pct"/>
            <w:vAlign w:val="center"/>
          </w:tcPr>
          <w:p w14:paraId="2C20789F" w14:textId="2DE8766A"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ser destinado ao respectivo plano de benefícios; e</w:t>
            </w:r>
          </w:p>
        </w:tc>
        <w:tc>
          <w:tcPr>
            <w:tcW w:w="1667" w:type="pct"/>
            <w:shd w:val="clear" w:color="auto" w:fill="auto"/>
            <w:noWrap/>
            <w:vAlign w:val="center"/>
            <w:hideMark/>
          </w:tcPr>
          <w:p w14:paraId="3B3A9DCF" w14:textId="2270F715"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52C4D1A2"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A3FCAE0" w14:textId="77777777" w:rsidTr="00ED7D87">
        <w:tc>
          <w:tcPr>
            <w:tcW w:w="1667" w:type="pct"/>
            <w:vAlign w:val="center"/>
          </w:tcPr>
          <w:p w14:paraId="42623E77" w14:textId="690768B0"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ser divulgado aos participantes e assistidos no Relatório Anual de Informações.</w:t>
            </w:r>
          </w:p>
        </w:tc>
        <w:tc>
          <w:tcPr>
            <w:tcW w:w="1667" w:type="pct"/>
            <w:shd w:val="clear" w:color="auto" w:fill="auto"/>
            <w:noWrap/>
            <w:vAlign w:val="center"/>
            <w:hideMark/>
          </w:tcPr>
          <w:p w14:paraId="018B630B" w14:textId="53098FC0"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Relatório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p>
        </w:tc>
        <w:tc>
          <w:tcPr>
            <w:tcW w:w="1666" w:type="pct"/>
            <w:shd w:val="clear" w:color="auto" w:fill="auto"/>
            <w:noWrap/>
            <w:vAlign w:val="center"/>
            <w:hideMark/>
          </w:tcPr>
          <w:p w14:paraId="5B635438"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3A3C0C3" w14:textId="77777777" w:rsidTr="00ED7D87">
        <w:tc>
          <w:tcPr>
            <w:tcW w:w="1667" w:type="pct"/>
            <w:vAlign w:val="center"/>
          </w:tcPr>
          <w:p w14:paraId="4AB522C7" w14:textId="55E2AE2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13. A EFPC deve dar publicidade aos participantes e assistidos sobre a contratação do seguro, informando as respectivas condições e formas de acesso, quando houver.</w:t>
            </w:r>
          </w:p>
        </w:tc>
        <w:tc>
          <w:tcPr>
            <w:tcW w:w="1667" w:type="pct"/>
            <w:shd w:val="clear" w:color="auto" w:fill="auto"/>
            <w:noWrap/>
            <w:vAlign w:val="center"/>
            <w:hideMark/>
          </w:tcPr>
          <w:p w14:paraId="04F3733F" w14:textId="6693DFB8"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52</w:t>
            </w:r>
            <w:r w:rsidR="00BC220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publicidade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acesso,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houver.</w:t>
            </w:r>
          </w:p>
        </w:tc>
        <w:tc>
          <w:tcPr>
            <w:tcW w:w="1666" w:type="pct"/>
            <w:shd w:val="clear" w:color="auto" w:fill="auto"/>
            <w:noWrap/>
            <w:vAlign w:val="center"/>
            <w:hideMark/>
          </w:tcPr>
          <w:p w14:paraId="0A98E12D"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900FB5" w:rsidRPr="00225EB1" w14:paraId="26F442ED" w14:textId="77777777" w:rsidTr="00ED7D87">
        <w:tc>
          <w:tcPr>
            <w:tcW w:w="1667" w:type="pct"/>
            <w:vAlign w:val="center"/>
          </w:tcPr>
          <w:p w14:paraId="066552C6" w14:textId="77777777" w:rsidR="00900FB5" w:rsidRPr="00225EB1" w:rsidRDefault="00900FB5" w:rsidP="00900FB5">
            <w:pPr>
              <w:spacing w:after="0" w:line="240" w:lineRule="auto"/>
              <w:jc w:val="center"/>
              <w:rPr>
                <w:rFonts w:ascii="Calibri" w:hAnsi="Calibri" w:cs="Calibri"/>
                <w:b/>
                <w:sz w:val="24"/>
              </w:rPr>
            </w:pPr>
            <w:r w:rsidRPr="00225EB1">
              <w:rPr>
                <w:rFonts w:ascii="Calibri" w:hAnsi="Calibri" w:cs="Calibri"/>
                <w:b/>
                <w:sz w:val="24"/>
              </w:rPr>
              <w:t>Resolução Previc nº 7, de 2022.</w:t>
            </w:r>
          </w:p>
          <w:p w14:paraId="194E28FF" w14:textId="77777777" w:rsidR="00900FB5" w:rsidRPr="00225EB1" w:rsidRDefault="00900FB5"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tcPr>
          <w:p w14:paraId="66878BF6" w14:textId="77777777" w:rsidR="00900FB5" w:rsidRPr="00843426" w:rsidRDefault="00900FB5" w:rsidP="00EB77BF">
            <w:pPr>
              <w:spacing w:after="0" w:line="240" w:lineRule="auto"/>
              <w:jc w:val="center"/>
              <w:rPr>
                <w:rFonts w:ascii="Calibri" w:eastAsia="Times New Roman" w:hAnsi="Calibri" w:cs="Calibri"/>
                <w:b/>
                <w:bCs/>
                <w:kern w:val="0"/>
                <w:sz w:val="24"/>
                <w:szCs w:val="24"/>
                <w:lang w:eastAsia="pt-BR"/>
                <w14:ligatures w14:val="none"/>
              </w:rPr>
            </w:pPr>
          </w:p>
        </w:tc>
        <w:tc>
          <w:tcPr>
            <w:tcW w:w="1666" w:type="pct"/>
            <w:shd w:val="clear" w:color="auto" w:fill="auto"/>
            <w:noWrap/>
            <w:vAlign w:val="center"/>
          </w:tcPr>
          <w:p w14:paraId="79114796" w14:textId="77777777" w:rsidR="00900FB5" w:rsidRPr="00843426" w:rsidRDefault="00900FB5"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182D86D" w14:textId="77777777" w:rsidTr="00ED7D87">
        <w:tc>
          <w:tcPr>
            <w:tcW w:w="1667" w:type="pct"/>
            <w:vAlign w:val="center"/>
          </w:tcPr>
          <w:p w14:paraId="4BB2222C" w14:textId="6BA1330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74487F52" w14:textId="3A4D423E"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IX</w:t>
            </w:r>
          </w:p>
        </w:tc>
        <w:tc>
          <w:tcPr>
            <w:tcW w:w="1666" w:type="pct"/>
            <w:shd w:val="clear" w:color="auto" w:fill="auto"/>
            <w:noWrap/>
            <w:vAlign w:val="center"/>
            <w:hideMark/>
          </w:tcPr>
          <w:p w14:paraId="1C49517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2657D21" w14:textId="77777777" w:rsidTr="00ED7D87">
        <w:tc>
          <w:tcPr>
            <w:tcW w:w="1667" w:type="pct"/>
            <w:vAlign w:val="center"/>
          </w:tcPr>
          <w:p w14:paraId="548C8432" w14:textId="5A1F9D3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Das disposições gerais</w:t>
            </w:r>
          </w:p>
        </w:tc>
        <w:tc>
          <w:tcPr>
            <w:tcW w:w="1667" w:type="pct"/>
            <w:shd w:val="clear" w:color="auto" w:fill="auto"/>
            <w:noWrap/>
            <w:vAlign w:val="center"/>
            <w:hideMark/>
          </w:tcPr>
          <w:p w14:paraId="1B09FE42" w14:textId="47E99E1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Informações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Atuariais</w:t>
            </w:r>
          </w:p>
        </w:tc>
        <w:tc>
          <w:tcPr>
            <w:tcW w:w="1666" w:type="pct"/>
            <w:shd w:val="clear" w:color="auto" w:fill="auto"/>
            <w:noWrap/>
            <w:vAlign w:val="center"/>
            <w:hideMark/>
          </w:tcPr>
          <w:p w14:paraId="696BE9AA"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F9BCAB7" w14:textId="77777777" w:rsidTr="00ED7D87">
        <w:tc>
          <w:tcPr>
            <w:tcW w:w="1667" w:type="pct"/>
            <w:vAlign w:val="center"/>
          </w:tcPr>
          <w:p w14:paraId="6B873FA3" w14:textId="30FA6F08"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1º Esta Resolução estabelece procedimentos para a elaboração das demonstrações atuariais e da nota técnica atuarial dos planos de benefícios administrados pelas entidades fechadas de previdência complementar (EFPC).</w:t>
            </w:r>
          </w:p>
        </w:tc>
        <w:tc>
          <w:tcPr>
            <w:tcW w:w="1667" w:type="pct"/>
            <w:shd w:val="clear" w:color="auto" w:fill="auto"/>
            <w:noWrap/>
            <w:vAlign w:val="center"/>
            <w:hideMark/>
          </w:tcPr>
          <w:p w14:paraId="650AABA4" w14:textId="46DA43FF"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65678E97" w14:textId="3E6F6BBF" w:rsidR="00A6584C" w:rsidRPr="00843426" w:rsidRDefault="001E5561"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Deslocado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p>
        </w:tc>
      </w:tr>
      <w:tr w:rsidR="00225EB1" w:rsidRPr="00225EB1" w14:paraId="68CC96B5" w14:textId="77777777" w:rsidTr="00ED7D87">
        <w:tc>
          <w:tcPr>
            <w:tcW w:w="1667" w:type="pct"/>
            <w:vAlign w:val="center"/>
          </w:tcPr>
          <w:p w14:paraId="2965E932" w14:textId="2C35EFDD"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1º Cabe à Diretoria de Fiscalização e Monitoramento emitir orientações para a operacionalização e o detalhamento do envio de documentos e informações.</w:t>
            </w:r>
          </w:p>
        </w:tc>
        <w:tc>
          <w:tcPr>
            <w:tcW w:w="1667" w:type="pct"/>
            <w:shd w:val="clear" w:color="auto" w:fill="auto"/>
            <w:noWrap/>
            <w:vAlign w:val="center"/>
            <w:hideMark/>
          </w:tcPr>
          <w:p w14:paraId="5DF7732C" w14:textId="5B948AEF"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53</w:t>
            </w:r>
            <w:r w:rsidR="00BC220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Fiscalização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Monitoramento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orientações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operacionalização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detalhamento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p>
        </w:tc>
        <w:tc>
          <w:tcPr>
            <w:tcW w:w="1666" w:type="pct"/>
            <w:shd w:val="clear" w:color="auto" w:fill="auto"/>
            <w:noWrap/>
            <w:vAlign w:val="center"/>
            <w:hideMark/>
          </w:tcPr>
          <w:p w14:paraId="790A4DF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44999C4" w14:textId="77777777" w:rsidTr="00ED7D87">
        <w:tc>
          <w:tcPr>
            <w:tcW w:w="1667" w:type="pct"/>
            <w:vAlign w:val="center"/>
          </w:tcPr>
          <w:p w14:paraId="213D2ADF" w14:textId="26DBF6BD"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 2º O envio de documentos e informações atuariais à Previc deve ser realizado:</w:t>
            </w:r>
          </w:p>
        </w:tc>
        <w:tc>
          <w:tcPr>
            <w:tcW w:w="1667" w:type="pct"/>
            <w:shd w:val="clear" w:color="auto" w:fill="auto"/>
            <w:noWrap/>
            <w:vAlign w:val="center"/>
            <w:hideMark/>
          </w:tcPr>
          <w:p w14:paraId="0A78B069" w14:textId="2FF5D39E"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54</w:t>
            </w:r>
            <w:r w:rsidR="00BC220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realizado:</w:t>
            </w:r>
          </w:p>
        </w:tc>
        <w:tc>
          <w:tcPr>
            <w:tcW w:w="1666" w:type="pct"/>
            <w:shd w:val="clear" w:color="auto" w:fill="auto"/>
            <w:noWrap/>
            <w:vAlign w:val="center"/>
            <w:hideMark/>
          </w:tcPr>
          <w:p w14:paraId="53147007"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F826F5F" w14:textId="77777777" w:rsidTr="00ED7D87">
        <w:tc>
          <w:tcPr>
            <w:tcW w:w="1667" w:type="pct"/>
            <w:vAlign w:val="center"/>
          </w:tcPr>
          <w:p w14:paraId="4D2C7467" w14:textId="034EABF3"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até 31 de março do exercício subsequente, para as demonstrações atuariais relativas ao encerramento do exercício de referência; e</w:t>
            </w:r>
          </w:p>
        </w:tc>
        <w:tc>
          <w:tcPr>
            <w:tcW w:w="1667" w:type="pct"/>
            <w:shd w:val="clear" w:color="auto" w:fill="auto"/>
            <w:noWrap/>
            <w:vAlign w:val="center"/>
            <w:hideMark/>
          </w:tcPr>
          <w:p w14:paraId="02E2B06B" w14:textId="08ED267E"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31</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março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4D96B84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F5ACF70" w14:textId="77777777" w:rsidTr="00ED7D87">
        <w:tc>
          <w:tcPr>
            <w:tcW w:w="1667" w:type="pct"/>
            <w:vAlign w:val="center"/>
          </w:tcPr>
          <w:p w14:paraId="6DE9FEF0" w14:textId="0683BE9D"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até noventa dias após a conclusão do fato que motivou a nova avaliação atuarial, para as demonstrações atuariais por fato relevante.</w:t>
            </w:r>
          </w:p>
        </w:tc>
        <w:tc>
          <w:tcPr>
            <w:tcW w:w="1667" w:type="pct"/>
            <w:shd w:val="clear" w:color="auto" w:fill="auto"/>
            <w:noWrap/>
            <w:vAlign w:val="center"/>
            <w:hideMark/>
          </w:tcPr>
          <w:p w14:paraId="0694CBC8" w14:textId="65A4406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noventa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após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conclusão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motivou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p>
        </w:tc>
        <w:tc>
          <w:tcPr>
            <w:tcW w:w="1666" w:type="pct"/>
            <w:shd w:val="clear" w:color="auto" w:fill="auto"/>
            <w:noWrap/>
            <w:vAlign w:val="center"/>
            <w:hideMark/>
          </w:tcPr>
          <w:p w14:paraId="155A6AC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AFEE869" w14:textId="77777777" w:rsidTr="00ED7D87">
        <w:tc>
          <w:tcPr>
            <w:tcW w:w="1667" w:type="pct"/>
            <w:vAlign w:val="center"/>
          </w:tcPr>
          <w:p w14:paraId="4B631A2D" w14:textId="56AF0A1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2º As demonstrações atuariais referentes ao encerramento do exercício devem ser enviadas à Previc por meio do sistema de captação de dados disponível em sua página eletrônica.</w:t>
            </w:r>
          </w:p>
        </w:tc>
        <w:tc>
          <w:tcPr>
            <w:tcW w:w="1667" w:type="pct"/>
            <w:shd w:val="clear" w:color="auto" w:fill="auto"/>
            <w:noWrap/>
            <w:vAlign w:val="center"/>
            <w:hideMark/>
          </w:tcPr>
          <w:p w14:paraId="0C033102" w14:textId="71B862A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55</w:t>
            </w:r>
            <w:r w:rsidR="00BC220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sistema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captação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disponível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página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eletrônica.</w:t>
            </w:r>
          </w:p>
        </w:tc>
        <w:tc>
          <w:tcPr>
            <w:tcW w:w="1666" w:type="pct"/>
            <w:shd w:val="clear" w:color="auto" w:fill="auto"/>
            <w:noWrap/>
            <w:vAlign w:val="center"/>
            <w:hideMark/>
          </w:tcPr>
          <w:p w14:paraId="717BC27C"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22902F0" w14:textId="77777777" w:rsidTr="00ED7D87">
        <w:tc>
          <w:tcPr>
            <w:tcW w:w="1667" w:type="pct"/>
            <w:vAlign w:val="center"/>
          </w:tcPr>
          <w:p w14:paraId="0A840615" w14:textId="222F5375"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29B1E1FE" w14:textId="1A4A9F5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6" w:type="pct"/>
            <w:shd w:val="clear" w:color="auto" w:fill="auto"/>
            <w:noWrap/>
            <w:vAlign w:val="center"/>
            <w:hideMark/>
          </w:tcPr>
          <w:p w14:paraId="2837A0B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6D88416C" w14:textId="77777777" w:rsidTr="00ED7D87">
        <w:tc>
          <w:tcPr>
            <w:tcW w:w="1667" w:type="pct"/>
            <w:vAlign w:val="center"/>
          </w:tcPr>
          <w:p w14:paraId="24B68B5A" w14:textId="39260E45" w:rsidR="002A49F6" w:rsidRPr="00225EB1" w:rsidRDefault="002A49F6" w:rsidP="002A49F6">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Das demonstrações atuariais</w:t>
            </w:r>
          </w:p>
        </w:tc>
        <w:tc>
          <w:tcPr>
            <w:tcW w:w="1667" w:type="pct"/>
            <w:shd w:val="clear" w:color="auto" w:fill="auto"/>
            <w:noWrap/>
            <w:vAlign w:val="center"/>
            <w:hideMark/>
          </w:tcPr>
          <w:p w14:paraId="61371CF2" w14:textId="54CAB367"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Demonstrações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Atuariais</w:t>
            </w:r>
          </w:p>
        </w:tc>
        <w:tc>
          <w:tcPr>
            <w:tcW w:w="1666" w:type="pct"/>
            <w:shd w:val="clear" w:color="auto" w:fill="auto"/>
            <w:noWrap/>
            <w:vAlign w:val="center"/>
            <w:hideMark/>
          </w:tcPr>
          <w:p w14:paraId="1A5E6B53" w14:textId="77777777"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FA3C4E6" w14:textId="77777777" w:rsidTr="00ED7D87">
        <w:tc>
          <w:tcPr>
            <w:tcW w:w="1667" w:type="pct"/>
            <w:vAlign w:val="center"/>
          </w:tcPr>
          <w:p w14:paraId="43708D28" w14:textId="7A749DC8"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3º Para fins desta Resolução:</w:t>
            </w:r>
          </w:p>
        </w:tc>
        <w:tc>
          <w:tcPr>
            <w:tcW w:w="1667" w:type="pct"/>
            <w:shd w:val="clear" w:color="auto" w:fill="auto"/>
            <w:vAlign w:val="center"/>
            <w:hideMark/>
          </w:tcPr>
          <w:p w14:paraId="5C8A514A" w14:textId="232BC483"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56</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tc>
        <w:tc>
          <w:tcPr>
            <w:tcW w:w="1666" w:type="pct"/>
            <w:shd w:val="clear" w:color="auto" w:fill="auto"/>
            <w:noWrap/>
            <w:vAlign w:val="center"/>
            <w:hideMark/>
          </w:tcPr>
          <w:p w14:paraId="415D66CA"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DF19587" w14:textId="77777777" w:rsidTr="00ED7D87">
        <w:tc>
          <w:tcPr>
            <w:tcW w:w="1667" w:type="pct"/>
            <w:vAlign w:val="center"/>
          </w:tcPr>
          <w:p w14:paraId="5F6806B2" w14:textId="3C963549"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demonstrações atuariais completas são aquelas preenchidas com todas as informações sobre a avaliação atuarial;</w:t>
            </w:r>
          </w:p>
        </w:tc>
        <w:tc>
          <w:tcPr>
            <w:tcW w:w="1667" w:type="pct"/>
            <w:shd w:val="clear" w:color="auto" w:fill="auto"/>
            <w:noWrap/>
            <w:vAlign w:val="center"/>
            <w:hideMark/>
          </w:tcPr>
          <w:p w14:paraId="34035201" w14:textId="2FDB5B74"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completas: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preenchidas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6" w:type="pct"/>
            <w:shd w:val="clear" w:color="auto" w:fill="auto"/>
            <w:noWrap/>
            <w:vAlign w:val="center"/>
            <w:hideMark/>
          </w:tcPr>
          <w:p w14:paraId="7E6DB046"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EBF1964" w14:textId="77777777" w:rsidTr="00ED7D87">
        <w:tc>
          <w:tcPr>
            <w:tcW w:w="1667" w:type="pct"/>
            <w:vAlign w:val="center"/>
          </w:tcPr>
          <w:p w14:paraId="47ED1BF7" w14:textId="7BEE440C"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demonstrações atuariais simplificadas são aquelas preenchidas com informações sobre a avaliação atuarial estabelecidas na forma do § 1º do art. 1º; e</w:t>
            </w:r>
          </w:p>
        </w:tc>
        <w:tc>
          <w:tcPr>
            <w:tcW w:w="1667" w:type="pct"/>
            <w:shd w:val="clear" w:color="auto" w:fill="auto"/>
            <w:noWrap/>
            <w:vAlign w:val="center"/>
            <w:hideMark/>
          </w:tcPr>
          <w:p w14:paraId="385B25AA" w14:textId="6B1D4A82"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simplificadas: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preenchidas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53</w:t>
            </w:r>
            <w:r w:rsidRPr="00225EB1">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1BC0B8B0" w14:textId="0C38513F"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4147BFE" w14:textId="77777777" w:rsidTr="00ED7D87">
        <w:tc>
          <w:tcPr>
            <w:tcW w:w="1667" w:type="pct"/>
            <w:vAlign w:val="center"/>
          </w:tcPr>
          <w:p w14:paraId="5914FBF6" w14:textId="159034C9"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III - grupo de custeio corresponde a qualquer grupo de participantes tratado, em </w:t>
            </w:r>
            <w:r w:rsidRPr="00225EB1">
              <w:rPr>
                <w:rFonts w:ascii="Calibri" w:hAnsi="Calibri" w:cs="Calibri"/>
                <w:sz w:val="24"/>
              </w:rPr>
              <w:lastRenderedPageBreak/>
              <w:t>decorrência das regras do plano de benefícios, mediante a utilização de plano de custeio específico.</w:t>
            </w:r>
          </w:p>
        </w:tc>
        <w:tc>
          <w:tcPr>
            <w:tcW w:w="1667" w:type="pct"/>
            <w:shd w:val="clear" w:color="auto" w:fill="auto"/>
            <w:noWrap/>
            <w:vAlign w:val="center"/>
            <w:hideMark/>
          </w:tcPr>
          <w:p w14:paraId="1EFC32B5" w14:textId="34633E06"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4C31FE0E" w14:textId="5E4F3F59" w:rsidR="002A49F6" w:rsidRPr="00843426" w:rsidRDefault="00B06E1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Deslocado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Conceitos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definições.</w:t>
            </w:r>
          </w:p>
        </w:tc>
      </w:tr>
      <w:tr w:rsidR="00225EB1" w:rsidRPr="00225EB1" w14:paraId="0F3BADE6" w14:textId="77777777" w:rsidTr="00ED7D87">
        <w:tc>
          <w:tcPr>
            <w:tcW w:w="1667" w:type="pct"/>
            <w:vAlign w:val="center"/>
          </w:tcPr>
          <w:p w14:paraId="0823E6BB" w14:textId="0981C941"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4º As demonstrações atuariais devem ser elaboradas nos casos de planos que possuam benefícios concedidos ou a conceder.</w:t>
            </w:r>
          </w:p>
        </w:tc>
        <w:tc>
          <w:tcPr>
            <w:tcW w:w="1667" w:type="pct"/>
            <w:shd w:val="clear" w:color="auto" w:fill="auto"/>
            <w:noWrap/>
            <w:vAlign w:val="center"/>
            <w:hideMark/>
          </w:tcPr>
          <w:p w14:paraId="18000036" w14:textId="28E40191"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57</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p>
        </w:tc>
        <w:tc>
          <w:tcPr>
            <w:tcW w:w="1666" w:type="pct"/>
            <w:shd w:val="clear" w:color="auto" w:fill="auto"/>
            <w:vAlign w:val="center"/>
            <w:hideMark/>
          </w:tcPr>
          <w:p w14:paraId="5314D283" w14:textId="6B8A7752"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Inclusão da palavra “enviadas” p</w:t>
            </w:r>
            <w:r w:rsidRPr="00843426">
              <w:rPr>
                <w:rFonts w:ascii="Calibri" w:eastAsia="Times New Roman" w:hAnsi="Calibri" w:cs="Calibri"/>
                <w:kern w:val="0"/>
                <w:sz w:val="24"/>
                <w:szCs w:val="24"/>
                <w:lang w:eastAsia="pt-BR"/>
                <w14:ligatures w14:val="none"/>
              </w:rPr>
              <w:t xml:space="preserve">ara </w:t>
            </w:r>
            <w:r w:rsidRPr="00225EB1">
              <w:rPr>
                <w:rFonts w:ascii="Calibri" w:eastAsia="Times New Roman" w:hAnsi="Calibri" w:cs="Calibri"/>
                <w:kern w:val="0"/>
                <w:sz w:val="24"/>
                <w:szCs w:val="24"/>
                <w:lang w:eastAsia="pt-BR"/>
                <w14:ligatures w14:val="none"/>
              </w:rPr>
              <w:t>maior clareza de</w:t>
            </w:r>
            <w:r w:rsidRPr="00843426">
              <w:rPr>
                <w:rFonts w:ascii="Calibri" w:eastAsia="Times New Roman" w:hAnsi="Calibri" w:cs="Calibri"/>
                <w:kern w:val="0"/>
                <w:sz w:val="24"/>
                <w:szCs w:val="24"/>
                <w:lang w:eastAsia="pt-BR"/>
                <w14:ligatures w14:val="none"/>
              </w:rPr>
              <w:t xml:space="preserve"> que as DA</w:t>
            </w:r>
            <w:r w:rsidRPr="00225EB1">
              <w:rPr>
                <w:rFonts w:ascii="Calibri" w:eastAsia="Times New Roman" w:hAnsi="Calibri" w:cs="Calibri"/>
                <w:kern w:val="0"/>
                <w:sz w:val="24"/>
                <w:szCs w:val="24"/>
                <w:lang w:eastAsia="pt-BR"/>
                <w14:ligatures w14:val="none"/>
              </w:rPr>
              <w:t>,</w:t>
            </w:r>
            <w:r w:rsidRPr="00843426">
              <w:rPr>
                <w:rFonts w:ascii="Calibri" w:eastAsia="Times New Roman" w:hAnsi="Calibri" w:cs="Calibri"/>
                <w:kern w:val="0"/>
                <w:sz w:val="24"/>
                <w:szCs w:val="24"/>
                <w:lang w:eastAsia="pt-BR"/>
                <w14:ligatures w14:val="none"/>
              </w:rPr>
              <w:t xml:space="preserve"> além de serem elaboradas, </w:t>
            </w:r>
            <w:r w:rsidRPr="00225EB1">
              <w:rPr>
                <w:rFonts w:ascii="Calibri" w:eastAsia="Times New Roman" w:hAnsi="Calibri" w:cs="Calibri"/>
                <w:kern w:val="0"/>
                <w:sz w:val="24"/>
                <w:szCs w:val="24"/>
                <w:lang w:eastAsia="pt-BR"/>
                <w14:ligatures w14:val="none"/>
              </w:rPr>
              <w:t xml:space="preserve">também </w:t>
            </w:r>
            <w:r w:rsidRPr="00843426">
              <w:rPr>
                <w:rFonts w:ascii="Calibri" w:eastAsia="Times New Roman" w:hAnsi="Calibri" w:cs="Calibri"/>
                <w:kern w:val="0"/>
                <w:sz w:val="24"/>
                <w:szCs w:val="24"/>
                <w:lang w:eastAsia="pt-BR"/>
                <w14:ligatures w14:val="none"/>
              </w:rPr>
              <w:t xml:space="preserve">precisam ser enviadas </w:t>
            </w:r>
            <w:r w:rsidRPr="00225EB1">
              <w:rPr>
                <w:rFonts w:ascii="Calibri" w:eastAsia="Times New Roman" w:hAnsi="Calibri" w:cs="Calibri"/>
                <w:kern w:val="0"/>
                <w:sz w:val="24"/>
                <w:szCs w:val="24"/>
                <w:lang w:eastAsia="pt-BR"/>
                <w14:ligatures w14:val="none"/>
              </w:rPr>
              <w:t>à</w:t>
            </w:r>
            <w:r w:rsidRPr="00843426">
              <w:rPr>
                <w:rFonts w:ascii="Calibri" w:eastAsia="Times New Roman" w:hAnsi="Calibri" w:cs="Calibri"/>
                <w:kern w:val="0"/>
                <w:sz w:val="24"/>
                <w:szCs w:val="24"/>
                <w:lang w:eastAsia="pt-BR"/>
                <w14:ligatures w14:val="none"/>
              </w:rPr>
              <w:t xml:space="preserve"> Previc</w:t>
            </w:r>
          </w:p>
        </w:tc>
      </w:tr>
      <w:tr w:rsidR="00225EB1" w:rsidRPr="00225EB1" w14:paraId="67258132" w14:textId="77777777" w:rsidTr="00ED7D87">
        <w:tc>
          <w:tcPr>
            <w:tcW w:w="1667" w:type="pct"/>
            <w:vAlign w:val="center"/>
          </w:tcPr>
          <w:p w14:paraId="31EDA711" w14:textId="48B69618"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elaboração das demonstrações atuariais é facultativa para os planos de benefícios constituídos na modalidade de contribuição definida cujos saldos contábeis sejam nulos nas contas "Benefício Definido" do grupo de contas das provisões matemáticas.</w:t>
            </w:r>
          </w:p>
        </w:tc>
        <w:tc>
          <w:tcPr>
            <w:tcW w:w="1667" w:type="pct"/>
            <w:shd w:val="clear" w:color="auto" w:fill="auto"/>
            <w:noWrap/>
            <w:vAlign w:val="center"/>
            <w:hideMark/>
          </w:tcPr>
          <w:p w14:paraId="6A626C9F" w14:textId="1BA54CA6"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facultativa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constituídos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contábeis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grupo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p>
        </w:tc>
        <w:tc>
          <w:tcPr>
            <w:tcW w:w="1666" w:type="pct"/>
            <w:shd w:val="clear" w:color="auto" w:fill="auto"/>
            <w:vAlign w:val="center"/>
            <w:hideMark/>
          </w:tcPr>
          <w:p w14:paraId="5CEDF18B" w14:textId="3D27A65C"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Inclusão da palavra “envio” para confirmar que as Da,</w:t>
            </w:r>
            <w:r w:rsidRPr="00843426">
              <w:rPr>
                <w:rFonts w:ascii="Calibri" w:eastAsia="Times New Roman" w:hAnsi="Calibri" w:cs="Calibri"/>
                <w:kern w:val="0"/>
                <w:sz w:val="24"/>
                <w:szCs w:val="24"/>
                <w:lang w:eastAsia="pt-BR"/>
                <w14:ligatures w14:val="none"/>
              </w:rPr>
              <w:t xml:space="preserve"> além de serem elaboradas, </w:t>
            </w:r>
            <w:r w:rsidRPr="00225EB1">
              <w:rPr>
                <w:rFonts w:ascii="Calibri" w:eastAsia="Times New Roman" w:hAnsi="Calibri" w:cs="Calibri"/>
                <w:kern w:val="0"/>
                <w:sz w:val="24"/>
                <w:szCs w:val="24"/>
                <w:lang w:eastAsia="pt-BR"/>
                <w14:ligatures w14:val="none"/>
              </w:rPr>
              <w:t xml:space="preserve">também </w:t>
            </w:r>
            <w:r w:rsidRPr="00843426">
              <w:rPr>
                <w:rFonts w:ascii="Calibri" w:eastAsia="Times New Roman" w:hAnsi="Calibri" w:cs="Calibri"/>
                <w:kern w:val="0"/>
                <w:sz w:val="24"/>
                <w:szCs w:val="24"/>
                <w:lang w:eastAsia="pt-BR"/>
                <w14:ligatures w14:val="none"/>
              </w:rPr>
              <w:t xml:space="preserve">precisam ser enviadas </w:t>
            </w:r>
            <w:r w:rsidRPr="00225EB1">
              <w:rPr>
                <w:rFonts w:ascii="Calibri" w:eastAsia="Times New Roman" w:hAnsi="Calibri" w:cs="Calibri"/>
                <w:kern w:val="0"/>
                <w:sz w:val="24"/>
                <w:szCs w:val="24"/>
                <w:lang w:eastAsia="pt-BR"/>
                <w14:ligatures w14:val="none"/>
              </w:rPr>
              <w:t>à</w:t>
            </w:r>
            <w:r w:rsidRPr="00843426">
              <w:rPr>
                <w:rFonts w:ascii="Calibri" w:eastAsia="Times New Roman" w:hAnsi="Calibri" w:cs="Calibri"/>
                <w:kern w:val="0"/>
                <w:sz w:val="24"/>
                <w:szCs w:val="24"/>
                <w:lang w:eastAsia="pt-BR"/>
                <w14:ligatures w14:val="none"/>
              </w:rPr>
              <w:t xml:space="preserve"> Previc</w:t>
            </w:r>
          </w:p>
        </w:tc>
      </w:tr>
      <w:tr w:rsidR="00225EB1" w:rsidRPr="00225EB1" w14:paraId="1F63E94F" w14:textId="77777777" w:rsidTr="00ED7D87">
        <w:tc>
          <w:tcPr>
            <w:tcW w:w="1667" w:type="pct"/>
            <w:vAlign w:val="center"/>
          </w:tcPr>
          <w:p w14:paraId="0B6A62F8" w14:textId="610B42E5"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5º Na ocorrência de fato relevante deve ser realizada nova avaliação atuarial, posicionada na data da efetivação do fato que a motivou.</w:t>
            </w:r>
          </w:p>
        </w:tc>
        <w:tc>
          <w:tcPr>
            <w:tcW w:w="1667" w:type="pct"/>
            <w:shd w:val="clear" w:color="auto" w:fill="auto"/>
            <w:noWrap/>
            <w:vAlign w:val="center"/>
            <w:hideMark/>
          </w:tcPr>
          <w:p w14:paraId="187588A9" w14:textId="230711AE"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58</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posicionada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motivou.</w:t>
            </w:r>
          </w:p>
        </w:tc>
        <w:tc>
          <w:tcPr>
            <w:tcW w:w="1666" w:type="pct"/>
            <w:shd w:val="clear" w:color="auto" w:fill="auto"/>
            <w:noWrap/>
            <w:vAlign w:val="center"/>
            <w:hideMark/>
          </w:tcPr>
          <w:p w14:paraId="700876F6"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CBF7CC1" w14:textId="77777777" w:rsidTr="00ED7D87">
        <w:tc>
          <w:tcPr>
            <w:tcW w:w="1667" w:type="pct"/>
            <w:vAlign w:val="center"/>
          </w:tcPr>
          <w:p w14:paraId="0983B757" w14:textId="200C66EC"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7º As informações contidas nas demonstrações atuariais devem refletir de forma individualizada todos os planos de benefícios mantidos pela EFPC e aprovados pelo órgão competente, na data de referência da avaliação atuarial.</w:t>
            </w:r>
          </w:p>
        </w:tc>
        <w:tc>
          <w:tcPr>
            <w:tcW w:w="1667" w:type="pct"/>
            <w:shd w:val="clear" w:color="auto" w:fill="auto"/>
            <w:noWrap/>
            <w:vAlign w:val="center"/>
            <w:hideMark/>
          </w:tcPr>
          <w:p w14:paraId="3E98CB71" w14:textId="392CEBDB"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59</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refletir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individualizada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órgão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competente,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p>
        </w:tc>
        <w:tc>
          <w:tcPr>
            <w:tcW w:w="1666" w:type="pct"/>
            <w:shd w:val="clear" w:color="auto" w:fill="auto"/>
            <w:noWrap/>
            <w:vAlign w:val="center"/>
            <w:hideMark/>
          </w:tcPr>
          <w:p w14:paraId="06C19036" w14:textId="6D3C9821"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566B7C6" w14:textId="77777777" w:rsidTr="00ED7D87">
        <w:tc>
          <w:tcPr>
            <w:tcW w:w="1667" w:type="pct"/>
            <w:vAlign w:val="center"/>
          </w:tcPr>
          <w:p w14:paraId="1B49CF68" w14:textId="75973F7A"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 xml:space="preserve">O preenchimento das demonstrações atuariais deve ser feito, quando indicado, por grupo de custeio, com </w:t>
            </w:r>
            <w:r w:rsidRPr="00225EB1">
              <w:rPr>
                <w:rFonts w:ascii="Calibri" w:hAnsi="Calibri" w:cs="Calibri"/>
                <w:sz w:val="24"/>
              </w:rPr>
              <w:lastRenderedPageBreak/>
              <w:t>identificação por numeração sequencial que não pode ser alterada com o tempo.</w:t>
            </w:r>
          </w:p>
        </w:tc>
        <w:tc>
          <w:tcPr>
            <w:tcW w:w="1667" w:type="pct"/>
            <w:shd w:val="clear" w:color="auto" w:fill="auto"/>
            <w:noWrap/>
            <w:vAlign w:val="center"/>
            <w:hideMark/>
          </w:tcPr>
          <w:p w14:paraId="3A95DEA8" w14:textId="72B80D5C"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preenchimento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grupo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identificação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numeração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sequencial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tempo.</w:t>
            </w:r>
          </w:p>
        </w:tc>
        <w:tc>
          <w:tcPr>
            <w:tcW w:w="1666" w:type="pct"/>
            <w:shd w:val="clear" w:color="auto" w:fill="auto"/>
            <w:noWrap/>
            <w:vAlign w:val="center"/>
            <w:hideMark/>
          </w:tcPr>
          <w:p w14:paraId="228BA993"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59FEFAC" w14:textId="77777777" w:rsidTr="00ED7D87">
        <w:tc>
          <w:tcPr>
            <w:tcW w:w="1667" w:type="pct"/>
            <w:vAlign w:val="center"/>
          </w:tcPr>
          <w:p w14:paraId="1C32B52B" w14:textId="3F848324"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6º As demonstrações atuariais devem ser enviadas ao patrocinador do plano de benefícios antes do início de vigência do plano de custeio.</w:t>
            </w:r>
          </w:p>
        </w:tc>
        <w:tc>
          <w:tcPr>
            <w:tcW w:w="1667" w:type="pct"/>
            <w:shd w:val="clear" w:color="auto" w:fill="auto"/>
            <w:noWrap/>
            <w:vAlign w:val="center"/>
            <w:hideMark/>
          </w:tcPr>
          <w:p w14:paraId="64361EB0" w14:textId="53B48C31"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60</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p>
        </w:tc>
        <w:tc>
          <w:tcPr>
            <w:tcW w:w="1666" w:type="pct"/>
            <w:shd w:val="clear" w:color="auto" w:fill="auto"/>
            <w:noWrap/>
            <w:vAlign w:val="center"/>
            <w:hideMark/>
          </w:tcPr>
          <w:p w14:paraId="0B44404D"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DADA72B" w14:textId="77777777" w:rsidTr="00ED7D87">
        <w:tc>
          <w:tcPr>
            <w:tcW w:w="1667" w:type="pct"/>
            <w:vAlign w:val="center"/>
          </w:tcPr>
          <w:p w14:paraId="66BFEDE2" w14:textId="175063D7"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1º O plano de custeio estabelecido pela avaliação atuarial de encerramento de exercício deve entrar em vigor até o dia 1º de abril do exercício seguinte ao de referência da respectiva avaliação atuarial.</w:t>
            </w:r>
          </w:p>
        </w:tc>
        <w:tc>
          <w:tcPr>
            <w:tcW w:w="1667" w:type="pct"/>
            <w:shd w:val="clear" w:color="auto" w:fill="auto"/>
            <w:noWrap/>
            <w:vAlign w:val="center"/>
            <w:hideMark/>
          </w:tcPr>
          <w:p w14:paraId="5EDC95B6" w14:textId="6A7DE6CB"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abril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p>
        </w:tc>
        <w:tc>
          <w:tcPr>
            <w:tcW w:w="1666" w:type="pct"/>
            <w:shd w:val="clear" w:color="auto" w:fill="auto"/>
            <w:vAlign w:val="center"/>
            <w:hideMark/>
          </w:tcPr>
          <w:p w14:paraId="4F685A5B"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Substituir a palavra "seguinte" por "subsequente" para conferir paralelismo à norma, uma vez que o segundo termo é o utilizado em outros dispositivos.</w:t>
            </w:r>
          </w:p>
        </w:tc>
      </w:tr>
      <w:tr w:rsidR="00225EB1" w:rsidRPr="00225EB1" w14:paraId="2E548C60" w14:textId="77777777" w:rsidTr="00ED7D87">
        <w:tc>
          <w:tcPr>
            <w:tcW w:w="1667" w:type="pct"/>
            <w:vAlign w:val="center"/>
          </w:tcPr>
          <w:p w14:paraId="4F506B96" w14:textId="28940AED"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2º O estabelecimento de plano de custeio com efeitos retroativos ao início do exercício é admitido, desde que haja expressa concordância do patrocinador.</w:t>
            </w:r>
          </w:p>
        </w:tc>
        <w:tc>
          <w:tcPr>
            <w:tcW w:w="1667" w:type="pct"/>
            <w:shd w:val="clear" w:color="auto" w:fill="auto"/>
            <w:noWrap/>
            <w:vAlign w:val="center"/>
            <w:hideMark/>
          </w:tcPr>
          <w:p w14:paraId="07D24E6D" w14:textId="2B8AFD5B"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admitido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efeitos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retroativos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w:t>
            </w:r>
            <w:r w:rsidRPr="00225EB1">
              <w:rPr>
                <w:rFonts w:ascii="Calibri" w:eastAsia="Times New Roman" w:hAnsi="Calibri" w:cs="Calibri"/>
                <w:kern w:val="0"/>
                <w:sz w:val="24"/>
                <w:szCs w:val="24"/>
                <w:lang w:eastAsia="pt-BR"/>
                <w14:ligatures w14:val="none"/>
              </w:rPr>
              <w:t>ício</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haja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expressa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concordância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p>
        </w:tc>
        <w:tc>
          <w:tcPr>
            <w:tcW w:w="1666" w:type="pct"/>
            <w:shd w:val="clear" w:color="auto" w:fill="auto"/>
            <w:vAlign w:val="center"/>
            <w:hideMark/>
          </w:tcPr>
          <w:p w14:paraId="2A1769A4" w14:textId="7CF8F5D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Trazer o termo “É admitido” para início do parágrafo para conferir ordem direta do texto.</w:t>
            </w:r>
          </w:p>
        </w:tc>
      </w:tr>
      <w:tr w:rsidR="00225EB1" w:rsidRPr="00225EB1" w14:paraId="7B1BA7FC" w14:textId="77777777" w:rsidTr="00ED7D87">
        <w:tc>
          <w:tcPr>
            <w:tcW w:w="1667" w:type="pct"/>
            <w:vAlign w:val="center"/>
          </w:tcPr>
          <w:p w14:paraId="62BB824E" w14:textId="42BC3613"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3º No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tc>
        <w:tc>
          <w:tcPr>
            <w:tcW w:w="1667" w:type="pct"/>
            <w:shd w:val="clear" w:color="auto" w:fill="auto"/>
            <w:noWrap/>
            <w:vAlign w:val="center"/>
            <w:hideMark/>
          </w:tcPr>
          <w:p w14:paraId="18A796E2" w14:textId="29CB6BAE"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União,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Distrito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Municípios,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inclusive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autarquias,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economia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mista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empresas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controladas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indiretamente.</w:t>
            </w:r>
          </w:p>
        </w:tc>
        <w:tc>
          <w:tcPr>
            <w:tcW w:w="1666" w:type="pct"/>
            <w:shd w:val="clear" w:color="auto" w:fill="auto"/>
            <w:vAlign w:val="center"/>
            <w:hideMark/>
          </w:tcPr>
          <w:p w14:paraId="7054151F" w14:textId="309391A0"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04A31DF" w14:textId="77777777" w:rsidTr="00ED7D87">
        <w:tc>
          <w:tcPr>
            <w:tcW w:w="1667" w:type="pct"/>
            <w:vAlign w:val="center"/>
          </w:tcPr>
          <w:p w14:paraId="71C12E34" w14:textId="3938443D" w:rsidR="002A49F6" w:rsidRPr="00225EB1" w:rsidRDefault="002A49F6" w:rsidP="002A49F6">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4E38DE68" w14:textId="133C3EB7"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6" w:type="pct"/>
            <w:shd w:val="clear" w:color="auto" w:fill="auto"/>
            <w:noWrap/>
            <w:vAlign w:val="center"/>
            <w:hideMark/>
          </w:tcPr>
          <w:p w14:paraId="76B912C5" w14:textId="77777777"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4C8F13F" w14:textId="77777777" w:rsidTr="00ED7D87">
        <w:tc>
          <w:tcPr>
            <w:tcW w:w="1667" w:type="pct"/>
            <w:vAlign w:val="center"/>
          </w:tcPr>
          <w:p w14:paraId="5A80E2CF" w14:textId="3E9E9A79" w:rsidR="002A49F6" w:rsidRPr="00225EB1" w:rsidRDefault="002A49F6" w:rsidP="002A49F6">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4FFDCEE7" w14:textId="46DB525C"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Avaliação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Atuarial</w:t>
            </w:r>
          </w:p>
        </w:tc>
        <w:tc>
          <w:tcPr>
            <w:tcW w:w="1666" w:type="pct"/>
            <w:shd w:val="clear" w:color="auto" w:fill="auto"/>
            <w:noWrap/>
            <w:vAlign w:val="center"/>
            <w:hideMark/>
          </w:tcPr>
          <w:p w14:paraId="56F7595F" w14:textId="77777777"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AC9B2ED" w14:textId="77777777" w:rsidTr="00ED7D87">
        <w:tc>
          <w:tcPr>
            <w:tcW w:w="1667" w:type="pct"/>
            <w:vAlign w:val="center"/>
          </w:tcPr>
          <w:p w14:paraId="55942DC1" w14:textId="4F122DF6"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8º A data de referência dos dados cadastrais utilizados na avaliação atuarial não </w:t>
            </w:r>
            <w:r w:rsidRPr="00225EB1">
              <w:rPr>
                <w:rFonts w:ascii="Calibri" w:hAnsi="Calibri" w:cs="Calibri"/>
                <w:sz w:val="24"/>
              </w:rPr>
              <w:lastRenderedPageBreak/>
              <w:t>pode estar defasada em mais de seis meses em relação à data da avaliação.</w:t>
            </w:r>
          </w:p>
        </w:tc>
        <w:tc>
          <w:tcPr>
            <w:tcW w:w="1667" w:type="pct"/>
            <w:shd w:val="clear" w:color="auto" w:fill="auto"/>
            <w:noWrap/>
            <w:vAlign w:val="center"/>
            <w:hideMark/>
          </w:tcPr>
          <w:p w14:paraId="1C8757F3" w14:textId="4430143B"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61</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cadastrais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defasada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p>
        </w:tc>
        <w:tc>
          <w:tcPr>
            <w:tcW w:w="1666" w:type="pct"/>
            <w:shd w:val="clear" w:color="auto" w:fill="auto"/>
            <w:noWrap/>
            <w:vAlign w:val="center"/>
            <w:hideMark/>
          </w:tcPr>
          <w:p w14:paraId="0F45D322"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7C121A0" w14:textId="77777777" w:rsidTr="00ED7D87">
        <w:tc>
          <w:tcPr>
            <w:tcW w:w="1667" w:type="pct"/>
            <w:vAlign w:val="center"/>
          </w:tcPr>
          <w:p w14:paraId="53C3B801" w14:textId="73701488"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1º Os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tc>
        <w:tc>
          <w:tcPr>
            <w:tcW w:w="1667" w:type="pct"/>
            <w:shd w:val="clear" w:color="auto" w:fill="auto"/>
            <w:noWrap/>
            <w:vAlign w:val="center"/>
            <w:hideMark/>
          </w:tcPr>
          <w:p w14:paraId="548EF955" w14:textId="4EFE8179"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cadastrais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serviram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permanecer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arquivados,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inclusive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nomes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campos,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solicitado,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planilha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eletrônica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comum.</w:t>
            </w:r>
          </w:p>
        </w:tc>
        <w:tc>
          <w:tcPr>
            <w:tcW w:w="1666" w:type="pct"/>
            <w:shd w:val="clear" w:color="auto" w:fill="auto"/>
            <w:noWrap/>
            <w:vAlign w:val="center"/>
            <w:hideMark/>
          </w:tcPr>
          <w:p w14:paraId="0C001310"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93A546B" w14:textId="77777777" w:rsidTr="00ED7D87">
        <w:tc>
          <w:tcPr>
            <w:tcW w:w="1667" w:type="pct"/>
            <w:vAlign w:val="center"/>
          </w:tcPr>
          <w:p w14:paraId="093C1803" w14:textId="36F59449"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 2º Sem prejuízo do disposto no caput, no caso de plano de benefícios que tenha passado por alteração nos últimos doze meses em decorrência de retirada de patrocínio, </w:t>
            </w:r>
            <w:proofErr w:type="spellStart"/>
            <w:r w:rsidRPr="00225EB1">
              <w:rPr>
                <w:rFonts w:ascii="Calibri" w:hAnsi="Calibri" w:cs="Calibri"/>
                <w:sz w:val="24"/>
              </w:rPr>
              <w:t>saldamento</w:t>
            </w:r>
            <w:proofErr w:type="spellEnd"/>
            <w:r w:rsidRPr="00225EB1">
              <w:rPr>
                <w:rFonts w:ascii="Calibri" w:hAnsi="Calibri" w:cs="Calibri"/>
                <w:sz w:val="24"/>
              </w:rPr>
              <w:t>, fusão, cisão, incorporação, ou qualquer outra forma de reorganização societária, a data de referência dos dados cadastrais não pode ser anterior à data da efetivação da operação.</w:t>
            </w:r>
          </w:p>
        </w:tc>
        <w:tc>
          <w:tcPr>
            <w:tcW w:w="1667" w:type="pct"/>
            <w:shd w:val="clear" w:color="auto" w:fill="auto"/>
            <w:noWrap/>
            <w:vAlign w:val="center"/>
            <w:hideMark/>
          </w:tcPr>
          <w:p w14:paraId="392F8C8E" w14:textId="3CD0F612"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prejuízo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últimos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doze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retirada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patrocínio,</w:t>
            </w:r>
            <w:r w:rsidR="009068E9">
              <w:rPr>
                <w:rFonts w:ascii="Calibri" w:eastAsia="Times New Roman" w:hAnsi="Calibri" w:cs="Calibri"/>
                <w:kern w:val="0"/>
                <w:sz w:val="24"/>
                <w:szCs w:val="24"/>
                <w:lang w:eastAsia="pt-BR"/>
                <w14:ligatures w14:val="none"/>
              </w:rPr>
              <w:t xml:space="preserve"> </w:t>
            </w:r>
            <w:proofErr w:type="spellStart"/>
            <w:r w:rsidRPr="00843426">
              <w:rPr>
                <w:rFonts w:ascii="Calibri" w:eastAsia="Times New Roman" w:hAnsi="Calibri" w:cs="Calibri"/>
                <w:kern w:val="0"/>
                <w:sz w:val="24"/>
                <w:szCs w:val="24"/>
                <w:lang w:eastAsia="pt-BR"/>
                <w14:ligatures w14:val="none"/>
              </w:rPr>
              <w:t>saldamento</w:t>
            </w:r>
            <w:proofErr w:type="spellEnd"/>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incorporação,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qualquer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reorganização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societária,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cadastrais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operação.</w:t>
            </w:r>
          </w:p>
        </w:tc>
        <w:tc>
          <w:tcPr>
            <w:tcW w:w="1666" w:type="pct"/>
            <w:shd w:val="clear" w:color="auto" w:fill="auto"/>
            <w:noWrap/>
            <w:vAlign w:val="center"/>
            <w:hideMark/>
          </w:tcPr>
          <w:p w14:paraId="702FF555"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EEEA1B5" w14:textId="77777777" w:rsidTr="00ED7D87">
        <w:tc>
          <w:tcPr>
            <w:tcW w:w="1667" w:type="pct"/>
            <w:vAlign w:val="center"/>
          </w:tcPr>
          <w:p w14:paraId="2B5D0F83" w14:textId="5C294D15"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9º Os valores de provisões matemáticas, déficits, superávits e fundos previdenciais apresentados nas demonstrações atuariais, por ocasião da avaliação atuarial de encerramento do exercício, consolidados pela EFPC, devem coincidir com os valores do balanço patrimonial.</w:t>
            </w:r>
          </w:p>
        </w:tc>
        <w:tc>
          <w:tcPr>
            <w:tcW w:w="1667" w:type="pct"/>
            <w:shd w:val="clear" w:color="auto" w:fill="auto"/>
            <w:noWrap/>
            <w:vAlign w:val="center"/>
            <w:hideMark/>
          </w:tcPr>
          <w:p w14:paraId="47D94626" w14:textId="48EDE175"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62</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r w:rsidR="00A9071B"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9071B" w:rsidRPr="00843426">
              <w:rPr>
                <w:rFonts w:ascii="Calibri" w:eastAsia="Times New Roman" w:hAnsi="Calibri" w:cs="Calibri"/>
                <w:kern w:val="0"/>
                <w:sz w:val="24"/>
                <w:szCs w:val="24"/>
                <w:lang w:eastAsia="pt-BR"/>
                <w14:ligatures w14:val="none"/>
              </w:rPr>
              <w:t>consolidados</w:t>
            </w:r>
            <w:r w:rsidR="009068E9">
              <w:rPr>
                <w:rFonts w:ascii="Calibri" w:eastAsia="Times New Roman" w:hAnsi="Calibri" w:cs="Calibri"/>
                <w:kern w:val="0"/>
                <w:sz w:val="24"/>
                <w:szCs w:val="24"/>
                <w:lang w:eastAsia="pt-BR"/>
                <w14:ligatures w14:val="none"/>
              </w:rPr>
              <w:t xml:space="preserve"> </w:t>
            </w:r>
            <w:r w:rsidR="00A9071B"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00A9071B"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ocasião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A9071B">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coincidir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balanço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patrimonial.</w:t>
            </w:r>
          </w:p>
        </w:tc>
        <w:tc>
          <w:tcPr>
            <w:tcW w:w="1666" w:type="pct"/>
            <w:shd w:val="clear" w:color="auto" w:fill="auto"/>
            <w:noWrap/>
            <w:vAlign w:val="center"/>
            <w:hideMark/>
          </w:tcPr>
          <w:p w14:paraId="756503D5" w14:textId="42BD26DA" w:rsidR="002A49F6" w:rsidRPr="00843426" w:rsidRDefault="00A9071B" w:rsidP="002A49F6">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redacional.</w:t>
            </w:r>
          </w:p>
        </w:tc>
      </w:tr>
      <w:tr w:rsidR="00225EB1" w:rsidRPr="00225EB1" w14:paraId="4A612CBE" w14:textId="77777777" w:rsidTr="00ED7D87">
        <w:tc>
          <w:tcPr>
            <w:tcW w:w="1667" w:type="pct"/>
            <w:vAlign w:val="center"/>
          </w:tcPr>
          <w:p w14:paraId="370E0A00" w14:textId="20D799AF"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10. A expectativa de evolução das taxas de contribuição do plano de benefícios deve constar da avaliação atuarial anual.</w:t>
            </w:r>
          </w:p>
        </w:tc>
        <w:tc>
          <w:tcPr>
            <w:tcW w:w="1667" w:type="pct"/>
            <w:shd w:val="clear" w:color="auto" w:fill="auto"/>
            <w:noWrap/>
            <w:vAlign w:val="center"/>
            <w:hideMark/>
          </w:tcPr>
          <w:p w14:paraId="4C863D1A" w14:textId="7590290D"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63</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expectativa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evolução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A9071B">
              <w:rPr>
                <w:rFonts w:ascii="Calibri" w:eastAsia="Times New Roman" w:hAnsi="Calibri" w:cs="Calibri"/>
                <w:kern w:val="0"/>
                <w:sz w:val="24"/>
                <w:szCs w:val="24"/>
                <w:lang w:eastAsia="pt-BR"/>
                <w14:ligatures w14:val="none"/>
              </w:rPr>
              <w:t>.</w:t>
            </w:r>
          </w:p>
        </w:tc>
        <w:tc>
          <w:tcPr>
            <w:tcW w:w="1666" w:type="pct"/>
            <w:shd w:val="clear" w:color="auto" w:fill="auto"/>
            <w:noWrap/>
            <w:vAlign w:val="center"/>
            <w:hideMark/>
          </w:tcPr>
          <w:p w14:paraId="54E2F64C" w14:textId="25243939" w:rsidR="002A49F6" w:rsidRPr="00843426" w:rsidRDefault="00A9071B" w:rsidP="002A49F6">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redacional para acompanhar demais dispositivos que estabelecem apenas “avaliação atuarial”.</w:t>
            </w:r>
          </w:p>
        </w:tc>
      </w:tr>
      <w:tr w:rsidR="00225EB1" w:rsidRPr="00225EB1" w14:paraId="7F467538" w14:textId="77777777" w:rsidTr="00ED7D87">
        <w:tc>
          <w:tcPr>
            <w:tcW w:w="1667" w:type="pct"/>
            <w:vAlign w:val="center"/>
          </w:tcPr>
          <w:p w14:paraId="3318E532" w14:textId="60236A46"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11. A destinação das contribuições para o plano de benefícios deve ser discriminada na avaliação atuarial.</w:t>
            </w:r>
          </w:p>
        </w:tc>
        <w:tc>
          <w:tcPr>
            <w:tcW w:w="1667" w:type="pct"/>
            <w:shd w:val="clear" w:color="auto" w:fill="auto"/>
            <w:noWrap/>
            <w:vAlign w:val="center"/>
            <w:hideMark/>
          </w:tcPr>
          <w:p w14:paraId="14CC6443" w14:textId="4A3F6A2C"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64</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discriminada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p>
        </w:tc>
        <w:tc>
          <w:tcPr>
            <w:tcW w:w="1666" w:type="pct"/>
            <w:shd w:val="clear" w:color="auto" w:fill="auto"/>
            <w:noWrap/>
            <w:vAlign w:val="center"/>
            <w:hideMark/>
          </w:tcPr>
          <w:p w14:paraId="002F1305"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2287D6F" w14:textId="77777777" w:rsidTr="00ED7D87">
        <w:tc>
          <w:tcPr>
            <w:tcW w:w="1667" w:type="pct"/>
            <w:vAlign w:val="center"/>
          </w:tcPr>
          <w:p w14:paraId="66C17BF4" w14:textId="248E2F92"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12. Os relatórios complementares apresentados pelo atuário à diretoria executiva ou aos conselhos devem ser arquivados em conjunto com as demonstrações atuariais e apresentados à Previc, quando solicitado.</w:t>
            </w:r>
          </w:p>
        </w:tc>
        <w:tc>
          <w:tcPr>
            <w:tcW w:w="1667" w:type="pct"/>
            <w:shd w:val="clear" w:color="auto" w:fill="auto"/>
            <w:noWrap/>
            <w:vAlign w:val="center"/>
            <w:hideMark/>
          </w:tcPr>
          <w:p w14:paraId="6702BF0E" w14:textId="5119505F"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65</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relatórios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complementares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arquivados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conjunto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solicitado.</w:t>
            </w:r>
          </w:p>
        </w:tc>
        <w:tc>
          <w:tcPr>
            <w:tcW w:w="1666" w:type="pct"/>
            <w:shd w:val="clear" w:color="auto" w:fill="auto"/>
            <w:noWrap/>
            <w:vAlign w:val="center"/>
            <w:hideMark/>
          </w:tcPr>
          <w:p w14:paraId="6F68782B"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EFDE425" w14:textId="77777777" w:rsidTr="00ED7D87">
        <w:tc>
          <w:tcPr>
            <w:tcW w:w="1667" w:type="pct"/>
            <w:vAlign w:val="center"/>
          </w:tcPr>
          <w:p w14:paraId="05BB3043" w14:textId="6598E447" w:rsidR="002A49F6" w:rsidRPr="00225EB1" w:rsidRDefault="002A49F6" w:rsidP="002A49F6">
            <w:pPr>
              <w:spacing w:after="0" w:line="240" w:lineRule="auto"/>
              <w:jc w:val="center"/>
              <w:rPr>
                <w:rFonts w:ascii="Calibri" w:eastAsia="Times New Roman" w:hAnsi="Calibri" w:cs="Calibri"/>
                <w:b/>
                <w:bCs/>
                <w:kern w:val="0"/>
                <w:sz w:val="24"/>
                <w:szCs w:val="24"/>
                <w:lang w:eastAsia="pt-BR"/>
                <w14:ligatures w14:val="none"/>
              </w:rPr>
            </w:pPr>
          </w:p>
        </w:tc>
        <w:tc>
          <w:tcPr>
            <w:tcW w:w="1667" w:type="pct"/>
            <w:shd w:val="clear" w:color="auto" w:fill="auto"/>
            <w:noWrap/>
            <w:vAlign w:val="center"/>
            <w:hideMark/>
          </w:tcPr>
          <w:p w14:paraId="4770C1C6" w14:textId="1E1F001D"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tc>
        <w:tc>
          <w:tcPr>
            <w:tcW w:w="1666" w:type="pct"/>
            <w:shd w:val="clear" w:color="auto" w:fill="auto"/>
            <w:noWrap/>
            <w:vAlign w:val="center"/>
            <w:hideMark/>
          </w:tcPr>
          <w:p w14:paraId="4BC6A46B" w14:textId="77777777"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22DB5954" w14:textId="77777777" w:rsidTr="00ED7D87">
        <w:tc>
          <w:tcPr>
            <w:tcW w:w="1667" w:type="pct"/>
            <w:vAlign w:val="center"/>
          </w:tcPr>
          <w:p w14:paraId="1E277512" w14:textId="59AA3A56" w:rsidR="002A49F6" w:rsidRPr="00225EB1" w:rsidRDefault="002A49F6" w:rsidP="002A49F6">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nota técnica atuarial</w:t>
            </w:r>
          </w:p>
        </w:tc>
        <w:tc>
          <w:tcPr>
            <w:tcW w:w="1667" w:type="pct"/>
            <w:shd w:val="clear" w:color="auto" w:fill="auto"/>
            <w:noWrap/>
            <w:vAlign w:val="center"/>
            <w:hideMark/>
          </w:tcPr>
          <w:p w14:paraId="169A80E2" w14:textId="025E5B05"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Nota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Técnica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Atuarial</w:t>
            </w:r>
          </w:p>
        </w:tc>
        <w:tc>
          <w:tcPr>
            <w:tcW w:w="1666" w:type="pct"/>
            <w:shd w:val="clear" w:color="auto" w:fill="auto"/>
            <w:noWrap/>
            <w:vAlign w:val="center"/>
            <w:hideMark/>
          </w:tcPr>
          <w:p w14:paraId="404F2EE0" w14:textId="77777777" w:rsidR="002A49F6" w:rsidRPr="00843426" w:rsidRDefault="002A49F6" w:rsidP="002A49F6">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3876808" w14:textId="77777777" w:rsidTr="00ED7D87">
        <w:tc>
          <w:tcPr>
            <w:tcW w:w="1667" w:type="pct"/>
            <w:vAlign w:val="center"/>
          </w:tcPr>
          <w:p w14:paraId="2CC97BEA" w14:textId="1E27F35B"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13. A nota técnica atuarial consiste em documento técnico elaborado por atuário devidamente habilitado, em observância à modelagem do plano de benefícios.</w:t>
            </w:r>
          </w:p>
        </w:tc>
        <w:tc>
          <w:tcPr>
            <w:tcW w:w="1667" w:type="pct"/>
            <w:shd w:val="clear" w:color="auto" w:fill="auto"/>
            <w:noWrap/>
            <w:vAlign w:val="center"/>
            <w:hideMark/>
          </w:tcPr>
          <w:p w14:paraId="40697C2B" w14:textId="02D6D75B"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29CD475A" w14:textId="215716D7" w:rsidR="002A49F6" w:rsidRPr="00843426" w:rsidRDefault="001E5561" w:rsidP="002A49F6">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225EB1" w:rsidRPr="00225EB1" w14:paraId="62D632DC" w14:textId="77777777" w:rsidTr="00ED7D87">
        <w:tc>
          <w:tcPr>
            <w:tcW w:w="1667" w:type="pct"/>
            <w:vAlign w:val="center"/>
          </w:tcPr>
          <w:p w14:paraId="73B55B82" w14:textId="5826C0D1"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14. A nota técnica atuarial deve:</w:t>
            </w:r>
          </w:p>
        </w:tc>
        <w:tc>
          <w:tcPr>
            <w:tcW w:w="1667" w:type="pct"/>
            <w:shd w:val="clear" w:color="auto" w:fill="auto"/>
            <w:noWrap/>
            <w:vAlign w:val="center"/>
            <w:hideMark/>
          </w:tcPr>
          <w:p w14:paraId="31D11190" w14:textId="1D603898"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66</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p>
        </w:tc>
        <w:tc>
          <w:tcPr>
            <w:tcW w:w="1666" w:type="pct"/>
            <w:shd w:val="clear" w:color="auto" w:fill="auto"/>
            <w:noWrap/>
            <w:vAlign w:val="center"/>
            <w:hideMark/>
          </w:tcPr>
          <w:p w14:paraId="3C9B89C5"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03A5A50" w14:textId="77777777" w:rsidTr="00ED7D87">
        <w:tc>
          <w:tcPr>
            <w:tcW w:w="1667" w:type="pct"/>
            <w:vAlign w:val="center"/>
          </w:tcPr>
          <w:p w14:paraId="6ACB1AA2" w14:textId="1B208BBD"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estar atualizada e consistente com o regulamento do plano de benefícios;</w:t>
            </w:r>
          </w:p>
        </w:tc>
        <w:tc>
          <w:tcPr>
            <w:tcW w:w="1667" w:type="pct"/>
            <w:shd w:val="clear" w:color="auto" w:fill="auto"/>
            <w:noWrap/>
            <w:vAlign w:val="center"/>
            <w:hideMark/>
          </w:tcPr>
          <w:p w14:paraId="2989BB39" w14:textId="4937E8CE"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consistente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23E03A86"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2963968" w14:textId="77777777" w:rsidTr="00ED7D87">
        <w:tc>
          <w:tcPr>
            <w:tcW w:w="1667" w:type="pct"/>
            <w:vAlign w:val="center"/>
          </w:tcPr>
          <w:p w14:paraId="15A6F85F" w14:textId="1B33FCEB"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ser elaborada observando as características específicas de cada plano de benefícios;</w:t>
            </w:r>
          </w:p>
        </w:tc>
        <w:tc>
          <w:tcPr>
            <w:tcW w:w="1667" w:type="pct"/>
            <w:shd w:val="clear" w:color="auto" w:fill="auto"/>
            <w:noWrap/>
            <w:vAlign w:val="center"/>
            <w:hideMark/>
          </w:tcPr>
          <w:p w14:paraId="56928D88" w14:textId="4620E958"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4F4C76F1"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E3B66C7" w14:textId="77777777" w:rsidTr="00ED7D87">
        <w:tc>
          <w:tcPr>
            <w:tcW w:w="1667" w:type="pct"/>
            <w:vAlign w:val="center"/>
          </w:tcPr>
          <w:p w14:paraId="7509E3DA" w14:textId="5D2D8676"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ser enviada à Previc:</w:t>
            </w:r>
          </w:p>
        </w:tc>
        <w:tc>
          <w:tcPr>
            <w:tcW w:w="1667" w:type="pct"/>
            <w:shd w:val="clear" w:color="auto" w:fill="auto"/>
            <w:noWrap/>
            <w:vAlign w:val="center"/>
            <w:hideMark/>
          </w:tcPr>
          <w:p w14:paraId="73D61041" w14:textId="560F4F75"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tc>
        <w:tc>
          <w:tcPr>
            <w:tcW w:w="1666" w:type="pct"/>
            <w:shd w:val="clear" w:color="auto" w:fill="auto"/>
            <w:noWrap/>
            <w:vAlign w:val="center"/>
            <w:hideMark/>
          </w:tcPr>
          <w:p w14:paraId="763A753C"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D3FC854" w14:textId="77777777" w:rsidTr="00ED7D87">
        <w:tc>
          <w:tcPr>
            <w:tcW w:w="1667" w:type="pct"/>
            <w:vAlign w:val="center"/>
          </w:tcPr>
          <w:p w14:paraId="150C541A" w14:textId="40659E06"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 por ocasião da implantação ou alteração do plano de benefícios e sempre que houver modificações na modelagem atuarial, de modo que seu conteúdo reflita todas as práticas atuariais adotadas para o plano; e</w:t>
            </w:r>
          </w:p>
        </w:tc>
        <w:tc>
          <w:tcPr>
            <w:tcW w:w="1667" w:type="pct"/>
            <w:shd w:val="clear" w:color="auto" w:fill="auto"/>
            <w:noWrap/>
            <w:vAlign w:val="center"/>
            <w:hideMark/>
          </w:tcPr>
          <w:p w14:paraId="7D576D0C" w14:textId="64DA8404"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ocasião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implantação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sempre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houver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modificações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modelagem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conteúdo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reflita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1DFF633E"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DCDA975" w14:textId="77777777" w:rsidTr="00ED7D87">
        <w:tc>
          <w:tcPr>
            <w:tcW w:w="1667" w:type="pct"/>
            <w:vAlign w:val="center"/>
          </w:tcPr>
          <w:p w14:paraId="37A9F535" w14:textId="70B66297"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b) contendo a identificação do atuário habilitado e legalmente responsável pelo plano de benefícios, acompanhada de manifestação de ciência e concordância do administrador responsável pelo plano de benefícios com seu inteiro teor, para cada um dos planos de benefícios administrados pela EFPC.</w:t>
            </w:r>
          </w:p>
        </w:tc>
        <w:tc>
          <w:tcPr>
            <w:tcW w:w="1667" w:type="pct"/>
            <w:shd w:val="clear" w:color="auto" w:fill="auto"/>
            <w:noWrap/>
            <w:vAlign w:val="center"/>
            <w:hideMark/>
          </w:tcPr>
          <w:p w14:paraId="3895C584" w14:textId="639E8804"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b)</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identificação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habilitado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acompanhada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concordância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administrador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inteiro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administrados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6" w:type="pct"/>
            <w:shd w:val="clear" w:color="auto" w:fill="auto"/>
            <w:noWrap/>
            <w:vAlign w:val="center"/>
            <w:hideMark/>
          </w:tcPr>
          <w:p w14:paraId="64C71DEA"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DBF2465" w14:textId="77777777" w:rsidTr="00ED7D87">
        <w:tc>
          <w:tcPr>
            <w:tcW w:w="1667" w:type="pct"/>
            <w:vAlign w:val="center"/>
          </w:tcPr>
          <w:p w14:paraId="59298D28" w14:textId="7E29899A"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Os planos de benefícios dispensados de envio das demonstrações atuariais, nos termos do parágrafo único do art. 4º, também estão dispensados do envio da nota técnica atuarial.</w:t>
            </w:r>
          </w:p>
        </w:tc>
        <w:tc>
          <w:tcPr>
            <w:tcW w:w="1667" w:type="pct"/>
            <w:shd w:val="clear" w:color="auto" w:fill="auto"/>
            <w:noWrap/>
            <w:vAlign w:val="center"/>
            <w:hideMark/>
          </w:tcPr>
          <w:p w14:paraId="779A1365" w14:textId="43624C4F"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dispensados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57</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também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dispensados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p>
        </w:tc>
        <w:tc>
          <w:tcPr>
            <w:tcW w:w="1666" w:type="pct"/>
            <w:shd w:val="clear" w:color="auto" w:fill="auto"/>
            <w:noWrap/>
            <w:vAlign w:val="center"/>
            <w:hideMark/>
          </w:tcPr>
          <w:p w14:paraId="6CE70073" w14:textId="512F7445"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F1E135F" w14:textId="77777777" w:rsidTr="00ED7D87">
        <w:tc>
          <w:tcPr>
            <w:tcW w:w="1667" w:type="pct"/>
            <w:vAlign w:val="center"/>
          </w:tcPr>
          <w:p w14:paraId="57DE473F" w14:textId="5F7CF7C5"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15. A EFPC deve assegurar que o atuário, ao assumir a responsabilidade pelo plano de benefícios:</w:t>
            </w:r>
          </w:p>
        </w:tc>
        <w:tc>
          <w:tcPr>
            <w:tcW w:w="1667" w:type="pct"/>
            <w:shd w:val="clear" w:color="auto" w:fill="auto"/>
            <w:noWrap/>
            <w:vAlign w:val="center"/>
            <w:hideMark/>
          </w:tcPr>
          <w:p w14:paraId="52C95084" w14:textId="476910D3"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67</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assumir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6" w:type="pct"/>
            <w:shd w:val="clear" w:color="auto" w:fill="auto"/>
            <w:noWrap/>
            <w:vAlign w:val="center"/>
            <w:hideMark/>
          </w:tcPr>
          <w:p w14:paraId="1022B684"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AAFFEC0" w14:textId="77777777" w:rsidTr="00ED7D87">
        <w:tc>
          <w:tcPr>
            <w:tcW w:w="1667" w:type="pct"/>
            <w:vAlign w:val="center"/>
          </w:tcPr>
          <w:p w14:paraId="138CD648" w14:textId="4BA5F054"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ratifique formalmente a nota técnica atuarial em vigor, caso considere o documento apropriado às regras regulamentares do plano e aderente aos requisitos técnico-atuariais pertinentes; ou</w:t>
            </w:r>
          </w:p>
        </w:tc>
        <w:tc>
          <w:tcPr>
            <w:tcW w:w="1667" w:type="pct"/>
            <w:shd w:val="clear" w:color="auto" w:fill="auto"/>
            <w:noWrap/>
            <w:vAlign w:val="center"/>
            <w:hideMark/>
          </w:tcPr>
          <w:p w14:paraId="5C3D9ECD" w14:textId="4527C1B5"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ratifique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apropriado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regulamentares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pertinentes;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6" w:type="pct"/>
            <w:shd w:val="clear" w:color="auto" w:fill="auto"/>
            <w:noWrap/>
            <w:vAlign w:val="center"/>
            <w:hideMark/>
          </w:tcPr>
          <w:p w14:paraId="4301F637"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CE9B66D" w14:textId="77777777" w:rsidTr="00ED7D87">
        <w:tc>
          <w:tcPr>
            <w:tcW w:w="1667" w:type="pct"/>
            <w:vAlign w:val="center"/>
          </w:tcPr>
          <w:p w14:paraId="51430E35" w14:textId="3074A01D"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elabore nota técnica atuarial, com as justificativas da alteração.</w:t>
            </w:r>
          </w:p>
        </w:tc>
        <w:tc>
          <w:tcPr>
            <w:tcW w:w="1667" w:type="pct"/>
            <w:shd w:val="clear" w:color="auto" w:fill="auto"/>
            <w:noWrap/>
            <w:vAlign w:val="center"/>
            <w:hideMark/>
          </w:tcPr>
          <w:p w14:paraId="1C1043BC" w14:textId="5FCE8D2F"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justificativas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alteração.</w:t>
            </w:r>
          </w:p>
        </w:tc>
        <w:tc>
          <w:tcPr>
            <w:tcW w:w="1666" w:type="pct"/>
            <w:shd w:val="clear" w:color="auto" w:fill="auto"/>
            <w:noWrap/>
            <w:vAlign w:val="center"/>
            <w:hideMark/>
          </w:tcPr>
          <w:p w14:paraId="3703521F"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900FB5" w:rsidRPr="00225EB1" w14:paraId="3603EBD8" w14:textId="77777777" w:rsidTr="00ED7D87">
        <w:tc>
          <w:tcPr>
            <w:tcW w:w="1667" w:type="pct"/>
            <w:vAlign w:val="center"/>
          </w:tcPr>
          <w:p w14:paraId="0B71FF97" w14:textId="0BB7BFA3" w:rsidR="00900FB5" w:rsidRDefault="00900FB5" w:rsidP="002A49F6">
            <w:pPr>
              <w:spacing w:after="0" w:line="240" w:lineRule="auto"/>
              <w:jc w:val="both"/>
              <w:rPr>
                <w:rFonts w:ascii="Calibri" w:hAnsi="Calibri" w:cs="Calibri"/>
                <w:b/>
                <w:sz w:val="24"/>
              </w:rPr>
            </w:pPr>
            <w:r>
              <w:rPr>
                <w:rFonts w:ascii="Calibri" w:hAnsi="Calibri" w:cs="Calibri"/>
                <w:b/>
                <w:sz w:val="24"/>
              </w:rPr>
              <w:t>Resolução Previc nº 8, de 2022</w:t>
            </w:r>
            <w:r w:rsidRPr="00225EB1">
              <w:rPr>
                <w:rFonts w:ascii="Calibri" w:hAnsi="Calibri" w:cs="Calibri"/>
                <w:b/>
                <w:sz w:val="24"/>
              </w:rPr>
              <w:t>.</w:t>
            </w:r>
          </w:p>
        </w:tc>
        <w:tc>
          <w:tcPr>
            <w:tcW w:w="1667" w:type="pct"/>
            <w:shd w:val="clear" w:color="auto" w:fill="auto"/>
            <w:noWrap/>
            <w:vAlign w:val="center"/>
          </w:tcPr>
          <w:p w14:paraId="2F66F310" w14:textId="77777777" w:rsidR="00900FB5" w:rsidRPr="00843426" w:rsidRDefault="00900FB5" w:rsidP="002A49F6">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tcPr>
          <w:p w14:paraId="1B8770ED" w14:textId="77777777" w:rsidR="00900FB5" w:rsidRPr="00843426" w:rsidRDefault="00900FB5"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89A2CE2" w14:textId="77777777" w:rsidTr="00ED7D87">
        <w:tc>
          <w:tcPr>
            <w:tcW w:w="1667" w:type="pct"/>
            <w:vAlign w:val="center"/>
          </w:tcPr>
          <w:p w14:paraId="256BAFB0" w14:textId="4024DC2D"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10. A nota técnica atuarial e o plano de custeio de cada plano de benefícios objeto de contrato de seguro devem prever o tratamento a ser dado às seguintes situações:</w:t>
            </w:r>
          </w:p>
        </w:tc>
        <w:tc>
          <w:tcPr>
            <w:tcW w:w="1667" w:type="pct"/>
            <w:shd w:val="clear" w:color="auto" w:fill="auto"/>
            <w:noWrap/>
            <w:vAlign w:val="center"/>
            <w:hideMark/>
          </w:tcPr>
          <w:p w14:paraId="611839F5" w14:textId="2ECA28F0"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68</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situações:</w:t>
            </w:r>
          </w:p>
        </w:tc>
        <w:tc>
          <w:tcPr>
            <w:tcW w:w="1666" w:type="pct"/>
            <w:shd w:val="clear" w:color="auto" w:fill="auto"/>
            <w:noWrap/>
            <w:vAlign w:val="center"/>
            <w:hideMark/>
          </w:tcPr>
          <w:p w14:paraId="79745294"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7F0E6DB" w14:textId="77777777" w:rsidTr="00ED7D87">
        <w:tc>
          <w:tcPr>
            <w:tcW w:w="1667" w:type="pct"/>
            <w:vAlign w:val="center"/>
          </w:tcPr>
          <w:p w14:paraId="53C489F1" w14:textId="0E955457"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 - exclusão de determinados riscos pela sociedade seguradora; e</w:t>
            </w:r>
          </w:p>
        </w:tc>
        <w:tc>
          <w:tcPr>
            <w:tcW w:w="1667" w:type="pct"/>
            <w:shd w:val="clear" w:color="auto" w:fill="auto"/>
            <w:noWrap/>
            <w:vAlign w:val="center"/>
            <w:hideMark/>
          </w:tcPr>
          <w:p w14:paraId="293F048B" w14:textId="025D63B1"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6" w:type="pct"/>
            <w:shd w:val="clear" w:color="auto" w:fill="auto"/>
            <w:noWrap/>
            <w:vAlign w:val="center"/>
            <w:hideMark/>
          </w:tcPr>
          <w:p w14:paraId="719E1033"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722DDB3" w14:textId="77777777" w:rsidTr="00ED7D87">
        <w:tc>
          <w:tcPr>
            <w:tcW w:w="1667" w:type="pct"/>
            <w:vAlign w:val="center"/>
          </w:tcPr>
          <w:p w14:paraId="285426C1" w14:textId="254182B7"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recusa de participantes ou assistidos pela sociedade seguradora.</w:t>
            </w:r>
          </w:p>
        </w:tc>
        <w:tc>
          <w:tcPr>
            <w:tcW w:w="1667" w:type="pct"/>
            <w:shd w:val="clear" w:color="auto" w:fill="auto"/>
            <w:noWrap/>
            <w:vAlign w:val="center"/>
            <w:hideMark/>
          </w:tcPr>
          <w:p w14:paraId="453A9D44" w14:textId="1869A083"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p>
        </w:tc>
        <w:tc>
          <w:tcPr>
            <w:tcW w:w="1666" w:type="pct"/>
            <w:shd w:val="clear" w:color="auto" w:fill="auto"/>
            <w:noWrap/>
            <w:vAlign w:val="center"/>
            <w:hideMark/>
          </w:tcPr>
          <w:p w14:paraId="74B01111" w14:textId="77777777"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r>
      <w:tr w:rsidR="00900FB5" w:rsidRPr="00225EB1" w14:paraId="3407002E" w14:textId="77777777" w:rsidTr="00ED7D87">
        <w:tc>
          <w:tcPr>
            <w:tcW w:w="1667" w:type="pct"/>
            <w:vAlign w:val="center"/>
          </w:tcPr>
          <w:p w14:paraId="700F80DA" w14:textId="335E3C34"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2º Para fins desta Resolução, considera-se:</w:t>
            </w:r>
          </w:p>
        </w:tc>
        <w:tc>
          <w:tcPr>
            <w:tcW w:w="1667" w:type="pct"/>
            <w:shd w:val="clear" w:color="auto" w:fill="auto"/>
            <w:noWrap/>
            <w:vAlign w:val="center"/>
          </w:tcPr>
          <w:p w14:paraId="48B50C21" w14:textId="6FFBA2B1"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649F3443" w14:textId="79F28FB7"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591D3E1C" w14:textId="77777777" w:rsidTr="00ED7D87">
        <w:tc>
          <w:tcPr>
            <w:tcW w:w="1667" w:type="pct"/>
            <w:vAlign w:val="center"/>
          </w:tcPr>
          <w:p w14:paraId="24A699AA" w14:textId="2AFF21FD"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indenização: pagamento efetuado por sociedade seguradora à EFPC referente às coberturas contratadas;</w:t>
            </w:r>
          </w:p>
        </w:tc>
        <w:tc>
          <w:tcPr>
            <w:tcW w:w="1667" w:type="pct"/>
            <w:shd w:val="clear" w:color="auto" w:fill="auto"/>
            <w:noWrap/>
            <w:vAlign w:val="center"/>
          </w:tcPr>
          <w:p w14:paraId="4052C597" w14:textId="239D43F5"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4272FF08" w14:textId="7A684AF9"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2B48BE3F" w14:textId="77777777" w:rsidTr="00ED7D87">
        <w:tc>
          <w:tcPr>
            <w:tcW w:w="1667" w:type="pct"/>
            <w:vAlign w:val="center"/>
          </w:tcPr>
          <w:p w14:paraId="17DB19DA" w14:textId="41AA9DE3"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prêmio: importância paga pela EFPC à sociedade seguradora, na forma prevista em contrato;</w:t>
            </w:r>
          </w:p>
        </w:tc>
        <w:tc>
          <w:tcPr>
            <w:tcW w:w="1667" w:type="pct"/>
            <w:shd w:val="clear" w:color="auto" w:fill="auto"/>
            <w:noWrap/>
            <w:vAlign w:val="center"/>
          </w:tcPr>
          <w:p w14:paraId="4D56F286" w14:textId="6344D7F5"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1BA2E901" w14:textId="45586923"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7C8BBE47" w14:textId="77777777" w:rsidTr="00ED7D87">
        <w:tc>
          <w:tcPr>
            <w:tcW w:w="1667" w:type="pct"/>
            <w:vAlign w:val="center"/>
          </w:tcPr>
          <w:p w14:paraId="1E7D7C07" w14:textId="1A025537"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saldo de conta total: valor correspondente à totalidade dos recursos alocados em nome do participante ou assistido com o objetivo de pagamento de benefícios, na forma prevista em regulamento do plano de benefícios;</w:t>
            </w:r>
          </w:p>
        </w:tc>
        <w:tc>
          <w:tcPr>
            <w:tcW w:w="1667" w:type="pct"/>
            <w:shd w:val="clear" w:color="auto" w:fill="auto"/>
            <w:noWrap/>
            <w:vAlign w:val="center"/>
          </w:tcPr>
          <w:p w14:paraId="6D945F36" w14:textId="631DB68E"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70159665" w14:textId="30F1CE37"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5B51AFE6" w14:textId="77777777" w:rsidTr="00ED7D87">
        <w:tc>
          <w:tcPr>
            <w:tcW w:w="1667" w:type="pct"/>
            <w:vAlign w:val="center"/>
          </w:tcPr>
          <w:p w14:paraId="6855CDE8" w14:textId="1E5D556F"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segurado: o participante, o assistido ou a EFPC, conforme o caso;</w:t>
            </w:r>
          </w:p>
        </w:tc>
        <w:tc>
          <w:tcPr>
            <w:tcW w:w="1667" w:type="pct"/>
            <w:shd w:val="clear" w:color="auto" w:fill="auto"/>
            <w:noWrap/>
            <w:vAlign w:val="center"/>
          </w:tcPr>
          <w:p w14:paraId="783928CA" w14:textId="05F15CA7"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43DEB77B" w14:textId="3464CEAD"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35A326AC" w14:textId="77777777" w:rsidTr="00ED7D87">
        <w:tc>
          <w:tcPr>
            <w:tcW w:w="1667" w:type="pct"/>
            <w:vAlign w:val="center"/>
          </w:tcPr>
          <w:p w14:paraId="797D1A5B" w14:textId="7DBE76FF"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cobertura parcial de risco: a cobertura contratada em valor parcial do benefício previsto em regulamento do plano de benefícios ou do fluxo de pagamento estimado;</w:t>
            </w:r>
          </w:p>
        </w:tc>
        <w:tc>
          <w:tcPr>
            <w:tcW w:w="1667" w:type="pct"/>
            <w:shd w:val="clear" w:color="auto" w:fill="auto"/>
            <w:noWrap/>
            <w:vAlign w:val="center"/>
          </w:tcPr>
          <w:p w14:paraId="55A38E54" w14:textId="177C17D6"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7E981064" w14:textId="76D20C2A"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54557ED0" w14:textId="77777777" w:rsidTr="00ED7D87">
        <w:tc>
          <w:tcPr>
            <w:tcW w:w="1667" w:type="pct"/>
            <w:vAlign w:val="center"/>
          </w:tcPr>
          <w:p w14:paraId="7602F358" w14:textId="79714278"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VI - cobertura total de risco: a cobertura contratada correspondente à totalidade do valor do benefício previsto em regulamento </w:t>
            </w:r>
            <w:r w:rsidRPr="00225EB1">
              <w:rPr>
                <w:rFonts w:ascii="Calibri" w:hAnsi="Calibri" w:cs="Calibri"/>
                <w:sz w:val="24"/>
              </w:rPr>
              <w:lastRenderedPageBreak/>
              <w:t>do plano de benefícios ou do fluxo de pagamento estimado;</w:t>
            </w:r>
          </w:p>
        </w:tc>
        <w:tc>
          <w:tcPr>
            <w:tcW w:w="1667" w:type="pct"/>
            <w:shd w:val="clear" w:color="auto" w:fill="auto"/>
            <w:noWrap/>
            <w:vAlign w:val="center"/>
          </w:tcPr>
          <w:p w14:paraId="4BF92BD4" w14:textId="0EAB23D1"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31134B91" w14:textId="1E16021E"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10476A5A" w14:textId="77777777" w:rsidTr="00ED7D87">
        <w:tc>
          <w:tcPr>
            <w:tcW w:w="1667" w:type="pct"/>
            <w:vAlign w:val="center"/>
          </w:tcPr>
          <w:p w14:paraId="6B508272" w14:textId="42B497AF"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VII - cobertura adicional de risco: a cobertura oferecida aos participantes em planos cujos benefícios decorrentes de invalidez e morte sejam estruturados unicamente com base em saldos de contas; e</w:t>
            </w:r>
          </w:p>
        </w:tc>
        <w:tc>
          <w:tcPr>
            <w:tcW w:w="1667" w:type="pct"/>
            <w:shd w:val="clear" w:color="auto" w:fill="auto"/>
            <w:noWrap/>
            <w:vAlign w:val="center"/>
          </w:tcPr>
          <w:p w14:paraId="3B981EA4" w14:textId="15288622"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55DC4614" w14:textId="5F7E7762"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74A07BA7" w14:textId="77777777" w:rsidTr="00ED7D87">
        <w:tc>
          <w:tcPr>
            <w:tcW w:w="1667" w:type="pct"/>
            <w:vAlign w:val="center"/>
          </w:tcPr>
          <w:p w14:paraId="28E50491" w14:textId="20FBCEF8"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VIII - contrato de seguro: instrumento firmado entre a EFPC e a sociedade seguradora com a finalidade exclusiva de disciplinar a contratação de seguro para cobertura de riscos de plano de benefícios.</w:t>
            </w:r>
          </w:p>
        </w:tc>
        <w:tc>
          <w:tcPr>
            <w:tcW w:w="1667" w:type="pct"/>
            <w:shd w:val="clear" w:color="auto" w:fill="auto"/>
            <w:noWrap/>
            <w:vAlign w:val="center"/>
          </w:tcPr>
          <w:p w14:paraId="1B93D27B" w14:textId="4EAE745B"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hideMark/>
          </w:tcPr>
          <w:p w14:paraId="10FE851D" w14:textId="2E865319"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74B8325D" w14:textId="77777777" w:rsidTr="00ED7D87">
        <w:tc>
          <w:tcPr>
            <w:tcW w:w="1667" w:type="pct"/>
            <w:vAlign w:val="center"/>
          </w:tcPr>
          <w:p w14:paraId="7C04DD64" w14:textId="37FE1E9C" w:rsidR="00900FB5" w:rsidRDefault="00900FB5" w:rsidP="00900FB5">
            <w:pPr>
              <w:spacing w:after="0" w:line="240" w:lineRule="auto"/>
              <w:jc w:val="both"/>
              <w:rPr>
                <w:rFonts w:ascii="Calibri" w:hAnsi="Calibri" w:cs="Calibri"/>
                <w:b/>
                <w:sz w:val="24"/>
              </w:rPr>
            </w:pPr>
            <w:r>
              <w:rPr>
                <w:rFonts w:ascii="Calibri" w:hAnsi="Calibri" w:cs="Calibri"/>
                <w:b/>
                <w:sz w:val="24"/>
              </w:rPr>
              <w:t>Instrução Previc nº 33</w:t>
            </w:r>
            <w:r w:rsidRPr="00225EB1">
              <w:rPr>
                <w:rFonts w:ascii="Calibri" w:hAnsi="Calibri" w:cs="Calibri"/>
                <w:b/>
                <w:sz w:val="24"/>
              </w:rPr>
              <w:t>, de 2018.</w:t>
            </w:r>
          </w:p>
        </w:tc>
        <w:tc>
          <w:tcPr>
            <w:tcW w:w="1667" w:type="pct"/>
            <w:shd w:val="clear" w:color="auto" w:fill="auto"/>
            <w:noWrap/>
            <w:vAlign w:val="center"/>
          </w:tcPr>
          <w:p w14:paraId="61AE3EC9" w14:textId="77777777" w:rsidR="00900FB5" w:rsidRPr="00843426" w:rsidRDefault="00900FB5" w:rsidP="002A49F6">
            <w:pPr>
              <w:spacing w:after="0" w:line="240" w:lineRule="auto"/>
              <w:jc w:val="both"/>
              <w:rPr>
                <w:rFonts w:ascii="Calibri" w:eastAsia="Times New Roman" w:hAnsi="Calibri" w:cs="Calibri"/>
                <w:kern w:val="0"/>
                <w:sz w:val="24"/>
                <w:szCs w:val="24"/>
                <w:lang w:eastAsia="pt-BR"/>
                <w14:ligatures w14:val="none"/>
              </w:rPr>
            </w:pPr>
          </w:p>
        </w:tc>
        <w:tc>
          <w:tcPr>
            <w:tcW w:w="1666" w:type="pct"/>
            <w:shd w:val="clear" w:color="auto" w:fill="auto"/>
            <w:noWrap/>
            <w:vAlign w:val="center"/>
          </w:tcPr>
          <w:p w14:paraId="74AB8FCA" w14:textId="77777777" w:rsidR="00900FB5" w:rsidRDefault="00900FB5"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D6979A7" w14:textId="77777777" w:rsidTr="00ED7D87">
        <w:tc>
          <w:tcPr>
            <w:tcW w:w="1667" w:type="pct"/>
            <w:vAlign w:val="center"/>
          </w:tcPr>
          <w:p w14:paraId="4FB67BDB" w14:textId="2624D296"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43. Os documentos elaborados para atendimento ao estabelecido nesta Instrução devem ser mantidos na EFPC à disposição da Previc.</w:t>
            </w:r>
          </w:p>
        </w:tc>
        <w:tc>
          <w:tcPr>
            <w:tcW w:w="1667" w:type="pct"/>
            <w:shd w:val="clear" w:color="auto" w:fill="auto"/>
            <w:noWrap/>
            <w:vAlign w:val="center"/>
            <w:hideMark/>
          </w:tcPr>
          <w:p w14:paraId="721E4592" w14:textId="2E8719D3"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ED799B">
              <w:rPr>
                <w:rFonts w:ascii="Calibri" w:eastAsia="Times New Roman" w:hAnsi="Calibri" w:cs="Calibri"/>
                <w:kern w:val="0"/>
                <w:sz w:val="24"/>
                <w:szCs w:val="24"/>
                <w:lang w:eastAsia="pt-BR"/>
                <w14:ligatures w14:val="none"/>
              </w:rPr>
              <w:t>69</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00121E2D">
              <w:rPr>
                <w:rFonts w:ascii="Calibri" w:eastAsia="Times New Roman" w:hAnsi="Calibri" w:cs="Calibri"/>
                <w:kern w:val="0"/>
                <w:sz w:val="24"/>
                <w:szCs w:val="24"/>
                <w:lang w:eastAsia="pt-BR"/>
                <w14:ligatures w14:val="none"/>
              </w:rPr>
              <w:t>neste</w:t>
            </w:r>
            <w:r w:rsidR="009068E9">
              <w:rPr>
                <w:rFonts w:ascii="Calibri" w:eastAsia="Times New Roman" w:hAnsi="Calibri" w:cs="Calibri"/>
                <w:kern w:val="0"/>
                <w:sz w:val="24"/>
                <w:szCs w:val="24"/>
                <w:lang w:eastAsia="pt-BR"/>
                <w14:ligatures w14:val="none"/>
              </w:rPr>
              <w:t xml:space="preserve"> </w:t>
            </w:r>
            <w:r w:rsidR="00121E2D">
              <w:rPr>
                <w:rFonts w:ascii="Calibri" w:eastAsia="Times New Roman" w:hAnsi="Calibri" w:cs="Calibri"/>
                <w:kern w:val="0"/>
                <w:sz w:val="24"/>
                <w:szCs w:val="24"/>
                <w:lang w:eastAsia="pt-BR"/>
                <w14:ligatures w14:val="none"/>
              </w:rPr>
              <w:t>Capítulo</w:t>
            </w:r>
            <w:r w:rsidR="009068E9">
              <w:rPr>
                <w:rFonts w:ascii="Calibri" w:eastAsia="Times New Roman" w:hAnsi="Calibri" w:cs="Calibri"/>
                <w:kern w:val="0"/>
                <w:sz w:val="24"/>
                <w:szCs w:val="24"/>
                <w:lang w:eastAsia="pt-BR"/>
                <w14:ligatures w14:val="none"/>
              </w:rPr>
              <w:t xml:space="preserve"> </w:t>
            </w:r>
            <w:r w:rsidR="00121E2D">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tc>
        <w:tc>
          <w:tcPr>
            <w:tcW w:w="1666" w:type="pct"/>
            <w:shd w:val="clear" w:color="auto" w:fill="auto"/>
            <w:noWrap/>
            <w:vAlign w:val="center"/>
            <w:hideMark/>
          </w:tcPr>
          <w:p w14:paraId="0E5FF35E" w14:textId="2645B2A4" w:rsidR="002A49F6" w:rsidRPr="00843426" w:rsidRDefault="00995A43" w:rsidP="002A49F6">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para o final da Resolução, uma vez que trata de todos os documentos de forma genérica.</w:t>
            </w:r>
          </w:p>
        </w:tc>
      </w:tr>
      <w:tr w:rsidR="00225EB1" w:rsidRPr="00225EB1" w14:paraId="4F3B299B" w14:textId="77777777" w:rsidTr="00ED7D87">
        <w:tc>
          <w:tcPr>
            <w:tcW w:w="1667" w:type="pct"/>
            <w:vAlign w:val="center"/>
          </w:tcPr>
          <w:p w14:paraId="3D136A8A" w14:textId="74631A22" w:rsidR="002A49F6" w:rsidRPr="00225EB1" w:rsidRDefault="002A49F6" w:rsidP="002A49F6">
            <w:pPr>
              <w:spacing w:after="0" w:line="240" w:lineRule="auto"/>
              <w:jc w:val="center"/>
              <w:rPr>
                <w:rFonts w:ascii="Calibri" w:hAnsi="Calibri" w:cs="Calibri"/>
                <w:b/>
                <w:sz w:val="24"/>
              </w:rPr>
            </w:pPr>
            <w:r w:rsidRPr="00225EB1">
              <w:rPr>
                <w:rFonts w:ascii="Calibri" w:hAnsi="Calibri" w:cs="Calibri"/>
                <w:b/>
                <w:sz w:val="24"/>
              </w:rPr>
              <w:t>Anexo</w:t>
            </w:r>
          </w:p>
        </w:tc>
        <w:tc>
          <w:tcPr>
            <w:tcW w:w="1667" w:type="pct"/>
            <w:shd w:val="clear" w:color="auto" w:fill="auto"/>
            <w:noWrap/>
            <w:vAlign w:val="center"/>
          </w:tcPr>
          <w:p w14:paraId="2CEB00E8" w14:textId="616226A9" w:rsidR="002A49F6" w:rsidRPr="00225EB1" w:rsidRDefault="002A49F6" w:rsidP="002A49F6">
            <w:pPr>
              <w:spacing w:after="0" w:line="240" w:lineRule="auto"/>
              <w:jc w:val="center"/>
              <w:rPr>
                <w:rFonts w:ascii="Calibri" w:eastAsia="Times New Roman" w:hAnsi="Calibri" w:cs="Calibri"/>
                <w:b/>
                <w:kern w:val="0"/>
                <w:sz w:val="24"/>
                <w:szCs w:val="24"/>
                <w:lang w:eastAsia="pt-BR"/>
                <w14:ligatures w14:val="none"/>
              </w:rPr>
            </w:pPr>
            <w:r w:rsidRPr="00225EB1">
              <w:rPr>
                <w:rFonts w:ascii="Calibri" w:eastAsia="Times New Roman" w:hAnsi="Calibri" w:cs="Calibri"/>
                <w:b/>
                <w:kern w:val="0"/>
                <w:sz w:val="24"/>
                <w:szCs w:val="24"/>
                <w:lang w:eastAsia="pt-BR"/>
                <w14:ligatures w14:val="none"/>
              </w:rPr>
              <w:t>Anexo</w:t>
            </w:r>
          </w:p>
        </w:tc>
        <w:tc>
          <w:tcPr>
            <w:tcW w:w="1666" w:type="pct"/>
            <w:shd w:val="clear" w:color="auto" w:fill="auto"/>
            <w:noWrap/>
            <w:vAlign w:val="center"/>
          </w:tcPr>
          <w:p w14:paraId="4E8E96C7" w14:textId="77777777" w:rsidR="002A49F6" w:rsidRPr="00225EB1" w:rsidRDefault="002A49F6" w:rsidP="002A49F6">
            <w:pPr>
              <w:spacing w:after="0" w:line="240" w:lineRule="auto"/>
              <w:jc w:val="center"/>
              <w:rPr>
                <w:rFonts w:ascii="Calibri" w:eastAsia="Times New Roman" w:hAnsi="Calibri" w:cs="Calibri"/>
                <w:b/>
                <w:kern w:val="0"/>
                <w:sz w:val="24"/>
                <w:szCs w:val="24"/>
                <w:lang w:eastAsia="pt-BR"/>
                <w14:ligatures w14:val="none"/>
              </w:rPr>
            </w:pPr>
          </w:p>
        </w:tc>
      </w:tr>
      <w:tr w:rsidR="00225EB1" w:rsidRPr="00225EB1" w14:paraId="3B0CAA42" w14:textId="1B39E6FB" w:rsidTr="001E5561">
        <w:trPr>
          <w:trHeight w:val="2310"/>
        </w:trPr>
        <w:tc>
          <w:tcPr>
            <w:tcW w:w="1667" w:type="pct"/>
            <w:shd w:val="clear" w:color="auto" w:fill="auto"/>
            <w:noWrap/>
            <w:vAlign w:val="bottom"/>
            <w:hideMark/>
          </w:tcPr>
          <w:p w14:paraId="2FA3D41A" w14:textId="59B9D640" w:rsidR="001E5561" w:rsidRPr="00116AD8" w:rsidRDefault="001E5561" w:rsidP="001E5561">
            <w:pPr>
              <w:spacing w:after="0" w:line="240" w:lineRule="auto"/>
              <w:rPr>
                <w:rFonts w:ascii="Calibri" w:eastAsia="Times New Roman" w:hAnsi="Calibri" w:cs="Calibri"/>
                <w:kern w:val="0"/>
                <w:sz w:val="24"/>
                <w:lang w:eastAsia="pt-BR"/>
                <w14:ligatures w14:val="none"/>
              </w:rPr>
            </w:pPr>
            <w:r w:rsidRPr="00225EB1">
              <w:rPr>
                <w:rFonts w:ascii="Calibri" w:eastAsia="Times New Roman" w:hAnsi="Calibri" w:cs="Calibri"/>
                <w:noProof/>
                <w:kern w:val="0"/>
                <w:sz w:val="24"/>
                <w:lang w:eastAsia="pt-BR"/>
                <w14:ligatures w14:val="none"/>
              </w:rPr>
              <w:drawing>
                <wp:anchor distT="0" distB="0" distL="114300" distR="114300" simplePos="0" relativeHeight="251667456" behindDoc="0" locked="0" layoutInCell="1" allowOverlap="1" wp14:anchorId="67D7A895" wp14:editId="2F2908BB">
                  <wp:simplePos x="0" y="0"/>
                  <wp:positionH relativeFrom="column">
                    <wp:posOffset>-7620</wp:posOffset>
                  </wp:positionH>
                  <wp:positionV relativeFrom="paragraph">
                    <wp:posOffset>-961390</wp:posOffset>
                  </wp:positionV>
                  <wp:extent cx="2800985" cy="1095375"/>
                  <wp:effectExtent l="0" t="0" r="0" b="9525"/>
                  <wp:wrapNone/>
                  <wp:docPr id="3" name="Imagem 1" descr="Tabela&#10;&#10;Descrição gerada automaticamente com confiança média">
                    <a:extLst xmlns:a="http://schemas.openxmlformats.org/drawingml/2006/main">
                      <a:ext uri="{FF2B5EF4-FFF2-40B4-BE49-F238E27FC236}">
                        <a16:creationId xmlns:a16="http://schemas.microsoft.com/office/drawing/2014/main" id="{5D3EC22A-7CC1-428C-981C-248ED870033B}"/>
                      </a:ext>
                    </a:extLst>
                  </wp:docPr>
                  <wp:cNvGraphicFramePr/>
                  <a:graphic xmlns:a="http://schemas.openxmlformats.org/drawingml/2006/main">
                    <a:graphicData uri="http://schemas.openxmlformats.org/drawingml/2006/picture">
                      <pic:pic xmlns:pic="http://schemas.openxmlformats.org/drawingml/2006/picture">
                        <pic:nvPicPr>
                          <pic:cNvPr id="3" name="Imagem 1" descr="Tabela&#10;&#10;Descrição gerada automaticamente com confiança média">
                            <a:extLst>
                              <a:ext uri="{FF2B5EF4-FFF2-40B4-BE49-F238E27FC236}">
                                <a16:creationId xmlns:a16="http://schemas.microsoft.com/office/drawing/2014/main" id="{5D3EC22A-7CC1-428C-981C-248ED870033B}"/>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00985" cy="1095375"/>
                          </a:xfrm>
                          <a:prstGeom prst="rect">
                            <a:avLst/>
                          </a:prstGeom>
                          <a:noFill/>
                        </pic:spPr>
                      </pic:pic>
                    </a:graphicData>
                  </a:graphic>
                  <wp14:sizeRelH relativeFrom="page">
                    <wp14:pctWidth>0</wp14:pctWidth>
                  </wp14:sizeRelH>
                  <wp14:sizeRelV relativeFrom="page">
                    <wp14:pctHeight>0</wp14:pctHeight>
                  </wp14:sizeRelV>
                </wp:anchor>
              </w:drawing>
            </w:r>
          </w:p>
        </w:tc>
        <w:tc>
          <w:tcPr>
            <w:tcW w:w="1667" w:type="pct"/>
            <w:vAlign w:val="bottom"/>
          </w:tcPr>
          <w:p w14:paraId="4B816FFC" w14:textId="5B0AFA7B" w:rsidR="002A49F6" w:rsidRPr="00116AD8" w:rsidRDefault="001E5561" w:rsidP="002A49F6">
            <w:pPr>
              <w:spacing w:after="0" w:line="240" w:lineRule="auto"/>
              <w:rPr>
                <w:rFonts w:ascii="Calibri" w:eastAsia="Times New Roman" w:hAnsi="Calibri" w:cs="Calibri"/>
                <w:kern w:val="0"/>
                <w:sz w:val="24"/>
                <w:lang w:eastAsia="pt-BR"/>
                <w14:ligatures w14:val="none"/>
              </w:rPr>
            </w:pPr>
            <w:r w:rsidRPr="00225EB1">
              <w:rPr>
                <w:rFonts w:ascii="Calibri" w:eastAsia="Times New Roman" w:hAnsi="Calibri" w:cs="Calibri"/>
                <w:noProof/>
                <w:kern w:val="0"/>
                <w:sz w:val="24"/>
                <w:lang w:eastAsia="pt-BR"/>
                <w14:ligatures w14:val="none"/>
              </w:rPr>
              <w:drawing>
                <wp:anchor distT="0" distB="0" distL="114300" distR="114300" simplePos="0" relativeHeight="251668480" behindDoc="0" locked="0" layoutInCell="1" allowOverlap="1" wp14:anchorId="3FB1E320" wp14:editId="12C74E67">
                  <wp:simplePos x="0" y="0"/>
                  <wp:positionH relativeFrom="column">
                    <wp:posOffset>-15240</wp:posOffset>
                  </wp:positionH>
                  <wp:positionV relativeFrom="paragraph">
                    <wp:posOffset>-850900</wp:posOffset>
                  </wp:positionV>
                  <wp:extent cx="2819400" cy="1095375"/>
                  <wp:effectExtent l="0" t="0" r="0" b="9525"/>
                  <wp:wrapNone/>
                  <wp:docPr id="1621727991" name="Imagem 1621727991" descr="Tabela&#10;&#10;Descrição gerada automaticamente com confiança média">
                    <a:extLst xmlns:a="http://schemas.openxmlformats.org/drawingml/2006/main">
                      <a:ext uri="{FF2B5EF4-FFF2-40B4-BE49-F238E27FC236}">
                        <a16:creationId xmlns:a16="http://schemas.microsoft.com/office/drawing/2014/main" id="{5D3EC22A-7CC1-428C-981C-248ED870033B}"/>
                      </a:ext>
                    </a:extLst>
                  </wp:docPr>
                  <wp:cNvGraphicFramePr/>
                  <a:graphic xmlns:a="http://schemas.openxmlformats.org/drawingml/2006/main">
                    <a:graphicData uri="http://schemas.openxmlformats.org/drawingml/2006/picture">
                      <pic:pic xmlns:pic="http://schemas.openxmlformats.org/drawingml/2006/picture">
                        <pic:nvPicPr>
                          <pic:cNvPr id="3" name="Imagem 1" descr="Tabela&#10;&#10;Descrição gerada automaticamente com confiança média">
                            <a:extLst>
                              <a:ext uri="{FF2B5EF4-FFF2-40B4-BE49-F238E27FC236}">
                                <a16:creationId xmlns:a16="http://schemas.microsoft.com/office/drawing/2014/main" id="{5D3EC22A-7CC1-428C-981C-248ED870033B}"/>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19400" cy="1095375"/>
                          </a:xfrm>
                          <a:prstGeom prst="rect">
                            <a:avLst/>
                          </a:prstGeom>
                          <a:noFill/>
                        </pic:spPr>
                      </pic:pic>
                    </a:graphicData>
                  </a:graphic>
                  <wp14:sizeRelH relativeFrom="page">
                    <wp14:pctWidth>0</wp14:pctWidth>
                  </wp14:sizeRelH>
                  <wp14:sizeRelV relativeFrom="page">
                    <wp14:pctHeight>0</wp14:pctHeight>
                  </wp14:sizeRelV>
                </wp:anchor>
              </w:drawing>
            </w:r>
          </w:p>
          <w:p w14:paraId="2392A2EF" w14:textId="29D950A2" w:rsidR="002A49F6" w:rsidRPr="00225EB1" w:rsidRDefault="002A49F6" w:rsidP="002A49F6">
            <w:pPr>
              <w:rPr>
                <w:rFonts w:ascii="Calibri" w:eastAsia="Times New Roman" w:hAnsi="Calibri" w:cs="Times New Roman"/>
                <w:kern w:val="0"/>
                <w:sz w:val="24"/>
                <w:szCs w:val="20"/>
                <w:lang w:eastAsia="pt-BR"/>
                <w14:ligatures w14:val="none"/>
              </w:rPr>
            </w:pPr>
          </w:p>
        </w:tc>
        <w:tc>
          <w:tcPr>
            <w:tcW w:w="1666" w:type="pct"/>
            <w:vAlign w:val="bottom"/>
          </w:tcPr>
          <w:p w14:paraId="2E264458" w14:textId="02213C7F" w:rsidR="002A49F6" w:rsidRPr="00116AD8" w:rsidRDefault="002A49F6" w:rsidP="002A49F6">
            <w:pPr>
              <w:spacing w:after="0" w:line="240" w:lineRule="auto"/>
              <w:rPr>
                <w:rFonts w:ascii="Calibri" w:eastAsia="Times New Roman" w:hAnsi="Calibri" w:cs="Calibri"/>
                <w:kern w:val="0"/>
                <w:sz w:val="24"/>
                <w:lang w:eastAsia="pt-BR"/>
                <w14:ligatures w14:val="none"/>
              </w:rPr>
            </w:pPr>
          </w:p>
          <w:p w14:paraId="175EE28F" w14:textId="77777777" w:rsidR="002A49F6" w:rsidRPr="00225EB1" w:rsidRDefault="002A49F6" w:rsidP="002A49F6">
            <w:pPr>
              <w:rPr>
                <w:rFonts w:ascii="Calibri" w:eastAsia="Times New Roman" w:hAnsi="Calibri" w:cs="Times New Roman"/>
                <w:kern w:val="0"/>
                <w:sz w:val="24"/>
                <w:szCs w:val="20"/>
                <w:lang w:eastAsia="pt-BR"/>
                <w14:ligatures w14:val="none"/>
              </w:rPr>
            </w:pPr>
          </w:p>
        </w:tc>
      </w:tr>
      <w:tr w:rsidR="00225EB1" w:rsidRPr="00225EB1" w14:paraId="00DE822E" w14:textId="3AA9D4DC" w:rsidTr="001E5561">
        <w:tc>
          <w:tcPr>
            <w:tcW w:w="1666" w:type="pct"/>
            <w:shd w:val="clear" w:color="auto" w:fill="auto"/>
            <w:noWrap/>
            <w:vAlign w:val="center"/>
          </w:tcPr>
          <w:p w14:paraId="6B3F925A" w14:textId="58871130"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proofErr w:type="spellStart"/>
            <w:r w:rsidRPr="00116AD8">
              <w:rPr>
                <w:rFonts w:ascii="Calibri" w:eastAsia="Times New Roman" w:hAnsi="Calibri" w:cs="Calibri"/>
                <w:kern w:val="0"/>
                <w:sz w:val="24"/>
                <w:szCs w:val="24"/>
                <w:lang w:eastAsia="pt-BR"/>
                <w14:ligatures w14:val="none"/>
              </w:rPr>
              <w:t>Fi</w:t>
            </w:r>
            <w:proofErr w:type="spellEnd"/>
            <w:r w:rsidRPr="00116AD8">
              <w:rPr>
                <w:rFonts w:ascii="Calibri" w:eastAsia="Times New Roman" w:hAnsi="Calibri" w:cs="Calibri"/>
                <w:kern w:val="0"/>
                <w:sz w:val="24"/>
                <w:szCs w:val="24"/>
                <w:lang w:eastAsia="pt-BR"/>
                <w14:ligatures w14:val="none"/>
              </w:rPr>
              <w:t xml:space="preserve"> = somatório dos pagamentos de benefícios de cada plano, líquidos de contribuições </w:t>
            </w:r>
            <w:r w:rsidRPr="00116AD8">
              <w:rPr>
                <w:rFonts w:ascii="Calibri" w:eastAsia="Times New Roman" w:hAnsi="Calibri" w:cs="Calibri"/>
                <w:kern w:val="0"/>
                <w:sz w:val="24"/>
                <w:szCs w:val="24"/>
                <w:lang w:eastAsia="pt-BR"/>
                <w14:ligatures w14:val="none"/>
              </w:rPr>
              <w:lastRenderedPageBreak/>
              <w:t>incidentes sobre esses benefícios, relativos ao i-</w:t>
            </w:r>
            <w:proofErr w:type="spellStart"/>
            <w:r w:rsidRPr="00116AD8">
              <w:rPr>
                <w:rFonts w:ascii="Calibri" w:eastAsia="Times New Roman" w:hAnsi="Calibri" w:cs="Calibri"/>
                <w:kern w:val="0"/>
                <w:sz w:val="24"/>
                <w:szCs w:val="24"/>
                <w:lang w:eastAsia="pt-BR"/>
                <w14:ligatures w14:val="none"/>
              </w:rPr>
              <w:t>ésimo</w:t>
            </w:r>
            <w:proofErr w:type="spellEnd"/>
            <w:r w:rsidRPr="00116AD8">
              <w:rPr>
                <w:rFonts w:ascii="Calibri" w:eastAsia="Times New Roman" w:hAnsi="Calibri" w:cs="Calibri"/>
                <w:kern w:val="0"/>
                <w:sz w:val="24"/>
                <w:szCs w:val="24"/>
                <w:lang w:eastAsia="pt-BR"/>
                <w14:ligatures w14:val="none"/>
              </w:rPr>
              <w:t xml:space="preserve"> prazo;</w:t>
            </w:r>
          </w:p>
        </w:tc>
        <w:tc>
          <w:tcPr>
            <w:tcW w:w="1669" w:type="pct"/>
            <w:vAlign w:val="center"/>
          </w:tcPr>
          <w:p w14:paraId="1649D1A6" w14:textId="495D13D3" w:rsidR="002A49F6" w:rsidRPr="001E5561" w:rsidRDefault="002A49F6" w:rsidP="001E5561">
            <w:pPr>
              <w:spacing w:after="0" w:line="240" w:lineRule="auto"/>
              <w:jc w:val="both"/>
              <w:rPr>
                <w:rFonts w:ascii="Calibri" w:eastAsia="Times New Roman" w:hAnsi="Calibri" w:cs="Calibri"/>
                <w:kern w:val="0"/>
                <w:sz w:val="24"/>
                <w:szCs w:val="24"/>
                <w:lang w:eastAsia="pt-BR"/>
                <w14:ligatures w14:val="none"/>
              </w:rPr>
            </w:pPr>
            <w:proofErr w:type="spellStart"/>
            <w:r w:rsidRPr="00116AD8">
              <w:rPr>
                <w:rFonts w:ascii="Calibri" w:eastAsia="Times New Roman" w:hAnsi="Calibri" w:cs="Calibri"/>
                <w:kern w:val="0"/>
                <w:sz w:val="24"/>
                <w:szCs w:val="24"/>
                <w:lang w:eastAsia="pt-BR"/>
                <w14:ligatures w14:val="none"/>
              </w:rPr>
              <w:lastRenderedPageBreak/>
              <w:t>Fi</w:t>
            </w:r>
            <w:proofErr w:type="spellEnd"/>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somatório</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pagamentos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líquidos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lastRenderedPageBreak/>
              <w:t>incidentes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esses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w:t>
            </w:r>
            <w:proofErr w:type="spellStart"/>
            <w:r w:rsidRPr="00116AD8">
              <w:rPr>
                <w:rFonts w:ascii="Calibri" w:eastAsia="Times New Roman" w:hAnsi="Calibri" w:cs="Calibri"/>
                <w:kern w:val="0"/>
                <w:sz w:val="24"/>
                <w:szCs w:val="24"/>
                <w:lang w:eastAsia="pt-BR"/>
                <w14:ligatures w14:val="none"/>
              </w:rPr>
              <w:t>ésimo</w:t>
            </w:r>
            <w:proofErr w:type="spellEnd"/>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prazo;</w:t>
            </w:r>
          </w:p>
        </w:tc>
        <w:tc>
          <w:tcPr>
            <w:tcW w:w="1666" w:type="pct"/>
            <w:vAlign w:val="center"/>
          </w:tcPr>
          <w:p w14:paraId="2057CA99" w14:textId="77777777" w:rsidR="002A49F6" w:rsidRPr="00225EB1" w:rsidRDefault="002A49F6" w:rsidP="002A49F6">
            <w:pPr>
              <w:jc w:val="both"/>
              <w:rPr>
                <w:rFonts w:ascii="Calibri" w:eastAsia="Times New Roman" w:hAnsi="Calibri" w:cs="Times New Roman"/>
                <w:kern w:val="0"/>
                <w:sz w:val="24"/>
                <w:szCs w:val="20"/>
                <w:lang w:eastAsia="pt-BR"/>
                <w14:ligatures w14:val="none"/>
              </w:rPr>
            </w:pPr>
          </w:p>
        </w:tc>
      </w:tr>
      <w:tr w:rsidR="00B06E16" w:rsidRPr="00225EB1" w14:paraId="5F9F9EB5" w14:textId="301DB846" w:rsidTr="001E5561">
        <w:tc>
          <w:tcPr>
            <w:tcW w:w="1666" w:type="pct"/>
            <w:shd w:val="clear" w:color="auto" w:fill="auto"/>
            <w:noWrap/>
            <w:vAlign w:val="center"/>
            <w:hideMark/>
          </w:tcPr>
          <w:p w14:paraId="6FEC8462" w14:textId="5C0FC89B"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TA = a taxa real anual de juros aplicada no ano anterior pelo respectivo plano de benefícios.</w:t>
            </w:r>
          </w:p>
        </w:tc>
        <w:tc>
          <w:tcPr>
            <w:tcW w:w="1669" w:type="pct"/>
            <w:vAlign w:val="center"/>
          </w:tcPr>
          <w:p w14:paraId="259A1694" w14:textId="4B3D30FA"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TA = a taxa real anual de juros aplicada no ano anterior pelo respectivo plano de benefícios.</w:t>
            </w:r>
          </w:p>
        </w:tc>
        <w:tc>
          <w:tcPr>
            <w:tcW w:w="1666" w:type="pct"/>
            <w:vAlign w:val="center"/>
          </w:tcPr>
          <w:p w14:paraId="7F331231" w14:textId="3F19F0FD" w:rsidR="00B06E16" w:rsidRPr="00225EB1" w:rsidRDefault="00B06E16" w:rsidP="00B06E16">
            <w:pPr>
              <w:jc w:val="both"/>
              <w:rPr>
                <w:rFonts w:ascii="Calibri" w:eastAsia="Times New Roman" w:hAnsi="Calibri" w:cs="Times New Roman"/>
                <w:kern w:val="0"/>
                <w:sz w:val="24"/>
                <w:szCs w:val="20"/>
                <w:lang w:eastAsia="pt-BR"/>
                <w14:ligatures w14:val="none"/>
              </w:rPr>
            </w:pPr>
          </w:p>
        </w:tc>
      </w:tr>
      <w:tr w:rsidR="00B06E16" w:rsidRPr="00225EB1" w14:paraId="5DE406FD" w14:textId="27FC5C56" w:rsidTr="001E5561">
        <w:tc>
          <w:tcPr>
            <w:tcW w:w="1666" w:type="pct"/>
            <w:shd w:val="clear" w:color="auto" w:fill="auto"/>
            <w:noWrap/>
            <w:vAlign w:val="center"/>
            <w:hideMark/>
          </w:tcPr>
          <w:p w14:paraId="250F7ABA" w14:textId="77777777"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2.</w:t>
            </w:r>
            <w:r w:rsidRPr="00116AD8">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 o cálculo do arredondamento do algarismo da casa decimal de que trata o art. 7º devem ser considerados os algarismos relativos à primeira e segunda casas decimais, efetuando-se o arredondamento da seguinte forma:</w:t>
            </w:r>
          </w:p>
        </w:tc>
        <w:tc>
          <w:tcPr>
            <w:tcW w:w="1669" w:type="pct"/>
            <w:vAlign w:val="center"/>
          </w:tcPr>
          <w:p w14:paraId="70E5C089" w14:textId="3B9ABED2"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2.</w:t>
            </w:r>
            <w:r>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arredondamento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decimal</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trata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6º </w:t>
            </w:r>
            <w:r w:rsidRPr="00116AD8">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considerados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segunda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decimais,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efetuando-se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arredondamento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seguinte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forma:</w:t>
            </w:r>
          </w:p>
        </w:tc>
        <w:tc>
          <w:tcPr>
            <w:tcW w:w="1666" w:type="pct"/>
            <w:vAlign w:val="center"/>
          </w:tcPr>
          <w:p w14:paraId="176F080A" w14:textId="44DAF849" w:rsidR="00B06E16" w:rsidRPr="00225EB1" w:rsidRDefault="00B06E16" w:rsidP="00B06E16">
            <w:pPr>
              <w:jc w:val="both"/>
              <w:rPr>
                <w:rFonts w:ascii="Calibri" w:eastAsia="Times New Roman" w:hAnsi="Calibri" w:cs="Times New Roman"/>
                <w:kern w:val="0"/>
                <w:sz w:val="24"/>
                <w:szCs w:val="20"/>
                <w:lang w:eastAsia="pt-BR"/>
                <w14:ligatures w14:val="none"/>
              </w:rPr>
            </w:pPr>
          </w:p>
        </w:tc>
      </w:tr>
      <w:tr w:rsidR="00B06E16" w:rsidRPr="00225EB1" w14:paraId="106A9FC5" w14:textId="65CEE594" w:rsidTr="001E5561">
        <w:tc>
          <w:tcPr>
            <w:tcW w:w="1666" w:type="pct"/>
            <w:shd w:val="clear" w:color="auto" w:fill="auto"/>
            <w:noWrap/>
            <w:vAlign w:val="center"/>
            <w:hideMark/>
          </w:tcPr>
          <w:p w14:paraId="0FECF473" w14:textId="77777777"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2.1.</w:t>
            </w:r>
            <w:r w:rsidRPr="00116AD8">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 xml:space="preserve">Arredonda-se para o número inteiro inferior, quando os algarismos relativos à primeira e segunda casas decimais estiverem </w:t>
            </w:r>
            <w:proofErr w:type="gramStart"/>
            <w:r w:rsidRPr="00116AD8">
              <w:rPr>
                <w:rFonts w:ascii="Calibri" w:eastAsia="Times New Roman" w:hAnsi="Calibri" w:cs="Calibri"/>
                <w:kern w:val="0"/>
                <w:sz w:val="24"/>
                <w:szCs w:val="24"/>
                <w:lang w:eastAsia="pt-BR"/>
                <w14:ligatures w14:val="none"/>
              </w:rPr>
              <w:t>compreendidos</w:t>
            </w:r>
            <w:proofErr w:type="gramEnd"/>
            <w:r w:rsidRPr="00116AD8">
              <w:rPr>
                <w:rFonts w:ascii="Calibri" w:eastAsia="Times New Roman" w:hAnsi="Calibri" w:cs="Calibri"/>
                <w:kern w:val="0"/>
                <w:sz w:val="24"/>
                <w:szCs w:val="24"/>
                <w:lang w:eastAsia="pt-BR"/>
                <w14:ligatures w14:val="none"/>
              </w:rPr>
              <w:t xml:space="preserve"> no intervalo de 01 a 24;</w:t>
            </w:r>
          </w:p>
        </w:tc>
        <w:tc>
          <w:tcPr>
            <w:tcW w:w="1669" w:type="pct"/>
            <w:vAlign w:val="center"/>
          </w:tcPr>
          <w:p w14:paraId="7BC307C5" w14:textId="09B18B75"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2.1.</w:t>
            </w:r>
            <w:r>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Arredonda-se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número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inteiro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inferior,</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segunda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decimais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estiverem</w:t>
            </w:r>
            <w:r>
              <w:rPr>
                <w:rFonts w:ascii="Calibri" w:eastAsia="Times New Roman" w:hAnsi="Calibri" w:cs="Calibri"/>
                <w:kern w:val="0"/>
                <w:sz w:val="24"/>
                <w:szCs w:val="24"/>
                <w:lang w:eastAsia="pt-BR"/>
                <w14:ligatures w14:val="none"/>
              </w:rPr>
              <w:t xml:space="preserve"> </w:t>
            </w:r>
            <w:proofErr w:type="gramStart"/>
            <w:r w:rsidRPr="00116AD8">
              <w:rPr>
                <w:rFonts w:ascii="Calibri" w:eastAsia="Times New Roman" w:hAnsi="Calibri" w:cs="Calibri"/>
                <w:kern w:val="0"/>
                <w:sz w:val="24"/>
                <w:szCs w:val="24"/>
                <w:lang w:eastAsia="pt-BR"/>
                <w14:ligatures w14:val="none"/>
              </w:rPr>
              <w:t>compreendidos</w:t>
            </w:r>
            <w:proofErr w:type="gramEnd"/>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01</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24;</w:t>
            </w:r>
          </w:p>
        </w:tc>
        <w:tc>
          <w:tcPr>
            <w:tcW w:w="1666" w:type="pct"/>
            <w:vAlign w:val="center"/>
          </w:tcPr>
          <w:p w14:paraId="4D4A4797" w14:textId="1F73F47E" w:rsidR="00B06E16" w:rsidRPr="00225EB1" w:rsidRDefault="00B06E16" w:rsidP="00B06E16">
            <w:pPr>
              <w:jc w:val="both"/>
              <w:rPr>
                <w:rFonts w:ascii="Calibri" w:eastAsia="Times New Roman" w:hAnsi="Calibri" w:cs="Times New Roman"/>
                <w:kern w:val="0"/>
                <w:sz w:val="24"/>
                <w:szCs w:val="20"/>
                <w:lang w:eastAsia="pt-BR"/>
                <w14:ligatures w14:val="none"/>
              </w:rPr>
            </w:pPr>
          </w:p>
        </w:tc>
      </w:tr>
      <w:tr w:rsidR="00B06E16" w:rsidRPr="00225EB1" w14:paraId="7AA73BA5" w14:textId="3A8D27B5" w:rsidTr="001E5561">
        <w:tc>
          <w:tcPr>
            <w:tcW w:w="1666" w:type="pct"/>
            <w:shd w:val="clear" w:color="auto" w:fill="auto"/>
            <w:noWrap/>
            <w:vAlign w:val="center"/>
            <w:hideMark/>
          </w:tcPr>
          <w:p w14:paraId="658000B0" w14:textId="77777777"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2.2.</w:t>
            </w:r>
            <w:r w:rsidRPr="00116AD8">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 xml:space="preserve">Arredonda-se o algarismo relativo à primeira casa decimal para cinco, quando os algarismos relativos à primeira e segunda casas decimais estiverem </w:t>
            </w:r>
            <w:proofErr w:type="gramStart"/>
            <w:r w:rsidRPr="00116AD8">
              <w:rPr>
                <w:rFonts w:ascii="Calibri" w:eastAsia="Times New Roman" w:hAnsi="Calibri" w:cs="Calibri"/>
                <w:kern w:val="0"/>
                <w:sz w:val="24"/>
                <w:szCs w:val="24"/>
                <w:lang w:eastAsia="pt-BR"/>
                <w14:ligatures w14:val="none"/>
              </w:rPr>
              <w:t>compreendidos</w:t>
            </w:r>
            <w:proofErr w:type="gramEnd"/>
            <w:r w:rsidRPr="00116AD8">
              <w:rPr>
                <w:rFonts w:ascii="Calibri" w:eastAsia="Times New Roman" w:hAnsi="Calibri" w:cs="Calibri"/>
                <w:kern w:val="0"/>
                <w:sz w:val="24"/>
                <w:szCs w:val="24"/>
                <w:lang w:eastAsia="pt-BR"/>
                <w14:ligatures w14:val="none"/>
              </w:rPr>
              <w:t xml:space="preserve"> no intervalo de 25 a 74; e</w:t>
            </w:r>
          </w:p>
        </w:tc>
        <w:tc>
          <w:tcPr>
            <w:tcW w:w="1669" w:type="pct"/>
            <w:vAlign w:val="center"/>
          </w:tcPr>
          <w:p w14:paraId="0FDA0D0D" w14:textId="3A973FA1"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2.2.</w:t>
            </w:r>
            <w:r>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Arredonda-se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decimal</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cinco,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segunda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decimais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estiverem</w:t>
            </w:r>
            <w:r>
              <w:rPr>
                <w:rFonts w:ascii="Calibri" w:eastAsia="Times New Roman" w:hAnsi="Calibri" w:cs="Calibri"/>
                <w:kern w:val="0"/>
                <w:sz w:val="24"/>
                <w:szCs w:val="24"/>
                <w:lang w:eastAsia="pt-BR"/>
                <w14:ligatures w14:val="none"/>
              </w:rPr>
              <w:t xml:space="preserve"> </w:t>
            </w:r>
            <w:proofErr w:type="gramStart"/>
            <w:r w:rsidRPr="00116AD8">
              <w:rPr>
                <w:rFonts w:ascii="Calibri" w:eastAsia="Times New Roman" w:hAnsi="Calibri" w:cs="Calibri"/>
                <w:kern w:val="0"/>
                <w:sz w:val="24"/>
                <w:szCs w:val="24"/>
                <w:lang w:eastAsia="pt-BR"/>
                <w14:ligatures w14:val="none"/>
              </w:rPr>
              <w:t>compreendidos</w:t>
            </w:r>
            <w:proofErr w:type="gramEnd"/>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25</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74;</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p>
        </w:tc>
        <w:tc>
          <w:tcPr>
            <w:tcW w:w="1666" w:type="pct"/>
            <w:vAlign w:val="center"/>
          </w:tcPr>
          <w:p w14:paraId="5439172E" w14:textId="3E7755CC" w:rsidR="00B06E16" w:rsidRPr="00225EB1" w:rsidRDefault="00B06E16" w:rsidP="00B06E16">
            <w:pPr>
              <w:jc w:val="both"/>
              <w:rPr>
                <w:rFonts w:ascii="Calibri" w:eastAsia="Times New Roman" w:hAnsi="Calibri" w:cs="Times New Roman"/>
                <w:kern w:val="0"/>
                <w:sz w:val="24"/>
                <w:szCs w:val="20"/>
                <w:lang w:eastAsia="pt-BR"/>
                <w14:ligatures w14:val="none"/>
              </w:rPr>
            </w:pPr>
          </w:p>
        </w:tc>
      </w:tr>
      <w:tr w:rsidR="00B06E16" w:rsidRPr="00225EB1" w14:paraId="5C222C76" w14:textId="50E275CA" w:rsidTr="001E5561">
        <w:tc>
          <w:tcPr>
            <w:tcW w:w="1666" w:type="pct"/>
            <w:shd w:val="clear" w:color="auto" w:fill="auto"/>
            <w:noWrap/>
            <w:vAlign w:val="center"/>
            <w:hideMark/>
          </w:tcPr>
          <w:p w14:paraId="7CA835BA" w14:textId="77777777"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2.3.</w:t>
            </w:r>
            <w:r w:rsidRPr="00116AD8">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 xml:space="preserve">Arredonda-se para o número inteiro imediatamente superior, quando os algarismos relativos à primeira e segunda casas decimais estiverem </w:t>
            </w:r>
            <w:proofErr w:type="gramStart"/>
            <w:r w:rsidRPr="00116AD8">
              <w:rPr>
                <w:rFonts w:ascii="Calibri" w:eastAsia="Times New Roman" w:hAnsi="Calibri" w:cs="Calibri"/>
                <w:kern w:val="0"/>
                <w:sz w:val="24"/>
                <w:szCs w:val="24"/>
                <w:lang w:eastAsia="pt-BR"/>
                <w14:ligatures w14:val="none"/>
              </w:rPr>
              <w:t>compreendidos</w:t>
            </w:r>
            <w:proofErr w:type="gramEnd"/>
            <w:r w:rsidRPr="00116AD8">
              <w:rPr>
                <w:rFonts w:ascii="Calibri" w:eastAsia="Times New Roman" w:hAnsi="Calibri" w:cs="Calibri"/>
                <w:kern w:val="0"/>
                <w:sz w:val="24"/>
                <w:szCs w:val="24"/>
                <w:lang w:eastAsia="pt-BR"/>
                <w14:ligatures w14:val="none"/>
              </w:rPr>
              <w:t xml:space="preserve"> no intervalo de 75 a 99.</w:t>
            </w:r>
          </w:p>
        </w:tc>
        <w:tc>
          <w:tcPr>
            <w:tcW w:w="1669" w:type="pct"/>
            <w:vAlign w:val="center"/>
          </w:tcPr>
          <w:p w14:paraId="4DC42D06" w14:textId="5770C5F3"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2.3.</w:t>
            </w:r>
            <w:r>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Arredonda-se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número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inteiro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imediatamente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superior,</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segunda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decimais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estiverem</w:t>
            </w:r>
            <w:r>
              <w:rPr>
                <w:rFonts w:ascii="Calibri" w:eastAsia="Times New Roman" w:hAnsi="Calibri" w:cs="Calibri"/>
                <w:kern w:val="0"/>
                <w:sz w:val="24"/>
                <w:szCs w:val="24"/>
                <w:lang w:eastAsia="pt-BR"/>
                <w14:ligatures w14:val="none"/>
              </w:rPr>
              <w:t xml:space="preserve"> </w:t>
            </w:r>
            <w:proofErr w:type="gramStart"/>
            <w:r w:rsidRPr="00116AD8">
              <w:rPr>
                <w:rFonts w:ascii="Calibri" w:eastAsia="Times New Roman" w:hAnsi="Calibri" w:cs="Calibri"/>
                <w:kern w:val="0"/>
                <w:sz w:val="24"/>
                <w:szCs w:val="24"/>
                <w:lang w:eastAsia="pt-BR"/>
                <w14:ligatures w14:val="none"/>
              </w:rPr>
              <w:t>compreendidos</w:t>
            </w:r>
            <w:proofErr w:type="gramEnd"/>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75</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99.</w:t>
            </w:r>
          </w:p>
        </w:tc>
        <w:tc>
          <w:tcPr>
            <w:tcW w:w="1666" w:type="pct"/>
            <w:vAlign w:val="center"/>
          </w:tcPr>
          <w:p w14:paraId="1ACD9E47" w14:textId="4A30EE88"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 xml:space="preserve"> </w:t>
            </w:r>
          </w:p>
        </w:tc>
      </w:tr>
    </w:tbl>
    <w:p w14:paraId="72A4251D" w14:textId="77777777" w:rsidR="00512F76" w:rsidRPr="00225EB1" w:rsidRDefault="00512F76">
      <w:pPr>
        <w:rPr>
          <w:rFonts w:ascii="Calibri" w:hAnsi="Calibri"/>
          <w:sz w:val="24"/>
        </w:rPr>
      </w:pPr>
    </w:p>
    <w:sectPr w:rsidR="00512F76" w:rsidRPr="00225EB1" w:rsidSect="00102B08">
      <w:pgSz w:w="16838" w:h="11906" w:orient="landscape"/>
      <w:pgMar w:top="1701" w:right="1417" w:bottom="1701"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Tais Novo Duarte - PREVICDF" w:date="2023-04-25T14:20:00Z" w:initials="TNDP">
    <w:p w14:paraId="7461C23C" w14:textId="77777777" w:rsidR="000A34C5" w:rsidRDefault="000A34C5" w:rsidP="00590784">
      <w:pPr>
        <w:pStyle w:val="Textodecomentrio"/>
      </w:pPr>
      <w:r>
        <w:rPr>
          <w:rStyle w:val="Refdecomentrio"/>
        </w:rPr>
        <w:annotationRef/>
      </w:r>
      <w:r>
        <w:t>Da apuração.</w:t>
      </w:r>
    </w:p>
  </w:comment>
  <w:comment w:id="1" w:author="Tais Novo Duarte - PREVICDF" w:date="2023-04-25T15:48:00Z" w:initials="TNDP">
    <w:p w14:paraId="15B8A1E3" w14:textId="77777777" w:rsidR="0024412D" w:rsidRDefault="0024412D" w:rsidP="00B07898">
      <w:pPr>
        <w:pStyle w:val="Textodecomentrio"/>
      </w:pPr>
      <w:r>
        <w:rPr>
          <w:rStyle w:val="Refdecomentrio"/>
        </w:rPr>
        <w:annotationRef/>
      </w:r>
      <w:r>
        <w:t xml:space="preserve">Não poderíamos excluir?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461C23C" w15:done="0"/>
  <w15:commentEx w15:paraId="15B8A1E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F2601C" w16cex:dateUtc="2023-04-25T17:20:00Z"/>
  <w16cex:commentExtensible w16cex:durableId="27F274B4" w16cex:dateUtc="2023-04-25T18: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461C23C" w16cid:durableId="27F2601C"/>
  <w16cid:commentId w16cid:paraId="15B8A1E3" w16cid:durableId="27F274B4"/>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39539281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is Novo Duarte - PREVICDF">
    <w15:presenceInfo w15:providerId="AD" w15:userId="S::tais.duarte@previc.gov.br::7d3289df-6772-4707-8b0c-a2a586fb21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B08"/>
    <w:rsid w:val="000A34C5"/>
    <w:rsid w:val="000D0ED4"/>
    <w:rsid w:val="000D7196"/>
    <w:rsid w:val="000E18EE"/>
    <w:rsid w:val="000E4F34"/>
    <w:rsid w:val="00102B08"/>
    <w:rsid w:val="00116AD8"/>
    <w:rsid w:val="00121E2D"/>
    <w:rsid w:val="0012568F"/>
    <w:rsid w:val="00143074"/>
    <w:rsid w:val="00152A71"/>
    <w:rsid w:val="00153733"/>
    <w:rsid w:val="001600AB"/>
    <w:rsid w:val="001E5561"/>
    <w:rsid w:val="00225EB1"/>
    <w:rsid w:val="0024412D"/>
    <w:rsid w:val="00250A56"/>
    <w:rsid w:val="002A49F6"/>
    <w:rsid w:val="002F0AE6"/>
    <w:rsid w:val="002F2906"/>
    <w:rsid w:val="00327A2E"/>
    <w:rsid w:val="00350AAA"/>
    <w:rsid w:val="00375DFD"/>
    <w:rsid w:val="003B03CB"/>
    <w:rsid w:val="004738B5"/>
    <w:rsid w:val="00512EC1"/>
    <w:rsid w:val="00512F76"/>
    <w:rsid w:val="005C27CC"/>
    <w:rsid w:val="005E44E0"/>
    <w:rsid w:val="00676780"/>
    <w:rsid w:val="00680945"/>
    <w:rsid w:val="00712056"/>
    <w:rsid w:val="007908A2"/>
    <w:rsid w:val="007F7396"/>
    <w:rsid w:val="008248E8"/>
    <w:rsid w:val="00843426"/>
    <w:rsid w:val="00846A7A"/>
    <w:rsid w:val="008514E5"/>
    <w:rsid w:val="00876894"/>
    <w:rsid w:val="00900FB5"/>
    <w:rsid w:val="0090245C"/>
    <w:rsid w:val="009068E9"/>
    <w:rsid w:val="00925DE4"/>
    <w:rsid w:val="009443F4"/>
    <w:rsid w:val="00995A43"/>
    <w:rsid w:val="009E0A74"/>
    <w:rsid w:val="009E5362"/>
    <w:rsid w:val="00A64B2B"/>
    <w:rsid w:val="00A6584C"/>
    <w:rsid w:val="00A70D16"/>
    <w:rsid w:val="00A72E5B"/>
    <w:rsid w:val="00A9071B"/>
    <w:rsid w:val="00AE0FD8"/>
    <w:rsid w:val="00B06E16"/>
    <w:rsid w:val="00B6290F"/>
    <w:rsid w:val="00BC2200"/>
    <w:rsid w:val="00BE61B0"/>
    <w:rsid w:val="00CB0504"/>
    <w:rsid w:val="00CD4D33"/>
    <w:rsid w:val="00CD5BE3"/>
    <w:rsid w:val="00DE5C09"/>
    <w:rsid w:val="00E5641A"/>
    <w:rsid w:val="00EB77BF"/>
    <w:rsid w:val="00ED799B"/>
    <w:rsid w:val="00ED7D87"/>
    <w:rsid w:val="00F32880"/>
    <w:rsid w:val="00F6058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3D479"/>
  <w15:chartTrackingRefBased/>
  <w15:docId w15:val="{7B336176-3583-4297-89D5-2108F3B0B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102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843426"/>
    <w:rPr>
      <w:color w:val="0563C1"/>
      <w:u w:val="single"/>
    </w:rPr>
  </w:style>
  <w:style w:type="character" w:styleId="HiperlinkVisitado">
    <w:name w:val="FollowedHyperlink"/>
    <w:basedOn w:val="Fontepargpadro"/>
    <w:uiPriority w:val="99"/>
    <w:semiHidden/>
    <w:unhideWhenUsed/>
    <w:rsid w:val="00843426"/>
    <w:rPr>
      <w:color w:val="954F72"/>
      <w:u w:val="single"/>
    </w:rPr>
  </w:style>
  <w:style w:type="paragraph" w:customStyle="1" w:styleId="msonormal0">
    <w:name w:val="msonormal"/>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843426"/>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843426"/>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843426"/>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843426"/>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843426"/>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843426"/>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843426"/>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843426"/>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843426"/>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PargrafodaLista">
    <w:name w:val="List Paragraph"/>
    <w:basedOn w:val="Normal"/>
    <w:uiPriority w:val="34"/>
    <w:qFormat/>
    <w:rsid w:val="000E4F34"/>
    <w:pPr>
      <w:ind w:left="720"/>
      <w:contextualSpacing/>
    </w:pPr>
  </w:style>
  <w:style w:type="character" w:styleId="Refdecomentrio">
    <w:name w:val="annotation reference"/>
    <w:basedOn w:val="Fontepargpadro"/>
    <w:uiPriority w:val="99"/>
    <w:semiHidden/>
    <w:unhideWhenUsed/>
    <w:rsid w:val="000A34C5"/>
    <w:rPr>
      <w:sz w:val="16"/>
      <w:szCs w:val="16"/>
    </w:rPr>
  </w:style>
  <w:style w:type="paragraph" w:styleId="Textodecomentrio">
    <w:name w:val="annotation text"/>
    <w:basedOn w:val="Normal"/>
    <w:link w:val="TextodecomentrioChar"/>
    <w:uiPriority w:val="99"/>
    <w:unhideWhenUsed/>
    <w:rsid w:val="000A34C5"/>
    <w:pPr>
      <w:spacing w:line="240" w:lineRule="auto"/>
    </w:pPr>
    <w:rPr>
      <w:sz w:val="20"/>
      <w:szCs w:val="20"/>
    </w:rPr>
  </w:style>
  <w:style w:type="character" w:customStyle="1" w:styleId="TextodecomentrioChar">
    <w:name w:val="Texto de comentário Char"/>
    <w:basedOn w:val="Fontepargpadro"/>
    <w:link w:val="Textodecomentrio"/>
    <w:uiPriority w:val="99"/>
    <w:rsid w:val="000A34C5"/>
    <w:rPr>
      <w:sz w:val="20"/>
      <w:szCs w:val="20"/>
    </w:rPr>
  </w:style>
  <w:style w:type="paragraph" w:styleId="Assuntodocomentrio">
    <w:name w:val="annotation subject"/>
    <w:basedOn w:val="Textodecomentrio"/>
    <w:next w:val="Textodecomentrio"/>
    <w:link w:val="AssuntodocomentrioChar"/>
    <w:uiPriority w:val="99"/>
    <w:semiHidden/>
    <w:unhideWhenUsed/>
    <w:rsid w:val="000A34C5"/>
    <w:rPr>
      <w:b/>
      <w:bCs/>
    </w:rPr>
  </w:style>
  <w:style w:type="character" w:customStyle="1" w:styleId="AssuntodocomentrioChar">
    <w:name w:val="Assunto do comentário Char"/>
    <w:basedOn w:val="TextodecomentrioChar"/>
    <w:link w:val="Assuntodocomentrio"/>
    <w:uiPriority w:val="99"/>
    <w:semiHidden/>
    <w:rsid w:val="000A34C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3501579">
      <w:bodyDiv w:val="1"/>
      <w:marLeft w:val="0"/>
      <w:marRight w:val="0"/>
      <w:marTop w:val="0"/>
      <w:marBottom w:val="0"/>
      <w:divBdr>
        <w:top w:val="none" w:sz="0" w:space="0" w:color="auto"/>
        <w:left w:val="none" w:sz="0" w:space="0" w:color="auto"/>
        <w:bottom w:val="none" w:sz="0" w:space="0" w:color="auto"/>
        <w:right w:val="none" w:sz="0" w:space="0" w:color="auto"/>
      </w:divBdr>
    </w:div>
    <w:div w:id="1393113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microsoft.com/office/2011/relationships/people" Target="people.xml"/><Relationship Id="rId5" Type="http://schemas.openxmlformats.org/officeDocument/2006/relationships/comments" Target="comment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45</Pages>
  <Words>13608</Words>
  <Characters>73488</Characters>
  <Application>Microsoft Office Word</Application>
  <DocSecurity>0</DocSecurity>
  <Lines>612</Lines>
  <Paragraphs>173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Tais Novo Duarte - PREVICDF</cp:lastModifiedBy>
  <cp:revision>2</cp:revision>
  <dcterms:created xsi:type="dcterms:W3CDTF">2023-04-25T19:02:00Z</dcterms:created>
  <dcterms:modified xsi:type="dcterms:W3CDTF">2023-04-25T19:02:00Z</dcterms:modified>
</cp:coreProperties>
</file>